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0789E" w14:textId="6DC13E4B" w:rsidR="00263731" w:rsidRPr="00720F7A" w:rsidRDefault="00B857C2">
      <w:pPr>
        <w:rPr>
          <w:u w:val="single"/>
        </w:rPr>
      </w:pPr>
      <w:r w:rsidRPr="00720F7A">
        <w:rPr>
          <w:u w:val="single"/>
        </w:rPr>
        <w:t>ECAD 6010</w:t>
      </w:r>
    </w:p>
    <w:p w14:paraId="297FC3C0" w14:textId="1B32E099" w:rsidR="003C20B5" w:rsidRDefault="003C20B5">
      <w:r>
        <w:t>42</w:t>
      </w:r>
      <w:r w:rsidR="00585D12">
        <w:t>52</w:t>
      </w:r>
      <w:r>
        <w:t xml:space="preserve"> o eiriau</w:t>
      </w:r>
    </w:p>
    <w:p w14:paraId="355DB58E" w14:textId="670ADFA7" w:rsidR="00894AB3" w:rsidRDefault="00894AB3"/>
    <w:tbl>
      <w:tblPr>
        <w:tblStyle w:val="TableGrid"/>
        <w:tblW w:w="0" w:type="auto"/>
        <w:tblLook w:val="04A0" w:firstRow="1" w:lastRow="0" w:firstColumn="1" w:lastColumn="0" w:noHBand="0" w:noVBand="1"/>
      </w:tblPr>
      <w:tblGrid>
        <w:gridCol w:w="3003"/>
        <w:gridCol w:w="3003"/>
        <w:gridCol w:w="3004"/>
      </w:tblGrid>
      <w:tr w:rsidR="00894AB3" w14:paraId="5066EC74" w14:textId="77777777" w:rsidTr="00894AB3">
        <w:tc>
          <w:tcPr>
            <w:tcW w:w="3003" w:type="dxa"/>
          </w:tcPr>
          <w:p w14:paraId="5D05F460" w14:textId="5D83477F" w:rsidR="00894AB3" w:rsidRPr="003B18D2" w:rsidRDefault="00476525">
            <w:pPr>
              <w:rPr>
                <w:rFonts w:cstheme="minorHAnsi"/>
                <w:sz w:val="22"/>
                <w:szCs w:val="22"/>
              </w:rPr>
            </w:pPr>
            <w:r w:rsidRPr="003B18D2">
              <w:rPr>
                <w:rFonts w:cstheme="minorHAnsi"/>
                <w:sz w:val="22"/>
                <w:szCs w:val="22"/>
              </w:rPr>
              <w:t>Targedau</w:t>
            </w:r>
          </w:p>
        </w:tc>
        <w:tc>
          <w:tcPr>
            <w:tcW w:w="3003" w:type="dxa"/>
          </w:tcPr>
          <w:p w14:paraId="487CEF2D" w14:textId="11D3A94A" w:rsidR="00894AB3" w:rsidRPr="003B18D2" w:rsidRDefault="003B18D2">
            <w:pPr>
              <w:rPr>
                <w:rFonts w:cstheme="minorHAnsi"/>
                <w:sz w:val="22"/>
                <w:szCs w:val="22"/>
              </w:rPr>
            </w:pPr>
            <w:r w:rsidRPr="003B18D2">
              <w:rPr>
                <w:rFonts w:cstheme="minorHAnsi"/>
                <w:sz w:val="22"/>
                <w:szCs w:val="22"/>
              </w:rPr>
              <w:t>Fel rwyf wedi gweithio arno</w:t>
            </w:r>
          </w:p>
        </w:tc>
        <w:tc>
          <w:tcPr>
            <w:tcW w:w="3004" w:type="dxa"/>
          </w:tcPr>
          <w:p w14:paraId="7BF06530" w14:textId="1402FAEF" w:rsidR="00894AB3" w:rsidRPr="003B18D2" w:rsidRDefault="003B18D2">
            <w:pPr>
              <w:rPr>
                <w:rFonts w:cstheme="minorHAnsi"/>
                <w:sz w:val="22"/>
                <w:szCs w:val="22"/>
              </w:rPr>
            </w:pPr>
            <w:r w:rsidRPr="003B18D2">
              <w:rPr>
                <w:rFonts w:cstheme="minorHAnsi"/>
                <w:sz w:val="22"/>
                <w:szCs w:val="22"/>
              </w:rPr>
              <w:t>Gallwch gweld enghraifft ar..</w:t>
            </w:r>
          </w:p>
        </w:tc>
      </w:tr>
      <w:tr w:rsidR="00894AB3" w14:paraId="084582F6" w14:textId="77777777" w:rsidTr="00894AB3">
        <w:tc>
          <w:tcPr>
            <w:tcW w:w="3003" w:type="dxa"/>
          </w:tcPr>
          <w:p w14:paraId="26293852" w14:textId="77777777" w:rsidR="003B18D2" w:rsidRPr="003B18D2" w:rsidRDefault="003B18D2" w:rsidP="003B18D2">
            <w:pPr>
              <w:rPr>
                <w:rFonts w:cstheme="minorHAnsi"/>
                <w:sz w:val="22"/>
                <w:szCs w:val="22"/>
                <w:lang w:val="en-GB"/>
              </w:rPr>
            </w:pPr>
            <w:r w:rsidRPr="003B18D2">
              <w:rPr>
                <w:rFonts w:cstheme="minorHAnsi"/>
                <w:color w:val="283041"/>
                <w:sz w:val="22"/>
                <w:szCs w:val="22"/>
              </w:rPr>
              <w:t>Parhau gyda'r safon uchel o ymchwil a chymharu llenyddiaeth mewn iaith academaidd rymus</w:t>
            </w:r>
          </w:p>
          <w:p w14:paraId="49F25F1B" w14:textId="77777777" w:rsidR="00894AB3" w:rsidRPr="003B18D2" w:rsidRDefault="00894AB3">
            <w:pPr>
              <w:rPr>
                <w:rFonts w:cstheme="minorHAnsi"/>
                <w:sz w:val="22"/>
                <w:szCs w:val="22"/>
              </w:rPr>
            </w:pPr>
          </w:p>
        </w:tc>
        <w:tc>
          <w:tcPr>
            <w:tcW w:w="3003" w:type="dxa"/>
          </w:tcPr>
          <w:p w14:paraId="723768DF" w14:textId="4110B269" w:rsidR="00894AB3" w:rsidRPr="003B18D2" w:rsidRDefault="00B06195">
            <w:pPr>
              <w:rPr>
                <w:rFonts w:cstheme="minorHAnsi"/>
                <w:sz w:val="22"/>
                <w:szCs w:val="22"/>
              </w:rPr>
            </w:pPr>
            <w:r>
              <w:rPr>
                <w:rFonts w:cstheme="minorHAnsi"/>
                <w:sz w:val="22"/>
                <w:szCs w:val="22"/>
              </w:rPr>
              <w:t xml:space="preserve">Ymchwilio am </w:t>
            </w:r>
            <w:r w:rsidR="0074699C">
              <w:rPr>
                <w:rFonts w:cstheme="minorHAnsi"/>
                <w:sz w:val="22"/>
                <w:szCs w:val="22"/>
              </w:rPr>
              <w:t>erthyglau addysg ar y rhyngrwyd ac edrych am erthyglau sydd yn cytuno/anghytuno a’r erthygl yma.</w:t>
            </w:r>
          </w:p>
        </w:tc>
        <w:tc>
          <w:tcPr>
            <w:tcW w:w="3004" w:type="dxa"/>
          </w:tcPr>
          <w:p w14:paraId="52BF1996" w14:textId="6D242931" w:rsidR="00894AB3" w:rsidRPr="003B18D2" w:rsidRDefault="0074699C">
            <w:pPr>
              <w:rPr>
                <w:rFonts w:cstheme="minorHAnsi"/>
                <w:sz w:val="22"/>
                <w:szCs w:val="22"/>
              </w:rPr>
            </w:pPr>
            <w:r>
              <w:rPr>
                <w:rFonts w:cstheme="minorHAnsi"/>
                <w:sz w:val="22"/>
                <w:szCs w:val="22"/>
              </w:rPr>
              <w:t>Trwy gydol yr aseiniad.</w:t>
            </w:r>
          </w:p>
        </w:tc>
      </w:tr>
      <w:tr w:rsidR="00894AB3" w14:paraId="1AEA2856" w14:textId="77777777" w:rsidTr="00894AB3">
        <w:tc>
          <w:tcPr>
            <w:tcW w:w="3003" w:type="dxa"/>
          </w:tcPr>
          <w:p w14:paraId="7D328357" w14:textId="77777777" w:rsidR="003B18D2" w:rsidRPr="003B18D2" w:rsidRDefault="003B18D2" w:rsidP="003B18D2">
            <w:pPr>
              <w:rPr>
                <w:rFonts w:cstheme="minorHAnsi"/>
                <w:sz w:val="22"/>
                <w:szCs w:val="22"/>
                <w:lang w:val="en-GB"/>
              </w:rPr>
            </w:pPr>
            <w:r w:rsidRPr="003B18D2">
              <w:rPr>
                <w:rFonts w:cstheme="minorHAnsi"/>
                <w:color w:val="283041"/>
                <w:sz w:val="22"/>
                <w:szCs w:val="22"/>
              </w:rPr>
              <w:t>Gwylio'r defnydd o'r negyddol wrth ysgrifennu mewn iaith ffurfiol academaidd (nid yw, nad oes..)</w:t>
            </w:r>
          </w:p>
          <w:p w14:paraId="178A0E76" w14:textId="77777777" w:rsidR="00894AB3" w:rsidRPr="003B18D2" w:rsidRDefault="00894AB3">
            <w:pPr>
              <w:rPr>
                <w:rFonts w:cstheme="minorHAnsi"/>
                <w:sz w:val="22"/>
                <w:szCs w:val="22"/>
              </w:rPr>
            </w:pPr>
          </w:p>
        </w:tc>
        <w:tc>
          <w:tcPr>
            <w:tcW w:w="3003" w:type="dxa"/>
          </w:tcPr>
          <w:p w14:paraId="2659830F" w14:textId="4F3D9928" w:rsidR="00894AB3" w:rsidRPr="003B18D2" w:rsidRDefault="0074699C">
            <w:pPr>
              <w:rPr>
                <w:rFonts w:cstheme="minorHAnsi"/>
                <w:sz w:val="22"/>
                <w:szCs w:val="22"/>
              </w:rPr>
            </w:pPr>
            <w:r>
              <w:rPr>
                <w:rFonts w:cstheme="minorHAnsi"/>
                <w:sz w:val="22"/>
                <w:szCs w:val="22"/>
              </w:rPr>
              <w:t>Rwyf wedi ceisio gweithio ar hyn trwy ddefnyddio’r iaith yma yn ystod yr aseiniad.</w:t>
            </w:r>
          </w:p>
        </w:tc>
        <w:tc>
          <w:tcPr>
            <w:tcW w:w="3004" w:type="dxa"/>
          </w:tcPr>
          <w:p w14:paraId="5305A725" w14:textId="35C7F84F" w:rsidR="00894AB3" w:rsidRPr="003B18D2" w:rsidRDefault="00EB1D0D">
            <w:pPr>
              <w:rPr>
                <w:rFonts w:cstheme="minorHAnsi"/>
                <w:sz w:val="22"/>
                <w:szCs w:val="22"/>
              </w:rPr>
            </w:pPr>
            <w:r>
              <w:rPr>
                <w:rFonts w:cstheme="minorHAnsi"/>
                <w:sz w:val="22"/>
                <w:szCs w:val="22"/>
              </w:rPr>
              <w:t>Dechrau paragraff 2</w:t>
            </w:r>
          </w:p>
        </w:tc>
      </w:tr>
    </w:tbl>
    <w:p w14:paraId="2732E60E" w14:textId="6DBDC752" w:rsidR="00894AB3" w:rsidRDefault="00894AB3"/>
    <w:p w14:paraId="24947839" w14:textId="6ED4D7AE" w:rsidR="00894AB3" w:rsidRDefault="00894AB3"/>
    <w:p w14:paraId="099729CC" w14:textId="66C767FD" w:rsidR="004F029D" w:rsidRPr="004A63AD" w:rsidRDefault="00111DC8" w:rsidP="00652935">
      <w:pPr>
        <w:pStyle w:val="NormalWeb"/>
        <w:jc w:val="center"/>
        <w:rPr>
          <w:rFonts w:ascii="Arial" w:hAnsi="Arial" w:cs="Arial"/>
          <w:b/>
          <w:bCs/>
        </w:rPr>
      </w:pPr>
      <w:r w:rsidRPr="004A63AD">
        <w:rPr>
          <w:rFonts w:ascii="Arial" w:hAnsi="Arial" w:cs="Arial"/>
          <w:b/>
          <w:bCs/>
        </w:rPr>
        <w:t>S</w:t>
      </w:r>
      <w:r w:rsidR="004F029D" w:rsidRPr="004A63AD">
        <w:rPr>
          <w:rFonts w:ascii="Arial" w:hAnsi="Arial" w:cs="Arial"/>
          <w:b/>
          <w:bCs/>
        </w:rPr>
        <w:t xml:space="preserve">ut </w:t>
      </w:r>
      <w:proofErr w:type="spellStart"/>
      <w:r w:rsidR="004F029D" w:rsidRPr="004A63AD">
        <w:rPr>
          <w:rFonts w:ascii="Arial" w:hAnsi="Arial" w:cs="Arial"/>
          <w:b/>
          <w:bCs/>
        </w:rPr>
        <w:t>mae</w:t>
      </w:r>
      <w:proofErr w:type="spellEnd"/>
      <w:r w:rsidR="004F029D" w:rsidRPr="004A63AD">
        <w:rPr>
          <w:rFonts w:ascii="Arial" w:hAnsi="Arial" w:cs="Arial"/>
          <w:b/>
          <w:bCs/>
        </w:rPr>
        <w:t xml:space="preserve"> </w:t>
      </w:r>
      <w:proofErr w:type="spellStart"/>
      <w:r w:rsidR="004F029D" w:rsidRPr="004A63AD">
        <w:rPr>
          <w:rFonts w:ascii="Arial" w:hAnsi="Arial" w:cs="Arial"/>
          <w:b/>
          <w:bCs/>
        </w:rPr>
        <w:t>ymddygiad</w:t>
      </w:r>
      <w:proofErr w:type="spellEnd"/>
      <w:r w:rsidR="004F029D" w:rsidRPr="004A63AD">
        <w:rPr>
          <w:rFonts w:ascii="Arial" w:hAnsi="Arial" w:cs="Arial"/>
          <w:b/>
          <w:bCs/>
        </w:rPr>
        <w:t xml:space="preserve"> </w:t>
      </w:r>
      <w:proofErr w:type="spellStart"/>
      <w:r w:rsidR="004F029D" w:rsidRPr="004A63AD">
        <w:rPr>
          <w:rFonts w:ascii="Arial" w:hAnsi="Arial" w:cs="Arial"/>
          <w:b/>
          <w:bCs/>
        </w:rPr>
        <w:t>yn</w:t>
      </w:r>
      <w:proofErr w:type="spellEnd"/>
      <w:r w:rsidR="004F029D" w:rsidRPr="004A63AD">
        <w:rPr>
          <w:rFonts w:ascii="Arial" w:hAnsi="Arial" w:cs="Arial"/>
          <w:b/>
          <w:bCs/>
        </w:rPr>
        <w:t xml:space="preserve"> </w:t>
      </w:r>
      <w:proofErr w:type="spellStart"/>
      <w:r w:rsidR="004F029D" w:rsidRPr="004A63AD">
        <w:rPr>
          <w:rFonts w:ascii="Arial" w:hAnsi="Arial" w:cs="Arial"/>
          <w:b/>
          <w:bCs/>
        </w:rPr>
        <w:t>effeithio</w:t>
      </w:r>
      <w:proofErr w:type="spellEnd"/>
      <w:r w:rsidR="004F029D" w:rsidRPr="004A63AD">
        <w:rPr>
          <w:rFonts w:ascii="Arial" w:hAnsi="Arial" w:cs="Arial"/>
          <w:b/>
          <w:bCs/>
        </w:rPr>
        <w:t xml:space="preserve"> </w:t>
      </w:r>
      <w:proofErr w:type="spellStart"/>
      <w:r w:rsidR="004F029D" w:rsidRPr="004A63AD">
        <w:rPr>
          <w:rFonts w:ascii="Arial" w:hAnsi="Arial" w:cs="Arial"/>
          <w:b/>
          <w:bCs/>
        </w:rPr>
        <w:t>ar</w:t>
      </w:r>
      <w:proofErr w:type="spellEnd"/>
      <w:r w:rsidR="004F029D" w:rsidRPr="004A63AD">
        <w:rPr>
          <w:rFonts w:ascii="Arial" w:hAnsi="Arial" w:cs="Arial"/>
          <w:b/>
          <w:bCs/>
        </w:rPr>
        <w:t xml:space="preserve"> </w:t>
      </w:r>
      <w:proofErr w:type="spellStart"/>
      <w:r w:rsidR="004F029D" w:rsidRPr="004A63AD">
        <w:rPr>
          <w:rFonts w:ascii="Arial" w:hAnsi="Arial" w:cs="Arial"/>
          <w:b/>
          <w:bCs/>
        </w:rPr>
        <w:t>ddealltwriaeth</w:t>
      </w:r>
      <w:proofErr w:type="spellEnd"/>
      <w:r w:rsidR="004F029D" w:rsidRPr="004A63AD">
        <w:rPr>
          <w:rFonts w:ascii="Arial" w:hAnsi="Arial" w:cs="Arial"/>
          <w:b/>
          <w:bCs/>
        </w:rPr>
        <w:t xml:space="preserve"> </w:t>
      </w:r>
      <w:proofErr w:type="spellStart"/>
      <w:r w:rsidR="004F029D" w:rsidRPr="004A63AD">
        <w:rPr>
          <w:rFonts w:ascii="Arial" w:hAnsi="Arial" w:cs="Arial"/>
          <w:b/>
          <w:bCs/>
        </w:rPr>
        <w:t>ieithyddol</w:t>
      </w:r>
      <w:proofErr w:type="spellEnd"/>
      <w:r w:rsidR="004F029D" w:rsidRPr="004A63AD">
        <w:rPr>
          <w:rFonts w:ascii="Arial" w:hAnsi="Arial" w:cs="Arial"/>
          <w:b/>
          <w:bCs/>
        </w:rPr>
        <w:t xml:space="preserve"> </w:t>
      </w:r>
      <w:proofErr w:type="spellStart"/>
      <w:r w:rsidR="004F029D" w:rsidRPr="004A63AD">
        <w:rPr>
          <w:rFonts w:ascii="Arial" w:hAnsi="Arial" w:cs="Arial"/>
          <w:b/>
          <w:bCs/>
        </w:rPr>
        <w:t>disgyblion</w:t>
      </w:r>
      <w:proofErr w:type="spellEnd"/>
      <w:r w:rsidR="004F029D" w:rsidRPr="004A63AD">
        <w:rPr>
          <w:rFonts w:ascii="Arial" w:hAnsi="Arial" w:cs="Arial"/>
          <w:b/>
          <w:bCs/>
        </w:rPr>
        <w:t xml:space="preserve"> </w:t>
      </w:r>
      <w:proofErr w:type="spellStart"/>
      <w:r w:rsidR="004F029D" w:rsidRPr="004A63AD">
        <w:rPr>
          <w:rFonts w:ascii="Arial" w:hAnsi="Arial" w:cs="Arial"/>
          <w:b/>
          <w:bCs/>
        </w:rPr>
        <w:t>cyfnod</w:t>
      </w:r>
      <w:proofErr w:type="spellEnd"/>
      <w:r w:rsidR="004F029D" w:rsidRPr="004A63AD">
        <w:rPr>
          <w:rFonts w:ascii="Arial" w:hAnsi="Arial" w:cs="Arial"/>
          <w:b/>
          <w:bCs/>
        </w:rPr>
        <w:t xml:space="preserve"> </w:t>
      </w:r>
      <w:proofErr w:type="spellStart"/>
      <w:r w:rsidR="004F029D" w:rsidRPr="004A63AD">
        <w:rPr>
          <w:rFonts w:ascii="Arial" w:hAnsi="Arial" w:cs="Arial"/>
          <w:b/>
          <w:bCs/>
        </w:rPr>
        <w:t>allweddol</w:t>
      </w:r>
      <w:proofErr w:type="spellEnd"/>
      <w:r w:rsidR="004F029D" w:rsidRPr="004A63AD">
        <w:rPr>
          <w:rFonts w:ascii="Arial" w:hAnsi="Arial" w:cs="Arial"/>
          <w:b/>
          <w:bCs/>
        </w:rPr>
        <w:t xml:space="preserve"> 2?</w:t>
      </w:r>
    </w:p>
    <w:p w14:paraId="5036F12E" w14:textId="5B529961" w:rsidR="00BF585A" w:rsidRDefault="00516BCF" w:rsidP="00652935">
      <w:pPr>
        <w:spacing w:line="360" w:lineRule="auto"/>
        <w:jc w:val="both"/>
      </w:pPr>
      <w:r w:rsidRPr="00516BCF">
        <w:t xml:space="preserve">Nod yr aseiniad yma yw </w:t>
      </w:r>
      <w:r w:rsidR="00414F5A">
        <w:t>i g</w:t>
      </w:r>
      <w:r w:rsidRPr="00516BCF">
        <w:t xml:space="preserve">ynnal prosiect ymchwil ar raddfa fach sy’n </w:t>
      </w:r>
      <w:r w:rsidR="00D853A1">
        <w:t xml:space="preserve">enghraifft o ddysgu trawsnewidiol sy’n </w:t>
      </w:r>
      <w:r w:rsidRPr="00516BCF">
        <w:t xml:space="preserve">canolbwyntio ar agwedd o addysg o fewn yr ystafell dosbarth. Yn ystod yr aseiniad yma byddaf yn cynnal astudiaeth wers o fewn ysgol er mwyn darganfod sut mae ymddygiad yn effeithio ar ddealltwriaeth disgyblion cyfnod allweddol 2. Byddaf yn cynnal yr astudiaeth wers yma gyda blwyddyn 5 o fewn ysgol drefol sydd â 483 o ddisgyblion. </w:t>
      </w:r>
      <w:r w:rsidR="004A6116">
        <w:t xml:space="preserve">Fy </w:t>
      </w:r>
      <w:r w:rsidRPr="00516BCF">
        <w:t>nghwestiwn ymchwil yw sut mae ymddygiad yn effeithio ar ddealltwriaeth ieithyddol disgyblion cyfnod allweddol 2? Dewisais ymddygiad fel rhan o fy ngwestiwn ymchwil oherwydd rwy’n credu bod yn bwysig i fonitro ymddygiad dysgwyr yn ystod gwersi. Yn ôl fy mhrofiad i yn yr ysgol mae angen i rai dysgwyr cael rhyw fath o strategaeth er mwyn rheoli ei ymddygiad.  Gweithiais i mewn pâr i ddewis y cwestiwn ymchwil yma. Roeddwn i’n meddwl bydd e’n anodd ddewis ffocws yr ymchwil ond roedd y ddwy ohonom ni yn gytûn ag ymddygiad yn gyflym. Roedd y ddwy ohonom ni yn meddwl bod yn bwysig i gadw llygaid ar ymddygiad y dysgwyr trwy ddefnyddio strategaethau rheoli ymddygiad.</w:t>
      </w:r>
    </w:p>
    <w:p w14:paraId="49D0E984" w14:textId="77777777" w:rsidR="00AF2F0E" w:rsidRDefault="00AF2F0E" w:rsidP="00652935">
      <w:pPr>
        <w:spacing w:line="360" w:lineRule="auto"/>
        <w:jc w:val="both"/>
      </w:pPr>
    </w:p>
    <w:p w14:paraId="0DA81E27" w14:textId="157FDE65" w:rsidR="00004103" w:rsidRPr="00004103" w:rsidRDefault="006246FE" w:rsidP="00652935">
      <w:pPr>
        <w:spacing w:line="360" w:lineRule="auto"/>
        <w:jc w:val="both"/>
      </w:pPr>
      <w:r w:rsidRPr="006246FE">
        <w:t xml:space="preserve">Mae ymddygiad dysgwyr yn gallu amrywio’n fawr o fewn yr ystafell dosbarth (Kirkpatrick, 2019). Yn ôl Dix (2017) mae rhai athrawon ddim yn credu ei fod yn bosib newid ymddygiad plant o achos i gefndir nhw. Ychwanegodd Dix (2017) i hyn a nodwyd nid yw hyn yn wir gan fod yn bwysig bod dysgwyr yn dysgu mewn amgylchedd dysgu positif sydd wedi’i weld i wella ymddygiad. Mae problemau ymddygiad o fewn yr ystafell dosbarth yn cynyddu lefelau straen </w:t>
      </w:r>
      <w:r w:rsidRPr="006246FE">
        <w:lastRenderedPageBreak/>
        <w:t>y dysgwyr a’r athrawon sydd yn effeithio ar wersi a’r broses dysgu (Parsonson, 2012). Cytuna Tokan a Imakulata (2019) â hyn a nodwyd taw camymddygiad yw’r prif achos o straen athrawon, a gall hyn effeithio ar ganlyniadau’r dysgwyr. Yn debyg i hyn noda Blank a Shavit (2016) mae dysgwyr o fewn dosbarth efo ymddygiad aflonyddgar yn tueddu i gael marciau yn llai na dysgwyr heb ymddygiad aflonyddgar.</w:t>
      </w:r>
      <w:r>
        <w:t xml:space="preserve"> </w:t>
      </w:r>
      <w:r w:rsidRPr="006246FE">
        <w:t xml:space="preserve">Mae hyn yn dangos bod ymddygiad drwg yn y dosbarth yn effeithio ar bob disgybl ac nid dim ond y disgybl sydd efo problem ymddygiad. Dyweda Yassine, Tipton-Fisher a Katic (2020) bod ymchwil wedi dangos bod problemau ymddygiad yn gallu cael ei leihau pan mae ffocws yn cael ei roi arno berthnasau positif rhwng athrawon a dysgwyr. </w:t>
      </w:r>
      <w:r w:rsidR="0023183D" w:rsidRPr="0023183D">
        <w:t>Mae hyn yn awgrymu i mi fod angen i’r dysgwyr fod yn gyfforddus i gyfathrebu gyda’i athro/athrawes oes ydy’r ymddygiad o ganlyniad i broblem yn yr ysgol neu gartref. Yn ôl Hofer (2007) mae ymddygiad dysgwyr yn newid wrth iddyn nhw neud tasg sydd o ddiddordeb iddyn nhw. Rwy’n credu bod yn amlwg i’w weld yn y dosbarth</w:t>
      </w:r>
      <w:r w:rsidR="00B77987">
        <w:t xml:space="preserve">, </w:t>
      </w:r>
      <w:r w:rsidR="0023183D" w:rsidRPr="0023183D">
        <w:t xml:space="preserve">pan mae gan ddysgwyr diddordeb yn y gwaith o’i gymharu â phryd nid oes diddordeb ganddyn nhw. Noda Rogers (2015) bod yn bwysig bod dysgwyr yn gwybod bod yna cosb i ymddygiad drwg. </w:t>
      </w:r>
      <w:r w:rsidR="00B77987">
        <w:t xml:space="preserve"> </w:t>
      </w:r>
      <w:r w:rsidR="0023183D" w:rsidRPr="0023183D">
        <w:t>O fy mhrofiad i gall hyn cynnwys symud disgybl i eistedd rhywle arall gan ei fod nhw’n effeithio ar y dysgwyr eraill, neu gall y dysgwyr colli ei amser chwarae. Wrth i mi gael profiad yn yr ystafell dosbarth rwyf wedi sylwi bod amser chwarae yn bwysig i’r dysgwyr ac felly oes ydyn nhw yn gwybod bod ymddygiad drwg yn arwain at golli amser chwarae mae yna llai o siawns ohonyn nhw ddim gwneud hyn eto.</w:t>
      </w:r>
      <w:r w:rsidR="0023183D">
        <w:t xml:space="preserve"> </w:t>
      </w:r>
      <w:r w:rsidRPr="006246FE">
        <w:t>Mae llawer o athrawon yn defnyddio ffordd o reoli ymddygiad fel siartiau ymddygiad</w:t>
      </w:r>
      <w:r w:rsidR="00623FA1">
        <w:t>.</w:t>
      </w:r>
      <w:r w:rsidR="002C1653">
        <w:t xml:space="preserve"> </w:t>
      </w:r>
      <w:r w:rsidRPr="006246FE">
        <w:t xml:space="preserve">Yn ôl Beaman, Wheldall a Kemp (2016) mae rhai athrawon yn meddwl bod strategaethau rheoli ymddygiad yn cymryd amser i’w wneud. Rwy’n anghytuno a hyn oherwydd nid yw strategaethau syml fel siartiau ymddygiad yn cymryd amser ac maen nhw i’w weld i weithio. Yn ôl Homer, Hew a Tan (2018) mae siartiau ymddygiad wedi ei weld i wella ymddygiad dysgwyr yn yr ystafell dosbarth, sydd hefyd wedi gwella dysgu’r dysgwyr. Noda Hart (2010) mae siartiau ymddygiad yn ffordd dda o fonitro ymddygiad. Cytuna Drew (2018) a hyn a dywed bod siartiau ymddygiad hefyd yn helpu i gynnal rheolaeth dros y dosbarth. Rwy’n cytuno â hyn oherwydd pryd bynnag rydw i yn sôn am roi pwynt ar siart ymddygiad disgybl maen nhw’n tueddu i ddim ymddwyn yn ddrwg. Ar y llaw arall mae monitro ymddygiad disgyblion sydd yn weledol i’r dosbarth i gyd yn gallu effeithio ar hunan-barch y dysgwyr sydd yn ymddwyn yn ddrwg (Sedova a Salamounova, 2016). Yn fy marn i rwy’n credu bydd hyn yn beth dda, gan fydd y dysgwyr yna yn sylweddoli bod angen iddyn nhw ymddwyn yn dda er mwyn cael eu gwobrwyo. Creda Skinner (1974) bod pob ymddygiad yn ganlyniad o </w:t>
      </w:r>
      <w:r w:rsidRPr="006246FE">
        <w:lastRenderedPageBreak/>
        <w:t>brofiad. Datblygodd Skinner (1974) cyflyru gweithredol lle mae’r canlyniadau o ymateb yn canfod y tebygolrwydd ohono fe’n cael eu hail-adrodd. Mae atgyfnerthiad positif yn ymateb o’r ymddygiad sydd yn cael ei wobrwyo sydd yn arwain at yr ailadrodd o’r ymddygiad dymunol (Skinner, 1953). Gall yr atgyfnerthiad positif yma gweithio o fewn y dosbarth trwy ganmol y plant sydd yn dangos yr ymddygiad dymunol. Efallai bydd hyn yn arwain at ddysgwyr eraill yn dilyn yr ymddygiad dymunol yma.  Yn ôl Saeger (2017) mae pwyntiau Dojo</w:t>
      </w:r>
      <w:r w:rsidR="0011636D">
        <w:t xml:space="preserve"> (ClassDojo, 2022)</w:t>
      </w:r>
      <w:r w:rsidRPr="006246FE">
        <w:t xml:space="preserve"> yn ffordd effeithiol o gynyddu ymddygiadau positif a lleihau ymddygiadau negyddol. Mae </w:t>
      </w:r>
      <w:r w:rsidR="0011636D">
        <w:t>Class</w:t>
      </w:r>
      <w:r w:rsidRPr="006246FE">
        <w:t>Dojo</w:t>
      </w:r>
      <w:r w:rsidR="0011636D">
        <w:t xml:space="preserve"> (2022)</w:t>
      </w:r>
      <w:r w:rsidRPr="006246FE">
        <w:t xml:space="preserve"> yn ffordd o wobrwyo neu gosbi plant gyda phwyntiau, o fy mhrofiad i mae’r pwyntiau yma yn gweithio’n effeithiol oherwydd pan mae dysgwyr yn cael ei wobrwyo mae’r holl ddosbarth yn gallu gweld, sydd yn gwella ymddygiad nhw. Cytuna Buchanan (2013) â hyn a nodwyd bod y dysgwyr yn adnabod y synau sy’n cael ei chwarae pan mae dysgwyr yn cael pwyntiau, mae hyn wedyn yn gwella ymdrech y dysgwyr eraill wrth wneud gwaith. Er bod yna fanteision i ClassDojo</w:t>
      </w:r>
      <w:r w:rsidR="0011636D">
        <w:t xml:space="preserve"> (2022)</w:t>
      </w:r>
      <w:r w:rsidRPr="006246FE">
        <w:t xml:space="preserve"> mae’n gallu fod yn broblemus os mae’n cael ei ddefnyddio ar y bwrdd i bawb gweld gan fydd rhai dysgwyr yn dechrau cymharu pwyntiau (Bahceci, 2019). O fy mhrofiad i yn ddosbarth sydd yn defnyddio strategaethau tebyg, nid yw dysgwyr yn cymharu pwyntiau. Er hyn mae’n dibynnu ar y dysgwyr sydd yn y dosbarth. Mae’r holl ymchwil yma wedi arwain at greu fy nghwestiwn ymchwil sef sut mae ymddygiad yn effeithio ar ddealltwriaeth ieithyddol disgyblion cyfnod allweddol 2? Mae’r llenyddiaeth yma wedi dangos i mi fod yna amrywiaeth o ddysgwyr efo gwahanol ymddygiadau ym mhob dosbarth. Mae yna lawer o strategaethau sydd yn gallu helpu gyda’r ymddygiadau yma fel ffocysu ar ganmol y pethau positif. Mae hefyd wedi dangos i mi fod llawer o athrawon yn defnyddio amrywiaeth o ffurfiau o reoli ymddygiad, fel siart ymddygiad a phwyntiau dojo. Rwy’n credu bod y ddwy o rain yn ffordd effeithiol o gael y dysgwyr i fod yn synhwyrol efo e</w:t>
      </w:r>
      <w:r w:rsidR="00B77987">
        <w:t>u</w:t>
      </w:r>
      <w:r w:rsidRPr="006246FE">
        <w:t xml:space="preserve"> ymddygiadau. Byddaf yn ceisio darganfod os ydy ymddygiad yn effeithio ar ddealltwriaeth ieithyddol dysgwyr trwy ddefnyddio siart ymddygiad o fewn y dosbarth wrth gynnal astudiaeth wers.</w:t>
      </w:r>
    </w:p>
    <w:p w14:paraId="495002DC" w14:textId="1D8A955B" w:rsidR="00AE472F" w:rsidRDefault="00AE472F" w:rsidP="00652935">
      <w:pPr>
        <w:spacing w:line="360" w:lineRule="auto"/>
        <w:jc w:val="both"/>
      </w:pPr>
    </w:p>
    <w:p w14:paraId="390C1947" w14:textId="1695CDB3" w:rsidR="009E75AE" w:rsidRPr="00D57AAB" w:rsidRDefault="006246FE" w:rsidP="00652935">
      <w:pPr>
        <w:spacing w:line="360" w:lineRule="auto"/>
        <w:jc w:val="both"/>
      </w:pPr>
      <w:r w:rsidRPr="006246FE">
        <w:rPr>
          <w:rFonts w:cstheme="minorHAnsi"/>
        </w:rPr>
        <w:t xml:space="preserve">Mae astudiaeth gwers yn fath o ymchwil sy’n ffocysu ar y datblygiad a dealltwriaeth ymarfer athrawon (Dudley, 2011). Dechreuodd yn y 1870au yn Siapan, lle mae wedi gweld i gael cynnydd dysgwyr o fewn pynciau craidd (Willems a Bossche, 2019). Mae astudiaeth wers yn enghraifft o ddysgu trawsnewidiol. Dysgu trawsnewidiol yw’r ffordd o ddysgu gwybodaeth newydd trwy adfyfyrio’n feirniadol (Illeris, 2014). Mae astudiaethau gwers yn dechrau gyda grwpiau o athrawon yn cwrdd yn aml dros gyfnod o amser i weithio ar gynllunio’r wers, sydd </w:t>
      </w:r>
      <w:r w:rsidRPr="006246FE">
        <w:rPr>
          <w:rFonts w:cstheme="minorHAnsi"/>
        </w:rPr>
        <w:lastRenderedPageBreak/>
        <w:t xml:space="preserve">wedi’i ffocysu ar un gôl neu broblem (Khokhotva, 2018). Mae’r athrawon wedyn yn dysgu’r gwersi a gynlluniwyd tra bod y cydweithwyr yn arsylwi (Rock a Wilson, 2005). </w:t>
      </w:r>
      <w:r w:rsidR="00B77987" w:rsidRPr="00B77987">
        <w:rPr>
          <w:rFonts w:cstheme="minorHAnsi"/>
        </w:rPr>
        <w:t xml:space="preserve">Mae astudiaeth gwers hefyd yn cynnwys athrawon yn adfyfyrio ar y wers yma er mwyn weld os ydyn nhw wedi datrys yr her neu beidio, sy’n caniatáu i’r athrawon eraill i rannu syniadau ar sut i wella (Sato </w:t>
      </w:r>
      <w:r w:rsidR="00B77987" w:rsidRPr="00E45A6F">
        <w:rPr>
          <w:rFonts w:cstheme="minorHAnsi"/>
          <w:i/>
          <w:iCs/>
        </w:rPr>
        <w:t>et al</w:t>
      </w:r>
      <w:r w:rsidR="00B77987" w:rsidRPr="00B77987">
        <w:rPr>
          <w:rFonts w:cstheme="minorHAnsi"/>
        </w:rPr>
        <w:t xml:space="preserve">. 2020). Mae astudiaethau gwers wedi gweld i fuddio dysgwyr wrth wella dysgu (Cheung a Wong, 2014). Noda Bjuland a Mosvold (2015) ar hyn trwy ddweud bod yna 3 pwynt allweddol o fewn astudiaeth gwers sef dysgu, arsylwi a gwers ymchwil. Pwysleisia Bjuland a Mosvold (2015) taw dysgu yw’r rhan allweddol o fewn astudiaeth gwers. Trwy gydol yr astudiaeth mae athrawon yn adnabod y golau o ddysgu, cynllunio gwers sydd yn cyrraedd y gôl yma ac wedyn adfyfyrio ar sut aeth y wers. </w:t>
      </w:r>
      <w:r w:rsidR="0064785D" w:rsidRPr="0064785D">
        <w:rPr>
          <w:rFonts w:cstheme="minorHAnsi"/>
        </w:rPr>
        <w:t>Mae arsylwi hefyd yn rhan bwysig o’r astudiaeth gan fod hyn yn rhoi awgrym i’r athrawon sut mae’r dysgwyr yn dysgu ac os ydyn nhw’n deall y wers (Khokhotva, 2018). Mae gwers ymchwil yn un o’r pwyntiau allweddol gan fod yr astudiaeth gwers yn wers ymchwil. Mae’n wers er mwyn ymchwilio i mewn i heriau neu golau penodol (Dudley, 2011). Yn ystod yr astudiaeth mae athrawon yn tueddu i gynnal cyfweliad gyda rhai dysgwyr er mwyn darganfod eu barn nhw am y wers yn gyffredinol (Coenders a Verhoef, 2017). Mae rhai athrawon yn dewis y dysgwyr yma ar hap lle mae rhai yn dewis y dysgwyr o ran gallu. Byddaf yn cynnal cyfweliad ar ôl fy astudiaeth gwers lle byddaf yn dewis 3 dysgwr ar hap wrth ddefnyddio ffyn lolipop i gymryd rhan.</w:t>
      </w:r>
      <w:r w:rsidR="0064785D" w:rsidRPr="0064785D">
        <w:t xml:space="preserve"> </w:t>
      </w:r>
      <w:r w:rsidR="0064785D" w:rsidRPr="0064785D">
        <w:rPr>
          <w:rFonts w:cstheme="minorHAnsi"/>
        </w:rPr>
        <w:t>Byddaf yn dewis ar hap er mwyn ddim bod yn rhagfarnllyd ac i gael amrywiaeth o ddysgwyr i gymryd rhan. Yn ôl Rooney ac Evans (2019) mae dewis ar hap yn ffordd dda o gael amrywiaeth o ddysgwyr o fewn ymchwil. Noda Chassels a Melville (2009) bod pob cyfranogwr yn buddio o astudiaethau gwers, mae’r athrawon yn datblygu’n broffesiynol sydd wedyn yn arwain at ddatblygu ansawdd yr addysgu. Ar y llawr arall dywed Khokhotva (2018) bod yn anodd ei gael amser i gael adborth ac i gynnal y wers. Er hyn noda Chassels a Melville (2009) bod athrawon wedi nodi bod ganddyn nhw well dealltwriaeth am anghenion eu dysgwyr, y cwricwlwm a chydweithio gydag athrawon eraill</w:t>
      </w:r>
      <w:r w:rsidR="00073A3E">
        <w:rPr>
          <w:rFonts w:cstheme="minorHAnsi"/>
        </w:rPr>
        <w:t>.</w:t>
      </w:r>
      <w:r w:rsidR="001B0C2F">
        <w:rPr>
          <w:rFonts w:cstheme="minorHAnsi"/>
        </w:rPr>
        <w:t xml:space="preserve"> </w:t>
      </w:r>
      <w:r w:rsidR="0064785D" w:rsidRPr="0064785D">
        <w:rPr>
          <w:rFonts w:cstheme="minorHAnsi"/>
        </w:rPr>
        <w:t xml:space="preserve">Cytuna Gutierez (2015) â hyn a nodwyd fod astudiaeth gwers yn gwella cynllunio ac arsylwi athrawon. Yn ôl Nilvius (2020) mae angen i athrawon meddwl yn ofalus am y nod dysgu, cwestiynau a gweithgareddau i ddefnyddio o fewn eu hastudiaethau gwers. O ganlyniad i hyn mae gan athrawon llawer fwy o waith i’w wneud sydd yn arwain iddyn nhw i deimlo o dan bwysau (Lee, 2008). Cytuna Schipper </w:t>
      </w:r>
      <w:r w:rsidR="0064785D" w:rsidRPr="00491BBE">
        <w:rPr>
          <w:rFonts w:cstheme="minorHAnsi"/>
          <w:i/>
          <w:iCs/>
        </w:rPr>
        <w:t>et al</w:t>
      </w:r>
      <w:r w:rsidR="0064785D" w:rsidRPr="0064785D">
        <w:rPr>
          <w:rFonts w:cstheme="minorHAnsi"/>
        </w:rPr>
        <w:t xml:space="preserve">.(2018) â hyn a nodwyd bod astudiaethau gwers yn gallu bod yn effeithiol os dydy athrawon ddim yn cael gormod o waith.  Yn ystod yr astudiaeth gwers bydd 3 rhan sef arsylwad, cyfweliad grŵp a </w:t>
      </w:r>
      <w:r w:rsidR="0064785D" w:rsidRPr="0064785D">
        <w:rPr>
          <w:rFonts w:cstheme="minorHAnsi"/>
        </w:rPr>
        <w:lastRenderedPageBreak/>
        <w:t>myfyrio. Yn ystod y rhan arsylwi byddaf yn arsylwi ar 3 disgybl o fewn y dosbarth yn ystod y wers. Bydd hyn yn rhoi siawns i mi i weld sut maen nhw’n ymateb i gynnwys y wers ac i weld sut mae ymddygiad nhw yn amrywio trwy gydol y wers. Yn ystod y wers byddaf yn defnyddio siart ymddygiad, bydd unrhyw un sydd yn dangos ymddygiad negyddol lle bydd angen i mi dalu sylw iddyn nhw yn derbyn pwynt ar y siart. Ar y siart ymddygiad byddaf yn defnyddio o fewn y dosbarth, mae dim ond am ymddygiad negyddol ac nid cadarnhaol. O ganlyniad i hyn rwyf yn mynd i ddefnyddio J2stars wrth ochr y siart ymddygiad er mwyn wella ymddygiad dysgwyr. Ar gyfer y rhan yma o’r astudiaeth gwers rwyf wedi creu taflen arsylwi lle byddaf yn gallu arsylwi ymddygiad y 3 disgybl rwyf wedi dewis. Dewisais gadw’r daflen arsylwi yn syml fel bod dim ond angen i mi roi ticiau yn y blychau priodol (gweler y daflen yn atodiad</w:t>
      </w:r>
      <w:r w:rsidR="00CF435F">
        <w:rPr>
          <w:rFonts w:cstheme="minorHAnsi"/>
        </w:rPr>
        <w:t xml:space="preserve"> 3</w:t>
      </w:r>
      <w:r w:rsidR="0064785D" w:rsidRPr="0064785D">
        <w:rPr>
          <w:rFonts w:cstheme="minorHAnsi"/>
        </w:rPr>
        <w:t>). Yn ôl Lasagabaster a Sierra (2011) mae arsylwi yn gwella addysgu athrawon trwy ganiatáu iddyn nhw i weld os ydy’r dysgwyr yn deall y wers. Rwy’n teimlo y gall hyn arwain at athrawon datblygu’n broffesiynol wrth addasu eu haddysgu nhw i wella dysgu’r dysgwyr. Bydd y wers yma yn cael eu recordio gan fydd angen i mi wylio’r recordiad er mwyn adfyfyrio. Efallai bydd hyn yn effeithio ar ymddygiad y dysgwyr o fewn y dosbarth, gan fydden nhw’n gweld bod y wers yn cael ei recordio ac efallai bydden nhw yn ymddwyn yn well na fydden nhw yn fel arfer.</w:t>
      </w:r>
      <w:r w:rsidR="0064785D">
        <w:rPr>
          <w:rFonts w:cstheme="minorHAnsi"/>
        </w:rPr>
        <w:t xml:space="preserve"> </w:t>
      </w:r>
      <w:r w:rsidR="0064785D" w:rsidRPr="0064785D">
        <w:rPr>
          <w:rFonts w:cstheme="minorHAnsi"/>
        </w:rPr>
        <w:t>Ar ôl i mi arsylwi’r dysgwyr o fewn y dosbarth byddaf yn cynnal cyfweliad grŵp gyda’r 3 disgybl. Byddaf yn cynnal cyfweliad lled-strwythuredig gyda’r 3 disgybl. Mae cyfweliad lled-strwythuredig yn cynnwys y cyfwelydd yn gofyn rhai cwestiynau sydd wedi cael ei pharatoi a rhai sydd heb (Oplatka, 2018). Yn fy marn i mae hyn yn ffordd dda o gyfweld gan fod rhyddid gan y cyfwelydd i ofyn cwestiynau ychwanegol o’r wybodaeth sydd yn codi. Yn ôl Lewis (1992) mae cyfweliadau grŵp yn effeithiol oherwydd maent yn cynhyrchu ymatebion eang gan fod y dysgwyr yn gallu herio barnau ei gilydd. Cytuna Brown a Danaher (2017) a hyn a nodwyd bod nhw’n teimlo fod cyfweliadau lled-strwythuredig yn effeithiol wrth gasglu gwybodaeth.</w:t>
      </w:r>
      <w:r w:rsidR="0064785D">
        <w:rPr>
          <w:rFonts w:cstheme="minorHAnsi"/>
        </w:rPr>
        <w:t xml:space="preserve"> </w:t>
      </w:r>
      <w:r w:rsidR="00576A7A" w:rsidRPr="00576A7A">
        <w:rPr>
          <w:rFonts w:cstheme="minorHAnsi"/>
        </w:rPr>
        <w:t xml:space="preserve">Er hyn noda Heary a Hennessy (2006) gall yna fod ymgeisydd sydd yn </w:t>
      </w:r>
      <w:r w:rsidR="00576A7A">
        <w:rPr>
          <w:rFonts w:cstheme="minorHAnsi"/>
        </w:rPr>
        <w:t>torri ar draws pawb arall sy’n ateb</w:t>
      </w:r>
      <w:r w:rsidR="00576A7A" w:rsidRPr="00576A7A">
        <w:rPr>
          <w:rFonts w:cstheme="minorHAnsi"/>
        </w:rPr>
        <w:t>. Cytuna Adams (2015) a hyn a nodwyd hefyd gall cyfweliadau cymryd lan llawer o amser. Yn ystod y rhan myfyrio byddaf yn edrych yn ôl ar y recordiad o’r wers a myfyrio ar fy hunain. Er mwyn gwneud hyn byddaf yn defnyddio adlewyrchiad Kolb (1976) sydd yn cynnwys 4 rhan sef profiad diriaethol, arsylwad adfyfyriol, cysyniadoli haniaethol ac arbrofi gweithredol</w:t>
      </w:r>
      <w:r w:rsidR="001E23E4">
        <w:rPr>
          <w:rFonts w:cstheme="minorHAnsi"/>
        </w:rPr>
        <w:t xml:space="preserve"> (gweler y daflen yn atodiad 4)</w:t>
      </w:r>
      <w:r w:rsidR="00576A7A" w:rsidRPr="00576A7A">
        <w:rPr>
          <w:rFonts w:cstheme="minorHAnsi"/>
        </w:rPr>
        <w:t>. Yn ystod y profiad diriaethol byddaf yn sôn am y profiad newydd rwyf wedi dod ar draws, yn y sefyllfa yma astudiaeth gwers. Yn yr ail ran byddaf yn adfyfyrio ar y profiad, sef y wers rwyf yn addysgu.</w:t>
      </w:r>
      <w:r w:rsidR="00576A7A">
        <w:rPr>
          <w:rFonts w:cstheme="minorHAnsi"/>
        </w:rPr>
        <w:t xml:space="preserve"> </w:t>
      </w:r>
      <w:r w:rsidR="00576A7A" w:rsidRPr="00576A7A">
        <w:rPr>
          <w:rFonts w:cstheme="minorHAnsi"/>
        </w:rPr>
        <w:t xml:space="preserve">Byddaf wedyn yn ysgrifennu beth </w:t>
      </w:r>
      <w:r w:rsidR="00576A7A" w:rsidRPr="00576A7A">
        <w:rPr>
          <w:rFonts w:cstheme="minorHAnsi"/>
        </w:rPr>
        <w:lastRenderedPageBreak/>
        <w:t>rwyf wedi dysgu yn ystod y drydedd rhan. Ac yn ystod y rhan olaf byddaf yn cynllunio am yr hyn rwyf wedi dysgu, bydd hyn yn caniatáu i mi wella fy addysgu er mwyn buddio’r dysgwyr o fewn y dosbarth. Noda Turesky a Gallagher (2011) fod adfyfyrio Kolb (1976) yn pwysleisio’r faith bod angen i adfyfyrio cynnwys beth rydych wedi dysgu ac nid dim ond beth aeth yn wael</w:t>
      </w:r>
      <w:r w:rsidR="001E23E4">
        <w:rPr>
          <w:rFonts w:cstheme="minorHAnsi"/>
        </w:rPr>
        <w:t xml:space="preserve"> neu’n </w:t>
      </w:r>
      <w:r w:rsidR="00576A7A" w:rsidRPr="00576A7A">
        <w:rPr>
          <w:rFonts w:cstheme="minorHAnsi"/>
        </w:rPr>
        <w:t>dda. Cytuna Rinekso (2021) a nodwyd bod yn ffordd weledol ac effeithiol o ddangos y 4 cam o feth sydd angen mewn adfyfyriad, sef fel rydych chi yn mynd i newid eich addysgu am y gorau.</w:t>
      </w:r>
    </w:p>
    <w:p w14:paraId="00FB4A90" w14:textId="4B31561C" w:rsidR="001369F8" w:rsidRDefault="001369F8" w:rsidP="00652935">
      <w:pPr>
        <w:spacing w:line="360" w:lineRule="auto"/>
        <w:jc w:val="both"/>
      </w:pPr>
    </w:p>
    <w:p w14:paraId="3EC15420" w14:textId="3567C411" w:rsidR="00D970BD" w:rsidRDefault="00576A7A" w:rsidP="00652935">
      <w:pPr>
        <w:spacing w:line="360" w:lineRule="auto"/>
        <w:jc w:val="both"/>
      </w:pPr>
      <w:r w:rsidRPr="00576A7A">
        <w:t>Cyn cynnal yr ymchwil yma bydd angen i mi ystyried ystyriaethau moesegol sydd yn gysylltiedig efo ymchwil. Noda Flewitt (2019) bod yn bwysig i ddilyn canllawiau moeseg er mwyn i mi amddiffyn hawliau a lles y cyfranogwyr sydd yn cymryd rhan yn fy ymchwil. Rwyf wedi llenwi mewn ffurflen foeseg (gweler yn atodiad</w:t>
      </w:r>
      <w:r w:rsidR="00F63C0B">
        <w:t xml:space="preserve"> 1</w:t>
      </w:r>
      <w:r w:rsidRPr="00576A7A">
        <w:t>) sydd yn nodi pob cam byddaf yn gwneud yn ystod yr astudiaeth yma. Ar ôl i mi ddewis y 3 disgybl ar hap byddaf wedyn yn gofyn iddyn nhw oes maen nhw angen fod yn rhan o’r ymchwil. Oes dydyn nhw ddim eisiau byddaf yn dewis disgybl arall. Mae angen i ymchwilwyr derbyn cydsyniad gwybodus wrth gyfranogwyr dynol er mwyn iddyn nhw allu cyfrannu mewn ymchwil yn wirfoddol gyda’r holl wybodaeth am beth mae’n meddwl i gymryd rhan (Felzmann, 2019).</w:t>
      </w:r>
      <w:r>
        <w:t xml:space="preserve"> </w:t>
      </w:r>
      <w:r w:rsidRPr="00576A7A">
        <w:t>Dyweda BERA (2018) fod yn bwysig iawn bod rhieni a dysgwyr yn gwybod beth maen nhw’n cydsynio i gyn iddyn nhw bod yn rhan o ymchwil. Oherwydd fy mod i’n cynnal ymchwil gyda phlant fydd angen i mi gael caniatâd rhieni’r disgyblion rwy’n bwriadu cyfweld â gan ei fod nhw’n rhy ifanc i roi cydsyniad llawn i mi. Byddaf yn gwneud hyn trwy ysgrifennu llythyr i’r rhieni er mwyn iddyn nhw arwyddo i roi cydsyniad i'w phlentyn neu beidio (Gweler copi yn atodiad</w:t>
      </w:r>
      <w:r w:rsidR="00F63C0B">
        <w:t xml:space="preserve"> 2</w:t>
      </w:r>
      <w:r w:rsidRPr="00576A7A">
        <w:t>).  Bydd y llythyr yn cynnwys yr holl wybodaeth am yr ymchwil bydd eu plentyn mewn a sut bydd canlyniadau’r ymchwil yma yn cael eu dangos. Byddaf yn gwneud yn siŵr bod gan bob disgybl yn y dosbarth yr hawl gan eu rhieni i fod mewn fideo, gan fy mod angen i mi i recordio fideo o’r wers er mwyn i mi allu arsylwi ac adfyfyrio.</w:t>
      </w:r>
      <w:r>
        <w:t xml:space="preserve"> </w:t>
      </w:r>
      <w:r w:rsidRPr="00576A7A">
        <w:t xml:space="preserve">Oes dydy disgybl ddim yn cael yr hawl i fod yn y fideo byddaf yn wneud yn siŵr fy mod i’n troi’r camera fel bod nhw ddim yn y fideo. O fewn ymchwil maen pwysig i wneud yn siŵr bod gan yr ymchwilydd cydsyniad parhaus wrth y cyfranogwyr (BERA.,2018). Gall hyn cael ei roi mewn llawer o wahanol ffyrdd fel wynebau hapus neu drist. Mae’n bwysig bod y cyfranogwyr hefyd yn gwybod bod nhw’n gallu tynnu allan o’r ymchwil os maen nhw eisiau (Flewitt, 2019). Noda Blackburn (2015) bod yn bwysig i ystyried nid dim </w:t>
      </w:r>
      <w:r w:rsidRPr="00576A7A">
        <w:lastRenderedPageBreak/>
        <w:t xml:space="preserve">ond oedran y disgybl sydd yn dibynnu ar ei allu nhw i roi cydsyniad ond hefyd ar ei lefel nhw o ddealltwriaeth.  </w:t>
      </w:r>
    </w:p>
    <w:p w14:paraId="3D9AB778" w14:textId="77777777" w:rsidR="00D970BD" w:rsidRDefault="00D970BD" w:rsidP="00652935">
      <w:pPr>
        <w:spacing w:line="360" w:lineRule="auto"/>
        <w:jc w:val="both"/>
      </w:pPr>
    </w:p>
    <w:p w14:paraId="51FADF99" w14:textId="3663B2DB" w:rsidR="00802828" w:rsidRDefault="00565B23" w:rsidP="00652935">
      <w:pPr>
        <w:spacing w:line="360" w:lineRule="auto"/>
        <w:jc w:val="both"/>
      </w:pPr>
      <w:r w:rsidRPr="00565B23">
        <w:t>Ar ddechrau’r cylch astudiaeth wers roedd angen i mi gynllunio gwers a fydd yn fy helpu i fonitro ymddygiad y dysgwyr. Felly dewisais addysgu wers mynegi barn i ddysgwyr blwyddyn 5 lle ddangosais pwynt-pwer iddyn nhw efo esboniad o, o blaid ac yn erbyn. Roedd rhieni’r 3 disgybl roeddwn i wedi dewis ar hap wedi cytuno i roi cydsyniad i mi, fel bod y dysgwyr yn gallu cymryd rhan yn yr ymchwil.  Bwriad y wers oedd cael y dysgwyr i ddweud os oedden nhw o blaid neu yn erbyn y gosodiadau a dweud eu rhesymau pam. Yn ystod y wers roeddwn i’n cael fy recordio er mwyn i mi fyfyrio nes ymlaen yn y dydd. Roedd hyn yn wers trafod ac felly roedd angen i mi gadw rheolaeth dros y dosbarth yn aml trwy ddal eu sylw. Yn ystod y wers roeddwn i’n cadw llygaid ar y 3 disgybl dewisais i arsylwi.</w:t>
      </w:r>
      <w:r>
        <w:t xml:space="preserve"> </w:t>
      </w:r>
      <w:r w:rsidRPr="00565B23">
        <w:t>Cofnodais i sylwadau i lawr er mwyn i mi lenwi’r ffurflen arsylwi. Defnyddiais i’r siart ymddygiad yn ystod y wers i ddal sylw’r dysgwyr a rhybuddio nhw. Mi wnaeth y mwyafrif o ddysgwyr o fewn y dosbarth cyfan ymddwyn yn fendigedig yn ystod y wers. Ac o fewn y 3 disgybl dewisais i ar hap roedd disgybl A a C wedi ymddwyn yn dda, lle'r oedd angen i mi roi rhybudd i ddisgybl B ar ei ymddygiad. Roedd hyn wedi achosi i’r disgybl yma symud i’r cam rhybudd ar y siart ymddygiad. Yn ystod y wers mi wnaeth pob disgybl deall y dasg, gwnes i siŵr o hyn trwy ofyn i bob disgybl os oedden nhw’n hapus ac yn deall beth oedd o blaid ac yn erbyn. Erbyn diwedd y wers yma roedd yn amlwg bod y dysgwyr yn deall y gwahaniaeth rhwng o blaid ac yn erbyn.</w:t>
      </w:r>
      <w:r>
        <w:t xml:space="preserve"> </w:t>
      </w:r>
      <w:r w:rsidRPr="00565B23">
        <w:t>Yn ystod y wers roedd yr arsylwi wedi dangos i mi os oedd y dysgwyr yn deall y wers. Os oeddwn i’n gallu gweld nid oedd dysgwr yn deall, mi wnes i egluro mewn ffordd wahanol i’w weld os oedden nhw’n deall yn well. Mae wedi dangos i mi fod yn fuddiol i arsylwi pan mae amser achos rydych yn dysgu llawer am y dysgwyr. O ganlyniad i’r astudiaeth wers rwyf wedi dysgu fod yn bwysig i adfyfyrio ar fy ngwersi yn fanwl, fel fy mod i’n gallu gwella fy nysgu. Mae’n ffordd dda o weld beth ddim aeth yn dda a beth aeth yn dda fel fy mod i’n gallu gwella am y tro nesaf. Ar ôl i’r wers orffen roeddwn i wedi cynnal cyfweliad gyda’r 3 dysgwyr dewisais ar hap.</w:t>
      </w:r>
      <w:r w:rsidR="00F61532">
        <w:t xml:space="preserve"> </w:t>
      </w:r>
      <w:r w:rsidRPr="00565B23">
        <w:t>Yn ystod y cyfweliad (</w:t>
      </w:r>
      <w:r w:rsidR="00F61532">
        <w:t xml:space="preserve">gweler </w:t>
      </w:r>
      <w:r w:rsidRPr="00565B23">
        <w:t>trawsgrifiad o’r cyfweliad yn atodiad</w:t>
      </w:r>
      <w:r w:rsidR="00F61532">
        <w:t xml:space="preserve"> 5</w:t>
      </w:r>
      <w:r w:rsidRPr="00565B23">
        <w:t>) roedd yn amlwg i mi o ymatebion y dysgwyr bod nhw wedi deall cynnwys y wers o blaid ac yn erbyn. Eglurodd disgybl B i mi, doedden nhw ddim yn deall ar y dechrau, oherwydd doedden nhw ddim yn canolbwyntio, ond ar ôl i mi egluro iddyn nhw roedd y disgybl yn deall. Roedd y dysgwyr hefyd yn cytuno bod siart ymddygiad yn gwella eu hymddygiad nhw.</w:t>
      </w:r>
      <w:r>
        <w:t xml:space="preserve"> </w:t>
      </w:r>
      <w:r w:rsidRPr="00565B23">
        <w:t xml:space="preserve">Roedden nhw wedi dweud bod </w:t>
      </w:r>
      <w:r w:rsidRPr="00565B23">
        <w:lastRenderedPageBreak/>
        <w:t>defnyddio’r siart yn wneud iddyn nhw ganolbwyntio’n fwy a siarad yn llai. Mae hyn yn dangos i mi fod siart ymddygiad yn gweithio’n effeithiol o fewn y dosbarth oherwydd mae’r dysgwyr yn tueddu i ganolbwyntio yn well ar eu gwaith oes ydy athro yn cyfeirio ato. Wrth i mi wylio’r fideo o’r wers yn ôl roeddwn i’n teimlo fy mod i wedi dysgu’r dysgwyr yn dda, er bod angen fwy o amser ar y dysgwyr i gwblhau’r dasg yn ystod y wers. Roedd gennyf i reolaeth dda dros y dosbarth ar y cyfan er bod rhai o’r dysgwyr yn siaradus iawn. I wella’r wers yma gallaf fod wedi defnyddio j2stars neu bwyntiau dojo yn ychwanegol i’r siart ymddygiad gan fod y siart yn y dosbarth dim ond am ymddygiad gwael ac nid ymddygiad da. Rwy’n credu oes byddaf yn defnyddio j2stars o fewn y wers hefyd i wobrwyo’r ymddygiad da gall hyn wella ymddygiad y dysgwyr.</w:t>
      </w:r>
    </w:p>
    <w:p w14:paraId="7A0D3E69" w14:textId="77777777" w:rsidR="00565B23" w:rsidRDefault="00565B23" w:rsidP="00652935">
      <w:pPr>
        <w:spacing w:line="360" w:lineRule="auto"/>
        <w:jc w:val="both"/>
      </w:pPr>
    </w:p>
    <w:p w14:paraId="42A698A1" w14:textId="7E63C2C0" w:rsidR="007B2D17" w:rsidRDefault="00E91C27" w:rsidP="00652935">
      <w:pPr>
        <w:spacing w:line="360" w:lineRule="auto"/>
        <w:jc w:val="both"/>
      </w:pPr>
      <w:r w:rsidRPr="00E91C27">
        <w:t xml:space="preserve">Rwyf wedi dysgu llawer o’r profiad yma ond y peth fwyaf yw sut mae adfyfyrio effeithiol yn gwella addysgu athrawon. Rwyf wedi sylwi ers gwneud yr astudiaeth wers fy mod i wedi gwella fel athrawes ac mae gennyf i fwy o reolaeth o fewn yr ystafell dosbarth. Rwyf wedi dysgu bod ymddygiad yn effeithio ar ddysgu a dealltwriaeth ieithyddol dysgwyr. Mae hyn yn cynnwys diffyg gwrando ac felly ddim yn gwybod beth i’w wneud am y dasg. Rwyf wedi darganfod bod siartiau ymddygiad yn gwella ymddygiad dysgwyr o fewn yr ystafell dosbarth am gyfnod o amser. Yn ystod yr astudiaeth wers yma rwyf wedi darganfod fod cynnal astudiaethau gwers yn effeithiol os oes digon o amser gyda chi. Mae’r profiad o gynnal astudiaeth gwers yn cymryd amser (Lee, 2008), ond er hyn mae yn effeithiol wrth ganiatáu i mi ddatblygu’n broffesiynol. Rwyf wedi datblygu trwy adfyfyrio ar fy addysgu fy hun sydd wedi gwneud i fi ddatblygu’n broffesiynol. Roeddwn i wedi sylwi bod y dysgwyr yn awyddus i drafod eu barn nhw am y wahanol osodiadau. Roedd yn dda i glywed bod gan bob disgybl safbwyntiau gwahanol a diddorol. Roedd y wers yma wedi caniatáu i mi wella fy hyder wrth reoli’r dysgwyr yn aml. O ganlyniad i’r astudiaeth yma byddaf yn parhau i ddefnyddio’r siart ymddygiad o fewn yr ystafell dosbarth. Rwy’n gobeithio oes byddaf yn parhau i ddefnyddio hyn yn aml o fewn y dosbarth bydd yn parhau i wella ymddygiad y dysgwyr yn ystod gwersi. Yn ystod fy amser sydd ar ôl ar brofiad addysgu byddaf hefyd yn ceisio defnyddio strategaethau arall er mwyn rheoli ymddygiad fel J2stars sydd yn cynnwys rhoi pwyntiau i ddisgyblion oes ydyn nhw’n gwrando’n dda neu yn gwneud gwaith da. </w:t>
      </w:r>
      <w:r w:rsidR="00D21BA7">
        <w:t xml:space="preserve">Rwy’n credu bydd hyn yn </w:t>
      </w:r>
      <w:r>
        <w:t>g</w:t>
      </w:r>
      <w:r w:rsidR="00D21BA7">
        <w:t>wella ymddygiad o fewn y dosbarth gan fydd y dysgwyr eraill eisiau derbyn pwyntiau hefyd</w:t>
      </w:r>
      <w:r>
        <w:t>.</w:t>
      </w:r>
    </w:p>
    <w:p w14:paraId="592806B0" w14:textId="77777777" w:rsidR="00AF2F0E" w:rsidRDefault="00AF2F0E" w:rsidP="00652935">
      <w:pPr>
        <w:spacing w:line="360" w:lineRule="auto"/>
        <w:jc w:val="both"/>
        <w:rPr>
          <w:rFonts w:cstheme="minorHAnsi"/>
        </w:rPr>
      </w:pPr>
    </w:p>
    <w:p w14:paraId="458DA2B7" w14:textId="6F957A5B" w:rsidR="00E037AE" w:rsidRDefault="00231481" w:rsidP="00652935">
      <w:pPr>
        <w:spacing w:line="360" w:lineRule="auto"/>
        <w:jc w:val="both"/>
        <w:rPr>
          <w:rFonts w:cstheme="minorHAnsi"/>
        </w:rPr>
      </w:pPr>
      <w:r w:rsidRPr="00231481">
        <w:rPr>
          <w:rFonts w:cstheme="minorHAnsi"/>
        </w:rPr>
        <w:t>Ar ôl cynnal ymchwil mae’n bwysig i werthuso oes ydy’r dulliau ymchwil yn ddibynadwy (Smith a Smith, 2018). Y dull cyntaf defnyddiais i oedd cyfweliad lled-strwythuredig. Rwy’n teimlo bod cyfweliadau yn gallu bod yn ddibynadwy yn dibynnu ar bwy rydych yn cyfweld â, a sut maent yn ateb cwestiynau. Yn y cyd-destun yma rwy’n teimlo fod y data yn ddibynadwy gan fod dysgwyr o fewn dosbarth sydd yn defnyddio siart ymddygiad, ac felly maen nhw’n gwybod sut mae’r siart ymddygiad yn wneud iddyn nhw ymddwyn. Er hyn dydy’r 3 disgybl yma ddim yn cyfri am yr holl ddysgwyr y byd, ac o ganlyniad i hyn mae’n bwysig i mi nodi taw barn y 3 disgybl oedd hyn.</w:t>
      </w:r>
      <w:r>
        <w:rPr>
          <w:rFonts w:cstheme="minorHAnsi"/>
        </w:rPr>
        <w:t xml:space="preserve"> </w:t>
      </w:r>
      <w:r w:rsidRPr="00231481">
        <w:rPr>
          <w:rFonts w:cstheme="minorHAnsi"/>
        </w:rPr>
        <w:t>Rwy’n credu bydd cynnwys fwy o ddysgwyr yn wneud yr ymchwil yma yn fwy dibynadwy. Y dull arall defnyddiais oedd y daflen arsylwi er mwyn arsylwi’r 3 disgybl. Rwy’n credu gall hyn fod yn fwy dibynadwy os oedd mwy o athrawon yn llenwi’r daflen mewn hefyd. Oherwydd yn y sefyllfa yma roeddwn i’n edrych ar ymddygiad y dysgwyr ac efallai bydd wahanol athrawon yn sylwi ar rywbeth doeddwn i ddim wedi. Roedd yr astudiaeth wers yma wedi cysylltu â rhai o’r safonau proffesiynol (Llywodraeth Cymru, 2017). Y safon gyntaf rwyf wedi cyrraedd wrth wneud y profiad yma yw dysgu proffesiynol parhaus, rwy’n teimlo fy mod i wedi cyrraedd y safon yma gan roedd y profiad yma wedi caniatáu i mi i ddatblygu’n broffesiynol wrth i mi gael siawns i gynnal ymchwil i’w wneud â gwella ymddygiad o fewn y dosbarth. Yr ail safon yw datblygu techneg newydd, rwy’n credu  fy mod i wedi cyrraedd y safon yma oherwydd bod astudiaeth wers yn dechneg newydd i mi. Roeddwn i wedi cyrraedd y safon yma gan roedd angen i mi arsylwi dysgwyr a chynnal cyfweliad gyda dysgwyr. Roedd y rhain yn dechnegau newydd i mi ac o ganlyniadau i hyn rwyf wedi dysgu a datblygu strategaethau newydd. Oes oedden i’n wneud astudiaeth wers ar ymddygiad eto byddaf yn newid y wers roeddwn i’n dysgu’r dysgwyr, oherwydd rwy’n credu bydd e’n dda i mi weld sut mae ymddygiad yn effeithio ar ddealltwriaeth mathemateg dysgwyr, yn lle canolbwyntio ar ddim ond iaith. Rwy’n teimlo bydd hyn yn ychwanegu at fy ymchwil trwy roi syniad i mi ar oes ydy dysgwyr yn ymddwyn a chanolbwyntio’n well mewn gwersi eraill.</w:t>
      </w:r>
    </w:p>
    <w:p w14:paraId="5483EEE4" w14:textId="77777777" w:rsidR="00AF2F0E" w:rsidRPr="007B2D17" w:rsidRDefault="00AF2F0E" w:rsidP="00652935">
      <w:pPr>
        <w:spacing w:line="360" w:lineRule="auto"/>
        <w:jc w:val="both"/>
      </w:pPr>
    </w:p>
    <w:p w14:paraId="5FF9BD6A" w14:textId="646B1FB7" w:rsidR="00C4559D" w:rsidRDefault="00231481" w:rsidP="00652935">
      <w:pPr>
        <w:spacing w:line="360" w:lineRule="auto"/>
        <w:jc w:val="both"/>
      </w:pPr>
      <w:r w:rsidRPr="00231481">
        <w:t xml:space="preserve">Yn ystod yr aseiniad yma rwyf wedi archwilio i mewn i lawer o wybodaeth i’w wneud ag astudiaeth wers ac ymddygiad. Rwyf wedi cael cyfle i arbrofi gyda rhai o’r strategaethau rheoli ymddygiad rwyf wedi ymchwilio mewn i yn ystod yr aseiniad. Rwyf yn teimlo fod hyn wedi buddio mi wrth roi profiadau a strategaethau newydd i mi i ddefnyddio yn yr ystafell dosbarth. </w:t>
      </w:r>
      <w:r w:rsidRPr="00231481">
        <w:lastRenderedPageBreak/>
        <w:t>Pe bawn i’n gwneud ymchwil astudiaeth wers eto byddwn yn canolbwyntio ar sut mae agweddau o asesu ar gyfer dysgu yn gwella dysgu dysgwyr? Rwy’n credu bydd hyn yn gwestiwn ymchwil diddorol i ymchwilio mewn i, oherwydd byddai’n gallu edrych mewn i fel mae pob strategaeth yn cymharu gyda’i gilydd i’w weld pa un sy’n well i wella dysgu dysgwyr. Yn symud ymlaen o’r ymchwil yma, byddaf yn defnyddio’r holl wybodaeth rwyf wedi dysgu yn ystod yr aseiniad yma i wella ymddygiad dysgwyr o fewn y dosbarth.</w:t>
      </w:r>
    </w:p>
    <w:p w14:paraId="76DD1B54" w14:textId="77777777" w:rsidR="00C4559D" w:rsidRDefault="00C4559D" w:rsidP="00A22D75">
      <w:pPr>
        <w:spacing w:line="360" w:lineRule="auto"/>
      </w:pPr>
    </w:p>
    <w:p w14:paraId="3DC0B1B5" w14:textId="246E3B22" w:rsidR="00802828" w:rsidRDefault="00802828" w:rsidP="00A22D75">
      <w:pPr>
        <w:spacing w:line="360" w:lineRule="auto"/>
      </w:pPr>
    </w:p>
    <w:p w14:paraId="33DF3AAE" w14:textId="15DAE8F3" w:rsidR="00802828" w:rsidRDefault="00802828" w:rsidP="00A22D75">
      <w:pPr>
        <w:spacing w:line="360" w:lineRule="auto"/>
      </w:pPr>
    </w:p>
    <w:p w14:paraId="0A276D8D" w14:textId="77777777" w:rsidR="00802828" w:rsidRDefault="00802828" w:rsidP="00A22D75">
      <w:pPr>
        <w:spacing w:line="360" w:lineRule="auto"/>
      </w:pPr>
    </w:p>
    <w:p w14:paraId="11589A17" w14:textId="0F1C0F25" w:rsidR="005C663D" w:rsidRDefault="005C663D"/>
    <w:p w14:paraId="427DA70D" w14:textId="697E88CB" w:rsidR="005C663D" w:rsidRDefault="005C663D"/>
    <w:p w14:paraId="3652C33E" w14:textId="2018DFCB" w:rsidR="005C663D" w:rsidRDefault="005C663D"/>
    <w:p w14:paraId="754E200C" w14:textId="436822BF" w:rsidR="005C663D" w:rsidRDefault="005C663D"/>
    <w:p w14:paraId="0D09C837" w14:textId="4B52A837" w:rsidR="001369F8" w:rsidRDefault="001369F8"/>
    <w:p w14:paraId="3D0C35B3" w14:textId="1874E733" w:rsidR="001369F8" w:rsidRDefault="001369F8"/>
    <w:p w14:paraId="57D65AD4" w14:textId="556765E9" w:rsidR="001369F8" w:rsidRDefault="001369F8"/>
    <w:p w14:paraId="7ABD6EE3" w14:textId="5053F319" w:rsidR="001369F8" w:rsidRDefault="001369F8"/>
    <w:p w14:paraId="3FA1F101" w14:textId="42A794EC" w:rsidR="001369F8" w:rsidRDefault="001369F8"/>
    <w:p w14:paraId="3208E83E" w14:textId="1AC26971" w:rsidR="001369F8" w:rsidRDefault="001369F8"/>
    <w:p w14:paraId="2F53E281" w14:textId="40252928" w:rsidR="001369F8" w:rsidRDefault="001369F8"/>
    <w:p w14:paraId="6CA8C982" w14:textId="2247623C" w:rsidR="001369F8" w:rsidRDefault="001369F8"/>
    <w:p w14:paraId="279061C1" w14:textId="6902E74D" w:rsidR="001369F8" w:rsidRDefault="001369F8"/>
    <w:p w14:paraId="2F706C09" w14:textId="06ED60CD" w:rsidR="001369F8" w:rsidRDefault="001369F8"/>
    <w:p w14:paraId="5BA74F8B" w14:textId="3CA374BE" w:rsidR="001369F8" w:rsidRDefault="001369F8"/>
    <w:p w14:paraId="65C2706B" w14:textId="6F5F9914" w:rsidR="001369F8" w:rsidRDefault="001369F8"/>
    <w:p w14:paraId="418076CC" w14:textId="140E5A45" w:rsidR="001369F8" w:rsidRDefault="001369F8"/>
    <w:p w14:paraId="05A9D007" w14:textId="5E9E5C0B" w:rsidR="0033008F" w:rsidRDefault="0033008F"/>
    <w:p w14:paraId="7C3DFCBA" w14:textId="71157549" w:rsidR="0033008F" w:rsidRDefault="0033008F"/>
    <w:p w14:paraId="5F416C53" w14:textId="6BE5A143" w:rsidR="0033008F" w:rsidRDefault="0033008F"/>
    <w:p w14:paraId="636883DE" w14:textId="3B97D7A8" w:rsidR="0033008F" w:rsidRDefault="0033008F"/>
    <w:p w14:paraId="4B39131C" w14:textId="679EF329" w:rsidR="0033008F" w:rsidRDefault="0033008F"/>
    <w:p w14:paraId="57E34B80" w14:textId="45D46503" w:rsidR="0033008F" w:rsidRDefault="0033008F"/>
    <w:p w14:paraId="0033F312" w14:textId="640097E2" w:rsidR="0033008F" w:rsidRDefault="0033008F"/>
    <w:p w14:paraId="05CFA89A" w14:textId="0A83C23D" w:rsidR="0033008F" w:rsidRDefault="0033008F"/>
    <w:p w14:paraId="7BBF4AAA" w14:textId="74A057E9" w:rsidR="0033008F" w:rsidRDefault="0033008F"/>
    <w:p w14:paraId="46598519" w14:textId="7353E8DF" w:rsidR="0033008F" w:rsidRDefault="0033008F"/>
    <w:p w14:paraId="02C758C5" w14:textId="77777777" w:rsidR="00652935" w:rsidRDefault="00652935">
      <w:pPr>
        <w:rPr>
          <w:u w:val="single"/>
        </w:rPr>
      </w:pPr>
    </w:p>
    <w:p w14:paraId="3FADAC4D" w14:textId="77777777" w:rsidR="00652935" w:rsidRDefault="00652935">
      <w:pPr>
        <w:rPr>
          <w:u w:val="single"/>
        </w:rPr>
      </w:pPr>
    </w:p>
    <w:p w14:paraId="1CA4C527" w14:textId="77777777" w:rsidR="00652935" w:rsidRDefault="00652935">
      <w:pPr>
        <w:rPr>
          <w:u w:val="single"/>
        </w:rPr>
      </w:pPr>
    </w:p>
    <w:p w14:paraId="4FBB32F5" w14:textId="77777777" w:rsidR="00652935" w:rsidRDefault="00652935">
      <w:pPr>
        <w:rPr>
          <w:u w:val="single"/>
        </w:rPr>
      </w:pPr>
    </w:p>
    <w:p w14:paraId="742AB9DC" w14:textId="77777777" w:rsidR="00652935" w:rsidRDefault="00652935">
      <w:pPr>
        <w:rPr>
          <w:u w:val="single"/>
        </w:rPr>
      </w:pPr>
    </w:p>
    <w:p w14:paraId="03E1D9D8" w14:textId="468AC9DC" w:rsidR="0033008F" w:rsidRPr="00F774F6" w:rsidRDefault="0033008F">
      <w:pPr>
        <w:rPr>
          <w:u w:val="single"/>
        </w:rPr>
      </w:pPr>
      <w:r w:rsidRPr="00F774F6">
        <w:rPr>
          <w:u w:val="single"/>
        </w:rPr>
        <w:lastRenderedPageBreak/>
        <w:t>Cyfeirnodau</w:t>
      </w:r>
    </w:p>
    <w:p w14:paraId="031735E7" w14:textId="77777777" w:rsidR="0011636D" w:rsidRDefault="0011636D" w:rsidP="00A22D75">
      <w:pPr>
        <w:spacing w:line="360" w:lineRule="auto"/>
        <w:rPr>
          <w:rFonts w:cstheme="minorHAnsi"/>
        </w:rPr>
      </w:pPr>
    </w:p>
    <w:p w14:paraId="2C7B8F19" w14:textId="2D83D961" w:rsidR="0011636D" w:rsidRDefault="0011636D" w:rsidP="00B564D0">
      <w:pPr>
        <w:spacing w:line="360" w:lineRule="auto"/>
        <w:rPr>
          <w:rFonts w:cstheme="minorHAnsi"/>
        </w:rPr>
      </w:pPr>
      <w:r w:rsidRPr="00A22D75">
        <w:rPr>
          <w:rFonts w:cstheme="minorHAnsi"/>
        </w:rPr>
        <w:t xml:space="preserve">Adams, W. C. (2015) ‘Conducting Semi-Structured Interviews’, yn Newcomer, K.E. Hatry, H.P. a Wholey, J.S., </w:t>
      </w:r>
      <w:r w:rsidRPr="00A22D75">
        <w:rPr>
          <w:rFonts w:cstheme="minorHAnsi"/>
          <w:i/>
          <w:iCs/>
        </w:rPr>
        <w:t>Handbook of Practical Program Evaluation.</w:t>
      </w:r>
      <w:r w:rsidRPr="00A22D75">
        <w:rPr>
          <w:rFonts w:cstheme="minorHAnsi"/>
        </w:rPr>
        <w:t xml:space="preserve"> New Jersey: John Wiley &amp; Sons.</w:t>
      </w:r>
    </w:p>
    <w:p w14:paraId="36371CBB" w14:textId="77777777" w:rsidR="0011636D" w:rsidRDefault="0011636D" w:rsidP="00B564D0">
      <w:pPr>
        <w:spacing w:line="360" w:lineRule="auto"/>
        <w:rPr>
          <w:rFonts w:cstheme="minorHAnsi"/>
        </w:rPr>
      </w:pPr>
    </w:p>
    <w:p w14:paraId="1B2D840F" w14:textId="7B55F823" w:rsidR="0011636D" w:rsidRDefault="0011636D" w:rsidP="00B564D0">
      <w:pPr>
        <w:spacing w:line="360" w:lineRule="auto"/>
        <w:rPr>
          <w:rFonts w:cstheme="minorHAnsi"/>
        </w:rPr>
      </w:pPr>
      <w:r>
        <w:rPr>
          <w:rFonts w:cstheme="minorHAnsi"/>
        </w:rPr>
        <w:t xml:space="preserve">Bahceci, F. (2019) ‘ClassDojo:The Effects of Digital Classroom Management Program on Students-Parents and Teachers’, </w:t>
      </w:r>
      <w:r>
        <w:rPr>
          <w:rFonts w:cstheme="minorHAnsi"/>
          <w:i/>
          <w:iCs/>
        </w:rPr>
        <w:t>International Journal of Educational Sciences</w:t>
      </w:r>
      <w:r>
        <w:rPr>
          <w:rFonts w:cstheme="minorHAnsi"/>
        </w:rPr>
        <w:t>, 11(4), tt.160-180.</w:t>
      </w:r>
    </w:p>
    <w:p w14:paraId="2C1D5E7D" w14:textId="77777777" w:rsidR="0011636D" w:rsidRDefault="0011636D" w:rsidP="00B564D0">
      <w:pPr>
        <w:spacing w:line="360" w:lineRule="auto"/>
        <w:rPr>
          <w:rFonts w:cstheme="minorHAnsi"/>
        </w:rPr>
      </w:pPr>
    </w:p>
    <w:p w14:paraId="3C2FF2FD" w14:textId="7DBE99FA" w:rsidR="0011636D" w:rsidRDefault="0011636D" w:rsidP="00B564D0">
      <w:pPr>
        <w:spacing w:line="360" w:lineRule="auto"/>
        <w:rPr>
          <w:rFonts w:cstheme="minorHAnsi"/>
        </w:rPr>
      </w:pPr>
      <w:r w:rsidRPr="00A22D75">
        <w:rPr>
          <w:rFonts w:cstheme="minorHAnsi"/>
        </w:rPr>
        <w:t xml:space="preserve">Beaman, R. Wheldall, K a Kemp, C. (2016) ‘Recent Research on Troublesome Classroom Behaviour: A review’, </w:t>
      </w:r>
      <w:r w:rsidRPr="00A22D75">
        <w:rPr>
          <w:rFonts w:cstheme="minorHAnsi"/>
          <w:i/>
          <w:iCs/>
        </w:rPr>
        <w:t>Australasian Journal of Special Education</w:t>
      </w:r>
      <w:r w:rsidRPr="00A22D75">
        <w:rPr>
          <w:rFonts w:cstheme="minorHAnsi"/>
        </w:rPr>
        <w:t>, 31(1), tt.45-60.</w:t>
      </w:r>
    </w:p>
    <w:p w14:paraId="14261158" w14:textId="77777777" w:rsidR="0011636D" w:rsidRDefault="0011636D" w:rsidP="00B564D0">
      <w:pPr>
        <w:spacing w:line="360" w:lineRule="auto"/>
        <w:rPr>
          <w:rFonts w:cstheme="minorHAnsi"/>
        </w:rPr>
      </w:pPr>
    </w:p>
    <w:p w14:paraId="1689AEF3" w14:textId="13742AD3" w:rsidR="0011636D" w:rsidRDefault="0011636D" w:rsidP="00B564D0">
      <w:pPr>
        <w:spacing w:line="360" w:lineRule="auto"/>
        <w:rPr>
          <w:rFonts w:cstheme="minorHAnsi"/>
        </w:rPr>
      </w:pPr>
      <w:r w:rsidRPr="00A22D75">
        <w:rPr>
          <w:rFonts w:cstheme="minorHAnsi"/>
        </w:rPr>
        <w:t xml:space="preserve">Bjuland, R. a Mosvold, R. (2015) ‘Lesson Study in Teacher Education: Learning from a Challenging Case’, </w:t>
      </w:r>
      <w:r w:rsidRPr="00A22D75">
        <w:rPr>
          <w:rFonts w:cstheme="minorHAnsi"/>
          <w:i/>
          <w:iCs/>
        </w:rPr>
        <w:t>Teaching and Teacher Education</w:t>
      </w:r>
      <w:r w:rsidRPr="00A22D75">
        <w:rPr>
          <w:rFonts w:cstheme="minorHAnsi"/>
        </w:rPr>
        <w:t>, 52, tt.83-90.</w:t>
      </w:r>
    </w:p>
    <w:p w14:paraId="6A9B8990" w14:textId="77777777" w:rsidR="0011636D" w:rsidRDefault="0011636D" w:rsidP="00B564D0">
      <w:pPr>
        <w:spacing w:line="360" w:lineRule="auto"/>
        <w:rPr>
          <w:rFonts w:cstheme="minorHAnsi"/>
        </w:rPr>
      </w:pPr>
    </w:p>
    <w:p w14:paraId="3B096E5A" w14:textId="6BF939E5" w:rsidR="0011636D" w:rsidRDefault="0011636D" w:rsidP="00B564D0">
      <w:pPr>
        <w:spacing w:line="360" w:lineRule="auto"/>
        <w:rPr>
          <w:rFonts w:cstheme="minorHAnsi"/>
        </w:rPr>
      </w:pPr>
      <w:r w:rsidRPr="00A22D75">
        <w:rPr>
          <w:rFonts w:cstheme="minorHAnsi"/>
        </w:rPr>
        <w:t xml:space="preserve">Blackburn, C. (2015) ‘Researching with Young and Developmentally Young Children: Ethical Considerations, Dilemmas and Compromises’. Ar gael yn: </w:t>
      </w:r>
      <w:r>
        <w:fldChar w:fldCharType="begin"/>
      </w:r>
      <w:r>
        <w:instrText xml:space="preserve"> HYPERLINK "https://www.bera.ac.uk/blog/researching-with-young-and-developmentally-young-children-ethical-considerations-dilemmas-and-compromises" </w:instrText>
      </w:r>
      <w:r>
        <w:fldChar w:fldCharType="separate"/>
      </w:r>
      <w:r w:rsidRPr="00A22D75">
        <w:rPr>
          <w:rStyle w:val="Hyperlink"/>
          <w:rFonts w:cstheme="minorHAnsi"/>
        </w:rPr>
        <w:t>https://www.bera.ac.uk/blog/researching-with-young-and-developmentally-young-children-ethical-considerations-dilemmas-and-compromises</w:t>
      </w:r>
      <w:r>
        <w:rPr>
          <w:rStyle w:val="Hyperlink"/>
          <w:rFonts w:cstheme="minorHAnsi"/>
        </w:rPr>
        <w:fldChar w:fldCharType="end"/>
      </w:r>
      <w:r w:rsidRPr="00A22D75">
        <w:rPr>
          <w:rFonts w:cstheme="minorHAnsi"/>
        </w:rPr>
        <w:t xml:space="preserve"> (Darllenwyd: 4/01/22).</w:t>
      </w:r>
    </w:p>
    <w:p w14:paraId="532EE533" w14:textId="77777777" w:rsidR="0011636D" w:rsidRDefault="0011636D" w:rsidP="00B564D0">
      <w:pPr>
        <w:spacing w:line="360" w:lineRule="auto"/>
        <w:rPr>
          <w:rFonts w:cstheme="minorHAnsi"/>
        </w:rPr>
      </w:pPr>
    </w:p>
    <w:p w14:paraId="73DB56DF" w14:textId="491BBBA8" w:rsidR="0011636D" w:rsidRDefault="0011636D" w:rsidP="00B564D0">
      <w:pPr>
        <w:spacing w:line="360" w:lineRule="auto"/>
        <w:rPr>
          <w:rFonts w:cstheme="minorHAnsi"/>
        </w:rPr>
      </w:pPr>
      <w:r w:rsidRPr="00A22D75">
        <w:rPr>
          <w:rFonts w:cstheme="minorHAnsi"/>
        </w:rPr>
        <w:t xml:space="preserve">Blank, C. a Shavit, Y. (2016) ‘The Association between student reports of classmates disruptive behavior and student achievement’, </w:t>
      </w:r>
      <w:r w:rsidRPr="00A22D75">
        <w:rPr>
          <w:rFonts w:cstheme="minorHAnsi"/>
          <w:i/>
          <w:iCs/>
        </w:rPr>
        <w:t xml:space="preserve">Disruptive Behavior and Student achievement, </w:t>
      </w:r>
      <w:r w:rsidRPr="00A22D75">
        <w:rPr>
          <w:rFonts w:cstheme="minorHAnsi"/>
        </w:rPr>
        <w:t>2 (3), tt.1-17.</w:t>
      </w:r>
    </w:p>
    <w:p w14:paraId="47FAE59C" w14:textId="77777777" w:rsidR="0011636D" w:rsidRDefault="0011636D" w:rsidP="00B564D0">
      <w:pPr>
        <w:spacing w:line="360" w:lineRule="auto"/>
        <w:rPr>
          <w:rFonts w:cstheme="minorHAnsi"/>
        </w:rPr>
      </w:pPr>
    </w:p>
    <w:p w14:paraId="40A0A398" w14:textId="7F4779BE" w:rsidR="0011636D" w:rsidRDefault="0011636D" w:rsidP="00B564D0">
      <w:pPr>
        <w:spacing w:line="360" w:lineRule="auto"/>
        <w:rPr>
          <w:rFonts w:cstheme="minorHAnsi"/>
        </w:rPr>
      </w:pPr>
      <w:r w:rsidRPr="00A22D75">
        <w:rPr>
          <w:rFonts w:cstheme="minorHAnsi"/>
        </w:rPr>
        <w:t xml:space="preserve">British Educational Research Association [BERA] (2018) </w:t>
      </w:r>
      <w:r w:rsidRPr="00A22D75">
        <w:rPr>
          <w:rFonts w:cstheme="minorHAnsi"/>
          <w:i/>
          <w:iCs/>
        </w:rPr>
        <w:t>Ethical Guidelines for Educational research.</w:t>
      </w:r>
      <w:r w:rsidRPr="00A22D75">
        <w:rPr>
          <w:rFonts w:cstheme="minorHAnsi"/>
        </w:rPr>
        <w:t xml:space="preserve"> Ar gael yn: </w:t>
      </w:r>
      <w:r>
        <w:fldChar w:fldCharType="begin"/>
      </w:r>
      <w:r>
        <w:instrText xml:space="preserve"> HYPERLINK "https://www.bera.ac.uk/publication/ethical-%20guidelines-for-educational-research-2018" </w:instrText>
      </w:r>
      <w:r>
        <w:fldChar w:fldCharType="separate"/>
      </w:r>
      <w:r w:rsidRPr="00A22D75">
        <w:rPr>
          <w:rStyle w:val="Hyperlink"/>
          <w:rFonts w:cstheme="minorHAnsi"/>
        </w:rPr>
        <w:t>https://www.bera.ac.uk/publication/ethical-%20guidelines-for-educational-research-2018</w:t>
      </w:r>
      <w:r>
        <w:rPr>
          <w:rStyle w:val="Hyperlink"/>
          <w:rFonts w:cstheme="minorHAnsi"/>
        </w:rPr>
        <w:fldChar w:fldCharType="end"/>
      </w:r>
      <w:r w:rsidRPr="00A22D75">
        <w:rPr>
          <w:rFonts w:cstheme="minorHAnsi"/>
        </w:rPr>
        <w:t xml:space="preserve"> (Darllenwyd:1/02/22).</w:t>
      </w:r>
    </w:p>
    <w:p w14:paraId="741679B0" w14:textId="77777777" w:rsidR="0011636D" w:rsidRDefault="0011636D" w:rsidP="00B564D0">
      <w:pPr>
        <w:spacing w:line="360" w:lineRule="auto"/>
        <w:rPr>
          <w:rFonts w:cstheme="minorHAnsi"/>
        </w:rPr>
      </w:pPr>
    </w:p>
    <w:p w14:paraId="6DB0DE59" w14:textId="77777777" w:rsidR="0011636D" w:rsidRDefault="0011636D" w:rsidP="00B564D0">
      <w:pPr>
        <w:spacing w:line="360" w:lineRule="auto"/>
        <w:rPr>
          <w:rFonts w:cstheme="minorHAnsi"/>
        </w:rPr>
      </w:pPr>
      <w:r w:rsidRPr="00A22D75">
        <w:rPr>
          <w:rFonts w:cstheme="minorHAnsi"/>
        </w:rPr>
        <w:t xml:space="preserve">Brown, A. A Danaher, P.A. (2017) ‘CHE Principles: Facilitating authentic and dialogical semi-structured interviews in educational research’, </w:t>
      </w:r>
      <w:r w:rsidRPr="00A22D75">
        <w:rPr>
          <w:rFonts w:cstheme="minorHAnsi"/>
          <w:i/>
          <w:iCs/>
        </w:rPr>
        <w:t>International Journal of Research &amp; Method in Education,</w:t>
      </w:r>
      <w:r w:rsidRPr="00A22D75">
        <w:rPr>
          <w:rFonts w:cstheme="minorHAnsi"/>
        </w:rPr>
        <w:t xml:space="preserve"> 1, tt.76-90.</w:t>
      </w:r>
    </w:p>
    <w:p w14:paraId="354EFE42" w14:textId="1D4744F5" w:rsidR="0011636D" w:rsidRDefault="0011636D" w:rsidP="00B564D0">
      <w:pPr>
        <w:spacing w:line="360" w:lineRule="auto"/>
        <w:rPr>
          <w:rFonts w:cstheme="minorHAnsi"/>
        </w:rPr>
      </w:pPr>
      <w:r w:rsidRPr="00A22D75">
        <w:rPr>
          <w:rFonts w:cstheme="minorHAnsi"/>
        </w:rPr>
        <w:lastRenderedPageBreak/>
        <w:t xml:space="preserve">Buchanan, S. (2013) ‘An apprehensive teacher’s guide to... ClassDojo’, </w:t>
      </w:r>
      <w:r w:rsidRPr="00A22D75">
        <w:rPr>
          <w:rFonts w:cstheme="minorHAnsi"/>
          <w:i/>
          <w:iCs/>
        </w:rPr>
        <w:t xml:space="preserve">The Guardian, </w:t>
      </w:r>
      <w:r w:rsidRPr="00A22D75">
        <w:rPr>
          <w:rFonts w:cstheme="minorHAnsi"/>
        </w:rPr>
        <w:t xml:space="preserve">28 Tachwedd. Ar gael yn: </w:t>
      </w:r>
      <w:r>
        <w:fldChar w:fldCharType="begin"/>
      </w:r>
      <w:r>
        <w:instrText xml:space="preserve"> HYPERLINK "https://www.theguardian.com/teacher-network/teacher-blog/2013/nov/28/teacher-guide-classdojo-behaviour-management" </w:instrText>
      </w:r>
      <w:r>
        <w:fldChar w:fldCharType="separate"/>
      </w:r>
      <w:r w:rsidRPr="00A22D75">
        <w:rPr>
          <w:rStyle w:val="Hyperlink"/>
          <w:rFonts w:cstheme="minorHAnsi"/>
        </w:rPr>
        <w:t>https://www.theguardian.com/teacher-network/teacher-blog/2013/nov/28/teacher-guide-classdojo-behaviour-management</w:t>
      </w:r>
      <w:r>
        <w:rPr>
          <w:rStyle w:val="Hyperlink"/>
          <w:rFonts w:cstheme="minorHAnsi"/>
        </w:rPr>
        <w:fldChar w:fldCharType="end"/>
      </w:r>
      <w:r w:rsidRPr="00A22D75">
        <w:rPr>
          <w:rFonts w:cstheme="minorHAnsi"/>
        </w:rPr>
        <w:t xml:space="preserve"> (Darllenwyd: 14/1/22).</w:t>
      </w:r>
    </w:p>
    <w:p w14:paraId="522D33C2" w14:textId="42522588" w:rsidR="0011636D" w:rsidRDefault="0011636D" w:rsidP="00B564D0">
      <w:pPr>
        <w:spacing w:line="360" w:lineRule="auto"/>
        <w:rPr>
          <w:rFonts w:cstheme="minorHAnsi"/>
        </w:rPr>
      </w:pPr>
    </w:p>
    <w:p w14:paraId="39642B6B" w14:textId="571B2ED7" w:rsidR="00D36F77" w:rsidRDefault="00D36F77" w:rsidP="00D36F77">
      <w:pPr>
        <w:spacing w:line="360" w:lineRule="auto"/>
        <w:rPr>
          <w:rFonts w:cstheme="minorHAnsi"/>
        </w:rPr>
      </w:pPr>
      <w:r w:rsidRPr="00A22D75">
        <w:rPr>
          <w:rFonts w:cstheme="minorHAnsi"/>
        </w:rPr>
        <w:t xml:space="preserve">Chassels, C. a Melville, W. (2009) ‘Collaborative, Reflective and literative Japanese Lesson Study in and Initial Teacher Education Program:Benefits and Challenges’, </w:t>
      </w:r>
      <w:r w:rsidRPr="00A22D75">
        <w:rPr>
          <w:rFonts w:cstheme="minorHAnsi"/>
          <w:i/>
          <w:iCs/>
        </w:rPr>
        <w:t xml:space="preserve">Canadian Journal of Education, </w:t>
      </w:r>
      <w:r w:rsidRPr="00A22D75">
        <w:rPr>
          <w:rFonts w:cstheme="minorHAnsi"/>
        </w:rPr>
        <w:t>32(4), tt. 734-763.</w:t>
      </w:r>
    </w:p>
    <w:p w14:paraId="5263B844" w14:textId="77777777" w:rsidR="00D36F77" w:rsidRDefault="00D36F77" w:rsidP="00D36F77">
      <w:pPr>
        <w:spacing w:line="360" w:lineRule="auto"/>
        <w:rPr>
          <w:rFonts w:cstheme="minorHAnsi"/>
        </w:rPr>
      </w:pPr>
    </w:p>
    <w:p w14:paraId="72A85D7B" w14:textId="56A0F9FE" w:rsidR="00D36F77" w:rsidRDefault="00D36F77" w:rsidP="00D36F77">
      <w:pPr>
        <w:spacing w:line="360" w:lineRule="auto"/>
        <w:rPr>
          <w:rFonts w:cstheme="minorHAnsi"/>
        </w:rPr>
      </w:pPr>
      <w:r w:rsidRPr="00A22D75">
        <w:rPr>
          <w:rFonts w:cstheme="minorHAnsi"/>
        </w:rPr>
        <w:t xml:space="preserve">Cheung, W.M. a Wong, Y. (2014) ‘Does Lesson Study Work?: A Systematic Review on the Effects of Lesson Study and Learning Study on Teachers and Students’, </w:t>
      </w:r>
      <w:r w:rsidRPr="00A22D75">
        <w:rPr>
          <w:rFonts w:cstheme="minorHAnsi"/>
          <w:i/>
          <w:iCs/>
        </w:rPr>
        <w:t xml:space="preserve">International Journal for Lesson and Learning Studies, </w:t>
      </w:r>
      <w:r w:rsidRPr="00A22D75">
        <w:rPr>
          <w:rFonts w:cstheme="minorHAnsi"/>
        </w:rPr>
        <w:t>3(2), tt.137-149.</w:t>
      </w:r>
    </w:p>
    <w:p w14:paraId="78A377B0" w14:textId="323382CA" w:rsidR="00D36F77" w:rsidRDefault="00D36F77" w:rsidP="00D36F77">
      <w:pPr>
        <w:spacing w:line="360" w:lineRule="auto"/>
        <w:rPr>
          <w:rFonts w:cstheme="minorHAnsi"/>
        </w:rPr>
      </w:pPr>
    </w:p>
    <w:p w14:paraId="7D2D4FED" w14:textId="1F5C41D7" w:rsidR="00D36F77" w:rsidRPr="00D36F77" w:rsidRDefault="00D36F77" w:rsidP="00D36F77">
      <w:pPr>
        <w:spacing w:line="360" w:lineRule="auto"/>
        <w:rPr>
          <w:rFonts w:cstheme="minorHAnsi"/>
        </w:rPr>
      </w:pPr>
      <w:r>
        <w:rPr>
          <w:rFonts w:cstheme="minorHAnsi"/>
        </w:rPr>
        <w:t xml:space="preserve">ClassDojo. (2022) </w:t>
      </w:r>
      <w:r>
        <w:rPr>
          <w:rFonts w:cstheme="minorHAnsi"/>
          <w:i/>
          <w:iCs/>
        </w:rPr>
        <w:t>About Us.</w:t>
      </w:r>
      <w:r>
        <w:rPr>
          <w:rFonts w:cstheme="minorHAnsi"/>
        </w:rPr>
        <w:t xml:space="preserve"> Ar gael yn:</w:t>
      </w:r>
      <w:r w:rsidRPr="00D36F77">
        <w:t xml:space="preserve"> </w:t>
      </w:r>
      <w:hyperlink r:id="rId6" w:history="1">
        <w:r w:rsidRPr="009B5AF6">
          <w:rPr>
            <w:rStyle w:val="Hyperlink"/>
            <w:rFonts w:cstheme="minorHAnsi"/>
          </w:rPr>
          <w:t>https://www.classdojo.com/cy-gb/about/?redirect=true</w:t>
        </w:r>
      </w:hyperlink>
      <w:r>
        <w:rPr>
          <w:rFonts w:cstheme="minorHAnsi"/>
        </w:rPr>
        <w:t xml:space="preserve"> (Darllenwyd: 23/01/22).</w:t>
      </w:r>
    </w:p>
    <w:p w14:paraId="48E0C9BE" w14:textId="77777777" w:rsidR="00D36F77" w:rsidRDefault="00D36F77" w:rsidP="00D36F77">
      <w:pPr>
        <w:spacing w:line="360" w:lineRule="auto"/>
        <w:rPr>
          <w:rFonts w:cstheme="minorHAnsi"/>
        </w:rPr>
      </w:pPr>
    </w:p>
    <w:p w14:paraId="327D029E" w14:textId="2B2781A1" w:rsidR="0011636D" w:rsidRDefault="0011636D" w:rsidP="00B564D0">
      <w:pPr>
        <w:spacing w:line="360" w:lineRule="auto"/>
        <w:rPr>
          <w:rFonts w:cstheme="minorHAnsi"/>
        </w:rPr>
      </w:pPr>
      <w:r w:rsidRPr="00A22D75">
        <w:rPr>
          <w:rFonts w:cstheme="minorHAnsi"/>
        </w:rPr>
        <w:t xml:space="preserve">Coenders, F. a Verhoef, N. (2017) ‘Lesson Study:Professional Development (PD) For Beginning and Experienced Teachers, </w:t>
      </w:r>
      <w:r w:rsidRPr="00A22D75">
        <w:rPr>
          <w:rFonts w:cstheme="minorHAnsi"/>
          <w:i/>
          <w:iCs/>
        </w:rPr>
        <w:t xml:space="preserve">Professional Development in Education, </w:t>
      </w:r>
      <w:r w:rsidRPr="00A22D75">
        <w:rPr>
          <w:rFonts w:cstheme="minorHAnsi"/>
        </w:rPr>
        <w:t>45(2), tt.217-230.</w:t>
      </w:r>
    </w:p>
    <w:p w14:paraId="3FEB1E20" w14:textId="77777777" w:rsidR="0011636D" w:rsidRDefault="0011636D" w:rsidP="00B564D0">
      <w:pPr>
        <w:spacing w:line="360" w:lineRule="auto"/>
        <w:rPr>
          <w:rFonts w:cstheme="minorHAnsi"/>
        </w:rPr>
      </w:pPr>
    </w:p>
    <w:p w14:paraId="3A179371" w14:textId="39EF78A8" w:rsidR="0011636D" w:rsidRDefault="0011636D" w:rsidP="00B564D0">
      <w:pPr>
        <w:spacing w:line="360" w:lineRule="auto"/>
        <w:rPr>
          <w:rFonts w:cstheme="minorHAnsi"/>
        </w:rPr>
      </w:pPr>
      <w:r w:rsidRPr="00A22D75">
        <w:rPr>
          <w:rFonts w:cstheme="minorHAnsi"/>
        </w:rPr>
        <w:t xml:space="preserve">Dix, P. (2017) </w:t>
      </w:r>
      <w:r w:rsidRPr="00A22D75">
        <w:rPr>
          <w:rFonts w:cstheme="minorHAnsi"/>
          <w:i/>
          <w:iCs/>
        </w:rPr>
        <w:t xml:space="preserve">When the Adults Change Everything Changes. </w:t>
      </w:r>
      <w:r w:rsidRPr="00A22D75">
        <w:rPr>
          <w:rFonts w:cstheme="minorHAnsi"/>
        </w:rPr>
        <w:t>Caerfyrddin: Independent Thinking Press.</w:t>
      </w:r>
    </w:p>
    <w:p w14:paraId="32F4A65D" w14:textId="77777777" w:rsidR="0011636D" w:rsidRDefault="0011636D" w:rsidP="00B564D0">
      <w:pPr>
        <w:spacing w:line="360" w:lineRule="auto"/>
        <w:rPr>
          <w:rFonts w:cstheme="minorHAnsi"/>
        </w:rPr>
      </w:pPr>
    </w:p>
    <w:p w14:paraId="358018E3" w14:textId="6E9F15C0" w:rsidR="0011636D" w:rsidRDefault="0011636D" w:rsidP="00B564D0">
      <w:pPr>
        <w:spacing w:line="360" w:lineRule="auto"/>
        <w:rPr>
          <w:rFonts w:cstheme="minorHAnsi"/>
        </w:rPr>
      </w:pPr>
      <w:r w:rsidRPr="00A22D75">
        <w:rPr>
          <w:rFonts w:cstheme="minorHAnsi"/>
        </w:rPr>
        <w:t xml:space="preserve">Drew, C. (2018) ‘To Follow a Rule: The Construction of Student Subjectivities on Classroom Rules Charts’, </w:t>
      </w:r>
      <w:r w:rsidRPr="00A22D75">
        <w:rPr>
          <w:rFonts w:cstheme="minorHAnsi"/>
          <w:i/>
          <w:iCs/>
        </w:rPr>
        <w:t xml:space="preserve">Contemporary Issues in Early Childhood, </w:t>
      </w:r>
      <w:r w:rsidRPr="00A22D75">
        <w:rPr>
          <w:rFonts w:cstheme="minorHAnsi"/>
        </w:rPr>
        <w:t>21(1), tt.46-57.</w:t>
      </w:r>
    </w:p>
    <w:p w14:paraId="68124A07" w14:textId="77777777" w:rsidR="0011636D" w:rsidRDefault="0011636D" w:rsidP="00B564D0">
      <w:pPr>
        <w:spacing w:line="360" w:lineRule="auto"/>
        <w:rPr>
          <w:rFonts w:cstheme="minorHAnsi"/>
        </w:rPr>
      </w:pPr>
    </w:p>
    <w:p w14:paraId="0E479735" w14:textId="20AEE24F" w:rsidR="0011636D" w:rsidRDefault="0011636D" w:rsidP="00B564D0">
      <w:pPr>
        <w:spacing w:line="360" w:lineRule="auto"/>
        <w:rPr>
          <w:rFonts w:cstheme="minorHAnsi"/>
        </w:rPr>
      </w:pPr>
      <w:r w:rsidRPr="00A22D75">
        <w:rPr>
          <w:rFonts w:cstheme="minorHAnsi"/>
        </w:rPr>
        <w:t xml:space="preserve">Dudley, P. (2011) Lesson Study: A handbook. Ar gael yn: </w:t>
      </w:r>
      <w:r w:rsidRPr="00A22D75">
        <w:fldChar w:fldCharType="begin"/>
      </w:r>
      <w:r w:rsidRPr="00A22D75">
        <w:rPr>
          <w:rFonts w:cstheme="minorHAnsi"/>
        </w:rPr>
        <w:instrText xml:space="preserve"> HYPERLINK "https://lessonstudy.co.uk/wp-content/uploads/2012/03/Lesson_Study_Handbook_-_011011-1.pdf" </w:instrText>
      </w:r>
      <w:r w:rsidRPr="00A22D75">
        <w:fldChar w:fldCharType="separate"/>
      </w:r>
      <w:r w:rsidRPr="00A22D75">
        <w:rPr>
          <w:rStyle w:val="Hyperlink"/>
          <w:rFonts w:cstheme="minorHAnsi"/>
        </w:rPr>
        <w:t>https://lessonstudy.co.uk/wp-content/uploads/2012/03/Lesson_Study_Handbook_-_011011-1.pdf</w:t>
      </w:r>
      <w:r w:rsidRPr="00A22D75">
        <w:rPr>
          <w:rStyle w:val="Hyperlink"/>
          <w:rFonts w:cstheme="minorHAnsi"/>
        </w:rPr>
        <w:fldChar w:fldCharType="end"/>
      </w:r>
      <w:r w:rsidRPr="00A22D75">
        <w:rPr>
          <w:rFonts w:cstheme="minorHAnsi"/>
        </w:rPr>
        <w:t xml:space="preserve"> (Darllenwyd:22/11/21).</w:t>
      </w:r>
    </w:p>
    <w:p w14:paraId="702CBC86" w14:textId="77777777" w:rsidR="0011636D" w:rsidRDefault="0011636D" w:rsidP="00B564D0">
      <w:pPr>
        <w:spacing w:line="360" w:lineRule="auto"/>
        <w:rPr>
          <w:rFonts w:cstheme="minorHAnsi"/>
        </w:rPr>
      </w:pPr>
    </w:p>
    <w:p w14:paraId="6B807E74" w14:textId="7F4959FC" w:rsidR="0011636D" w:rsidRDefault="0011636D" w:rsidP="00B564D0">
      <w:pPr>
        <w:spacing w:line="360" w:lineRule="auto"/>
        <w:rPr>
          <w:rFonts w:cstheme="minorHAnsi"/>
        </w:rPr>
      </w:pPr>
      <w:r w:rsidRPr="00A22D75">
        <w:rPr>
          <w:rFonts w:cstheme="minorHAnsi"/>
        </w:rPr>
        <w:t xml:space="preserve">Felzmann, H. (2009) ‘Ethical Issues in School-based Research’, </w:t>
      </w:r>
      <w:r w:rsidRPr="00A22D75">
        <w:rPr>
          <w:rFonts w:cstheme="minorHAnsi"/>
          <w:i/>
          <w:iCs/>
        </w:rPr>
        <w:t>Research Ethics Review,</w:t>
      </w:r>
      <w:r w:rsidRPr="00A22D75">
        <w:rPr>
          <w:rFonts w:cstheme="minorHAnsi"/>
        </w:rPr>
        <w:t xml:space="preserve"> 5(3), tt.104-109.</w:t>
      </w:r>
    </w:p>
    <w:p w14:paraId="3C0E1BBF" w14:textId="77777777" w:rsidR="0011636D" w:rsidRDefault="0011636D" w:rsidP="00B564D0">
      <w:pPr>
        <w:spacing w:line="360" w:lineRule="auto"/>
        <w:rPr>
          <w:rFonts w:cstheme="minorHAnsi"/>
        </w:rPr>
      </w:pPr>
    </w:p>
    <w:p w14:paraId="3B801CCE" w14:textId="044B4A54" w:rsidR="0011636D" w:rsidRDefault="0011636D" w:rsidP="00B564D0">
      <w:pPr>
        <w:spacing w:line="360" w:lineRule="auto"/>
        <w:rPr>
          <w:rFonts w:cstheme="minorHAnsi"/>
        </w:rPr>
      </w:pPr>
      <w:r w:rsidRPr="00A22D75">
        <w:rPr>
          <w:rFonts w:cstheme="minorHAnsi"/>
        </w:rPr>
        <w:lastRenderedPageBreak/>
        <w:t xml:space="preserve">Flewitt, R. (2019) </w:t>
      </w:r>
      <w:r w:rsidRPr="00A22D75">
        <w:rPr>
          <w:rFonts w:cstheme="minorHAnsi"/>
          <w:i/>
          <w:iCs/>
        </w:rPr>
        <w:t xml:space="preserve">Ethics and Researching Young Children’s Digital Literacy Practices. </w:t>
      </w:r>
      <w:r w:rsidRPr="00A22D75">
        <w:rPr>
          <w:rFonts w:cstheme="minorHAnsi"/>
        </w:rPr>
        <w:t>1af arg. Llundain: Routledge.</w:t>
      </w:r>
    </w:p>
    <w:p w14:paraId="576F271F" w14:textId="77777777" w:rsidR="0011636D" w:rsidRDefault="0011636D" w:rsidP="00B564D0">
      <w:pPr>
        <w:spacing w:line="360" w:lineRule="auto"/>
        <w:rPr>
          <w:rFonts w:cstheme="minorHAnsi"/>
        </w:rPr>
      </w:pPr>
    </w:p>
    <w:p w14:paraId="3CDDDDA2" w14:textId="5E3CA95A" w:rsidR="0011636D" w:rsidRDefault="0011636D" w:rsidP="00B564D0">
      <w:pPr>
        <w:spacing w:line="360" w:lineRule="auto"/>
        <w:rPr>
          <w:rFonts w:cstheme="minorHAnsi"/>
        </w:rPr>
      </w:pPr>
      <w:r w:rsidRPr="00A22D75">
        <w:rPr>
          <w:rFonts w:cstheme="minorHAnsi"/>
        </w:rPr>
        <w:t xml:space="preserve">Gutierez, S.B. (2015) ‘Collaborative Professional Learning through Lesson Study: Identifying the Challenges of Inquiry-based teaching’, </w:t>
      </w:r>
      <w:r w:rsidRPr="00A22D75">
        <w:rPr>
          <w:rFonts w:cstheme="minorHAnsi"/>
          <w:i/>
          <w:iCs/>
        </w:rPr>
        <w:t xml:space="preserve">Issues in Educational Research, </w:t>
      </w:r>
      <w:r w:rsidRPr="00A22D75">
        <w:rPr>
          <w:rFonts w:cstheme="minorHAnsi"/>
        </w:rPr>
        <w:t>25(2), tt.118-134.</w:t>
      </w:r>
    </w:p>
    <w:p w14:paraId="5839BA69" w14:textId="77777777" w:rsidR="0011636D" w:rsidRDefault="0011636D" w:rsidP="00B564D0">
      <w:pPr>
        <w:spacing w:line="360" w:lineRule="auto"/>
        <w:rPr>
          <w:rFonts w:cstheme="minorHAnsi"/>
        </w:rPr>
      </w:pPr>
    </w:p>
    <w:p w14:paraId="268C5EAE" w14:textId="39B12A62" w:rsidR="0011636D" w:rsidRDefault="0011636D" w:rsidP="00B564D0">
      <w:pPr>
        <w:spacing w:line="360" w:lineRule="auto"/>
        <w:rPr>
          <w:rFonts w:cstheme="minorHAnsi"/>
        </w:rPr>
      </w:pPr>
      <w:r w:rsidRPr="00A22D75">
        <w:rPr>
          <w:rFonts w:cstheme="minorHAnsi"/>
        </w:rPr>
        <w:t xml:space="preserve">Hart, R. (2010) ‘Classroom behaviour management: Educational Psychologists’ views on effective practice’, </w:t>
      </w:r>
      <w:r w:rsidRPr="00A22D75">
        <w:rPr>
          <w:rFonts w:cstheme="minorHAnsi"/>
          <w:i/>
          <w:iCs/>
        </w:rPr>
        <w:t>Emotional and Behavioural Difficulties,</w:t>
      </w:r>
      <w:r w:rsidRPr="00A22D75">
        <w:rPr>
          <w:rFonts w:cstheme="minorHAnsi"/>
        </w:rPr>
        <w:t xml:space="preserve"> 15(4), tt.353-371.</w:t>
      </w:r>
    </w:p>
    <w:p w14:paraId="5CB3BC14" w14:textId="77777777" w:rsidR="0011636D" w:rsidRDefault="0011636D" w:rsidP="00B564D0">
      <w:pPr>
        <w:spacing w:line="360" w:lineRule="auto"/>
        <w:rPr>
          <w:rFonts w:cstheme="minorHAnsi"/>
        </w:rPr>
      </w:pPr>
    </w:p>
    <w:p w14:paraId="7218EFFB" w14:textId="76433A3B" w:rsidR="0011636D" w:rsidRDefault="0011636D" w:rsidP="00B564D0">
      <w:pPr>
        <w:spacing w:line="360" w:lineRule="auto"/>
        <w:rPr>
          <w:rFonts w:cstheme="minorHAnsi"/>
        </w:rPr>
      </w:pPr>
      <w:r w:rsidRPr="00A22D75">
        <w:rPr>
          <w:rFonts w:cstheme="minorHAnsi"/>
        </w:rPr>
        <w:t xml:space="preserve">Heary, C. a Hennessy, E. (2006) ‘Focus Groups Versus Individual Interviews with Children’, </w:t>
      </w:r>
      <w:r w:rsidRPr="00A22D75">
        <w:rPr>
          <w:rFonts w:cstheme="minorHAnsi"/>
          <w:i/>
          <w:iCs/>
        </w:rPr>
        <w:t xml:space="preserve">The Irish Journal of Psychology, </w:t>
      </w:r>
      <w:r w:rsidRPr="00A22D75">
        <w:rPr>
          <w:rFonts w:cstheme="minorHAnsi"/>
        </w:rPr>
        <w:t>1, tt.58-68.</w:t>
      </w:r>
    </w:p>
    <w:p w14:paraId="0C1DEA04" w14:textId="77777777" w:rsidR="0011636D" w:rsidRDefault="0011636D" w:rsidP="00B564D0">
      <w:pPr>
        <w:spacing w:line="360" w:lineRule="auto"/>
        <w:rPr>
          <w:rFonts w:cstheme="minorHAnsi"/>
        </w:rPr>
      </w:pPr>
    </w:p>
    <w:p w14:paraId="41BB67EB" w14:textId="72A7433D" w:rsidR="0011636D" w:rsidRDefault="0011636D" w:rsidP="00B564D0">
      <w:pPr>
        <w:spacing w:line="360" w:lineRule="auto"/>
        <w:rPr>
          <w:rFonts w:cstheme="minorHAnsi"/>
        </w:rPr>
      </w:pPr>
      <w:r w:rsidRPr="00A22D75">
        <w:rPr>
          <w:rFonts w:cstheme="minorHAnsi"/>
        </w:rPr>
        <w:t xml:space="preserve">Hofer, M. (2007) ‘Goal Conflicts and Self-regulation: A new look at pupils’ off task-behaviour in the classroom’, </w:t>
      </w:r>
      <w:r w:rsidRPr="00A22D75">
        <w:rPr>
          <w:rFonts w:cstheme="minorHAnsi"/>
          <w:i/>
          <w:iCs/>
        </w:rPr>
        <w:t xml:space="preserve">Educational Research Review, </w:t>
      </w:r>
      <w:r w:rsidRPr="00A22D75">
        <w:rPr>
          <w:rFonts w:cstheme="minorHAnsi"/>
        </w:rPr>
        <w:t>2(1), tt.28-38.</w:t>
      </w:r>
    </w:p>
    <w:p w14:paraId="15CB664F" w14:textId="77777777" w:rsidR="0011636D" w:rsidRDefault="0011636D" w:rsidP="00B564D0">
      <w:pPr>
        <w:spacing w:line="360" w:lineRule="auto"/>
        <w:rPr>
          <w:rFonts w:cstheme="minorHAnsi"/>
        </w:rPr>
      </w:pPr>
    </w:p>
    <w:p w14:paraId="4D8E8666" w14:textId="3720B4F3" w:rsidR="0011636D" w:rsidRDefault="0011636D" w:rsidP="00B564D0">
      <w:pPr>
        <w:spacing w:line="360" w:lineRule="auto"/>
        <w:rPr>
          <w:rFonts w:cstheme="minorHAnsi"/>
        </w:rPr>
      </w:pPr>
      <w:r w:rsidRPr="00A22D75">
        <w:rPr>
          <w:rFonts w:cstheme="minorHAnsi"/>
        </w:rPr>
        <w:t xml:space="preserve">Homer, R., Hew, K.F. a Tan, C.Y. (2018) ‘Comparing Digital Badges and Points with Classroom Token Systems: Effects on Elementary School ESL Students Classroom Behaviour and English Learning’, </w:t>
      </w:r>
      <w:r w:rsidRPr="00A22D75">
        <w:rPr>
          <w:rFonts w:cstheme="minorHAnsi"/>
          <w:i/>
          <w:iCs/>
        </w:rPr>
        <w:t xml:space="preserve">Educational Technology &amp; Society, </w:t>
      </w:r>
      <w:r w:rsidRPr="00A22D75">
        <w:rPr>
          <w:rFonts w:cstheme="minorHAnsi"/>
        </w:rPr>
        <w:t>21(1), tt.137-157.</w:t>
      </w:r>
    </w:p>
    <w:p w14:paraId="7CCA965B" w14:textId="77777777" w:rsidR="0011636D" w:rsidRDefault="0011636D" w:rsidP="00B564D0">
      <w:pPr>
        <w:spacing w:line="360" w:lineRule="auto"/>
        <w:rPr>
          <w:rFonts w:cstheme="minorHAnsi"/>
        </w:rPr>
      </w:pPr>
    </w:p>
    <w:p w14:paraId="6FC6E3B3" w14:textId="02F71739" w:rsidR="0011636D" w:rsidRDefault="0011636D" w:rsidP="00B564D0">
      <w:pPr>
        <w:spacing w:line="360" w:lineRule="auto"/>
        <w:rPr>
          <w:rFonts w:cstheme="minorHAnsi"/>
        </w:rPr>
      </w:pPr>
      <w:r>
        <w:rPr>
          <w:rFonts w:cstheme="minorHAnsi"/>
        </w:rPr>
        <w:t xml:space="preserve">Illeris, K. (2014) ‘Transformative Learning and Identity’, </w:t>
      </w:r>
      <w:r>
        <w:rPr>
          <w:rFonts w:cstheme="minorHAnsi"/>
          <w:i/>
          <w:iCs/>
        </w:rPr>
        <w:t xml:space="preserve">Journal of Transformative Education, </w:t>
      </w:r>
      <w:r>
        <w:rPr>
          <w:rFonts w:cstheme="minorHAnsi"/>
        </w:rPr>
        <w:t>12(2), tt.148-163.</w:t>
      </w:r>
    </w:p>
    <w:p w14:paraId="5C42AA6A" w14:textId="77777777" w:rsidR="0011636D" w:rsidRDefault="0011636D" w:rsidP="00B564D0">
      <w:pPr>
        <w:spacing w:line="360" w:lineRule="auto"/>
        <w:rPr>
          <w:rFonts w:cstheme="minorHAnsi"/>
        </w:rPr>
      </w:pPr>
    </w:p>
    <w:p w14:paraId="3C1A3267" w14:textId="04909402" w:rsidR="0011636D" w:rsidRDefault="0011636D" w:rsidP="00B564D0">
      <w:pPr>
        <w:spacing w:line="360" w:lineRule="auto"/>
        <w:rPr>
          <w:rFonts w:cstheme="minorHAnsi"/>
        </w:rPr>
      </w:pPr>
      <w:r w:rsidRPr="00A22D75">
        <w:rPr>
          <w:rFonts w:cstheme="minorHAnsi"/>
        </w:rPr>
        <w:t xml:space="preserve">Khokhotva, O. (2018) ‘Lesson Study in Kazakhstan: Case study of benefits and barriers for teachers’, </w:t>
      </w:r>
      <w:r w:rsidRPr="00A22D75">
        <w:rPr>
          <w:rFonts w:cstheme="minorHAnsi"/>
          <w:i/>
          <w:iCs/>
        </w:rPr>
        <w:t xml:space="preserve">International Journal for Lesson and Learning studies, </w:t>
      </w:r>
      <w:r w:rsidRPr="00A22D75">
        <w:rPr>
          <w:rFonts w:cstheme="minorHAnsi"/>
        </w:rPr>
        <w:t>7(4), tt.250-262.</w:t>
      </w:r>
    </w:p>
    <w:p w14:paraId="398ABFA2" w14:textId="77777777" w:rsidR="0011636D" w:rsidRDefault="0011636D" w:rsidP="00B564D0">
      <w:pPr>
        <w:spacing w:line="360" w:lineRule="auto"/>
        <w:rPr>
          <w:rFonts w:cstheme="minorHAnsi"/>
        </w:rPr>
      </w:pPr>
    </w:p>
    <w:p w14:paraId="540C744E" w14:textId="1AE67874" w:rsidR="0011636D" w:rsidRDefault="0011636D" w:rsidP="00B564D0">
      <w:pPr>
        <w:spacing w:line="360" w:lineRule="auto"/>
        <w:rPr>
          <w:rFonts w:cstheme="minorHAnsi"/>
        </w:rPr>
      </w:pPr>
      <w:r w:rsidRPr="00A22D75">
        <w:rPr>
          <w:rFonts w:cstheme="minorHAnsi"/>
        </w:rPr>
        <w:t xml:space="preserve">Kirkpatrick, A.J. (2019) </w:t>
      </w:r>
      <w:r w:rsidRPr="00A22D75">
        <w:rPr>
          <w:rFonts w:cstheme="minorHAnsi"/>
          <w:i/>
          <w:iCs/>
        </w:rPr>
        <w:t>The Impact student behaviour has on learning</w:t>
      </w:r>
      <w:r w:rsidRPr="00A22D75">
        <w:rPr>
          <w:rFonts w:cstheme="minorHAnsi"/>
        </w:rPr>
        <w:t xml:space="preserve">. Ar gael yn: </w:t>
      </w:r>
      <w:r w:rsidRPr="00A22D75">
        <w:fldChar w:fldCharType="begin"/>
      </w:r>
      <w:r w:rsidRPr="00A22D75">
        <w:rPr>
          <w:rFonts w:cstheme="minorHAnsi"/>
        </w:rPr>
        <w:instrText xml:space="preserve"> HYPERLINK "https://nwcommons.nwciowa.edu/cgi/viewcontent.cgi?article=1147&amp;context=education_masters" </w:instrText>
      </w:r>
      <w:r w:rsidRPr="00A22D75">
        <w:fldChar w:fldCharType="separate"/>
      </w:r>
      <w:r w:rsidRPr="00A22D75">
        <w:rPr>
          <w:rStyle w:val="Hyperlink"/>
          <w:rFonts w:cstheme="minorHAnsi"/>
        </w:rPr>
        <w:t>https://nwcommons.nwciowa.edu/cgi/viewcontent.cgi?article=1147&amp;context=education_masters</w:t>
      </w:r>
      <w:r w:rsidRPr="00A22D75">
        <w:rPr>
          <w:rStyle w:val="Hyperlink"/>
          <w:rFonts w:cstheme="minorHAnsi"/>
        </w:rPr>
        <w:fldChar w:fldCharType="end"/>
      </w:r>
      <w:r w:rsidRPr="00A22D75">
        <w:rPr>
          <w:rFonts w:cstheme="minorHAnsi"/>
        </w:rPr>
        <w:t xml:space="preserve"> (Darllenwyd:19/11/21).</w:t>
      </w:r>
    </w:p>
    <w:p w14:paraId="5BBC17A4" w14:textId="77777777" w:rsidR="0011636D" w:rsidRDefault="0011636D" w:rsidP="00B564D0">
      <w:pPr>
        <w:spacing w:line="360" w:lineRule="auto"/>
        <w:rPr>
          <w:rFonts w:cstheme="minorHAnsi"/>
        </w:rPr>
      </w:pPr>
    </w:p>
    <w:p w14:paraId="54CA902A" w14:textId="59E3D7DA" w:rsidR="0011636D" w:rsidRDefault="0011636D" w:rsidP="00B564D0">
      <w:pPr>
        <w:spacing w:line="360" w:lineRule="auto"/>
        <w:rPr>
          <w:rFonts w:eastAsia="Times New Roman" w:cstheme="minorHAnsi"/>
          <w:color w:val="000000"/>
          <w:shd w:val="clear" w:color="auto" w:fill="FFFFFF"/>
          <w:lang w:val="en-GB" w:eastAsia="en-GB"/>
        </w:rPr>
      </w:pPr>
      <w:r w:rsidRPr="00A22D75">
        <w:rPr>
          <w:rFonts w:eastAsia="Times New Roman" w:cstheme="minorHAnsi"/>
          <w:color w:val="000000"/>
          <w:shd w:val="clear" w:color="auto" w:fill="FFFFFF"/>
          <w:lang w:val="en-GB" w:eastAsia="en-GB"/>
        </w:rPr>
        <w:t>Kolb, D. A. (1976). </w:t>
      </w:r>
      <w:r w:rsidRPr="00A22D75">
        <w:rPr>
          <w:rFonts w:eastAsia="Times New Roman" w:cstheme="minorHAnsi"/>
          <w:i/>
          <w:iCs/>
          <w:color w:val="000000"/>
          <w:lang w:val="en-GB" w:eastAsia="en-GB"/>
        </w:rPr>
        <w:t>The Learning Style Inventory: Technical Manual</w:t>
      </w:r>
      <w:r w:rsidRPr="00A22D75">
        <w:rPr>
          <w:rFonts w:eastAsia="Times New Roman" w:cstheme="minorHAnsi"/>
          <w:color w:val="000000"/>
          <w:shd w:val="clear" w:color="auto" w:fill="FFFFFF"/>
          <w:lang w:val="en-GB" w:eastAsia="en-GB"/>
        </w:rPr>
        <w:t xml:space="preserve">. Boston, MA: </w:t>
      </w:r>
      <w:proofErr w:type="spellStart"/>
      <w:r w:rsidRPr="00A22D75">
        <w:rPr>
          <w:rFonts w:eastAsia="Times New Roman" w:cstheme="minorHAnsi"/>
          <w:color w:val="000000"/>
          <w:shd w:val="clear" w:color="auto" w:fill="FFFFFF"/>
          <w:lang w:val="en-GB" w:eastAsia="en-GB"/>
        </w:rPr>
        <w:t>McBer</w:t>
      </w:r>
      <w:proofErr w:type="spellEnd"/>
      <w:r w:rsidRPr="00A22D75">
        <w:rPr>
          <w:rFonts w:eastAsia="Times New Roman" w:cstheme="minorHAnsi"/>
          <w:color w:val="000000"/>
          <w:shd w:val="clear" w:color="auto" w:fill="FFFFFF"/>
          <w:lang w:val="en-GB" w:eastAsia="en-GB"/>
        </w:rPr>
        <w:t>.</w:t>
      </w:r>
    </w:p>
    <w:p w14:paraId="14DCA7E8" w14:textId="77777777" w:rsidR="0011636D" w:rsidRPr="00A22D75" w:rsidRDefault="0011636D" w:rsidP="00B564D0">
      <w:pPr>
        <w:spacing w:line="360" w:lineRule="auto"/>
        <w:rPr>
          <w:rFonts w:eastAsia="Times New Roman" w:cstheme="minorHAnsi"/>
          <w:lang w:val="en-GB" w:eastAsia="en-GB"/>
        </w:rPr>
      </w:pPr>
    </w:p>
    <w:p w14:paraId="7A096ECD" w14:textId="493B4937" w:rsidR="0011636D" w:rsidRDefault="0011636D" w:rsidP="00B564D0">
      <w:pPr>
        <w:spacing w:line="360" w:lineRule="auto"/>
        <w:rPr>
          <w:rFonts w:cstheme="minorHAnsi"/>
        </w:rPr>
      </w:pPr>
      <w:r w:rsidRPr="00A22D75">
        <w:rPr>
          <w:rFonts w:cstheme="minorHAnsi"/>
        </w:rPr>
        <w:lastRenderedPageBreak/>
        <w:t xml:space="preserve">Lasagabaster, D. a Sierra, J. M. (2011) ‘Classroom Observation: Desirable Conditions Established by Teachers’, </w:t>
      </w:r>
      <w:r w:rsidRPr="00A22D75">
        <w:rPr>
          <w:rFonts w:cstheme="minorHAnsi"/>
          <w:i/>
          <w:iCs/>
        </w:rPr>
        <w:t xml:space="preserve">European Journal of Teacher Education, </w:t>
      </w:r>
      <w:r w:rsidRPr="00A22D75">
        <w:rPr>
          <w:rFonts w:cstheme="minorHAnsi"/>
        </w:rPr>
        <w:t xml:space="preserve"> 34(4), tt.449-463.</w:t>
      </w:r>
    </w:p>
    <w:p w14:paraId="4A2E69C0" w14:textId="77777777" w:rsidR="0011636D" w:rsidRDefault="0011636D" w:rsidP="00B564D0">
      <w:pPr>
        <w:spacing w:line="360" w:lineRule="auto"/>
        <w:rPr>
          <w:rFonts w:cstheme="minorHAnsi"/>
        </w:rPr>
      </w:pPr>
    </w:p>
    <w:p w14:paraId="4E4133D6" w14:textId="719BC7CF" w:rsidR="0011636D" w:rsidRDefault="0011636D" w:rsidP="00B564D0">
      <w:pPr>
        <w:spacing w:line="360" w:lineRule="auto"/>
        <w:rPr>
          <w:rFonts w:cstheme="minorHAnsi"/>
        </w:rPr>
      </w:pPr>
      <w:r w:rsidRPr="00A22D75">
        <w:rPr>
          <w:rFonts w:cstheme="minorHAnsi"/>
        </w:rPr>
        <w:t xml:space="preserve">Lee, J.F.K. (2008) ‘A Hong Kong case of Lesson Study- Benefits and Concerns’, </w:t>
      </w:r>
      <w:r w:rsidRPr="00A22D75">
        <w:rPr>
          <w:rFonts w:cstheme="minorHAnsi"/>
          <w:i/>
          <w:iCs/>
        </w:rPr>
        <w:t xml:space="preserve">Teaching and Teacher Education, </w:t>
      </w:r>
      <w:r w:rsidRPr="00A22D75">
        <w:rPr>
          <w:rFonts w:cstheme="minorHAnsi"/>
        </w:rPr>
        <w:t>24, tt.1115-1124.</w:t>
      </w:r>
    </w:p>
    <w:p w14:paraId="004D40F8" w14:textId="77777777" w:rsidR="0011636D" w:rsidRDefault="0011636D" w:rsidP="00B564D0">
      <w:pPr>
        <w:spacing w:line="360" w:lineRule="auto"/>
        <w:rPr>
          <w:rFonts w:cstheme="minorHAnsi"/>
        </w:rPr>
      </w:pPr>
    </w:p>
    <w:p w14:paraId="366E7BCC" w14:textId="77777777" w:rsidR="0011636D" w:rsidRPr="00A22D75" w:rsidRDefault="0011636D" w:rsidP="00B564D0">
      <w:pPr>
        <w:spacing w:line="360" w:lineRule="auto"/>
        <w:rPr>
          <w:rFonts w:cstheme="minorHAnsi"/>
          <w:i/>
          <w:iCs/>
        </w:rPr>
      </w:pPr>
      <w:r w:rsidRPr="00A22D75">
        <w:rPr>
          <w:rFonts w:cstheme="minorHAnsi"/>
        </w:rPr>
        <w:t xml:space="preserve">Lewis, A. (1992) ‘Group Child Interviews as a Research Tool’, </w:t>
      </w:r>
      <w:r w:rsidRPr="00A22D75">
        <w:rPr>
          <w:rFonts w:cstheme="minorHAnsi"/>
          <w:i/>
          <w:iCs/>
        </w:rPr>
        <w:t>British Educational Research Journal,</w:t>
      </w:r>
      <w:r w:rsidRPr="00A22D75">
        <w:rPr>
          <w:rFonts w:cstheme="minorHAnsi"/>
        </w:rPr>
        <w:t xml:space="preserve"> 18(4), tt.413-421.</w:t>
      </w:r>
    </w:p>
    <w:p w14:paraId="47901FE5" w14:textId="77777777" w:rsidR="0011636D" w:rsidRPr="00652935" w:rsidRDefault="0011636D" w:rsidP="00B564D0">
      <w:pPr>
        <w:pStyle w:val="NormalWeb"/>
        <w:spacing w:line="360" w:lineRule="auto"/>
        <w:jc w:val="both"/>
        <w:rPr>
          <w:rFonts w:asciiTheme="minorHAnsi" w:hAnsiTheme="minorHAnsi" w:cstheme="minorHAnsi"/>
        </w:rPr>
      </w:pPr>
      <w:proofErr w:type="spellStart"/>
      <w:r w:rsidRPr="00652935">
        <w:rPr>
          <w:rFonts w:asciiTheme="minorHAnsi" w:hAnsiTheme="minorHAnsi" w:cstheme="minorHAnsi"/>
        </w:rPr>
        <w:t>Llywodraeth</w:t>
      </w:r>
      <w:proofErr w:type="spellEnd"/>
      <w:r w:rsidRPr="00652935">
        <w:rPr>
          <w:rFonts w:asciiTheme="minorHAnsi" w:hAnsiTheme="minorHAnsi" w:cstheme="minorHAnsi"/>
        </w:rPr>
        <w:t xml:space="preserve"> Cymru. (2017)</w:t>
      </w:r>
      <w:r w:rsidRPr="00652935">
        <w:rPr>
          <w:rFonts w:asciiTheme="minorHAnsi" w:hAnsiTheme="minorHAnsi" w:cstheme="minorHAnsi"/>
          <w:i/>
          <w:iCs/>
        </w:rPr>
        <w:t xml:space="preserve"> </w:t>
      </w:r>
      <w:proofErr w:type="spellStart"/>
      <w:r w:rsidRPr="00652935">
        <w:rPr>
          <w:rFonts w:asciiTheme="minorHAnsi" w:hAnsiTheme="minorHAnsi" w:cstheme="minorHAnsi"/>
          <w:i/>
          <w:iCs/>
        </w:rPr>
        <w:t>Safonau</w:t>
      </w:r>
      <w:proofErr w:type="spellEnd"/>
      <w:r w:rsidRPr="00652935">
        <w:rPr>
          <w:rFonts w:asciiTheme="minorHAnsi" w:hAnsiTheme="minorHAnsi" w:cstheme="minorHAnsi"/>
          <w:i/>
          <w:iCs/>
        </w:rPr>
        <w:t xml:space="preserve"> </w:t>
      </w:r>
      <w:proofErr w:type="spellStart"/>
      <w:r w:rsidRPr="00652935">
        <w:rPr>
          <w:rFonts w:asciiTheme="minorHAnsi" w:hAnsiTheme="minorHAnsi" w:cstheme="minorHAnsi"/>
          <w:i/>
          <w:iCs/>
        </w:rPr>
        <w:t>Proffesiynnol</w:t>
      </w:r>
      <w:proofErr w:type="spellEnd"/>
      <w:r w:rsidRPr="00652935">
        <w:rPr>
          <w:rFonts w:asciiTheme="minorHAnsi" w:hAnsiTheme="minorHAnsi" w:cstheme="minorHAnsi"/>
          <w:i/>
          <w:iCs/>
        </w:rPr>
        <w:t xml:space="preserve"> </w:t>
      </w:r>
      <w:proofErr w:type="spellStart"/>
      <w:r w:rsidRPr="00652935">
        <w:rPr>
          <w:rFonts w:asciiTheme="minorHAnsi" w:hAnsiTheme="minorHAnsi" w:cstheme="minorHAnsi"/>
          <w:i/>
          <w:iCs/>
        </w:rPr>
        <w:t>ar</w:t>
      </w:r>
      <w:proofErr w:type="spellEnd"/>
      <w:r w:rsidRPr="00652935">
        <w:rPr>
          <w:rFonts w:asciiTheme="minorHAnsi" w:hAnsiTheme="minorHAnsi" w:cstheme="minorHAnsi"/>
          <w:i/>
          <w:iCs/>
        </w:rPr>
        <w:t xml:space="preserve"> </w:t>
      </w:r>
      <w:proofErr w:type="spellStart"/>
      <w:r w:rsidRPr="00652935">
        <w:rPr>
          <w:rFonts w:asciiTheme="minorHAnsi" w:hAnsiTheme="minorHAnsi" w:cstheme="minorHAnsi"/>
          <w:i/>
          <w:iCs/>
        </w:rPr>
        <w:t>gyfer</w:t>
      </w:r>
      <w:proofErr w:type="spellEnd"/>
      <w:r w:rsidRPr="00652935">
        <w:rPr>
          <w:rFonts w:asciiTheme="minorHAnsi" w:hAnsiTheme="minorHAnsi" w:cstheme="minorHAnsi"/>
          <w:i/>
          <w:iCs/>
        </w:rPr>
        <w:t xml:space="preserve"> </w:t>
      </w:r>
      <w:proofErr w:type="spellStart"/>
      <w:r w:rsidRPr="00652935">
        <w:rPr>
          <w:rFonts w:asciiTheme="minorHAnsi" w:hAnsiTheme="minorHAnsi" w:cstheme="minorHAnsi"/>
          <w:i/>
          <w:iCs/>
        </w:rPr>
        <w:t>Addysgu</w:t>
      </w:r>
      <w:proofErr w:type="spellEnd"/>
      <w:r w:rsidRPr="00652935">
        <w:rPr>
          <w:rFonts w:asciiTheme="minorHAnsi" w:hAnsiTheme="minorHAnsi" w:cstheme="minorHAnsi"/>
          <w:i/>
          <w:iCs/>
        </w:rPr>
        <w:t xml:space="preserve"> ac </w:t>
      </w:r>
      <w:proofErr w:type="spellStart"/>
      <w:r w:rsidRPr="00652935">
        <w:rPr>
          <w:rFonts w:asciiTheme="minorHAnsi" w:hAnsiTheme="minorHAnsi" w:cstheme="minorHAnsi"/>
          <w:i/>
          <w:iCs/>
        </w:rPr>
        <w:t>Arweinyddiaeth</w:t>
      </w:r>
      <w:proofErr w:type="spellEnd"/>
      <w:r w:rsidRPr="00652935">
        <w:rPr>
          <w:rFonts w:asciiTheme="minorHAnsi" w:hAnsiTheme="minorHAnsi" w:cstheme="minorHAnsi"/>
          <w:i/>
          <w:iCs/>
        </w:rPr>
        <w:t>.</w:t>
      </w:r>
      <w:r w:rsidRPr="00652935">
        <w:rPr>
          <w:rFonts w:asciiTheme="minorHAnsi" w:hAnsiTheme="minorHAnsi" w:cstheme="minorHAnsi"/>
        </w:rPr>
        <w:t xml:space="preserve"> </w:t>
      </w:r>
      <w:proofErr w:type="spellStart"/>
      <w:r w:rsidRPr="00652935">
        <w:rPr>
          <w:rFonts w:asciiTheme="minorHAnsi" w:hAnsiTheme="minorHAnsi" w:cstheme="minorHAnsi"/>
        </w:rPr>
        <w:t>Caerdydd</w:t>
      </w:r>
      <w:proofErr w:type="spellEnd"/>
      <w:r w:rsidRPr="00652935">
        <w:rPr>
          <w:rFonts w:asciiTheme="minorHAnsi" w:hAnsiTheme="minorHAnsi" w:cstheme="minorHAnsi"/>
        </w:rPr>
        <w:t xml:space="preserve">: </w:t>
      </w:r>
      <w:proofErr w:type="spellStart"/>
      <w:r w:rsidRPr="00652935">
        <w:rPr>
          <w:rFonts w:asciiTheme="minorHAnsi" w:hAnsiTheme="minorHAnsi" w:cstheme="minorHAnsi"/>
        </w:rPr>
        <w:t>Llywodraeth</w:t>
      </w:r>
      <w:proofErr w:type="spellEnd"/>
      <w:r w:rsidRPr="00652935">
        <w:rPr>
          <w:rFonts w:asciiTheme="minorHAnsi" w:hAnsiTheme="minorHAnsi" w:cstheme="minorHAnsi"/>
        </w:rPr>
        <w:t xml:space="preserve"> Cymru.</w:t>
      </w:r>
    </w:p>
    <w:p w14:paraId="7F246569" w14:textId="2EC22BCF" w:rsidR="0011636D" w:rsidRDefault="0011636D" w:rsidP="00B564D0">
      <w:pPr>
        <w:spacing w:line="360" w:lineRule="auto"/>
        <w:jc w:val="both"/>
        <w:rPr>
          <w:rFonts w:cstheme="minorHAnsi"/>
        </w:rPr>
      </w:pPr>
      <w:r w:rsidRPr="00A22D75">
        <w:rPr>
          <w:rFonts w:cstheme="minorHAnsi"/>
        </w:rPr>
        <w:t xml:space="preserve">Nilvius, C. (2020) ‘Merging Lesson Study and Response to Intervention’, </w:t>
      </w:r>
      <w:r w:rsidRPr="00A22D75">
        <w:rPr>
          <w:rFonts w:cstheme="minorHAnsi"/>
          <w:i/>
          <w:iCs/>
        </w:rPr>
        <w:t xml:space="preserve">International Journal for Lesson and Learning Studies, </w:t>
      </w:r>
      <w:r w:rsidRPr="00A22D75">
        <w:rPr>
          <w:rFonts w:cstheme="minorHAnsi"/>
        </w:rPr>
        <w:t>9(3), tt.277-288.</w:t>
      </w:r>
    </w:p>
    <w:p w14:paraId="6A176323" w14:textId="77777777" w:rsidR="0011636D" w:rsidRDefault="0011636D" w:rsidP="00B564D0">
      <w:pPr>
        <w:spacing w:line="360" w:lineRule="auto"/>
        <w:jc w:val="both"/>
        <w:rPr>
          <w:rFonts w:cstheme="minorHAnsi"/>
        </w:rPr>
      </w:pPr>
    </w:p>
    <w:p w14:paraId="32536974" w14:textId="1E43341F" w:rsidR="0011636D" w:rsidRDefault="0011636D" w:rsidP="00B564D0">
      <w:pPr>
        <w:spacing w:line="360" w:lineRule="auto"/>
        <w:rPr>
          <w:rFonts w:cstheme="minorHAnsi"/>
        </w:rPr>
      </w:pPr>
      <w:r w:rsidRPr="00A22D75">
        <w:rPr>
          <w:rFonts w:cstheme="minorHAnsi"/>
        </w:rPr>
        <w:t xml:space="preserve">Oplatka, I. (2018) ‘Understanding Emotion in Educational and Service Organizations through semi-structured Interviews: Some Conceptual and Practical Insights’, </w:t>
      </w:r>
      <w:r w:rsidRPr="00A22D75">
        <w:rPr>
          <w:rFonts w:cstheme="minorHAnsi"/>
          <w:i/>
          <w:iCs/>
        </w:rPr>
        <w:t xml:space="preserve">Qualitative Report, </w:t>
      </w:r>
      <w:r w:rsidRPr="00A22D75">
        <w:rPr>
          <w:rFonts w:cstheme="minorHAnsi"/>
        </w:rPr>
        <w:t>23(6), tt.1347-1363.</w:t>
      </w:r>
    </w:p>
    <w:p w14:paraId="13334D26" w14:textId="77777777" w:rsidR="0011636D" w:rsidRDefault="0011636D" w:rsidP="00B564D0">
      <w:pPr>
        <w:spacing w:line="360" w:lineRule="auto"/>
        <w:rPr>
          <w:rFonts w:cstheme="minorHAnsi"/>
        </w:rPr>
      </w:pPr>
    </w:p>
    <w:p w14:paraId="450147CE" w14:textId="32237403" w:rsidR="0011636D" w:rsidRDefault="0011636D" w:rsidP="00B564D0">
      <w:pPr>
        <w:spacing w:line="360" w:lineRule="auto"/>
        <w:rPr>
          <w:rFonts w:cstheme="minorHAnsi"/>
        </w:rPr>
      </w:pPr>
      <w:r w:rsidRPr="00A22D75">
        <w:rPr>
          <w:rFonts w:cstheme="minorHAnsi"/>
        </w:rPr>
        <w:t>Parsonson, B.S. (2012) ‘Evidence based Classroom behaviour management strategies’, Kairaranga, 13(1), tt.16-23.</w:t>
      </w:r>
    </w:p>
    <w:p w14:paraId="15265C54" w14:textId="77777777" w:rsidR="0011636D" w:rsidRDefault="0011636D" w:rsidP="00B564D0">
      <w:pPr>
        <w:spacing w:line="360" w:lineRule="auto"/>
        <w:rPr>
          <w:rFonts w:cstheme="minorHAnsi"/>
        </w:rPr>
      </w:pPr>
    </w:p>
    <w:p w14:paraId="5D2C7A4F" w14:textId="7BB0AFB2" w:rsidR="0011636D" w:rsidRDefault="0011636D" w:rsidP="00B564D0">
      <w:pPr>
        <w:spacing w:line="360" w:lineRule="auto"/>
        <w:rPr>
          <w:rFonts w:eastAsia="Times New Roman" w:cstheme="minorHAnsi"/>
          <w:color w:val="222222"/>
          <w:shd w:val="clear" w:color="auto" w:fill="FFFFFF"/>
          <w:lang w:val="en-GB" w:eastAsia="en-GB"/>
        </w:rPr>
      </w:pPr>
      <w:proofErr w:type="spellStart"/>
      <w:r w:rsidRPr="00A22D75">
        <w:rPr>
          <w:rFonts w:eastAsia="Times New Roman" w:cstheme="minorHAnsi"/>
          <w:color w:val="222222"/>
          <w:shd w:val="clear" w:color="auto" w:fill="FFFFFF"/>
          <w:lang w:val="en-GB" w:eastAsia="en-GB"/>
        </w:rPr>
        <w:t>Rinekso</w:t>
      </w:r>
      <w:proofErr w:type="spellEnd"/>
      <w:r w:rsidRPr="00A22D75">
        <w:rPr>
          <w:rFonts w:eastAsia="Times New Roman" w:cstheme="minorHAnsi"/>
          <w:color w:val="222222"/>
          <w:shd w:val="clear" w:color="auto" w:fill="FFFFFF"/>
          <w:lang w:val="en-GB" w:eastAsia="en-GB"/>
        </w:rPr>
        <w:t xml:space="preserve">, </w:t>
      </w:r>
      <w:proofErr w:type="gramStart"/>
      <w:r w:rsidRPr="00A22D75">
        <w:rPr>
          <w:rFonts w:eastAsia="Times New Roman" w:cstheme="minorHAnsi"/>
          <w:color w:val="222222"/>
          <w:shd w:val="clear" w:color="auto" w:fill="FFFFFF"/>
          <w:lang w:val="en-GB" w:eastAsia="en-GB"/>
        </w:rPr>
        <w:t>A.B.(</w:t>
      </w:r>
      <w:proofErr w:type="gramEnd"/>
      <w:r w:rsidRPr="00A22D75">
        <w:rPr>
          <w:rFonts w:eastAsia="Times New Roman" w:cstheme="minorHAnsi"/>
          <w:color w:val="222222"/>
          <w:shd w:val="clear" w:color="auto" w:fill="FFFFFF"/>
          <w:lang w:val="en-GB" w:eastAsia="en-GB"/>
        </w:rPr>
        <w:t>2021). ‘Pros and Cons of Learning Style: an Implication for English Language Teachers</w:t>
      </w:r>
      <w:proofErr w:type="gramStart"/>
      <w:r w:rsidRPr="00A22D75">
        <w:rPr>
          <w:rFonts w:eastAsia="Times New Roman" w:cstheme="minorHAnsi"/>
          <w:color w:val="222222"/>
          <w:shd w:val="clear" w:color="auto" w:fill="FFFFFF"/>
          <w:lang w:val="en-GB" w:eastAsia="en-GB"/>
        </w:rPr>
        <w:t>’,  </w:t>
      </w:r>
      <w:r w:rsidRPr="00A22D75">
        <w:rPr>
          <w:rFonts w:eastAsia="Times New Roman" w:cstheme="minorHAnsi"/>
          <w:i/>
          <w:iCs/>
          <w:color w:val="222222"/>
          <w:lang w:val="en-GB" w:eastAsia="en-GB"/>
        </w:rPr>
        <w:t>Acuity</w:t>
      </w:r>
      <w:proofErr w:type="gramEnd"/>
      <w:r w:rsidRPr="00A22D75">
        <w:rPr>
          <w:rFonts w:eastAsia="Times New Roman" w:cstheme="minorHAnsi"/>
          <w:i/>
          <w:iCs/>
          <w:color w:val="222222"/>
          <w:lang w:val="en-GB" w:eastAsia="en-GB"/>
        </w:rPr>
        <w:t>: Journal of English Language Pedagogy, Literature and Culture</w:t>
      </w:r>
      <w:r w:rsidRPr="00A22D75">
        <w:rPr>
          <w:rFonts w:eastAsia="Times New Roman" w:cstheme="minorHAnsi"/>
          <w:color w:val="222222"/>
          <w:shd w:val="clear" w:color="auto" w:fill="FFFFFF"/>
          <w:lang w:val="en-GB" w:eastAsia="en-GB"/>
        </w:rPr>
        <w:t>, </w:t>
      </w:r>
      <w:r w:rsidRPr="00A22D75">
        <w:rPr>
          <w:rFonts w:eastAsia="Times New Roman" w:cstheme="minorHAnsi"/>
          <w:i/>
          <w:iCs/>
          <w:color w:val="222222"/>
          <w:lang w:val="en-GB" w:eastAsia="en-GB"/>
        </w:rPr>
        <w:t>6</w:t>
      </w:r>
      <w:r w:rsidRPr="00A22D75">
        <w:rPr>
          <w:rFonts w:eastAsia="Times New Roman" w:cstheme="minorHAnsi"/>
          <w:color w:val="222222"/>
          <w:shd w:val="clear" w:color="auto" w:fill="FFFFFF"/>
          <w:lang w:val="en-GB" w:eastAsia="en-GB"/>
        </w:rPr>
        <w:t>(1), pp.12-23.</w:t>
      </w:r>
    </w:p>
    <w:p w14:paraId="44512DCF" w14:textId="77777777" w:rsidR="0011636D" w:rsidRDefault="0011636D" w:rsidP="00B564D0">
      <w:pPr>
        <w:spacing w:line="360" w:lineRule="auto"/>
        <w:rPr>
          <w:rFonts w:eastAsia="Times New Roman" w:cstheme="minorHAnsi"/>
          <w:color w:val="222222"/>
          <w:shd w:val="clear" w:color="auto" w:fill="FFFFFF"/>
          <w:lang w:val="en-GB" w:eastAsia="en-GB"/>
        </w:rPr>
      </w:pPr>
    </w:p>
    <w:p w14:paraId="0E5D05B0" w14:textId="795738A2" w:rsidR="0011636D" w:rsidRDefault="0011636D" w:rsidP="00B564D0">
      <w:pPr>
        <w:spacing w:line="360" w:lineRule="auto"/>
        <w:rPr>
          <w:rFonts w:cstheme="minorHAnsi"/>
        </w:rPr>
      </w:pPr>
      <w:r w:rsidRPr="00A22D75">
        <w:rPr>
          <w:rFonts w:cstheme="minorHAnsi"/>
        </w:rPr>
        <w:t xml:space="preserve">Rock, T.C. a Wilson, C. (2005) ‘Improving teaching through lesson study’, </w:t>
      </w:r>
      <w:r w:rsidRPr="00A22D75">
        <w:rPr>
          <w:rFonts w:cstheme="minorHAnsi"/>
          <w:i/>
          <w:iCs/>
        </w:rPr>
        <w:t xml:space="preserve">Teacher Education Quarterly, </w:t>
      </w:r>
      <w:r w:rsidRPr="00A22D75">
        <w:rPr>
          <w:rFonts w:cstheme="minorHAnsi"/>
        </w:rPr>
        <w:t>32(1), tt. 72-92.</w:t>
      </w:r>
    </w:p>
    <w:p w14:paraId="2224A846" w14:textId="77777777" w:rsidR="0011636D" w:rsidRDefault="0011636D" w:rsidP="00B564D0">
      <w:pPr>
        <w:spacing w:line="360" w:lineRule="auto"/>
        <w:rPr>
          <w:rFonts w:cstheme="minorHAnsi"/>
        </w:rPr>
      </w:pPr>
    </w:p>
    <w:p w14:paraId="21AFF460" w14:textId="73583DFF" w:rsidR="0011636D" w:rsidRDefault="0011636D" w:rsidP="00B564D0">
      <w:pPr>
        <w:spacing w:line="360" w:lineRule="auto"/>
        <w:rPr>
          <w:rFonts w:cstheme="minorHAnsi"/>
        </w:rPr>
      </w:pPr>
      <w:r w:rsidRPr="00A22D75">
        <w:rPr>
          <w:rFonts w:cstheme="minorHAnsi"/>
        </w:rPr>
        <w:t xml:space="preserve">Rogers, B. (2015) </w:t>
      </w:r>
      <w:r w:rsidRPr="00A22D75">
        <w:rPr>
          <w:rFonts w:cstheme="minorHAnsi"/>
          <w:i/>
          <w:iCs/>
        </w:rPr>
        <w:t xml:space="preserve">Classroom Behaviour. </w:t>
      </w:r>
      <w:r w:rsidRPr="00A22D75">
        <w:rPr>
          <w:rFonts w:cstheme="minorHAnsi"/>
        </w:rPr>
        <w:t>4ydd arg. Llundain: SAGE Publications Ltd.</w:t>
      </w:r>
    </w:p>
    <w:p w14:paraId="1B4F6529" w14:textId="77777777" w:rsidR="0011636D" w:rsidRDefault="0011636D" w:rsidP="00B564D0">
      <w:pPr>
        <w:spacing w:line="360" w:lineRule="auto"/>
        <w:rPr>
          <w:rFonts w:cstheme="minorHAnsi"/>
        </w:rPr>
      </w:pPr>
    </w:p>
    <w:p w14:paraId="763ECCA1" w14:textId="4FE8A3BF" w:rsidR="0011636D" w:rsidRDefault="0011636D" w:rsidP="00B564D0">
      <w:pPr>
        <w:spacing w:line="360" w:lineRule="auto"/>
        <w:rPr>
          <w:rFonts w:cstheme="minorHAnsi"/>
        </w:rPr>
      </w:pPr>
      <w:r w:rsidRPr="00A22D75">
        <w:rPr>
          <w:rFonts w:cstheme="minorHAnsi"/>
        </w:rPr>
        <w:lastRenderedPageBreak/>
        <w:t xml:space="preserve">Rooney, B. J. A Evans, A. N. (2019) </w:t>
      </w:r>
      <w:r w:rsidRPr="00A22D75">
        <w:rPr>
          <w:rFonts w:cstheme="minorHAnsi"/>
          <w:i/>
          <w:iCs/>
        </w:rPr>
        <w:t xml:space="preserve">Methods in Psychological Research. </w:t>
      </w:r>
      <w:r w:rsidRPr="00A22D75">
        <w:rPr>
          <w:rFonts w:cstheme="minorHAnsi"/>
        </w:rPr>
        <w:t>4ydd arg</w:t>
      </w:r>
      <w:r w:rsidRPr="00A22D75">
        <w:rPr>
          <w:rFonts w:cstheme="minorHAnsi"/>
          <w:i/>
          <w:iCs/>
        </w:rPr>
        <w:t>.</w:t>
      </w:r>
      <w:r w:rsidRPr="00A22D75">
        <w:rPr>
          <w:rFonts w:cstheme="minorHAnsi"/>
        </w:rPr>
        <w:t xml:space="preserve"> California: SAGE Publications</w:t>
      </w:r>
      <w:r>
        <w:rPr>
          <w:rFonts w:cstheme="minorHAnsi"/>
        </w:rPr>
        <w:t>.</w:t>
      </w:r>
    </w:p>
    <w:p w14:paraId="2ADEA5AA" w14:textId="77777777" w:rsidR="0011636D" w:rsidRDefault="0011636D" w:rsidP="00B564D0">
      <w:pPr>
        <w:spacing w:line="360" w:lineRule="auto"/>
        <w:rPr>
          <w:rFonts w:cstheme="minorHAnsi"/>
        </w:rPr>
      </w:pPr>
    </w:p>
    <w:p w14:paraId="623D40CF" w14:textId="3A8624FA" w:rsidR="0011636D" w:rsidRDefault="0011636D" w:rsidP="00B564D0">
      <w:pPr>
        <w:spacing w:line="360" w:lineRule="auto"/>
        <w:rPr>
          <w:rFonts w:cstheme="minorHAnsi"/>
        </w:rPr>
      </w:pPr>
      <w:r w:rsidRPr="00A22D75">
        <w:rPr>
          <w:rFonts w:cstheme="minorHAnsi"/>
        </w:rPr>
        <w:t xml:space="preserve">Saeger, A.M (2017) ‘Using ClassDojo to promote positive behaviours and decrease negative behaviours in the classroom’, </w:t>
      </w:r>
      <w:r w:rsidRPr="00A22D75">
        <w:rPr>
          <w:rFonts w:cstheme="minorHAnsi"/>
          <w:i/>
          <w:iCs/>
        </w:rPr>
        <w:t>Theses and Dissertations,</w:t>
      </w:r>
      <w:r w:rsidRPr="00A22D75">
        <w:rPr>
          <w:rFonts w:cstheme="minorHAnsi"/>
        </w:rPr>
        <w:t xml:space="preserve"> tt.2-42.</w:t>
      </w:r>
    </w:p>
    <w:p w14:paraId="474569D4" w14:textId="77777777" w:rsidR="0011636D" w:rsidRDefault="0011636D" w:rsidP="00B564D0">
      <w:pPr>
        <w:spacing w:line="360" w:lineRule="auto"/>
        <w:rPr>
          <w:rFonts w:cstheme="minorHAnsi"/>
        </w:rPr>
      </w:pPr>
    </w:p>
    <w:p w14:paraId="62EC3D02" w14:textId="4CF9D024" w:rsidR="0011636D" w:rsidRDefault="0011636D" w:rsidP="00B564D0">
      <w:pPr>
        <w:spacing w:line="360" w:lineRule="auto"/>
        <w:rPr>
          <w:rFonts w:cstheme="minorHAnsi"/>
        </w:rPr>
      </w:pPr>
      <w:r w:rsidRPr="00A22D75">
        <w:rPr>
          <w:rFonts w:cstheme="minorHAnsi"/>
        </w:rPr>
        <w:t xml:space="preserve">Sato, T. </w:t>
      </w:r>
      <w:r w:rsidRPr="00A22D75">
        <w:rPr>
          <w:rFonts w:cstheme="minorHAnsi"/>
          <w:i/>
          <w:iCs/>
        </w:rPr>
        <w:t>et al.</w:t>
      </w:r>
      <w:r w:rsidRPr="00A22D75">
        <w:rPr>
          <w:rFonts w:cstheme="minorHAnsi"/>
        </w:rPr>
        <w:t xml:space="preserve"> (2020) ‘Japanese Elementary Teachers  Professional Development Experiences in Physical Education and Sport Pedagogy, 25 (2), tt. 137-153.</w:t>
      </w:r>
    </w:p>
    <w:p w14:paraId="26B2E506" w14:textId="77777777" w:rsidR="0011636D" w:rsidRDefault="0011636D" w:rsidP="00B564D0">
      <w:pPr>
        <w:spacing w:line="360" w:lineRule="auto"/>
        <w:rPr>
          <w:rFonts w:cstheme="minorHAnsi"/>
        </w:rPr>
      </w:pPr>
    </w:p>
    <w:p w14:paraId="1BED6094" w14:textId="3808D8E5" w:rsidR="0011636D" w:rsidRDefault="0011636D" w:rsidP="00B564D0">
      <w:pPr>
        <w:spacing w:line="360" w:lineRule="auto"/>
        <w:rPr>
          <w:rFonts w:cstheme="minorHAnsi"/>
        </w:rPr>
      </w:pPr>
      <w:r w:rsidRPr="00A22D75">
        <w:rPr>
          <w:rFonts w:cstheme="minorHAnsi"/>
        </w:rPr>
        <w:t xml:space="preserve">Schipper, T. </w:t>
      </w:r>
      <w:r w:rsidRPr="00A22D75">
        <w:rPr>
          <w:rFonts w:cstheme="minorHAnsi"/>
          <w:i/>
          <w:iCs/>
        </w:rPr>
        <w:t>et al.</w:t>
      </w:r>
      <w:r w:rsidRPr="00A22D75">
        <w:rPr>
          <w:rFonts w:cstheme="minorHAnsi"/>
        </w:rPr>
        <w:t xml:space="preserve"> (2018) ‘Developing teachers self-efficacy and adaptive taching behaviour through lesson study’, </w:t>
      </w:r>
      <w:r w:rsidRPr="00A22D75">
        <w:rPr>
          <w:rFonts w:cstheme="minorHAnsi"/>
          <w:i/>
          <w:iCs/>
        </w:rPr>
        <w:t xml:space="preserve">International Journal of Educational Research, </w:t>
      </w:r>
      <w:r w:rsidRPr="00A22D75">
        <w:rPr>
          <w:rFonts w:cstheme="minorHAnsi"/>
        </w:rPr>
        <w:t>88, tt.109-120.</w:t>
      </w:r>
    </w:p>
    <w:p w14:paraId="46758822" w14:textId="77777777" w:rsidR="0011636D" w:rsidRDefault="0011636D" w:rsidP="00B564D0">
      <w:pPr>
        <w:spacing w:line="360" w:lineRule="auto"/>
        <w:rPr>
          <w:rFonts w:cstheme="minorHAnsi"/>
        </w:rPr>
      </w:pPr>
    </w:p>
    <w:p w14:paraId="7C9EC1FD" w14:textId="25F44A02" w:rsidR="0011636D" w:rsidRDefault="0011636D" w:rsidP="00B564D0">
      <w:pPr>
        <w:spacing w:line="360" w:lineRule="auto"/>
        <w:rPr>
          <w:rFonts w:cstheme="minorHAnsi"/>
        </w:rPr>
      </w:pPr>
      <w:r w:rsidRPr="00A22D75">
        <w:rPr>
          <w:rFonts w:cstheme="minorHAnsi"/>
        </w:rPr>
        <w:t xml:space="preserve">Sedova, K. a Salamounova, Z. (2016) ‘Teacher Expectancies, Teacher Behaviour and Students’ Participation in the Classroom Discourse’, </w:t>
      </w:r>
      <w:r w:rsidRPr="00A22D75">
        <w:rPr>
          <w:rFonts w:cstheme="minorHAnsi"/>
          <w:i/>
          <w:iCs/>
        </w:rPr>
        <w:t xml:space="preserve">The Journal pf Educational Equiry, </w:t>
      </w:r>
      <w:r w:rsidRPr="00A22D75">
        <w:rPr>
          <w:rFonts w:cstheme="minorHAnsi"/>
        </w:rPr>
        <w:t>15(1), tt.44-61.</w:t>
      </w:r>
    </w:p>
    <w:p w14:paraId="27C7F769" w14:textId="77777777" w:rsidR="0011636D" w:rsidRDefault="0011636D" w:rsidP="00B564D0">
      <w:pPr>
        <w:spacing w:line="360" w:lineRule="auto"/>
        <w:rPr>
          <w:rFonts w:cstheme="minorHAnsi"/>
        </w:rPr>
      </w:pPr>
    </w:p>
    <w:p w14:paraId="7184F7E6" w14:textId="3D6B31F7" w:rsidR="0011636D" w:rsidRDefault="0011636D" w:rsidP="00B564D0">
      <w:pPr>
        <w:spacing w:line="360" w:lineRule="auto"/>
        <w:rPr>
          <w:rFonts w:cstheme="minorHAnsi"/>
        </w:rPr>
      </w:pPr>
      <w:r w:rsidRPr="00A22D75">
        <w:rPr>
          <w:rFonts w:cstheme="minorHAnsi"/>
        </w:rPr>
        <w:t xml:space="preserve">Skinner, B.F. (1953) </w:t>
      </w:r>
      <w:r w:rsidRPr="00A22D75">
        <w:rPr>
          <w:rFonts w:cstheme="minorHAnsi"/>
          <w:i/>
          <w:iCs/>
        </w:rPr>
        <w:t>Science and Human Behaviour.</w:t>
      </w:r>
      <w:r w:rsidRPr="00A22D75">
        <w:rPr>
          <w:rFonts w:cstheme="minorHAnsi"/>
        </w:rPr>
        <w:t xml:space="preserve"> New York: The Free Press.</w:t>
      </w:r>
    </w:p>
    <w:p w14:paraId="54689AC2" w14:textId="77777777" w:rsidR="0011636D" w:rsidRDefault="0011636D" w:rsidP="00B564D0">
      <w:pPr>
        <w:spacing w:line="360" w:lineRule="auto"/>
        <w:rPr>
          <w:rFonts w:cstheme="minorHAnsi"/>
        </w:rPr>
      </w:pPr>
    </w:p>
    <w:p w14:paraId="15272F77" w14:textId="77777777" w:rsidR="0011636D" w:rsidRPr="00A22D75" w:rsidRDefault="0011636D" w:rsidP="00B564D0">
      <w:pPr>
        <w:spacing w:line="360" w:lineRule="auto"/>
        <w:rPr>
          <w:rFonts w:cstheme="minorHAnsi"/>
        </w:rPr>
      </w:pPr>
      <w:r w:rsidRPr="00A22D75">
        <w:rPr>
          <w:rFonts w:cstheme="minorHAnsi"/>
        </w:rPr>
        <w:t xml:space="preserve">Skinner, B.F. (1974) </w:t>
      </w:r>
      <w:r w:rsidRPr="00A22D75">
        <w:rPr>
          <w:rFonts w:cstheme="minorHAnsi"/>
          <w:i/>
          <w:iCs/>
        </w:rPr>
        <w:t>About Behaviorism.</w:t>
      </w:r>
      <w:r w:rsidRPr="00A22D75">
        <w:rPr>
          <w:rFonts w:cstheme="minorHAnsi"/>
        </w:rPr>
        <w:t xml:space="preserve"> New York: Vintage books.</w:t>
      </w:r>
    </w:p>
    <w:p w14:paraId="1B5493EB" w14:textId="77777777" w:rsidR="0011636D" w:rsidRPr="00A04FE8" w:rsidRDefault="0011636D" w:rsidP="00B564D0">
      <w:pPr>
        <w:pStyle w:val="NormalWeb"/>
        <w:spacing w:line="360" w:lineRule="auto"/>
        <w:jc w:val="both"/>
        <w:rPr>
          <w:rFonts w:ascii="Arial" w:hAnsi="Arial" w:cs="Arial"/>
          <w:sz w:val="22"/>
          <w:szCs w:val="22"/>
        </w:rPr>
      </w:pPr>
      <w:r>
        <w:rPr>
          <w:rFonts w:ascii="Arial" w:hAnsi="Arial" w:cs="Arial"/>
          <w:sz w:val="22"/>
          <w:szCs w:val="22"/>
        </w:rPr>
        <w:t xml:space="preserve">Smith, T. a Smith, S. (2018) ‘Reliability and Validity of the Research Methods Skills Assessment’, </w:t>
      </w:r>
      <w:r>
        <w:rPr>
          <w:rFonts w:ascii="Arial" w:hAnsi="Arial" w:cs="Arial"/>
          <w:i/>
          <w:iCs/>
          <w:sz w:val="22"/>
          <w:szCs w:val="22"/>
        </w:rPr>
        <w:t xml:space="preserve">International Journal of Teaching and Learning in Higher Education, </w:t>
      </w:r>
      <w:r>
        <w:rPr>
          <w:rFonts w:ascii="Arial" w:hAnsi="Arial" w:cs="Arial"/>
          <w:sz w:val="22"/>
          <w:szCs w:val="22"/>
        </w:rPr>
        <w:t>30(1), tt.80-90.</w:t>
      </w:r>
    </w:p>
    <w:p w14:paraId="16BB4DE1" w14:textId="4C05F000" w:rsidR="0011636D" w:rsidRDefault="0011636D" w:rsidP="00B564D0">
      <w:pPr>
        <w:spacing w:line="360" w:lineRule="auto"/>
        <w:rPr>
          <w:rFonts w:cstheme="minorHAnsi"/>
        </w:rPr>
      </w:pPr>
      <w:r w:rsidRPr="00A22D75">
        <w:rPr>
          <w:rFonts w:cstheme="minorHAnsi"/>
        </w:rPr>
        <w:t xml:space="preserve">Tokan, M.K. a Imakulata, M.M. (2019) ‘The effect of motivation and learning behaviour on stuent achievement’, </w:t>
      </w:r>
      <w:r w:rsidRPr="00A22D75">
        <w:rPr>
          <w:rFonts w:cstheme="minorHAnsi"/>
          <w:i/>
          <w:iCs/>
        </w:rPr>
        <w:t xml:space="preserve">South African Journal of Education, </w:t>
      </w:r>
      <w:r w:rsidRPr="00A22D75">
        <w:rPr>
          <w:rFonts w:cstheme="minorHAnsi"/>
        </w:rPr>
        <w:t>39(1), tt.1-8.</w:t>
      </w:r>
    </w:p>
    <w:p w14:paraId="1AD4FC94" w14:textId="77777777" w:rsidR="0011636D" w:rsidRDefault="0011636D" w:rsidP="00B564D0">
      <w:pPr>
        <w:spacing w:line="360" w:lineRule="auto"/>
        <w:rPr>
          <w:rFonts w:cstheme="minorHAnsi"/>
        </w:rPr>
      </w:pPr>
    </w:p>
    <w:p w14:paraId="2AA76A5C" w14:textId="77EA85AA" w:rsidR="0011636D" w:rsidRDefault="0011636D" w:rsidP="00B564D0">
      <w:pPr>
        <w:spacing w:line="360" w:lineRule="auto"/>
        <w:rPr>
          <w:rFonts w:eastAsia="Times New Roman" w:cstheme="minorHAnsi"/>
          <w:color w:val="222222"/>
          <w:shd w:val="clear" w:color="auto" w:fill="FFFFFF"/>
          <w:lang w:val="en-GB" w:eastAsia="en-GB"/>
        </w:rPr>
      </w:pPr>
      <w:proofErr w:type="spellStart"/>
      <w:r w:rsidRPr="00A22D75">
        <w:rPr>
          <w:rFonts w:eastAsia="Times New Roman" w:cstheme="minorHAnsi"/>
          <w:color w:val="222222"/>
          <w:shd w:val="clear" w:color="auto" w:fill="FFFFFF"/>
          <w:lang w:val="en-GB" w:eastAsia="en-GB"/>
        </w:rPr>
        <w:t>Turesky</w:t>
      </w:r>
      <w:proofErr w:type="spellEnd"/>
      <w:r w:rsidRPr="00A22D75">
        <w:rPr>
          <w:rFonts w:eastAsia="Times New Roman" w:cstheme="minorHAnsi"/>
          <w:color w:val="222222"/>
          <w:shd w:val="clear" w:color="auto" w:fill="FFFFFF"/>
          <w:lang w:val="en-GB" w:eastAsia="en-GB"/>
        </w:rPr>
        <w:t>, E.F. and Gallagher, D., (2011) ‘Know thyself: Coaching for leadership using Kolb’s experiential learning theory’, </w:t>
      </w:r>
      <w:r w:rsidRPr="00A22D75">
        <w:rPr>
          <w:rFonts w:eastAsia="Times New Roman" w:cstheme="minorHAnsi"/>
          <w:i/>
          <w:iCs/>
          <w:color w:val="222222"/>
          <w:lang w:val="en-GB" w:eastAsia="en-GB"/>
        </w:rPr>
        <w:t>The Coaching Psychologist</w:t>
      </w:r>
      <w:r w:rsidRPr="00A22D75">
        <w:rPr>
          <w:rFonts w:eastAsia="Times New Roman" w:cstheme="minorHAnsi"/>
          <w:color w:val="222222"/>
          <w:shd w:val="clear" w:color="auto" w:fill="FFFFFF"/>
          <w:lang w:val="en-GB" w:eastAsia="en-GB"/>
        </w:rPr>
        <w:t>, </w:t>
      </w:r>
      <w:r w:rsidRPr="00A22D75">
        <w:rPr>
          <w:rFonts w:eastAsia="Times New Roman" w:cstheme="minorHAnsi"/>
          <w:i/>
          <w:iCs/>
          <w:color w:val="222222"/>
          <w:lang w:val="en-GB" w:eastAsia="en-GB"/>
        </w:rPr>
        <w:t>7</w:t>
      </w:r>
      <w:r w:rsidRPr="00A22D75">
        <w:rPr>
          <w:rFonts w:eastAsia="Times New Roman" w:cstheme="minorHAnsi"/>
          <w:color w:val="222222"/>
          <w:shd w:val="clear" w:color="auto" w:fill="FFFFFF"/>
          <w:lang w:val="en-GB" w:eastAsia="en-GB"/>
        </w:rPr>
        <w:t>(1), tt.5-14.</w:t>
      </w:r>
    </w:p>
    <w:p w14:paraId="7B16CB08" w14:textId="77777777" w:rsidR="0011636D" w:rsidRDefault="0011636D" w:rsidP="00B564D0">
      <w:pPr>
        <w:spacing w:line="360" w:lineRule="auto"/>
        <w:rPr>
          <w:rFonts w:eastAsia="Times New Roman" w:cstheme="minorHAnsi"/>
          <w:color w:val="222222"/>
          <w:shd w:val="clear" w:color="auto" w:fill="FFFFFF"/>
          <w:lang w:val="en-GB" w:eastAsia="en-GB"/>
        </w:rPr>
      </w:pPr>
    </w:p>
    <w:p w14:paraId="73A8190B" w14:textId="3477F0E9" w:rsidR="0011636D" w:rsidRDefault="0011636D" w:rsidP="00B564D0">
      <w:pPr>
        <w:spacing w:line="360" w:lineRule="auto"/>
        <w:rPr>
          <w:rFonts w:cstheme="minorHAnsi"/>
        </w:rPr>
      </w:pPr>
      <w:r w:rsidRPr="00A22D75">
        <w:rPr>
          <w:rFonts w:cstheme="minorHAnsi"/>
        </w:rPr>
        <w:t xml:space="preserve">Willems, I. A Bossche, P.V.D. (2019) ‘Lesson Study Effectiveness for Teachers’ Professional Learning: A Best Evidence Synthesis’, </w:t>
      </w:r>
      <w:r w:rsidRPr="00A22D75">
        <w:rPr>
          <w:rFonts w:cstheme="minorHAnsi"/>
          <w:i/>
          <w:iCs/>
        </w:rPr>
        <w:t xml:space="preserve">International Journal for Lesson and Learning Studies, </w:t>
      </w:r>
      <w:r w:rsidRPr="00A22D75">
        <w:rPr>
          <w:rFonts w:cstheme="minorHAnsi"/>
        </w:rPr>
        <w:t>8(4), tt. 257-271.</w:t>
      </w:r>
    </w:p>
    <w:p w14:paraId="7861EFFC" w14:textId="77777777" w:rsidR="0011636D" w:rsidRDefault="0011636D" w:rsidP="00B564D0">
      <w:pPr>
        <w:spacing w:line="360" w:lineRule="auto"/>
        <w:rPr>
          <w:rFonts w:cstheme="minorHAnsi"/>
        </w:rPr>
      </w:pPr>
    </w:p>
    <w:p w14:paraId="12D5C218" w14:textId="77777777" w:rsidR="0011636D" w:rsidRPr="00A22D75" w:rsidRDefault="0011636D" w:rsidP="00B564D0">
      <w:pPr>
        <w:spacing w:line="360" w:lineRule="auto"/>
        <w:rPr>
          <w:rFonts w:cstheme="minorHAnsi"/>
        </w:rPr>
      </w:pPr>
      <w:r w:rsidRPr="00A22D75">
        <w:rPr>
          <w:rFonts w:cstheme="minorHAnsi"/>
        </w:rPr>
        <w:t xml:space="preserve">Yassine, J. Tipton-Fisher, L.A. a Katic, B. (2020) ‘Building student-teacher relationships and improving behaviour-management for classroom teachers’, </w:t>
      </w:r>
      <w:r w:rsidRPr="00A22D75">
        <w:rPr>
          <w:rFonts w:cstheme="minorHAnsi"/>
          <w:i/>
          <w:iCs/>
        </w:rPr>
        <w:t>Behavioural Interventions withing Classroom Settings,</w:t>
      </w:r>
      <w:r w:rsidRPr="00A22D75">
        <w:rPr>
          <w:rFonts w:cstheme="minorHAnsi"/>
        </w:rPr>
        <w:t xml:space="preserve"> 35(3), tt.389-407.</w:t>
      </w:r>
    </w:p>
    <w:sectPr w:rsidR="0011636D" w:rsidRPr="00A22D75" w:rsidSect="000501BF">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05B85" w14:textId="77777777" w:rsidR="00537D13" w:rsidRDefault="00537D13" w:rsidP="001E784C">
      <w:r>
        <w:separator/>
      </w:r>
    </w:p>
  </w:endnote>
  <w:endnote w:type="continuationSeparator" w:id="0">
    <w:p w14:paraId="6546421C" w14:textId="77777777" w:rsidR="00537D13" w:rsidRDefault="00537D13" w:rsidP="001E7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150276"/>
      <w:docPartObj>
        <w:docPartGallery w:val="Page Numbers (Bottom of Page)"/>
        <w:docPartUnique/>
      </w:docPartObj>
    </w:sdtPr>
    <w:sdtEndPr>
      <w:rPr>
        <w:rStyle w:val="PageNumber"/>
      </w:rPr>
    </w:sdtEndPr>
    <w:sdtContent>
      <w:p w14:paraId="39DB0E7B" w14:textId="31D2B43E" w:rsidR="00F2558E" w:rsidRDefault="00F2558E" w:rsidP="009B5A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B21C4" w14:textId="77777777" w:rsidR="00F2558E" w:rsidRDefault="00F2558E" w:rsidP="00F255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1857411"/>
      <w:docPartObj>
        <w:docPartGallery w:val="Page Numbers (Bottom of Page)"/>
        <w:docPartUnique/>
      </w:docPartObj>
    </w:sdtPr>
    <w:sdtEndPr>
      <w:rPr>
        <w:rStyle w:val="PageNumber"/>
      </w:rPr>
    </w:sdtEndPr>
    <w:sdtContent>
      <w:p w14:paraId="56DA6CA4" w14:textId="19D3ACFC" w:rsidR="00F2558E" w:rsidRDefault="00F2558E" w:rsidP="009B5A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F9590E" w14:textId="77777777" w:rsidR="00F2558E" w:rsidRDefault="00F2558E" w:rsidP="00F255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C3E78" w14:textId="77777777" w:rsidR="00537D13" w:rsidRDefault="00537D13" w:rsidP="001E784C">
      <w:r>
        <w:separator/>
      </w:r>
    </w:p>
  </w:footnote>
  <w:footnote w:type="continuationSeparator" w:id="0">
    <w:p w14:paraId="119A1835" w14:textId="77777777" w:rsidR="00537D13" w:rsidRDefault="00537D13" w:rsidP="001E78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9214A" w14:textId="0C1A7507" w:rsidR="00720F7A" w:rsidRDefault="00720F7A">
    <w:pPr>
      <w:pStyle w:val="Header"/>
    </w:pPr>
    <w:r>
      <w:t>Rebecca Wilson</w:t>
    </w:r>
  </w:p>
  <w:p w14:paraId="6E0834A7" w14:textId="2379DC6A" w:rsidR="00720F7A" w:rsidRDefault="00720F7A">
    <w:pPr>
      <w:pStyle w:val="Header"/>
    </w:pPr>
    <w:r>
      <w:t>1907973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7C2"/>
    <w:rsid w:val="00004103"/>
    <w:rsid w:val="000118A0"/>
    <w:rsid w:val="0001310B"/>
    <w:rsid w:val="00014B97"/>
    <w:rsid w:val="000159F3"/>
    <w:rsid w:val="0002328D"/>
    <w:rsid w:val="00023BEE"/>
    <w:rsid w:val="00033F9E"/>
    <w:rsid w:val="00034979"/>
    <w:rsid w:val="000416D4"/>
    <w:rsid w:val="00042CC1"/>
    <w:rsid w:val="000501BF"/>
    <w:rsid w:val="0005442E"/>
    <w:rsid w:val="0006557A"/>
    <w:rsid w:val="00073A3E"/>
    <w:rsid w:val="00077232"/>
    <w:rsid w:val="00091908"/>
    <w:rsid w:val="000A1E7E"/>
    <w:rsid w:val="000A69BA"/>
    <w:rsid w:val="000A7ECD"/>
    <w:rsid w:val="000B7C0B"/>
    <w:rsid w:val="000B7D10"/>
    <w:rsid w:val="000F2F2E"/>
    <w:rsid w:val="00103879"/>
    <w:rsid w:val="00111DC8"/>
    <w:rsid w:val="0011636D"/>
    <w:rsid w:val="00122622"/>
    <w:rsid w:val="00122B22"/>
    <w:rsid w:val="001235BC"/>
    <w:rsid w:val="00132885"/>
    <w:rsid w:val="001369F8"/>
    <w:rsid w:val="00155E5C"/>
    <w:rsid w:val="00161BF1"/>
    <w:rsid w:val="00195379"/>
    <w:rsid w:val="001A5ACD"/>
    <w:rsid w:val="001B0C2F"/>
    <w:rsid w:val="001C0824"/>
    <w:rsid w:val="001D3A82"/>
    <w:rsid w:val="001E23E4"/>
    <w:rsid w:val="001E3ED9"/>
    <w:rsid w:val="001E784C"/>
    <w:rsid w:val="001F1C8B"/>
    <w:rsid w:val="001F6989"/>
    <w:rsid w:val="001F7771"/>
    <w:rsid w:val="002003B0"/>
    <w:rsid w:val="00213518"/>
    <w:rsid w:val="00215F49"/>
    <w:rsid w:val="0022142A"/>
    <w:rsid w:val="0022635A"/>
    <w:rsid w:val="00227D7B"/>
    <w:rsid w:val="00231481"/>
    <w:rsid w:val="0023183D"/>
    <w:rsid w:val="00233400"/>
    <w:rsid w:val="0023583B"/>
    <w:rsid w:val="0024503A"/>
    <w:rsid w:val="002503E4"/>
    <w:rsid w:val="00262CE2"/>
    <w:rsid w:val="00263731"/>
    <w:rsid w:val="00263738"/>
    <w:rsid w:val="00263892"/>
    <w:rsid w:val="00263D59"/>
    <w:rsid w:val="00265CC3"/>
    <w:rsid w:val="00267B73"/>
    <w:rsid w:val="002719FF"/>
    <w:rsid w:val="00280068"/>
    <w:rsid w:val="0028748A"/>
    <w:rsid w:val="00295B14"/>
    <w:rsid w:val="002C1653"/>
    <w:rsid w:val="002E37E1"/>
    <w:rsid w:val="002E4278"/>
    <w:rsid w:val="002F3973"/>
    <w:rsid w:val="0033008F"/>
    <w:rsid w:val="00334AFB"/>
    <w:rsid w:val="00335DEA"/>
    <w:rsid w:val="003523A0"/>
    <w:rsid w:val="00355981"/>
    <w:rsid w:val="00355EE5"/>
    <w:rsid w:val="003656B7"/>
    <w:rsid w:val="003A1C4B"/>
    <w:rsid w:val="003B18D2"/>
    <w:rsid w:val="003C20B5"/>
    <w:rsid w:val="003C304C"/>
    <w:rsid w:val="003D0F79"/>
    <w:rsid w:val="003D1273"/>
    <w:rsid w:val="003D2CC5"/>
    <w:rsid w:val="003E54EA"/>
    <w:rsid w:val="004133E2"/>
    <w:rsid w:val="00414F5A"/>
    <w:rsid w:val="0042668A"/>
    <w:rsid w:val="004323A7"/>
    <w:rsid w:val="00433E08"/>
    <w:rsid w:val="00442BDE"/>
    <w:rsid w:val="00464F78"/>
    <w:rsid w:val="004650AF"/>
    <w:rsid w:val="00473C71"/>
    <w:rsid w:val="004752F0"/>
    <w:rsid w:val="00475D85"/>
    <w:rsid w:val="00476525"/>
    <w:rsid w:val="00483CAC"/>
    <w:rsid w:val="00491BBE"/>
    <w:rsid w:val="00495300"/>
    <w:rsid w:val="004A6116"/>
    <w:rsid w:val="004A63AD"/>
    <w:rsid w:val="004B6F73"/>
    <w:rsid w:val="004C0C40"/>
    <w:rsid w:val="004C129E"/>
    <w:rsid w:val="004C48C2"/>
    <w:rsid w:val="004C5EB7"/>
    <w:rsid w:val="004D1958"/>
    <w:rsid w:val="004E7DFA"/>
    <w:rsid w:val="004F029D"/>
    <w:rsid w:val="004F2EB3"/>
    <w:rsid w:val="004F7FB6"/>
    <w:rsid w:val="005041A9"/>
    <w:rsid w:val="005106C4"/>
    <w:rsid w:val="00513A6C"/>
    <w:rsid w:val="005140F2"/>
    <w:rsid w:val="00516BCF"/>
    <w:rsid w:val="005243B2"/>
    <w:rsid w:val="00524A0E"/>
    <w:rsid w:val="0052795F"/>
    <w:rsid w:val="00534D60"/>
    <w:rsid w:val="00534E9F"/>
    <w:rsid w:val="0053511F"/>
    <w:rsid w:val="00537481"/>
    <w:rsid w:val="00537D13"/>
    <w:rsid w:val="0054372C"/>
    <w:rsid w:val="0054448B"/>
    <w:rsid w:val="0055216B"/>
    <w:rsid w:val="00565B23"/>
    <w:rsid w:val="005675A8"/>
    <w:rsid w:val="00570F23"/>
    <w:rsid w:val="005725DC"/>
    <w:rsid w:val="00576A7A"/>
    <w:rsid w:val="00585D12"/>
    <w:rsid w:val="0059514F"/>
    <w:rsid w:val="005A7574"/>
    <w:rsid w:val="005C663D"/>
    <w:rsid w:val="005D030A"/>
    <w:rsid w:val="005D3AE2"/>
    <w:rsid w:val="005D3D24"/>
    <w:rsid w:val="00612B65"/>
    <w:rsid w:val="006171A6"/>
    <w:rsid w:val="00623FA1"/>
    <w:rsid w:val="006246FE"/>
    <w:rsid w:val="006253B7"/>
    <w:rsid w:val="00626A3C"/>
    <w:rsid w:val="006352A0"/>
    <w:rsid w:val="006445DF"/>
    <w:rsid w:val="0064509D"/>
    <w:rsid w:val="0064655F"/>
    <w:rsid w:val="0064785D"/>
    <w:rsid w:val="00652935"/>
    <w:rsid w:val="0067554D"/>
    <w:rsid w:val="006843C4"/>
    <w:rsid w:val="0069776F"/>
    <w:rsid w:val="006A173B"/>
    <w:rsid w:val="006A3D7B"/>
    <w:rsid w:val="006A6299"/>
    <w:rsid w:val="006B3E40"/>
    <w:rsid w:val="006D2885"/>
    <w:rsid w:val="006E3E5E"/>
    <w:rsid w:val="006E4117"/>
    <w:rsid w:val="006F01D4"/>
    <w:rsid w:val="006F58D7"/>
    <w:rsid w:val="006F747B"/>
    <w:rsid w:val="0070019E"/>
    <w:rsid w:val="00704475"/>
    <w:rsid w:val="00715040"/>
    <w:rsid w:val="00720F7A"/>
    <w:rsid w:val="0072340C"/>
    <w:rsid w:val="00723C04"/>
    <w:rsid w:val="00731E13"/>
    <w:rsid w:val="007323F5"/>
    <w:rsid w:val="007328D0"/>
    <w:rsid w:val="00743E1B"/>
    <w:rsid w:val="0074699C"/>
    <w:rsid w:val="00747FE5"/>
    <w:rsid w:val="00760DF4"/>
    <w:rsid w:val="00772440"/>
    <w:rsid w:val="00784D79"/>
    <w:rsid w:val="00785FB5"/>
    <w:rsid w:val="007A1664"/>
    <w:rsid w:val="007B0B2E"/>
    <w:rsid w:val="007B254E"/>
    <w:rsid w:val="007B2D17"/>
    <w:rsid w:val="007B60E1"/>
    <w:rsid w:val="007C4A31"/>
    <w:rsid w:val="007D1707"/>
    <w:rsid w:val="007D384E"/>
    <w:rsid w:val="007E0527"/>
    <w:rsid w:val="007F171B"/>
    <w:rsid w:val="00802828"/>
    <w:rsid w:val="008061FB"/>
    <w:rsid w:val="008150A0"/>
    <w:rsid w:val="00824311"/>
    <w:rsid w:val="00833C0E"/>
    <w:rsid w:val="0084550F"/>
    <w:rsid w:val="00846EFF"/>
    <w:rsid w:val="0085700C"/>
    <w:rsid w:val="008714E9"/>
    <w:rsid w:val="0087518B"/>
    <w:rsid w:val="008809A9"/>
    <w:rsid w:val="00894AB3"/>
    <w:rsid w:val="008A1DE9"/>
    <w:rsid w:val="008C06F2"/>
    <w:rsid w:val="008D487C"/>
    <w:rsid w:val="00900BC0"/>
    <w:rsid w:val="00901155"/>
    <w:rsid w:val="00916011"/>
    <w:rsid w:val="00924385"/>
    <w:rsid w:val="00954430"/>
    <w:rsid w:val="00955849"/>
    <w:rsid w:val="00957A01"/>
    <w:rsid w:val="009720E6"/>
    <w:rsid w:val="009838A1"/>
    <w:rsid w:val="00994069"/>
    <w:rsid w:val="00994CEB"/>
    <w:rsid w:val="009A0E29"/>
    <w:rsid w:val="009A1A34"/>
    <w:rsid w:val="009B3248"/>
    <w:rsid w:val="009B7E14"/>
    <w:rsid w:val="009C3599"/>
    <w:rsid w:val="009C70BD"/>
    <w:rsid w:val="009C735D"/>
    <w:rsid w:val="009D7E64"/>
    <w:rsid w:val="009E47E2"/>
    <w:rsid w:val="009E5EC6"/>
    <w:rsid w:val="009E5FDF"/>
    <w:rsid w:val="009E75AE"/>
    <w:rsid w:val="009E778C"/>
    <w:rsid w:val="009E791A"/>
    <w:rsid w:val="009E7DC6"/>
    <w:rsid w:val="00A04FE8"/>
    <w:rsid w:val="00A063FD"/>
    <w:rsid w:val="00A2040C"/>
    <w:rsid w:val="00A22D75"/>
    <w:rsid w:val="00A27A16"/>
    <w:rsid w:val="00A71329"/>
    <w:rsid w:val="00A723B6"/>
    <w:rsid w:val="00A74CD5"/>
    <w:rsid w:val="00A92DEE"/>
    <w:rsid w:val="00A9620C"/>
    <w:rsid w:val="00AA0D44"/>
    <w:rsid w:val="00AA1011"/>
    <w:rsid w:val="00AB1765"/>
    <w:rsid w:val="00AB7243"/>
    <w:rsid w:val="00AC38BE"/>
    <w:rsid w:val="00AC58FD"/>
    <w:rsid w:val="00AD10F0"/>
    <w:rsid w:val="00AD1CF3"/>
    <w:rsid w:val="00AD57ED"/>
    <w:rsid w:val="00AE472F"/>
    <w:rsid w:val="00AE7E99"/>
    <w:rsid w:val="00AF2F0E"/>
    <w:rsid w:val="00AF47FB"/>
    <w:rsid w:val="00AF6795"/>
    <w:rsid w:val="00B06195"/>
    <w:rsid w:val="00B107E6"/>
    <w:rsid w:val="00B25A30"/>
    <w:rsid w:val="00B32A17"/>
    <w:rsid w:val="00B450DE"/>
    <w:rsid w:val="00B564D0"/>
    <w:rsid w:val="00B629CE"/>
    <w:rsid w:val="00B77987"/>
    <w:rsid w:val="00B857C2"/>
    <w:rsid w:val="00B9518E"/>
    <w:rsid w:val="00B9648B"/>
    <w:rsid w:val="00BA7FE7"/>
    <w:rsid w:val="00BB2DE8"/>
    <w:rsid w:val="00BE0298"/>
    <w:rsid w:val="00BE7F60"/>
    <w:rsid w:val="00BF585A"/>
    <w:rsid w:val="00BF7EF3"/>
    <w:rsid w:val="00C00F82"/>
    <w:rsid w:val="00C04483"/>
    <w:rsid w:val="00C23376"/>
    <w:rsid w:val="00C246AC"/>
    <w:rsid w:val="00C27C8C"/>
    <w:rsid w:val="00C31FE3"/>
    <w:rsid w:val="00C4559D"/>
    <w:rsid w:val="00C610D9"/>
    <w:rsid w:val="00C81046"/>
    <w:rsid w:val="00C83E90"/>
    <w:rsid w:val="00C97D55"/>
    <w:rsid w:val="00CB1FF3"/>
    <w:rsid w:val="00CB4D6F"/>
    <w:rsid w:val="00CD3A66"/>
    <w:rsid w:val="00CD5E94"/>
    <w:rsid w:val="00CE5C99"/>
    <w:rsid w:val="00CF28D7"/>
    <w:rsid w:val="00CF435F"/>
    <w:rsid w:val="00CF62D5"/>
    <w:rsid w:val="00D00A58"/>
    <w:rsid w:val="00D03B5D"/>
    <w:rsid w:val="00D063FC"/>
    <w:rsid w:val="00D16E60"/>
    <w:rsid w:val="00D21BA7"/>
    <w:rsid w:val="00D36F77"/>
    <w:rsid w:val="00D42F6F"/>
    <w:rsid w:val="00D57AAB"/>
    <w:rsid w:val="00D71453"/>
    <w:rsid w:val="00D73C2C"/>
    <w:rsid w:val="00D853A1"/>
    <w:rsid w:val="00D8791D"/>
    <w:rsid w:val="00D970BD"/>
    <w:rsid w:val="00DB196E"/>
    <w:rsid w:val="00DC5479"/>
    <w:rsid w:val="00DC559A"/>
    <w:rsid w:val="00DD1B30"/>
    <w:rsid w:val="00DF5F89"/>
    <w:rsid w:val="00E007C7"/>
    <w:rsid w:val="00E037AE"/>
    <w:rsid w:val="00E04DF5"/>
    <w:rsid w:val="00E22A03"/>
    <w:rsid w:val="00E26101"/>
    <w:rsid w:val="00E31D98"/>
    <w:rsid w:val="00E40134"/>
    <w:rsid w:val="00E45A6F"/>
    <w:rsid w:val="00E50486"/>
    <w:rsid w:val="00E5217F"/>
    <w:rsid w:val="00E53D62"/>
    <w:rsid w:val="00E62228"/>
    <w:rsid w:val="00E6393C"/>
    <w:rsid w:val="00E7685B"/>
    <w:rsid w:val="00E91C27"/>
    <w:rsid w:val="00EA067E"/>
    <w:rsid w:val="00EA10BB"/>
    <w:rsid w:val="00EB1D0D"/>
    <w:rsid w:val="00EB4913"/>
    <w:rsid w:val="00EB7C42"/>
    <w:rsid w:val="00EC0C3B"/>
    <w:rsid w:val="00EF263C"/>
    <w:rsid w:val="00EF50B4"/>
    <w:rsid w:val="00EF7A34"/>
    <w:rsid w:val="00F114CA"/>
    <w:rsid w:val="00F15739"/>
    <w:rsid w:val="00F2558E"/>
    <w:rsid w:val="00F32A7A"/>
    <w:rsid w:val="00F37701"/>
    <w:rsid w:val="00F52AA5"/>
    <w:rsid w:val="00F61532"/>
    <w:rsid w:val="00F63C0B"/>
    <w:rsid w:val="00F7345F"/>
    <w:rsid w:val="00F774F6"/>
    <w:rsid w:val="00F813F0"/>
    <w:rsid w:val="00F82B5A"/>
    <w:rsid w:val="00F830AE"/>
    <w:rsid w:val="00F850F2"/>
    <w:rsid w:val="00F93369"/>
    <w:rsid w:val="00F941D6"/>
    <w:rsid w:val="00F94C60"/>
    <w:rsid w:val="00FB4A6E"/>
    <w:rsid w:val="00FC0090"/>
    <w:rsid w:val="00FD3E29"/>
    <w:rsid w:val="00FF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942511"/>
  <w15:chartTrackingRefBased/>
  <w15:docId w15:val="{9CD53875-6192-FC47-9573-112433387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4A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D3D24"/>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042CC1"/>
    <w:rPr>
      <w:color w:val="0563C1" w:themeColor="hyperlink"/>
      <w:u w:val="single"/>
    </w:rPr>
  </w:style>
  <w:style w:type="character" w:styleId="UnresolvedMention">
    <w:name w:val="Unresolved Mention"/>
    <w:basedOn w:val="DefaultParagraphFont"/>
    <w:uiPriority w:val="99"/>
    <w:semiHidden/>
    <w:unhideWhenUsed/>
    <w:rsid w:val="00042CC1"/>
    <w:rPr>
      <w:color w:val="605E5C"/>
      <w:shd w:val="clear" w:color="auto" w:fill="E1DFDD"/>
    </w:rPr>
  </w:style>
  <w:style w:type="character" w:customStyle="1" w:styleId="apple-converted-space">
    <w:name w:val="apple-converted-space"/>
    <w:basedOn w:val="DefaultParagraphFont"/>
    <w:rsid w:val="00C31FE3"/>
  </w:style>
  <w:style w:type="character" w:styleId="Emphasis">
    <w:name w:val="Emphasis"/>
    <w:basedOn w:val="DefaultParagraphFont"/>
    <w:uiPriority w:val="20"/>
    <w:qFormat/>
    <w:rsid w:val="00C31FE3"/>
    <w:rPr>
      <w:i/>
      <w:iCs/>
    </w:rPr>
  </w:style>
  <w:style w:type="paragraph" w:styleId="Header">
    <w:name w:val="header"/>
    <w:basedOn w:val="Normal"/>
    <w:link w:val="HeaderChar"/>
    <w:uiPriority w:val="99"/>
    <w:unhideWhenUsed/>
    <w:rsid w:val="001E784C"/>
    <w:pPr>
      <w:tabs>
        <w:tab w:val="center" w:pos="4680"/>
        <w:tab w:val="right" w:pos="9360"/>
      </w:tabs>
    </w:pPr>
  </w:style>
  <w:style w:type="character" w:customStyle="1" w:styleId="HeaderChar">
    <w:name w:val="Header Char"/>
    <w:basedOn w:val="DefaultParagraphFont"/>
    <w:link w:val="Header"/>
    <w:uiPriority w:val="99"/>
    <w:rsid w:val="001E784C"/>
    <w:rPr>
      <w:lang w:val="cy-GB"/>
    </w:rPr>
  </w:style>
  <w:style w:type="paragraph" w:styleId="Footer">
    <w:name w:val="footer"/>
    <w:basedOn w:val="Normal"/>
    <w:link w:val="FooterChar"/>
    <w:uiPriority w:val="99"/>
    <w:unhideWhenUsed/>
    <w:rsid w:val="001E784C"/>
    <w:pPr>
      <w:tabs>
        <w:tab w:val="center" w:pos="4680"/>
        <w:tab w:val="right" w:pos="9360"/>
      </w:tabs>
    </w:pPr>
  </w:style>
  <w:style w:type="character" w:customStyle="1" w:styleId="FooterChar">
    <w:name w:val="Footer Char"/>
    <w:basedOn w:val="DefaultParagraphFont"/>
    <w:link w:val="Footer"/>
    <w:uiPriority w:val="99"/>
    <w:rsid w:val="001E784C"/>
    <w:rPr>
      <w:lang w:val="cy-GB"/>
    </w:rPr>
  </w:style>
  <w:style w:type="character" w:styleId="PageNumber">
    <w:name w:val="page number"/>
    <w:basedOn w:val="DefaultParagraphFont"/>
    <w:uiPriority w:val="99"/>
    <w:semiHidden/>
    <w:unhideWhenUsed/>
    <w:rsid w:val="00F25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56898">
      <w:bodyDiv w:val="1"/>
      <w:marLeft w:val="0"/>
      <w:marRight w:val="0"/>
      <w:marTop w:val="0"/>
      <w:marBottom w:val="0"/>
      <w:divBdr>
        <w:top w:val="none" w:sz="0" w:space="0" w:color="auto"/>
        <w:left w:val="none" w:sz="0" w:space="0" w:color="auto"/>
        <w:bottom w:val="none" w:sz="0" w:space="0" w:color="auto"/>
        <w:right w:val="none" w:sz="0" w:space="0" w:color="auto"/>
      </w:divBdr>
      <w:divsChild>
        <w:div w:id="2084794833">
          <w:marLeft w:val="0"/>
          <w:marRight w:val="0"/>
          <w:marTop w:val="0"/>
          <w:marBottom w:val="0"/>
          <w:divBdr>
            <w:top w:val="none" w:sz="0" w:space="0" w:color="auto"/>
            <w:left w:val="none" w:sz="0" w:space="0" w:color="auto"/>
            <w:bottom w:val="none" w:sz="0" w:space="0" w:color="auto"/>
            <w:right w:val="none" w:sz="0" w:space="0" w:color="auto"/>
          </w:divBdr>
          <w:divsChild>
            <w:div w:id="703679186">
              <w:marLeft w:val="0"/>
              <w:marRight w:val="0"/>
              <w:marTop w:val="0"/>
              <w:marBottom w:val="0"/>
              <w:divBdr>
                <w:top w:val="none" w:sz="0" w:space="0" w:color="auto"/>
                <w:left w:val="none" w:sz="0" w:space="0" w:color="auto"/>
                <w:bottom w:val="none" w:sz="0" w:space="0" w:color="auto"/>
                <w:right w:val="none" w:sz="0" w:space="0" w:color="auto"/>
              </w:divBdr>
              <w:divsChild>
                <w:div w:id="63264732">
                  <w:marLeft w:val="0"/>
                  <w:marRight w:val="0"/>
                  <w:marTop w:val="0"/>
                  <w:marBottom w:val="0"/>
                  <w:divBdr>
                    <w:top w:val="none" w:sz="0" w:space="0" w:color="auto"/>
                    <w:left w:val="none" w:sz="0" w:space="0" w:color="auto"/>
                    <w:bottom w:val="none" w:sz="0" w:space="0" w:color="auto"/>
                    <w:right w:val="none" w:sz="0" w:space="0" w:color="auto"/>
                  </w:divBdr>
                  <w:divsChild>
                    <w:div w:id="142981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261707">
      <w:bodyDiv w:val="1"/>
      <w:marLeft w:val="0"/>
      <w:marRight w:val="0"/>
      <w:marTop w:val="0"/>
      <w:marBottom w:val="0"/>
      <w:divBdr>
        <w:top w:val="none" w:sz="0" w:space="0" w:color="auto"/>
        <w:left w:val="none" w:sz="0" w:space="0" w:color="auto"/>
        <w:bottom w:val="none" w:sz="0" w:space="0" w:color="auto"/>
        <w:right w:val="none" w:sz="0" w:space="0" w:color="auto"/>
      </w:divBdr>
    </w:div>
    <w:div w:id="699357826">
      <w:bodyDiv w:val="1"/>
      <w:marLeft w:val="0"/>
      <w:marRight w:val="0"/>
      <w:marTop w:val="0"/>
      <w:marBottom w:val="0"/>
      <w:divBdr>
        <w:top w:val="none" w:sz="0" w:space="0" w:color="auto"/>
        <w:left w:val="none" w:sz="0" w:space="0" w:color="auto"/>
        <w:bottom w:val="none" w:sz="0" w:space="0" w:color="auto"/>
        <w:right w:val="none" w:sz="0" w:space="0" w:color="auto"/>
      </w:divBdr>
    </w:div>
    <w:div w:id="763455340">
      <w:bodyDiv w:val="1"/>
      <w:marLeft w:val="0"/>
      <w:marRight w:val="0"/>
      <w:marTop w:val="0"/>
      <w:marBottom w:val="0"/>
      <w:divBdr>
        <w:top w:val="none" w:sz="0" w:space="0" w:color="auto"/>
        <w:left w:val="none" w:sz="0" w:space="0" w:color="auto"/>
        <w:bottom w:val="none" w:sz="0" w:space="0" w:color="auto"/>
        <w:right w:val="none" w:sz="0" w:space="0" w:color="auto"/>
      </w:divBdr>
    </w:div>
    <w:div w:id="1081952439">
      <w:bodyDiv w:val="1"/>
      <w:marLeft w:val="0"/>
      <w:marRight w:val="0"/>
      <w:marTop w:val="0"/>
      <w:marBottom w:val="0"/>
      <w:divBdr>
        <w:top w:val="none" w:sz="0" w:space="0" w:color="auto"/>
        <w:left w:val="none" w:sz="0" w:space="0" w:color="auto"/>
        <w:bottom w:val="none" w:sz="0" w:space="0" w:color="auto"/>
        <w:right w:val="none" w:sz="0" w:space="0" w:color="auto"/>
      </w:divBdr>
    </w:div>
    <w:div w:id="1278760357">
      <w:bodyDiv w:val="1"/>
      <w:marLeft w:val="0"/>
      <w:marRight w:val="0"/>
      <w:marTop w:val="0"/>
      <w:marBottom w:val="0"/>
      <w:divBdr>
        <w:top w:val="none" w:sz="0" w:space="0" w:color="auto"/>
        <w:left w:val="none" w:sz="0" w:space="0" w:color="auto"/>
        <w:bottom w:val="none" w:sz="0" w:space="0" w:color="auto"/>
        <w:right w:val="none" w:sz="0" w:space="0" w:color="auto"/>
      </w:divBdr>
    </w:div>
    <w:div w:id="1425414483">
      <w:bodyDiv w:val="1"/>
      <w:marLeft w:val="0"/>
      <w:marRight w:val="0"/>
      <w:marTop w:val="0"/>
      <w:marBottom w:val="0"/>
      <w:divBdr>
        <w:top w:val="none" w:sz="0" w:space="0" w:color="auto"/>
        <w:left w:val="none" w:sz="0" w:space="0" w:color="auto"/>
        <w:bottom w:val="none" w:sz="0" w:space="0" w:color="auto"/>
        <w:right w:val="none" w:sz="0" w:space="0" w:color="auto"/>
      </w:divBdr>
    </w:div>
    <w:div w:id="1980720384">
      <w:bodyDiv w:val="1"/>
      <w:marLeft w:val="0"/>
      <w:marRight w:val="0"/>
      <w:marTop w:val="0"/>
      <w:marBottom w:val="0"/>
      <w:divBdr>
        <w:top w:val="none" w:sz="0" w:space="0" w:color="auto"/>
        <w:left w:val="none" w:sz="0" w:space="0" w:color="auto"/>
        <w:bottom w:val="none" w:sz="0" w:space="0" w:color="auto"/>
        <w:right w:val="none" w:sz="0" w:space="0" w:color="auto"/>
      </w:divBdr>
    </w:div>
    <w:div w:id="2015379084">
      <w:bodyDiv w:val="1"/>
      <w:marLeft w:val="0"/>
      <w:marRight w:val="0"/>
      <w:marTop w:val="0"/>
      <w:marBottom w:val="0"/>
      <w:divBdr>
        <w:top w:val="none" w:sz="0" w:space="0" w:color="auto"/>
        <w:left w:val="none" w:sz="0" w:space="0" w:color="auto"/>
        <w:bottom w:val="none" w:sz="0" w:space="0" w:color="auto"/>
        <w:right w:val="none" w:sz="0" w:space="0" w:color="auto"/>
      </w:divBdr>
      <w:divsChild>
        <w:div w:id="2140685537">
          <w:marLeft w:val="0"/>
          <w:marRight w:val="0"/>
          <w:marTop w:val="0"/>
          <w:marBottom w:val="0"/>
          <w:divBdr>
            <w:top w:val="none" w:sz="0" w:space="0" w:color="auto"/>
            <w:left w:val="none" w:sz="0" w:space="0" w:color="auto"/>
            <w:bottom w:val="none" w:sz="0" w:space="0" w:color="auto"/>
            <w:right w:val="none" w:sz="0" w:space="0" w:color="auto"/>
          </w:divBdr>
          <w:divsChild>
            <w:div w:id="1159275065">
              <w:marLeft w:val="0"/>
              <w:marRight w:val="0"/>
              <w:marTop w:val="0"/>
              <w:marBottom w:val="0"/>
              <w:divBdr>
                <w:top w:val="none" w:sz="0" w:space="0" w:color="auto"/>
                <w:left w:val="none" w:sz="0" w:space="0" w:color="auto"/>
                <w:bottom w:val="none" w:sz="0" w:space="0" w:color="auto"/>
                <w:right w:val="none" w:sz="0" w:space="0" w:color="auto"/>
              </w:divBdr>
              <w:divsChild>
                <w:div w:id="825125207">
                  <w:marLeft w:val="0"/>
                  <w:marRight w:val="0"/>
                  <w:marTop w:val="0"/>
                  <w:marBottom w:val="0"/>
                  <w:divBdr>
                    <w:top w:val="none" w:sz="0" w:space="0" w:color="auto"/>
                    <w:left w:val="none" w:sz="0" w:space="0" w:color="auto"/>
                    <w:bottom w:val="none" w:sz="0" w:space="0" w:color="auto"/>
                    <w:right w:val="none" w:sz="0" w:space="0" w:color="auto"/>
                  </w:divBdr>
                  <w:divsChild>
                    <w:div w:id="51885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lassdojo.com/cy-gb/about/?redirect=tru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1746</TotalTime>
  <Pages>16</Pages>
  <Words>4948</Words>
  <Characters>28206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Sophia Wilson (1907973)</dc:creator>
  <cp:keywords/>
  <dc:description/>
  <cp:lastModifiedBy>Rebecca Wilson (1907973)</cp:lastModifiedBy>
  <cp:revision>467</cp:revision>
  <cp:lastPrinted>2022-02-25T11:42:00Z</cp:lastPrinted>
  <dcterms:created xsi:type="dcterms:W3CDTF">2021-11-15T10:31:00Z</dcterms:created>
  <dcterms:modified xsi:type="dcterms:W3CDTF">2022-02-25T14:46:00Z</dcterms:modified>
</cp:coreProperties>
</file>