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FA6ED2" w14:textId="77777777" w:rsidR="00D03E4D" w:rsidRPr="00D03E4D" w:rsidRDefault="00D03E4D" w:rsidP="00D03E4D">
      <w:pPr>
        <w:spacing w:line="360" w:lineRule="auto"/>
        <w:jc w:val="center"/>
        <w:rPr>
          <w:rFonts w:cstheme="minorHAnsi"/>
          <w:b/>
          <w:bCs/>
          <w:sz w:val="28"/>
          <w:szCs w:val="28"/>
          <w:lang w:val="it-IT"/>
        </w:rPr>
      </w:pPr>
      <w:proofErr w:type="spellStart"/>
      <w:r w:rsidRPr="00D03E4D">
        <w:rPr>
          <w:rFonts w:cstheme="minorHAnsi"/>
          <w:b/>
          <w:bCs/>
          <w:sz w:val="28"/>
          <w:szCs w:val="28"/>
          <w:lang w:val="it-IT"/>
        </w:rPr>
        <w:t>Student</w:t>
      </w:r>
      <w:proofErr w:type="spellEnd"/>
      <w:r w:rsidRPr="00D03E4D">
        <w:rPr>
          <w:rFonts w:cstheme="minorHAnsi"/>
          <w:b/>
          <w:bCs/>
          <w:sz w:val="28"/>
          <w:szCs w:val="28"/>
          <w:lang w:val="it-IT"/>
        </w:rPr>
        <w:t xml:space="preserve"> name: Iuliana Violeta Vlasceanu</w:t>
      </w:r>
    </w:p>
    <w:p w14:paraId="107A3912" w14:textId="77777777" w:rsidR="00D03E4D" w:rsidRPr="00D03E4D" w:rsidRDefault="00D03E4D" w:rsidP="00D03E4D">
      <w:pPr>
        <w:spacing w:line="360" w:lineRule="auto"/>
        <w:jc w:val="center"/>
        <w:rPr>
          <w:rFonts w:cstheme="minorHAnsi"/>
          <w:b/>
          <w:bCs/>
          <w:sz w:val="28"/>
          <w:szCs w:val="28"/>
          <w:lang w:val="it-IT"/>
        </w:rPr>
      </w:pPr>
      <w:proofErr w:type="spellStart"/>
      <w:r w:rsidRPr="00D03E4D">
        <w:rPr>
          <w:rFonts w:cstheme="minorHAnsi"/>
          <w:b/>
          <w:bCs/>
          <w:sz w:val="28"/>
          <w:szCs w:val="28"/>
          <w:lang w:val="it-IT"/>
        </w:rPr>
        <w:t>Student</w:t>
      </w:r>
      <w:proofErr w:type="spellEnd"/>
      <w:r w:rsidRPr="00D03E4D">
        <w:rPr>
          <w:rFonts w:cstheme="minorHAnsi"/>
          <w:b/>
          <w:bCs/>
          <w:sz w:val="28"/>
          <w:szCs w:val="28"/>
          <w:lang w:val="it-IT"/>
        </w:rPr>
        <w:t xml:space="preserve"> ID: 2214468</w:t>
      </w:r>
    </w:p>
    <w:p w14:paraId="6D6D67C2" w14:textId="77777777" w:rsidR="00D03E4D" w:rsidRDefault="00D03E4D" w:rsidP="00D03E4D">
      <w:pPr>
        <w:spacing w:line="360" w:lineRule="auto"/>
        <w:jc w:val="center"/>
        <w:rPr>
          <w:rFonts w:cstheme="minorHAnsi"/>
          <w:b/>
          <w:bCs/>
          <w:sz w:val="28"/>
          <w:szCs w:val="28"/>
        </w:rPr>
      </w:pPr>
      <w:r>
        <w:rPr>
          <w:rFonts w:cstheme="minorHAnsi"/>
          <w:b/>
          <w:bCs/>
          <w:sz w:val="28"/>
          <w:szCs w:val="28"/>
        </w:rPr>
        <w:t xml:space="preserve">Module: Public Law </w:t>
      </w:r>
    </w:p>
    <w:p w14:paraId="1932737E" w14:textId="77777777" w:rsidR="00D03E4D" w:rsidRDefault="00D03E4D" w:rsidP="00D03E4D">
      <w:pPr>
        <w:spacing w:line="360" w:lineRule="auto"/>
        <w:jc w:val="center"/>
        <w:rPr>
          <w:rFonts w:cstheme="minorHAnsi"/>
          <w:b/>
          <w:bCs/>
          <w:sz w:val="28"/>
          <w:szCs w:val="28"/>
        </w:rPr>
      </w:pPr>
      <w:r>
        <w:rPr>
          <w:rFonts w:cstheme="minorHAnsi"/>
          <w:b/>
          <w:bCs/>
          <w:sz w:val="28"/>
          <w:szCs w:val="28"/>
        </w:rPr>
        <w:t>Lecturer: Zita Draper</w:t>
      </w:r>
    </w:p>
    <w:p w14:paraId="52451B19" w14:textId="77777777" w:rsidR="00F536FC" w:rsidRDefault="00F536FC" w:rsidP="00D03E4D">
      <w:pPr>
        <w:spacing w:line="360" w:lineRule="auto"/>
        <w:jc w:val="center"/>
        <w:rPr>
          <w:rFonts w:cstheme="minorHAnsi"/>
          <w:b/>
          <w:bCs/>
          <w:sz w:val="28"/>
          <w:szCs w:val="28"/>
        </w:rPr>
      </w:pPr>
    </w:p>
    <w:p w14:paraId="27BF4881" w14:textId="77777777" w:rsidR="00F536FC" w:rsidRDefault="00F536FC" w:rsidP="00D03E4D">
      <w:pPr>
        <w:spacing w:line="360" w:lineRule="auto"/>
        <w:jc w:val="center"/>
        <w:rPr>
          <w:rFonts w:cstheme="minorHAnsi"/>
          <w:b/>
          <w:bCs/>
          <w:sz w:val="28"/>
          <w:szCs w:val="28"/>
        </w:rPr>
      </w:pPr>
    </w:p>
    <w:p w14:paraId="47142880" w14:textId="77777777" w:rsidR="0002797A" w:rsidRDefault="00D03E4D" w:rsidP="00D03E4D">
      <w:pPr>
        <w:spacing w:line="360" w:lineRule="auto"/>
        <w:jc w:val="center"/>
        <w:rPr>
          <w:rFonts w:cstheme="minorHAnsi"/>
          <w:b/>
          <w:bCs/>
          <w:sz w:val="28"/>
          <w:szCs w:val="28"/>
        </w:rPr>
      </w:pPr>
      <w:r>
        <w:rPr>
          <w:rFonts w:cstheme="minorHAnsi"/>
          <w:b/>
          <w:bCs/>
          <w:sz w:val="28"/>
          <w:szCs w:val="28"/>
        </w:rPr>
        <w:t xml:space="preserve">Assignment Title: </w:t>
      </w:r>
    </w:p>
    <w:p w14:paraId="7431D431" w14:textId="77777777" w:rsidR="0002797A" w:rsidRDefault="0002797A" w:rsidP="0002797A">
      <w:pPr>
        <w:spacing w:line="360" w:lineRule="auto"/>
        <w:rPr>
          <w:rFonts w:cstheme="minorHAnsi"/>
          <w:b/>
          <w:bCs/>
          <w:sz w:val="28"/>
          <w:szCs w:val="28"/>
        </w:rPr>
      </w:pPr>
    </w:p>
    <w:p w14:paraId="40FFF77E" w14:textId="77777777" w:rsidR="0002797A" w:rsidRDefault="0002797A" w:rsidP="00D03E4D">
      <w:pPr>
        <w:spacing w:line="360" w:lineRule="auto"/>
        <w:jc w:val="center"/>
        <w:rPr>
          <w:rFonts w:cstheme="minorHAnsi"/>
          <w:b/>
          <w:bCs/>
          <w:sz w:val="28"/>
          <w:szCs w:val="28"/>
        </w:rPr>
      </w:pPr>
    </w:p>
    <w:p w14:paraId="3F855F8C" w14:textId="6B629BCD" w:rsidR="00D03E4D" w:rsidRDefault="00D03E4D" w:rsidP="00D03E4D">
      <w:pPr>
        <w:spacing w:line="360" w:lineRule="auto"/>
        <w:jc w:val="center"/>
        <w:rPr>
          <w:rFonts w:cstheme="minorHAnsi"/>
          <w:b/>
          <w:bCs/>
          <w:sz w:val="28"/>
          <w:szCs w:val="28"/>
        </w:rPr>
      </w:pPr>
      <w:r w:rsidRPr="00AA5CEA">
        <w:rPr>
          <w:rFonts w:cstheme="minorHAnsi"/>
          <w:b/>
          <w:bCs/>
          <w:sz w:val="28"/>
          <w:szCs w:val="28"/>
        </w:rPr>
        <w:t>Recently, the United Kingdom’s government proposed a new piece of legislation namely the Bill of Rights Bill, this would repeal and replace the Human Rights Act 1998. Some argue that the introduction of such a legislation could damage the rule of law and impact the ability of individuals to protect their human rights. Discuss</w:t>
      </w:r>
      <w:r>
        <w:rPr>
          <w:rFonts w:cstheme="minorHAnsi"/>
          <w:b/>
          <w:bCs/>
          <w:sz w:val="28"/>
          <w:szCs w:val="28"/>
        </w:rPr>
        <w:t>.</w:t>
      </w:r>
    </w:p>
    <w:p w14:paraId="327F6E50" w14:textId="77777777" w:rsidR="00D03E4D" w:rsidRDefault="00D03E4D" w:rsidP="00D03E4D">
      <w:pPr>
        <w:spacing w:line="360" w:lineRule="auto"/>
        <w:jc w:val="center"/>
        <w:rPr>
          <w:rFonts w:cstheme="minorHAnsi"/>
          <w:b/>
          <w:bCs/>
          <w:sz w:val="28"/>
          <w:szCs w:val="28"/>
        </w:rPr>
      </w:pPr>
    </w:p>
    <w:p w14:paraId="5DB7D1D8" w14:textId="77777777" w:rsidR="00D03E4D" w:rsidRDefault="00D03E4D" w:rsidP="00D03E4D">
      <w:pPr>
        <w:rPr>
          <w:rFonts w:cstheme="minorHAnsi"/>
          <w:b/>
          <w:bCs/>
          <w:sz w:val="28"/>
          <w:szCs w:val="28"/>
        </w:rPr>
      </w:pPr>
    </w:p>
    <w:p w14:paraId="6FFA430D" w14:textId="77777777" w:rsidR="00D03E4D" w:rsidRDefault="00D03E4D" w:rsidP="00D03E4D">
      <w:pPr>
        <w:rPr>
          <w:rFonts w:cstheme="minorHAnsi"/>
          <w:b/>
          <w:bCs/>
          <w:sz w:val="28"/>
          <w:szCs w:val="28"/>
        </w:rPr>
      </w:pPr>
    </w:p>
    <w:p w14:paraId="6EEB4607" w14:textId="77777777" w:rsidR="00D03E4D" w:rsidRDefault="00D03E4D" w:rsidP="00D03E4D">
      <w:pPr>
        <w:rPr>
          <w:rFonts w:cstheme="minorHAnsi"/>
          <w:b/>
          <w:bCs/>
          <w:sz w:val="28"/>
          <w:szCs w:val="28"/>
        </w:rPr>
      </w:pPr>
    </w:p>
    <w:p w14:paraId="52EA6192" w14:textId="77777777" w:rsidR="00D03E4D" w:rsidRDefault="00D03E4D" w:rsidP="00D03E4D">
      <w:pPr>
        <w:rPr>
          <w:rFonts w:cstheme="minorHAnsi"/>
          <w:b/>
          <w:bCs/>
          <w:sz w:val="28"/>
          <w:szCs w:val="28"/>
        </w:rPr>
      </w:pPr>
    </w:p>
    <w:p w14:paraId="04ADEE97" w14:textId="77777777" w:rsidR="00D03E4D" w:rsidRDefault="00D03E4D" w:rsidP="00D03E4D">
      <w:pPr>
        <w:rPr>
          <w:rFonts w:cstheme="minorHAnsi"/>
          <w:b/>
          <w:bCs/>
          <w:sz w:val="28"/>
          <w:szCs w:val="28"/>
        </w:rPr>
      </w:pPr>
    </w:p>
    <w:p w14:paraId="1FA6D473" w14:textId="77777777" w:rsidR="00D03E4D" w:rsidRDefault="00D03E4D" w:rsidP="00D03E4D">
      <w:pPr>
        <w:rPr>
          <w:rFonts w:cstheme="minorHAnsi"/>
          <w:b/>
          <w:bCs/>
          <w:sz w:val="28"/>
          <w:szCs w:val="28"/>
        </w:rPr>
      </w:pPr>
    </w:p>
    <w:p w14:paraId="5E30FF17" w14:textId="77777777" w:rsidR="00D03E4D" w:rsidRDefault="00D03E4D" w:rsidP="00D03E4D">
      <w:pPr>
        <w:rPr>
          <w:rFonts w:cstheme="minorHAnsi"/>
          <w:b/>
          <w:bCs/>
          <w:sz w:val="28"/>
          <w:szCs w:val="28"/>
        </w:rPr>
      </w:pPr>
    </w:p>
    <w:p w14:paraId="18B701DB" w14:textId="77777777" w:rsidR="00D03E4D" w:rsidRDefault="00D03E4D" w:rsidP="00D03E4D">
      <w:pPr>
        <w:rPr>
          <w:rFonts w:cstheme="minorHAnsi"/>
          <w:b/>
          <w:bCs/>
          <w:sz w:val="28"/>
          <w:szCs w:val="28"/>
        </w:rPr>
      </w:pPr>
    </w:p>
    <w:p w14:paraId="3FCEE2A2" w14:textId="77777777" w:rsidR="00D03E4D" w:rsidRDefault="00D03E4D" w:rsidP="00D03E4D">
      <w:pPr>
        <w:rPr>
          <w:rFonts w:cstheme="minorHAnsi"/>
          <w:b/>
          <w:bCs/>
          <w:sz w:val="28"/>
          <w:szCs w:val="28"/>
        </w:rPr>
      </w:pPr>
    </w:p>
    <w:p w14:paraId="7ED943E7" w14:textId="77777777" w:rsidR="00D03E4D" w:rsidRDefault="00D03E4D" w:rsidP="00D03E4D">
      <w:pPr>
        <w:rPr>
          <w:rFonts w:cstheme="minorHAnsi"/>
          <w:b/>
          <w:bCs/>
          <w:sz w:val="28"/>
          <w:szCs w:val="28"/>
        </w:rPr>
      </w:pPr>
    </w:p>
    <w:p w14:paraId="700EFA10" w14:textId="77777777" w:rsidR="00D03E4D" w:rsidRDefault="00D03E4D" w:rsidP="00D03E4D">
      <w:pPr>
        <w:rPr>
          <w:rFonts w:cstheme="minorHAnsi"/>
          <w:b/>
          <w:bCs/>
          <w:sz w:val="28"/>
          <w:szCs w:val="28"/>
        </w:rPr>
      </w:pPr>
    </w:p>
    <w:p w14:paraId="099C2F7A" w14:textId="77777777" w:rsidR="00D03E4D" w:rsidRDefault="00D03E4D" w:rsidP="00D03E4D">
      <w:pPr>
        <w:rPr>
          <w:rFonts w:cstheme="minorHAnsi"/>
          <w:b/>
          <w:bCs/>
          <w:sz w:val="28"/>
          <w:szCs w:val="28"/>
        </w:rPr>
      </w:pPr>
    </w:p>
    <w:p w14:paraId="47D611F1" w14:textId="77777777" w:rsidR="00D03E4D" w:rsidRPr="00523F58" w:rsidRDefault="00D03E4D" w:rsidP="00D03E4D">
      <w:pPr>
        <w:spacing w:line="360" w:lineRule="auto"/>
        <w:rPr>
          <w:rFonts w:cstheme="minorHAnsi"/>
          <w:b/>
          <w:bCs/>
          <w:sz w:val="28"/>
          <w:szCs w:val="28"/>
        </w:rPr>
      </w:pPr>
      <w:r w:rsidRPr="00AA5CEA">
        <w:rPr>
          <w:rFonts w:cstheme="minorHAnsi"/>
          <w:sz w:val="24"/>
          <w:szCs w:val="24"/>
        </w:rPr>
        <w:t xml:space="preserve">The current political and economic climate of the UK has been unstable due to various events. The current proposal of a British Bill of Rights in order to change the framework of the European Convention on Human Rights (ECHR) has raised many arguments for and against, but mainly against its implementation as academics and legal professionals claim the government is ignoring all hard evidence against the bill (Foster &amp; Foster, 2022). The repeal of the Human Rights Act 1998 (HRA 1998) which incorporated the ECHR into UK law poses various threats to human rights application and protection in the UK and within its courts. The aims of the Bill of Rights Bill to stop mission creep in the UK law and courts in order to preserve the separation of powers and Parliament’s sovereignty as supreme lawmaker has been at the heart of the reforms. </w:t>
      </w:r>
    </w:p>
    <w:p w14:paraId="7A7B3459" w14:textId="77777777" w:rsidR="00D03E4D" w:rsidRPr="00AA5CEA" w:rsidRDefault="00D03E4D" w:rsidP="00D03E4D">
      <w:pPr>
        <w:spacing w:line="360" w:lineRule="auto"/>
        <w:rPr>
          <w:rFonts w:cstheme="minorHAnsi"/>
          <w:sz w:val="24"/>
          <w:szCs w:val="24"/>
        </w:rPr>
      </w:pPr>
      <w:r w:rsidRPr="00AA5CEA">
        <w:rPr>
          <w:rFonts w:cstheme="minorHAnsi"/>
          <w:sz w:val="24"/>
          <w:szCs w:val="24"/>
        </w:rPr>
        <w:t>The Bill of Rights Bill is a legislation proposed by current Parliament introduced in the House of Commons for its first hearing on the 22</w:t>
      </w:r>
      <w:r w:rsidRPr="00AA5CEA">
        <w:rPr>
          <w:rFonts w:cstheme="minorHAnsi"/>
          <w:sz w:val="24"/>
          <w:szCs w:val="24"/>
          <w:vertAlign w:val="superscript"/>
        </w:rPr>
        <w:t>nd</w:t>
      </w:r>
      <w:r w:rsidRPr="00AA5CEA">
        <w:rPr>
          <w:rFonts w:cstheme="minorHAnsi"/>
          <w:sz w:val="24"/>
          <w:szCs w:val="24"/>
        </w:rPr>
        <w:t xml:space="preserve"> of June 2022. It currently finds itself waiting for its second hearing, but a date has not been set due to the delays </w:t>
      </w:r>
      <w:r>
        <w:rPr>
          <w:rFonts w:cstheme="minorHAnsi"/>
          <w:sz w:val="24"/>
          <w:szCs w:val="24"/>
        </w:rPr>
        <w:t>caused by</w:t>
      </w:r>
      <w:r w:rsidRPr="00AA5CEA">
        <w:rPr>
          <w:rFonts w:cstheme="minorHAnsi"/>
          <w:sz w:val="24"/>
          <w:szCs w:val="24"/>
        </w:rPr>
        <w:t xml:space="preserve"> Queen Elizabeth II’s death. As abovementioned, if the Bill is to receive royal assent and come into force, it would repeal the HRA 1998, as well as replac</w:t>
      </w:r>
      <w:r>
        <w:rPr>
          <w:rFonts w:cstheme="minorHAnsi"/>
          <w:sz w:val="24"/>
          <w:szCs w:val="24"/>
        </w:rPr>
        <w:t>ing</w:t>
      </w:r>
      <w:r w:rsidRPr="00AA5CEA">
        <w:rPr>
          <w:rFonts w:cstheme="minorHAnsi"/>
          <w:sz w:val="24"/>
          <w:szCs w:val="24"/>
        </w:rPr>
        <w:t xml:space="preserve"> it (The Law Society, 2022).  The new framework of human rights implementation would implement the Convention rights, but it would not require the domestic courts to consider the European Court on Human Rights’ (ECtHR or Strasbourg Court) judgments and advice.</w:t>
      </w:r>
    </w:p>
    <w:p w14:paraId="63942674" w14:textId="77777777" w:rsidR="00D03E4D" w:rsidRPr="00AA5CEA" w:rsidRDefault="00D03E4D" w:rsidP="00D03E4D">
      <w:pPr>
        <w:spacing w:line="360" w:lineRule="auto"/>
        <w:rPr>
          <w:rFonts w:cstheme="minorHAnsi"/>
          <w:sz w:val="24"/>
          <w:szCs w:val="24"/>
        </w:rPr>
      </w:pPr>
      <w:r w:rsidRPr="00AA5CEA">
        <w:rPr>
          <w:rFonts w:cstheme="minorHAnsi"/>
          <w:sz w:val="24"/>
          <w:szCs w:val="24"/>
        </w:rPr>
        <w:t xml:space="preserve">In 1953 the UK became a signatory to the ECHR, nevertheless, its enforcement into the country was proven difficult. As a result of this, the HRA came into force in order to </w:t>
      </w:r>
      <w:r>
        <w:rPr>
          <w:rFonts w:cstheme="minorHAnsi"/>
          <w:sz w:val="24"/>
          <w:szCs w:val="24"/>
        </w:rPr>
        <w:t xml:space="preserve">implement the ECHR more freely into </w:t>
      </w:r>
      <w:r w:rsidRPr="00AA5CEA">
        <w:rPr>
          <w:rFonts w:cstheme="minorHAnsi"/>
          <w:sz w:val="24"/>
          <w:szCs w:val="24"/>
        </w:rPr>
        <w:t>the UK domestic law. Foster and Foster (2022, p. 19) argue that the Act was intended to “make the executive far more accountable for its acts and omissions to its citizens”. This is because the HRA enabled citizens to bring before the UK domestic courts claims relating to breaches of their human rights, as well as requiring public bodies to comply with human rights (Dawson, 202</w:t>
      </w:r>
      <w:r>
        <w:rPr>
          <w:rFonts w:cstheme="minorHAnsi"/>
          <w:sz w:val="24"/>
          <w:szCs w:val="24"/>
        </w:rPr>
        <w:t>1</w:t>
      </w:r>
      <w:r w:rsidRPr="00AA5CEA">
        <w:rPr>
          <w:rFonts w:cstheme="minorHAnsi"/>
          <w:sz w:val="24"/>
          <w:szCs w:val="24"/>
        </w:rPr>
        <w:t>).</w:t>
      </w:r>
    </w:p>
    <w:p w14:paraId="45940E2D" w14:textId="77777777" w:rsidR="00D03E4D" w:rsidRPr="00AA5CEA" w:rsidRDefault="00D03E4D" w:rsidP="00D03E4D">
      <w:pPr>
        <w:spacing w:line="360" w:lineRule="auto"/>
        <w:rPr>
          <w:rFonts w:cstheme="minorHAnsi"/>
          <w:sz w:val="24"/>
          <w:szCs w:val="24"/>
        </w:rPr>
      </w:pPr>
      <w:r w:rsidRPr="00AA5CEA">
        <w:rPr>
          <w:rFonts w:cstheme="minorHAnsi"/>
          <w:sz w:val="24"/>
          <w:szCs w:val="24"/>
        </w:rPr>
        <w:lastRenderedPageBreak/>
        <w:t xml:space="preserve">Legal professionals and academics have divided opinions and views regarding the main aims and objectives of the Bill of Rights Bill. Considering the proposals for the Bill of Rights and how it should be implemented, it seems that Foster &amp; Foster’s (2022, p.17) statement that the “government desire a return to the pre-HRA situations where courts were constrained in using ECHR specifically and human rights law more generally” depicts the objective of the Bill of Rights. These reforms would also result in the Supreme Court being the ultimate judicial decision-maker on human rights issues within the UK, and it would require the UK courts to follow ECHR precedent </w:t>
      </w:r>
      <w:r w:rsidRPr="006B7541">
        <w:rPr>
          <w:rFonts w:cstheme="minorHAnsi"/>
          <w:sz w:val="24"/>
          <w:szCs w:val="24"/>
        </w:rPr>
        <w:t>(Ministry of Justice and The Rt Hon Dominic Raab MP, 2022)</w:t>
      </w:r>
      <w:r>
        <w:rPr>
          <w:rFonts w:cstheme="minorHAnsi"/>
          <w:sz w:val="24"/>
          <w:szCs w:val="24"/>
        </w:rPr>
        <w:t xml:space="preserve">. </w:t>
      </w:r>
      <w:r w:rsidRPr="00AA5CEA">
        <w:rPr>
          <w:rFonts w:cstheme="minorHAnsi"/>
          <w:sz w:val="24"/>
          <w:szCs w:val="24"/>
        </w:rPr>
        <w:t xml:space="preserve">By not requiring the UK courts to follow ECHR precedent, Parliament will once again reinstate itself as the supreme law-making body, as well as reinstating the separation of powers which confers the legislative duties only upon the legislative branch. </w:t>
      </w:r>
    </w:p>
    <w:p w14:paraId="5BF0AC9D" w14:textId="77777777" w:rsidR="00D03E4D" w:rsidRPr="00AA5CEA" w:rsidRDefault="00D03E4D" w:rsidP="00D03E4D">
      <w:pPr>
        <w:spacing w:line="360" w:lineRule="auto"/>
        <w:rPr>
          <w:rFonts w:cstheme="minorHAnsi"/>
          <w:sz w:val="24"/>
          <w:szCs w:val="24"/>
        </w:rPr>
      </w:pPr>
      <w:r w:rsidRPr="00AA5CEA">
        <w:rPr>
          <w:rFonts w:cstheme="minorHAnsi"/>
          <w:sz w:val="24"/>
          <w:szCs w:val="24"/>
        </w:rPr>
        <w:t>The main reason for creation of the Bill and the changes it is desired to enforce into the UK is to stop mission creep, both in the domestic courts, but as well as the expansion of the Convention rights. Mission creep is considered to be a gradual expansion, and in the case at hand regarding the ECHR, it is believed the Convention has a gradual expansion within the legal system of the UK by expanding the meaning and the rights initially incorporated in the Convention. Baroness Hale (2022, p. 228) describes that the supporters of the Bill of Rights have accused the “living instrument” doctrine used by the ECtHR to allow it to expand rights which are not expressed in the Convention resulting in Member States having positive duties imposed on them. Furthermore, the Bill’s supporters have argued that as a result of the mission creep the UK domestic courts have not been demonstrating proper consideration of their role, those of Parliament and of the Government (Baroness Hale, 2022, p. 229). Nevertheless, Foster and Foster (2022, p. 17) hold the view that the Bill of Rights Bill are the “staging post” for the eventual withdrawal of the UK from the ECHR itself.</w:t>
      </w:r>
    </w:p>
    <w:p w14:paraId="3B1ADBD3" w14:textId="77777777" w:rsidR="00D03E4D" w:rsidRPr="00AA5CEA" w:rsidRDefault="00D03E4D" w:rsidP="00D03E4D">
      <w:pPr>
        <w:spacing w:line="360" w:lineRule="auto"/>
        <w:rPr>
          <w:rFonts w:cstheme="minorHAnsi"/>
          <w:sz w:val="24"/>
          <w:szCs w:val="24"/>
        </w:rPr>
      </w:pPr>
      <w:r w:rsidRPr="00AA5CEA">
        <w:rPr>
          <w:rFonts w:cstheme="minorHAnsi"/>
          <w:sz w:val="24"/>
          <w:szCs w:val="24"/>
        </w:rPr>
        <w:t xml:space="preserve">The changes the Bill will bring to the framework of ECHR’s implementation into the UK is highly different to that of the HRA. The major change is that the duty of the domestic courts to take account of Strasbourg jurisprudence will be repealed </w:t>
      </w:r>
      <w:r w:rsidRPr="00E46628">
        <w:rPr>
          <w:rFonts w:cstheme="minorHAnsi"/>
          <w:sz w:val="24"/>
          <w:szCs w:val="24"/>
        </w:rPr>
        <w:t>(Human Rights, 2022</w:t>
      </w:r>
      <w:r>
        <w:rPr>
          <w:rFonts w:cstheme="minorHAnsi"/>
          <w:sz w:val="24"/>
          <w:szCs w:val="24"/>
        </w:rPr>
        <w:t>,</w:t>
      </w:r>
      <w:r w:rsidRPr="00AA5CEA">
        <w:rPr>
          <w:rFonts w:cstheme="minorHAnsi"/>
          <w:sz w:val="24"/>
          <w:szCs w:val="24"/>
        </w:rPr>
        <w:t xml:space="preserve"> p. 669). Furthermore, the duty to interpret all legislation so far as it is possible to do so to be compatible with human rights will be repealed. The Bill will also regulate the positive obligations domestic courts can impose on public bodies by prohibiting this and under certain conditions. The extraterritorial application of the Bill will be excluded. Moreover, </w:t>
      </w:r>
      <w:r w:rsidRPr="00AA5CEA">
        <w:rPr>
          <w:rFonts w:cstheme="minorHAnsi"/>
          <w:sz w:val="24"/>
          <w:szCs w:val="24"/>
        </w:rPr>
        <w:lastRenderedPageBreak/>
        <w:t>ministers will no longer have the duty of declaring that the contents of the Bill are compatible with human rights.</w:t>
      </w:r>
    </w:p>
    <w:p w14:paraId="107010DC" w14:textId="77777777" w:rsidR="00D03E4D" w:rsidRPr="00AA5CEA" w:rsidRDefault="00D03E4D" w:rsidP="00D03E4D">
      <w:pPr>
        <w:spacing w:line="360" w:lineRule="auto"/>
        <w:rPr>
          <w:rFonts w:cstheme="minorHAnsi"/>
          <w:sz w:val="24"/>
          <w:szCs w:val="24"/>
        </w:rPr>
      </w:pPr>
      <w:r w:rsidRPr="00AA5CEA">
        <w:rPr>
          <w:rFonts w:cstheme="minorHAnsi"/>
          <w:sz w:val="24"/>
          <w:szCs w:val="24"/>
        </w:rPr>
        <w:t xml:space="preserve">Amongst all these changes, the Bill of Rights will retain the wording of the ECHR rights, as well as being enforced alongside the Convention. Whilst the HRA is an instrument used by the people of the UK to bring before the courts breaches of their human rights according to the Convention, the Bill will enforce the human rights listed in the Convention in a manner which is suitable and complies with British principles, i.e. the separation of powers and Parliamentary sovereignty. Foster and Foster (2022, p.17) argue that by retaining membership of the Convention but enforcing it in a manner suitable to British values is the UK’s manner of protection its international standing and soft power. </w:t>
      </w:r>
    </w:p>
    <w:p w14:paraId="36438E48" w14:textId="77777777" w:rsidR="00D03E4D" w:rsidRPr="00AA5CEA" w:rsidRDefault="00D03E4D" w:rsidP="00D03E4D">
      <w:pPr>
        <w:spacing w:line="360" w:lineRule="auto"/>
        <w:rPr>
          <w:rFonts w:cstheme="minorHAnsi"/>
          <w:sz w:val="24"/>
          <w:szCs w:val="24"/>
        </w:rPr>
      </w:pPr>
      <w:r w:rsidRPr="00AA5CEA">
        <w:rPr>
          <w:rFonts w:cstheme="minorHAnsi"/>
          <w:sz w:val="24"/>
          <w:szCs w:val="24"/>
        </w:rPr>
        <w:t>One of the advantages arising from the Bill of Rights is the opportunity to draft a document focused on rights which take precedence in the British society</w:t>
      </w:r>
      <w:r>
        <w:rPr>
          <w:rFonts w:cstheme="minorHAnsi"/>
          <w:sz w:val="24"/>
          <w:szCs w:val="24"/>
        </w:rPr>
        <w:t xml:space="preserve"> </w:t>
      </w:r>
      <w:r w:rsidRPr="004436AC">
        <w:rPr>
          <w:rFonts w:cstheme="minorHAnsi"/>
          <w:sz w:val="24"/>
          <w:szCs w:val="24"/>
        </w:rPr>
        <w:t>(Ministry of Justice and The Rt Hon Dominic Raab MP, 2022</w:t>
      </w:r>
      <w:r w:rsidRPr="00AA5CEA">
        <w:rPr>
          <w:rFonts w:cstheme="minorHAnsi"/>
          <w:sz w:val="24"/>
          <w:szCs w:val="24"/>
        </w:rPr>
        <w:t xml:space="preserve">). This means that freedom of speech is to be allowed greater weight in law and preventing trivial legal claims from wasting taxpayers’ money. </w:t>
      </w:r>
    </w:p>
    <w:p w14:paraId="58B62923" w14:textId="77777777" w:rsidR="00D03E4D" w:rsidRPr="00AA5CEA" w:rsidRDefault="00D03E4D" w:rsidP="00D03E4D">
      <w:pPr>
        <w:spacing w:line="360" w:lineRule="auto"/>
        <w:rPr>
          <w:rFonts w:cstheme="minorHAnsi"/>
          <w:sz w:val="24"/>
          <w:szCs w:val="24"/>
        </w:rPr>
      </w:pPr>
      <w:r w:rsidRPr="00AA5CEA">
        <w:rPr>
          <w:rFonts w:cstheme="minorHAnsi"/>
          <w:sz w:val="24"/>
          <w:szCs w:val="24"/>
        </w:rPr>
        <w:t>Nevertheless, the disadvantages that come with the repeal of the HRA ignores that the devolved jurisdictions of the UK (Northern Ireland, Scotland and Wales) have not expressed such a desire, thus leading the way for these jurisdictions to request independence (Hughes, Martin &amp; Palmer, 2022, p. 536). Foster and Foster (2022</w:t>
      </w:r>
      <w:r>
        <w:rPr>
          <w:rFonts w:cstheme="minorHAnsi"/>
          <w:sz w:val="24"/>
          <w:szCs w:val="24"/>
        </w:rPr>
        <w:t>, p. 16</w:t>
      </w:r>
      <w:r w:rsidRPr="00AA5CEA">
        <w:rPr>
          <w:rFonts w:cstheme="minorHAnsi"/>
          <w:sz w:val="24"/>
          <w:szCs w:val="24"/>
        </w:rPr>
        <w:t xml:space="preserve">) also highlight that the ECtHR has highlighted how there are “many gaps in the protection given by domestic laws” meaning the Bill of Rights might not protect the British people in the same manner as the HRA and ECHR. </w:t>
      </w:r>
    </w:p>
    <w:p w14:paraId="699F3AA5" w14:textId="7460DBF7" w:rsidR="0002797A" w:rsidRPr="00AA5CEA" w:rsidRDefault="00D03E4D" w:rsidP="00D03E4D">
      <w:pPr>
        <w:spacing w:line="360" w:lineRule="auto"/>
        <w:rPr>
          <w:rFonts w:cstheme="minorHAnsi"/>
          <w:sz w:val="24"/>
          <w:szCs w:val="24"/>
        </w:rPr>
      </w:pPr>
      <w:r w:rsidRPr="00AA5CEA">
        <w:rPr>
          <w:rFonts w:cstheme="minorHAnsi"/>
          <w:sz w:val="24"/>
          <w:szCs w:val="24"/>
        </w:rPr>
        <w:t>The UK has been through a series of changes, and one of the most prominent ones is Brexit. The UK exited the European Union (EU) through the European Union (Withdrawal) Act 2018 which did not retain the Charter of Fundamental Rights (CFR). The European Communities Act 1972 has implemented the Charter of Fundamental Rights into the UK legislation. The repeal of the Charter of Fundamental Rights is the UK’s first step towards creating its own Bill of Rights based on rights more prominent in the UK society.</w:t>
      </w:r>
    </w:p>
    <w:p w14:paraId="5A1747B0" w14:textId="77777777" w:rsidR="00D03E4D" w:rsidRDefault="00D03E4D" w:rsidP="00D03E4D">
      <w:pPr>
        <w:spacing w:line="360" w:lineRule="auto"/>
        <w:rPr>
          <w:rFonts w:cstheme="minorHAnsi"/>
          <w:sz w:val="24"/>
          <w:szCs w:val="24"/>
        </w:rPr>
      </w:pPr>
      <w:r w:rsidRPr="00AA5CEA">
        <w:rPr>
          <w:rFonts w:cstheme="minorHAnsi"/>
          <w:sz w:val="24"/>
          <w:szCs w:val="24"/>
        </w:rPr>
        <w:t xml:space="preserve">To conclude, the Bill of Rights is to repeal and reform the legal structure around the HRA and the ECHR. Nevertheless, many legal professionals, academics and political figures are opposed to this proposed piece of legislation due to the complications and effects it will </w:t>
      </w:r>
      <w:r w:rsidRPr="00AA5CEA">
        <w:rPr>
          <w:rFonts w:cstheme="minorHAnsi"/>
          <w:sz w:val="24"/>
          <w:szCs w:val="24"/>
        </w:rPr>
        <w:lastRenderedPageBreak/>
        <w:t>create. It will require restructuring the manner in which the domestic courts approach and rules on matters involving breaches of human rights. Moreover, the British people will find it harder to navigate a system under development and which will not be clearly laid out, and without guidance from the Strasbourg Court. As Baroness Hales (2022, p. 238) states, “there is always a risk that replacing, as opposed to amending, existing legislation will lead to more litigation to clarify its meaning and to unintended consequences”. Reinforcing Parliament as the sole law-making body in the jurisdiction, as well as reiterating the separation of power will be a main priority of the Bill of Rights. The opposition towards the new Bill seems to have delayed its second hearing, although a second hearing is to be expected due to the dedication of the Conservative Party to its manifesto and reshaping human rights in the UK (Dawson, 202</w:t>
      </w:r>
      <w:r>
        <w:rPr>
          <w:rFonts w:cstheme="minorHAnsi"/>
          <w:sz w:val="24"/>
          <w:szCs w:val="24"/>
        </w:rPr>
        <w:t>1).</w:t>
      </w:r>
    </w:p>
    <w:p w14:paraId="4A2617F5" w14:textId="77777777" w:rsidR="00D03E4D" w:rsidRDefault="00D03E4D" w:rsidP="00D03E4D">
      <w:pPr>
        <w:rPr>
          <w:rFonts w:cstheme="minorHAnsi"/>
          <w:sz w:val="24"/>
          <w:szCs w:val="24"/>
        </w:rPr>
      </w:pPr>
      <w:r>
        <w:rPr>
          <w:rFonts w:cstheme="minorHAnsi"/>
          <w:sz w:val="24"/>
          <w:szCs w:val="24"/>
        </w:rPr>
        <w:br w:type="page"/>
      </w:r>
    </w:p>
    <w:p w14:paraId="3271F6DC" w14:textId="0F930405" w:rsidR="00D03E4D" w:rsidRPr="00AA5CEA" w:rsidRDefault="0029142C" w:rsidP="00D03E4D">
      <w:pPr>
        <w:spacing w:line="360" w:lineRule="auto"/>
        <w:rPr>
          <w:rFonts w:cstheme="minorHAnsi"/>
          <w:b/>
          <w:bCs/>
          <w:sz w:val="28"/>
          <w:szCs w:val="28"/>
          <w:u w:val="single"/>
        </w:rPr>
      </w:pPr>
      <w:r>
        <w:rPr>
          <w:rFonts w:cstheme="minorHAnsi"/>
          <w:b/>
          <w:bCs/>
          <w:sz w:val="28"/>
          <w:szCs w:val="28"/>
          <w:u w:val="single"/>
        </w:rPr>
        <w:lastRenderedPageBreak/>
        <w:t>References</w:t>
      </w:r>
      <w:r w:rsidR="0002797A">
        <w:rPr>
          <w:rFonts w:cstheme="minorHAnsi"/>
          <w:b/>
          <w:bCs/>
          <w:sz w:val="28"/>
          <w:szCs w:val="28"/>
          <w:u w:val="single"/>
        </w:rPr>
        <w:t>:</w:t>
      </w:r>
    </w:p>
    <w:p w14:paraId="59181C21" w14:textId="77777777" w:rsidR="00D03E4D" w:rsidRPr="00AA5CEA" w:rsidRDefault="00D03E4D" w:rsidP="00D03E4D">
      <w:pPr>
        <w:spacing w:line="360" w:lineRule="auto"/>
        <w:rPr>
          <w:rFonts w:cstheme="minorHAnsi"/>
          <w:sz w:val="24"/>
          <w:szCs w:val="24"/>
          <w:u w:val="single"/>
        </w:rPr>
      </w:pPr>
      <w:r w:rsidRPr="00AA5CEA">
        <w:rPr>
          <w:rFonts w:cstheme="minorHAnsi"/>
          <w:sz w:val="24"/>
          <w:szCs w:val="24"/>
          <w:u w:val="single"/>
        </w:rPr>
        <w:t>Legislation</w:t>
      </w:r>
    </w:p>
    <w:p w14:paraId="0CFBFF66" w14:textId="77777777" w:rsidR="00D03E4D" w:rsidRDefault="00D03E4D" w:rsidP="00D03E4D">
      <w:pPr>
        <w:spacing w:line="360" w:lineRule="auto"/>
        <w:rPr>
          <w:rFonts w:cstheme="minorHAnsi"/>
          <w:sz w:val="24"/>
          <w:szCs w:val="24"/>
        </w:rPr>
      </w:pPr>
      <w:r>
        <w:rPr>
          <w:rFonts w:cstheme="minorHAnsi"/>
          <w:sz w:val="24"/>
          <w:szCs w:val="24"/>
        </w:rPr>
        <w:t xml:space="preserve">Bill of Rights Bill 2022 </w:t>
      </w:r>
    </w:p>
    <w:p w14:paraId="3A81A4A0" w14:textId="77777777" w:rsidR="00D03E4D" w:rsidRDefault="00D03E4D" w:rsidP="00D03E4D">
      <w:pPr>
        <w:spacing w:line="360" w:lineRule="auto"/>
        <w:rPr>
          <w:rFonts w:cstheme="minorHAnsi"/>
          <w:sz w:val="24"/>
          <w:szCs w:val="24"/>
        </w:rPr>
      </w:pPr>
      <w:r>
        <w:rPr>
          <w:rFonts w:cstheme="minorHAnsi"/>
          <w:sz w:val="24"/>
          <w:szCs w:val="24"/>
        </w:rPr>
        <w:t>Charter of Fundamental Rights</w:t>
      </w:r>
    </w:p>
    <w:p w14:paraId="1A956D49" w14:textId="77777777" w:rsidR="00D03E4D" w:rsidRDefault="00D03E4D" w:rsidP="00D03E4D">
      <w:pPr>
        <w:spacing w:line="360" w:lineRule="auto"/>
        <w:rPr>
          <w:rFonts w:cstheme="minorHAnsi"/>
          <w:sz w:val="24"/>
          <w:szCs w:val="24"/>
        </w:rPr>
      </w:pPr>
      <w:r>
        <w:rPr>
          <w:rFonts w:cstheme="minorHAnsi"/>
          <w:sz w:val="24"/>
          <w:szCs w:val="24"/>
        </w:rPr>
        <w:t xml:space="preserve">European Communities Act 1972 </w:t>
      </w:r>
    </w:p>
    <w:p w14:paraId="718E5738" w14:textId="77777777" w:rsidR="00D03E4D" w:rsidRDefault="00D03E4D" w:rsidP="00D03E4D">
      <w:pPr>
        <w:spacing w:line="360" w:lineRule="auto"/>
        <w:rPr>
          <w:rFonts w:cstheme="minorHAnsi"/>
          <w:sz w:val="24"/>
          <w:szCs w:val="24"/>
        </w:rPr>
      </w:pPr>
      <w:r>
        <w:rPr>
          <w:rFonts w:cstheme="minorHAnsi"/>
          <w:sz w:val="24"/>
          <w:szCs w:val="24"/>
        </w:rPr>
        <w:t>European Convention on Human Rights 1950</w:t>
      </w:r>
    </w:p>
    <w:p w14:paraId="7CB4E70B" w14:textId="77777777" w:rsidR="00D03E4D" w:rsidRDefault="00D03E4D" w:rsidP="00D03E4D">
      <w:pPr>
        <w:spacing w:line="360" w:lineRule="auto"/>
        <w:rPr>
          <w:rFonts w:cstheme="minorHAnsi"/>
          <w:sz w:val="24"/>
          <w:szCs w:val="24"/>
        </w:rPr>
      </w:pPr>
      <w:r>
        <w:rPr>
          <w:rFonts w:cstheme="minorHAnsi"/>
          <w:sz w:val="24"/>
          <w:szCs w:val="24"/>
        </w:rPr>
        <w:t xml:space="preserve">European Union (Withdrawal) Act 2018 </w:t>
      </w:r>
    </w:p>
    <w:p w14:paraId="431079D2" w14:textId="77777777" w:rsidR="00D03E4D" w:rsidRDefault="00D03E4D" w:rsidP="00D03E4D">
      <w:pPr>
        <w:spacing w:line="360" w:lineRule="auto"/>
        <w:rPr>
          <w:rFonts w:cstheme="minorHAnsi"/>
          <w:sz w:val="24"/>
          <w:szCs w:val="24"/>
        </w:rPr>
      </w:pPr>
      <w:r>
        <w:rPr>
          <w:rFonts w:cstheme="minorHAnsi"/>
          <w:sz w:val="24"/>
          <w:szCs w:val="24"/>
        </w:rPr>
        <w:t xml:space="preserve">Human Rights Act 1998 </w:t>
      </w:r>
    </w:p>
    <w:p w14:paraId="6A1E4B9F" w14:textId="77777777" w:rsidR="00D03E4D" w:rsidRPr="00237E67" w:rsidRDefault="00D03E4D" w:rsidP="00D03E4D">
      <w:pPr>
        <w:spacing w:line="360" w:lineRule="auto"/>
        <w:rPr>
          <w:rFonts w:cstheme="minorHAnsi"/>
          <w:sz w:val="24"/>
          <w:szCs w:val="24"/>
          <w:u w:val="single"/>
        </w:rPr>
      </w:pPr>
      <w:r w:rsidRPr="00237E67">
        <w:rPr>
          <w:rFonts w:cstheme="minorHAnsi"/>
          <w:sz w:val="24"/>
          <w:szCs w:val="24"/>
          <w:u w:val="single"/>
        </w:rPr>
        <w:t xml:space="preserve">Secondary sources </w:t>
      </w:r>
    </w:p>
    <w:p w14:paraId="274806E7" w14:textId="77777777" w:rsidR="00D03E4D" w:rsidRDefault="00D03E4D" w:rsidP="00D03E4D">
      <w:pPr>
        <w:pStyle w:val="NormalWeb"/>
        <w:spacing w:before="0" w:beforeAutospacing="0" w:after="240" w:afterAutospacing="0" w:line="360" w:lineRule="auto"/>
      </w:pPr>
      <w:r>
        <w:t xml:space="preserve">Dawson, J. (2021). Reform of the Human Rights Act 1998. </w:t>
      </w:r>
      <w:r>
        <w:rPr>
          <w:i/>
          <w:iCs/>
        </w:rPr>
        <w:t>House of Commons Library</w:t>
      </w:r>
      <w:r>
        <w:t>. Available at: https://commonslibrary.parliament.uk/research-briefings/cbp-9406/ [Accessed 2 Mar. 2023].</w:t>
      </w:r>
    </w:p>
    <w:p w14:paraId="113D943A" w14:textId="77777777" w:rsidR="00D03E4D" w:rsidRDefault="00D03E4D" w:rsidP="00D03E4D">
      <w:pPr>
        <w:pStyle w:val="NormalWeb"/>
        <w:spacing w:before="0" w:beforeAutospacing="0" w:after="240" w:afterAutospacing="0" w:line="360" w:lineRule="auto"/>
      </w:pPr>
      <w:r>
        <w:t xml:space="preserve">Foster, S. and Foster, S. (2022). Reforming the Human Rights Act 1998 and the Bill of Rights Bill 2022. </w:t>
      </w:r>
      <w:proofErr w:type="spellStart"/>
      <w:r>
        <w:rPr>
          <w:i/>
          <w:iCs/>
        </w:rPr>
        <w:t>Cov</w:t>
      </w:r>
      <w:proofErr w:type="spellEnd"/>
      <w:r>
        <w:rPr>
          <w:i/>
          <w:iCs/>
        </w:rPr>
        <w:t>. L.J.</w:t>
      </w:r>
      <w:r>
        <w:t>, 27(1), pp.1–22.</w:t>
      </w:r>
    </w:p>
    <w:p w14:paraId="026C336A" w14:textId="77777777" w:rsidR="00D03E4D" w:rsidRDefault="00D03E4D" w:rsidP="00D03E4D">
      <w:pPr>
        <w:pStyle w:val="NormalWeb"/>
        <w:spacing w:before="0" w:beforeAutospacing="0" w:after="240" w:afterAutospacing="0" w:line="360" w:lineRule="auto"/>
      </w:pPr>
      <w:proofErr w:type="spellStart"/>
      <w:r>
        <w:t>Gearty</w:t>
      </w:r>
      <w:proofErr w:type="spellEnd"/>
      <w:r>
        <w:t xml:space="preserve">, C. (2018). States of denial. What the search for a UK Bill of Rights tells us about human rights protection today. </w:t>
      </w:r>
      <w:r>
        <w:rPr>
          <w:i/>
          <w:iCs/>
        </w:rPr>
        <w:t>E.H.R.L.R.</w:t>
      </w:r>
      <w:r>
        <w:t>, 5, pp.415–421.</w:t>
      </w:r>
    </w:p>
    <w:p w14:paraId="0BFD21C8" w14:textId="77777777" w:rsidR="00D03E4D" w:rsidRDefault="00D03E4D" w:rsidP="00D03E4D">
      <w:pPr>
        <w:pStyle w:val="NormalWeb"/>
        <w:spacing w:before="0" w:beforeAutospacing="0" w:after="240" w:afterAutospacing="0" w:line="360" w:lineRule="auto"/>
      </w:pPr>
      <w:r>
        <w:t xml:space="preserve">Hughes, K., Martin, S. and Palmer, S. (2022). Editorial. </w:t>
      </w:r>
      <w:r>
        <w:rPr>
          <w:i/>
          <w:iCs/>
        </w:rPr>
        <w:t>International Journal of Consumer Studies</w:t>
      </w:r>
      <w:r>
        <w:t>, (6), pp.535–544.</w:t>
      </w:r>
    </w:p>
    <w:p w14:paraId="0905B8F3" w14:textId="77777777" w:rsidR="00D03E4D" w:rsidRDefault="00D03E4D" w:rsidP="00D03E4D">
      <w:pPr>
        <w:pStyle w:val="NormalWeb"/>
        <w:spacing w:before="0" w:beforeAutospacing="0" w:after="240" w:afterAutospacing="0" w:line="360" w:lineRule="auto"/>
      </w:pPr>
      <w:r>
        <w:t xml:space="preserve">Human Rights. (2022). </w:t>
      </w:r>
      <w:r>
        <w:rPr>
          <w:i/>
          <w:iCs/>
        </w:rPr>
        <w:t>P.L.</w:t>
      </w:r>
      <w:r>
        <w:t>, pp.669–670.</w:t>
      </w:r>
    </w:p>
    <w:p w14:paraId="3B94EABB" w14:textId="77777777" w:rsidR="00D03E4D" w:rsidRDefault="00D03E4D" w:rsidP="00D03E4D">
      <w:pPr>
        <w:pStyle w:val="NormalWeb"/>
        <w:spacing w:before="0" w:beforeAutospacing="0" w:after="240" w:afterAutospacing="0" w:line="360" w:lineRule="auto"/>
      </w:pPr>
      <w:r>
        <w:t xml:space="preserve">Ministry of Justice and The Rt Hon Dominic Raab MP (2022). </w:t>
      </w:r>
      <w:r>
        <w:rPr>
          <w:i/>
          <w:iCs/>
        </w:rPr>
        <w:t>Bill of Rights to strengthen freedom of speech and curb bogus human rights claims</w:t>
      </w:r>
      <w:r>
        <w:t>. [online] GOV.UK. Available at: https://www.gov.uk/government/news/bill-of-rights-to-strengthen-freedom-of-speech-and-curb-bogus-human-rights-claims [Accessed 1 Mar. 2023].</w:t>
      </w:r>
    </w:p>
    <w:p w14:paraId="5AFDD5D0" w14:textId="77777777" w:rsidR="00D03E4D" w:rsidRDefault="00D03E4D" w:rsidP="00D03E4D">
      <w:pPr>
        <w:pStyle w:val="NormalWeb"/>
        <w:spacing w:before="0" w:beforeAutospacing="0" w:after="240" w:afterAutospacing="0" w:line="360" w:lineRule="auto"/>
      </w:pPr>
      <w:r>
        <w:t xml:space="preserve">Rt Hon The Baroness Hale of Richmond DBE (2022). Human Rights Act reform: a modern bill of rights. </w:t>
      </w:r>
      <w:r>
        <w:rPr>
          <w:i/>
          <w:iCs/>
        </w:rPr>
        <w:t>E.H.R.L.R.</w:t>
      </w:r>
      <w:r>
        <w:t>, 3, pp.228–238.</w:t>
      </w:r>
    </w:p>
    <w:p w14:paraId="57006341" w14:textId="77777777" w:rsidR="00D03E4D" w:rsidRDefault="00D03E4D" w:rsidP="00D03E4D">
      <w:pPr>
        <w:pStyle w:val="NormalWeb"/>
        <w:spacing w:before="0" w:beforeAutospacing="0" w:after="240" w:afterAutospacing="0" w:line="360" w:lineRule="auto"/>
      </w:pPr>
      <w:r>
        <w:lastRenderedPageBreak/>
        <w:t xml:space="preserve">The Law Society (2022). </w:t>
      </w:r>
      <w:r>
        <w:rPr>
          <w:i/>
          <w:iCs/>
        </w:rPr>
        <w:t>Human Rights Act reforms</w:t>
      </w:r>
      <w:r>
        <w:t>. [online] www.lawsociety.org.uk. Available at: https://www.lawsociety.org.uk/topics/human-rights/human-rights-act-reforms [Accessed 1 Mar. 2023].</w:t>
      </w:r>
    </w:p>
    <w:p w14:paraId="04481878" w14:textId="77777777" w:rsidR="00621C04" w:rsidRDefault="00621C04"/>
    <w:sectPr w:rsidR="00621C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C04"/>
    <w:rsid w:val="0002797A"/>
    <w:rsid w:val="0029142C"/>
    <w:rsid w:val="00621C04"/>
    <w:rsid w:val="00D03E4D"/>
    <w:rsid w:val="00F53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835BD"/>
  <w15:chartTrackingRefBased/>
  <w15:docId w15:val="{5233CA73-AA04-492D-B25A-A2EAF7AE4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3E4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03E4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1539</Words>
  <Characters>8774</Characters>
  <Application>Microsoft Office Word</Application>
  <DocSecurity>0</DocSecurity>
  <Lines>73</Lines>
  <Paragraphs>20</Paragraphs>
  <ScaleCrop>false</ScaleCrop>
  <Company/>
  <LinksUpToDate>false</LinksUpToDate>
  <CharactersWithSpaces>10293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Iuliana Vlasceanu</dc:creator>
  <cp:keywords/>
  <dc:description/>
  <cp:lastModifiedBy>Iuliana Vlasceanu</cp:lastModifiedBy>
  <cp:revision>5</cp:revision>
  <dcterms:created xsi:type="dcterms:W3CDTF">2023-03-10T23:25:00Z</dcterms:created>
  <dcterms:modified xsi:type="dcterms:W3CDTF">2023-03-10T23:29:00Z</dcterms:modified>
</cp:coreProperties>
</file>