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4274A7" w14:textId="77777777" w:rsidR="0092586E" w:rsidRDefault="0092586E" w:rsidP="0092586E">
      <w:pPr>
        <w:jc w:val="center"/>
        <w:rPr>
          <w:b/>
          <w:sz w:val="36"/>
          <w:szCs w:val="36"/>
        </w:rPr>
      </w:pPr>
    </w:p>
    <w:p w14:paraId="3055CE03" w14:textId="77777777" w:rsidR="0092586E" w:rsidRDefault="0092586E" w:rsidP="0092586E">
      <w:pPr>
        <w:jc w:val="center"/>
        <w:rPr>
          <w:b/>
          <w:sz w:val="36"/>
          <w:szCs w:val="36"/>
        </w:rPr>
      </w:pPr>
    </w:p>
    <w:p w14:paraId="5D20D071" w14:textId="77777777" w:rsidR="0092586E" w:rsidRDefault="0092586E" w:rsidP="0092586E">
      <w:pPr>
        <w:jc w:val="center"/>
        <w:rPr>
          <w:b/>
          <w:sz w:val="36"/>
          <w:szCs w:val="36"/>
        </w:rPr>
      </w:pPr>
    </w:p>
    <w:p w14:paraId="71419CEB" w14:textId="77777777" w:rsidR="0092586E" w:rsidRDefault="0092586E" w:rsidP="0092586E">
      <w:pPr>
        <w:jc w:val="center"/>
        <w:rPr>
          <w:b/>
          <w:sz w:val="36"/>
          <w:szCs w:val="36"/>
        </w:rPr>
      </w:pPr>
    </w:p>
    <w:p w14:paraId="00000001" w14:textId="0A4B2D80" w:rsidR="00951E89" w:rsidRDefault="000A5EDE" w:rsidP="0092586E">
      <w:pPr>
        <w:jc w:val="center"/>
        <w:rPr>
          <w:b/>
          <w:sz w:val="36"/>
          <w:szCs w:val="36"/>
        </w:rPr>
      </w:pPr>
      <w:r>
        <w:rPr>
          <w:b/>
          <w:sz w:val="36"/>
          <w:szCs w:val="36"/>
        </w:rPr>
        <w:t>Module Name: Criminal law Resit paper August 2024</w:t>
      </w:r>
    </w:p>
    <w:p w14:paraId="00000002" w14:textId="77777777" w:rsidR="00951E89" w:rsidRDefault="000A5EDE" w:rsidP="0092586E">
      <w:pPr>
        <w:jc w:val="center"/>
        <w:rPr>
          <w:b/>
          <w:sz w:val="36"/>
          <w:szCs w:val="36"/>
        </w:rPr>
      </w:pPr>
      <w:r>
        <w:rPr>
          <w:b/>
          <w:sz w:val="36"/>
          <w:szCs w:val="36"/>
        </w:rPr>
        <w:t>Module Code: BMPL4009_CARD</w:t>
      </w:r>
    </w:p>
    <w:p w14:paraId="00000003" w14:textId="28235D4B" w:rsidR="00951E89" w:rsidRDefault="000A5EDE" w:rsidP="0092586E">
      <w:pPr>
        <w:jc w:val="center"/>
        <w:rPr>
          <w:b/>
          <w:sz w:val="36"/>
          <w:szCs w:val="36"/>
        </w:rPr>
      </w:pPr>
      <w:r>
        <w:rPr>
          <w:b/>
          <w:sz w:val="36"/>
          <w:szCs w:val="36"/>
        </w:rPr>
        <w:t>Student Name:</w:t>
      </w:r>
      <w:r w:rsidR="002F6B09">
        <w:rPr>
          <w:b/>
          <w:sz w:val="36"/>
          <w:szCs w:val="36"/>
        </w:rPr>
        <w:t xml:space="preserve"> Alina Gabriela Chiosa</w:t>
      </w:r>
    </w:p>
    <w:p w14:paraId="00000004" w14:textId="7637176C" w:rsidR="00951E89" w:rsidRDefault="000A5EDE" w:rsidP="0092586E">
      <w:pPr>
        <w:jc w:val="center"/>
        <w:rPr>
          <w:b/>
          <w:sz w:val="36"/>
          <w:szCs w:val="36"/>
        </w:rPr>
      </w:pPr>
      <w:r>
        <w:rPr>
          <w:b/>
          <w:sz w:val="36"/>
          <w:szCs w:val="36"/>
        </w:rPr>
        <w:t xml:space="preserve">Student ID: </w:t>
      </w:r>
      <w:r w:rsidR="002F6B09">
        <w:rPr>
          <w:b/>
          <w:sz w:val="36"/>
          <w:szCs w:val="36"/>
        </w:rPr>
        <w:t>2325692</w:t>
      </w:r>
      <w:r>
        <w:br w:type="page"/>
      </w:r>
    </w:p>
    <w:sdt>
      <w:sdtPr>
        <w:rPr>
          <w:rFonts w:ascii="Arial" w:eastAsia="Arial" w:hAnsi="Arial" w:cs="Arial"/>
          <w:color w:val="auto"/>
          <w:sz w:val="24"/>
          <w:szCs w:val="24"/>
          <w:lang w:val="en-GB" w:eastAsia="en-IN"/>
        </w:rPr>
        <w:id w:val="124128343"/>
        <w:docPartObj>
          <w:docPartGallery w:val="Table of Contents"/>
          <w:docPartUnique/>
        </w:docPartObj>
      </w:sdtPr>
      <w:sdtEndPr>
        <w:rPr>
          <w:b/>
          <w:bCs/>
          <w:noProof/>
        </w:rPr>
      </w:sdtEndPr>
      <w:sdtContent>
        <w:p w14:paraId="45787738" w14:textId="0C21B1EA" w:rsidR="00750448" w:rsidRPr="00750448" w:rsidRDefault="00750448" w:rsidP="0092586E">
          <w:pPr>
            <w:pStyle w:val="TOCHeading"/>
            <w:spacing w:line="360" w:lineRule="auto"/>
            <w:jc w:val="center"/>
            <w:rPr>
              <w:rFonts w:ascii="Arial" w:hAnsi="Arial" w:cs="Arial"/>
              <w:b/>
              <w:bCs/>
              <w:color w:val="auto"/>
              <w:sz w:val="24"/>
              <w:szCs w:val="24"/>
            </w:rPr>
          </w:pPr>
          <w:r w:rsidRPr="00750448">
            <w:rPr>
              <w:rFonts w:ascii="Arial" w:hAnsi="Arial" w:cs="Arial"/>
              <w:b/>
              <w:bCs/>
              <w:color w:val="auto"/>
              <w:sz w:val="24"/>
              <w:szCs w:val="24"/>
            </w:rPr>
            <w:t>Table of Contents</w:t>
          </w:r>
        </w:p>
        <w:p w14:paraId="51D7FE73" w14:textId="5BDF0E5B" w:rsidR="00D13FDF" w:rsidRDefault="00750448">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84221338" w:history="1">
            <w:r w:rsidR="00D13FDF" w:rsidRPr="00F8287F">
              <w:rPr>
                <w:rStyle w:val="Hyperlink"/>
                <w:noProof/>
              </w:rPr>
              <w:t>Introduction</w:t>
            </w:r>
            <w:r w:rsidR="00D13FDF">
              <w:rPr>
                <w:noProof/>
                <w:webHidden/>
              </w:rPr>
              <w:tab/>
            </w:r>
            <w:r w:rsidR="00D13FDF">
              <w:rPr>
                <w:noProof/>
                <w:webHidden/>
              </w:rPr>
              <w:fldChar w:fldCharType="begin"/>
            </w:r>
            <w:r w:rsidR="00D13FDF">
              <w:rPr>
                <w:noProof/>
                <w:webHidden/>
              </w:rPr>
              <w:instrText xml:space="preserve"> PAGEREF _Toc184221338 \h </w:instrText>
            </w:r>
            <w:r w:rsidR="00D13FDF">
              <w:rPr>
                <w:noProof/>
                <w:webHidden/>
              </w:rPr>
            </w:r>
            <w:r w:rsidR="00D13FDF">
              <w:rPr>
                <w:noProof/>
                <w:webHidden/>
              </w:rPr>
              <w:fldChar w:fldCharType="separate"/>
            </w:r>
            <w:r w:rsidR="00D13FDF">
              <w:rPr>
                <w:noProof/>
                <w:webHidden/>
              </w:rPr>
              <w:t>3</w:t>
            </w:r>
            <w:r w:rsidR="00D13FDF">
              <w:rPr>
                <w:noProof/>
                <w:webHidden/>
              </w:rPr>
              <w:fldChar w:fldCharType="end"/>
            </w:r>
          </w:hyperlink>
        </w:p>
        <w:p w14:paraId="664959E4" w14:textId="2196B305" w:rsidR="00D13FDF" w:rsidRDefault="00D13FDF">
          <w:pPr>
            <w:pStyle w:val="TOC1"/>
            <w:tabs>
              <w:tab w:val="right" w:leader="dot" w:pos="9350"/>
            </w:tabs>
            <w:rPr>
              <w:rFonts w:asciiTheme="minorHAnsi" w:eastAsiaTheme="minorEastAsia" w:hAnsiTheme="minorHAnsi" w:cstheme="minorBidi"/>
              <w:noProof/>
              <w:sz w:val="22"/>
              <w:szCs w:val="22"/>
              <w:lang w:val="en-IN"/>
            </w:rPr>
          </w:pPr>
          <w:hyperlink w:anchor="_Toc184221339" w:history="1">
            <w:r w:rsidRPr="00F8287F">
              <w:rPr>
                <w:rStyle w:val="Hyperlink"/>
                <w:noProof/>
              </w:rPr>
              <w:t>Question 1: According to Taylor (2018) crimes can be divided into different types depending on the nature of their actus reus. Briefly explain what these types of crimes are and how the actus reus elements differ.</w:t>
            </w:r>
            <w:r>
              <w:rPr>
                <w:noProof/>
                <w:webHidden/>
              </w:rPr>
              <w:tab/>
            </w:r>
            <w:r>
              <w:rPr>
                <w:noProof/>
                <w:webHidden/>
              </w:rPr>
              <w:fldChar w:fldCharType="begin"/>
            </w:r>
            <w:r>
              <w:rPr>
                <w:noProof/>
                <w:webHidden/>
              </w:rPr>
              <w:instrText xml:space="preserve"> PAGEREF _Toc184221339 \h </w:instrText>
            </w:r>
            <w:r>
              <w:rPr>
                <w:noProof/>
                <w:webHidden/>
              </w:rPr>
            </w:r>
            <w:r>
              <w:rPr>
                <w:noProof/>
                <w:webHidden/>
              </w:rPr>
              <w:fldChar w:fldCharType="separate"/>
            </w:r>
            <w:r>
              <w:rPr>
                <w:noProof/>
                <w:webHidden/>
              </w:rPr>
              <w:t>4</w:t>
            </w:r>
            <w:r>
              <w:rPr>
                <w:noProof/>
                <w:webHidden/>
              </w:rPr>
              <w:fldChar w:fldCharType="end"/>
            </w:r>
          </w:hyperlink>
        </w:p>
        <w:p w14:paraId="270A710C" w14:textId="695C0DB7" w:rsidR="00D13FDF" w:rsidRDefault="00D13FDF">
          <w:pPr>
            <w:pStyle w:val="TOC1"/>
            <w:tabs>
              <w:tab w:val="right" w:leader="dot" w:pos="9350"/>
            </w:tabs>
            <w:rPr>
              <w:rFonts w:asciiTheme="minorHAnsi" w:eastAsiaTheme="minorEastAsia" w:hAnsiTheme="minorHAnsi" w:cstheme="minorBidi"/>
              <w:noProof/>
              <w:sz w:val="22"/>
              <w:szCs w:val="22"/>
              <w:lang w:val="en-IN"/>
            </w:rPr>
          </w:pPr>
          <w:hyperlink w:anchor="_Toc184221340" w:history="1">
            <w:r w:rsidRPr="00F8287F">
              <w:rPr>
                <w:rStyle w:val="Hyperlink"/>
                <w:noProof/>
              </w:rPr>
              <w:t>Question 2: According to Herring (2022), what is the voluntary act ‘requirement’ and what are some of the exceptions to this?</w:t>
            </w:r>
            <w:r>
              <w:rPr>
                <w:noProof/>
                <w:webHidden/>
              </w:rPr>
              <w:tab/>
            </w:r>
            <w:r>
              <w:rPr>
                <w:noProof/>
                <w:webHidden/>
              </w:rPr>
              <w:fldChar w:fldCharType="begin"/>
            </w:r>
            <w:r>
              <w:rPr>
                <w:noProof/>
                <w:webHidden/>
              </w:rPr>
              <w:instrText xml:space="preserve"> PAGEREF _Toc184221340 \h </w:instrText>
            </w:r>
            <w:r>
              <w:rPr>
                <w:noProof/>
                <w:webHidden/>
              </w:rPr>
            </w:r>
            <w:r>
              <w:rPr>
                <w:noProof/>
                <w:webHidden/>
              </w:rPr>
              <w:fldChar w:fldCharType="separate"/>
            </w:r>
            <w:r>
              <w:rPr>
                <w:noProof/>
                <w:webHidden/>
              </w:rPr>
              <w:t>4</w:t>
            </w:r>
            <w:r>
              <w:rPr>
                <w:noProof/>
                <w:webHidden/>
              </w:rPr>
              <w:fldChar w:fldCharType="end"/>
            </w:r>
          </w:hyperlink>
        </w:p>
        <w:p w14:paraId="569F9E71" w14:textId="21EA22D8" w:rsidR="00D13FDF" w:rsidRDefault="00D13FDF">
          <w:pPr>
            <w:pStyle w:val="TOC1"/>
            <w:tabs>
              <w:tab w:val="right" w:leader="dot" w:pos="9350"/>
            </w:tabs>
            <w:rPr>
              <w:rFonts w:asciiTheme="minorHAnsi" w:eastAsiaTheme="minorEastAsia" w:hAnsiTheme="minorHAnsi" w:cstheme="minorBidi"/>
              <w:noProof/>
              <w:sz w:val="22"/>
              <w:szCs w:val="22"/>
              <w:lang w:val="en-IN"/>
            </w:rPr>
          </w:pPr>
          <w:hyperlink w:anchor="_Toc184221341" w:history="1">
            <w:r w:rsidRPr="00F8287F">
              <w:rPr>
                <w:rStyle w:val="Hyperlink"/>
                <w:noProof/>
              </w:rPr>
              <w:t>Question 3. Using Macdonald (2018) explains the difference between direct and indirect (oblique) intention.</w:t>
            </w:r>
            <w:r>
              <w:rPr>
                <w:noProof/>
                <w:webHidden/>
              </w:rPr>
              <w:tab/>
            </w:r>
            <w:r>
              <w:rPr>
                <w:noProof/>
                <w:webHidden/>
              </w:rPr>
              <w:fldChar w:fldCharType="begin"/>
            </w:r>
            <w:r>
              <w:rPr>
                <w:noProof/>
                <w:webHidden/>
              </w:rPr>
              <w:instrText xml:space="preserve"> PAGEREF _Toc184221341 \h </w:instrText>
            </w:r>
            <w:r>
              <w:rPr>
                <w:noProof/>
                <w:webHidden/>
              </w:rPr>
            </w:r>
            <w:r>
              <w:rPr>
                <w:noProof/>
                <w:webHidden/>
              </w:rPr>
              <w:fldChar w:fldCharType="separate"/>
            </w:r>
            <w:r>
              <w:rPr>
                <w:noProof/>
                <w:webHidden/>
              </w:rPr>
              <w:t>5</w:t>
            </w:r>
            <w:r>
              <w:rPr>
                <w:noProof/>
                <w:webHidden/>
              </w:rPr>
              <w:fldChar w:fldCharType="end"/>
            </w:r>
          </w:hyperlink>
        </w:p>
        <w:p w14:paraId="448E4106" w14:textId="07779866" w:rsidR="00D13FDF" w:rsidRDefault="00D13FDF">
          <w:pPr>
            <w:pStyle w:val="TOC1"/>
            <w:tabs>
              <w:tab w:val="right" w:leader="dot" w:pos="9350"/>
            </w:tabs>
            <w:rPr>
              <w:rFonts w:asciiTheme="minorHAnsi" w:eastAsiaTheme="minorEastAsia" w:hAnsiTheme="minorHAnsi" w:cstheme="minorBidi"/>
              <w:noProof/>
              <w:sz w:val="22"/>
              <w:szCs w:val="22"/>
              <w:lang w:val="en-IN"/>
            </w:rPr>
          </w:pPr>
          <w:hyperlink w:anchor="_Toc184221342" w:history="1">
            <w:r w:rsidRPr="00F8287F">
              <w:rPr>
                <w:rStyle w:val="Hyperlink"/>
                <w:noProof/>
              </w:rPr>
              <w:t>Question 4: Using Finch and Fafinski (2021) discuss what the test for subjective recklessness is and identify key cases that apply.</w:t>
            </w:r>
            <w:r>
              <w:rPr>
                <w:noProof/>
                <w:webHidden/>
              </w:rPr>
              <w:tab/>
            </w:r>
            <w:r>
              <w:rPr>
                <w:noProof/>
                <w:webHidden/>
              </w:rPr>
              <w:fldChar w:fldCharType="begin"/>
            </w:r>
            <w:r>
              <w:rPr>
                <w:noProof/>
                <w:webHidden/>
              </w:rPr>
              <w:instrText xml:space="preserve"> PAGEREF _Toc184221342 \h </w:instrText>
            </w:r>
            <w:r>
              <w:rPr>
                <w:noProof/>
                <w:webHidden/>
              </w:rPr>
            </w:r>
            <w:r>
              <w:rPr>
                <w:noProof/>
                <w:webHidden/>
              </w:rPr>
              <w:fldChar w:fldCharType="separate"/>
            </w:r>
            <w:r>
              <w:rPr>
                <w:noProof/>
                <w:webHidden/>
              </w:rPr>
              <w:t>6</w:t>
            </w:r>
            <w:r>
              <w:rPr>
                <w:noProof/>
                <w:webHidden/>
              </w:rPr>
              <w:fldChar w:fldCharType="end"/>
            </w:r>
          </w:hyperlink>
        </w:p>
        <w:p w14:paraId="20615335" w14:textId="2959B388" w:rsidR="00D13FDF" w:rsidRDefault="00D13FDF">
          <w:pPr>
            <w:pStyle w:val="TOC1"/>
            <w:tabs>
              <w:tab w:val="right" w:leader="dot" w:pos="9350"/>
            </w:tabs>
            <w:rPr>
              <w:rFonts w:asciiTheme="minorHAnsi" w:eastAsiaTheme="minorEastAsia" w:hAnsiTheme="minorHAnsi" w:cstheme="minorBidi"/>
              <w:noProof/>
              <w:sz w:val="22"/>
              <w:szCs w:val="22"/>
              <w:lang w:val="en-IN"/>
            </w:rPr>
          </w:pPr>
          <w:hyperlink w:anchor="_Toc184221343" w:history="1">
            <w:r w:rsidRPr="00F8287F">
              <w:rPr>
                <w:rStyle w:val="Hyperlink"/>
                <w:noProof/>
              </w:rPr>
              <w:t>Question 5. Discuss what is meant by the ‘coincidence of actus reus and mens rea’. Please use relevant case law to support your answer.</w:t>
            </w:r>
            <w:r>
              <w:rPr>
                <w:noProof/>
                <w:webHidden/>
              </w:rPr>
              <w:tab/>
            </w:r>
            <w:r>
              <w:rPr>
                <w:noProof/>
                <w:webHidden/>
              </w:rPr>
              <w:fldChar w:fldCharType="begin"/>
            </w:r>
            <w:r>
              <w:rPr>
                <w:noProof/>
                <w:webHidden/>
              </w:rPr>
              <w:instrText xml:space="preserve"> PAGEREF _Toc184221343 \h </w:instrText>
            </w:r>
            <w:r>
              <w:rPr>
                <w:noProof/>
                <w:webHidden/>
              </w:rPr>
            </w:r>
            <w:r>
              <w:rPr>
                <w:noProof/>
                <w:webHidden/>
              </w:rPr>
              <w:fldChar w:fldCharType="separate"/>
            </w:r>
            <w:r>
              <w:rPr>
                <w:noProof/>
                <w:webHidden/>
              </w:rPr>
              <w:t>7</w:t>
            </w:r>
            <w:r>
              <w:rPr>
                <w:noProof/>
                <w:webHidden/>
              </w:rPr>
              <w:fldChar w:fldCharType="end"/>
            </w:r>
          </w:hyperlink>
        </w:p>
        <w:p w14:paraId="50C1CB6E" w14:textId="0AF3C10C" w:rsidR="00D13FDF" w:rsidRDefault="00D13FDF">
          <w:pPr>
            <w:pStyle w:val="TOC1"/>
            <w:tabs>
              <w:tab w:val="right" w:leader="dot" w:pos="9350"/>
            </w:tabs>
            <w:rPr>
              <w:rFonts w:asciiTheme="minorHAnsi" w:eastAsiaTheme="minorEastAsia" w:hAnsiTheme="minorHAnsi" w:cstheme="minorBidi"/>
              <w:noProof/>
              <w:sz w:val="22"/>
              <w:szCs w:val="22"/>
              <w:lang w:val="en-IN"/>
            </w:rPr>
          </w:pPr>
          <w:hyperlink w:anchor="_Toc184221344" w:history="1">
            <w:r w:rsidRPr="00F8287F">
              <w:rPr>
                <w:rStyle w:val="Hyperlink"/>
                <w:noProof/>
              </w:rPr>
              <w:t>Conclusion</w:t>
            </w:r>
            <w:r>
              <w:rPr>
                <w:noProof/>
                <w:webHidden/>
              </w:rPr>
              <w:tab/>
            </w:r>
            <w:r>
              <w:rPr>
                <w:noProof/>
                <w:webHidden/>
              </w:rPr>
              <w:fldChar w:fldCharType="begin"/>
            </w:r>
            <w:r>
              <w:rPr>
                <w:noProof/>
                <w:webHidden/>
              </w:rPr>
              <w:instrText xml:space="preserve"> PAGEREF _Toc184221344 \h </w:instrText>
            </w:r>
            <w:r>
              <w:rPr>
                <w:noProof/>
                <w:webHidden/>
              </w:rPr>
            </w:r>
            <w:r>
              <w:rPr>
                <w:noProof/>
                <w:webHidden/>
              </w:rPr>
              <w:fldChar w:fldCharType="separate"/>
            </w:r>
            <w:r>
              <w:rPr>
                <w:noProof/>
                <w:webHidden/>
              </w:rPr>
              <w:t>8</w:t>
            </w:r>
            <w:r>
              <w:rPr>
                <w:noProof/>
                <w:webHidden/>
              </w:rPr>
              <w:fldChar w:fldCharType="end"/>
            </w:r>
          </w:hyperlink>
        </w:p>
        <w:p w14:paraId="35A61720" w14:textId="328B3A93" w:rsidR="00D13FDF" w:rsidRDefault="00D13FDF">
          <w:pPr>
            <w:pStyle w:val="TOC1"/>
            <w:tabs>
              <w:tab w:val="right" w:leader="dot" w:pos="9350"/>
            </w:tabs>
            <w:rPr>
              <w:rFonts w:asciiTheme="minorHAnsi" w:eastAsiaTheme="minorEastAsia" w:hAnsiTheme="minorHAnsi" w:cstheme="minorBidi"/>
              <w:noProof/>
              <w:sz w:val="22"/>
              <w:szCs w:val="22"/>
              <w:lang w:val="en-IN"/>
            </w:rPr>
          </w:pPr>
          <w:hyperlink w:anchor="_Toc184221345" w:history="1">
            <w:r w:rsidRPr="00F8287F">
              <w:rPr>
                <w:rStyle w:val="Hyperlink"/>
                <w:noProof/>
              </w:rPr>
              <w:t>References</w:t>
            </w:r>
            <w:r>
              <w:rPr>
                <w:noProof/>
                <w:webHidden/>
              </w:rPr>
              <w:tab/>
            </w:r>
            <w:r>
              <w:rPr>
                <w:noProof/>
                <w:webHidden/>
              </w:rPr>
              <w:fldChar w:fldCharType="begin"/>
            </w:r>
            <w:r>
              <w:rPr>
                <w:noProof/>
                <w:webHidden/>
              </w:rPr>
              <w:instrText xml:space="preserve"> PAGEREF _Toc184221345 \h </w:instrText>
            </w:r>
            <w:r>
              <w:rPr>
                <w:noProof/>
                <w:webHidden/>
              </w:rPr>
            </w:r>
            <w:r>
              <w:rPr>
                <w:noProof/>
                <w:webHidden/>
              </w:rPr>
              <w:fldChar w:fldCharType="separate"/>
            </w:r>
            <w:r>
              <w:rPr>
                <w:noProof/>
                <w:webHidden/>
              </w:rPr>
              <w:t>9</w:t>
            </w:r>
            <w:r>
              <w:rPr>
                <w:noProof/>
                <w:webHidden/>
              </w:rPr>
              <w:fldChar w:fldCharType="end"/>
            </w:r>
          </w:hyperlink>
        </w:p>
        <w:p w14:paraId="39828758" w14:textId="6037A594" w:rsidR="00750448" w:rsidRDefault="00750448" w:rsidP="0092586E">
          <w:r>
            <w:rPr>
              <w:b/>
              <w:bCs/>
              <w:noProof/>
            </w:rPr>
            <w:fldChar w:fldCharType="end"/>
          </w:r>
        </w:p>
      </w:sdtContent>
    </w:sdt>
    <w:p w14:paraId="00000005" w14:textId="77777777" w:rsidR="00951E89" w:rsidRDefault="000A5EDE" w:rsidP="0092586E">
      <w:pPr>
        <w:jc w:val="center"/>
        <w:rPr>
          <w:b/>
          <w:sz w:val="36"/>
          <w:szCs w:val="36"/>
        </w:rPr>
      </w:pPr>
      <w:r>
        <w:br w:type="page"/>
      </w:r>
    </w:p>
    <w:p w14:paraId="00000006" w14:textId="604787B2" w:rsidR="00951E89" w:rsidRDefault="000A5EDE" w:rsidP="0092586E">
      <w:pPr>
        <w:pStyle w:val="Heading1"/>
      </w:pPr>
      <w:bookmarkStart w:id="0" w:name="_ccqx56jfsw14" w:colFirst="0" w:colLast="0"/>
      <w:bookmarkStart w:id="1" w:name="_Toc184221338"/>
      <w:bookmarkEnd w:id="0"/>
      <w:r>
        <w:t>Introduction</w:t>
      </w:r>
      <w:bookmarkEnd w:id="1"/>
    </w:p>
    <w:p w14:paraId="00000007" w14:textId="77777777" w:rsidR="00951E89" w:rsidRDefault="000A5EDE" w:rsidP="0092586E">
      <w:r>
        <w:t xml:space="preserve">Criminal cases need to be judged consciously focusing on both physical and mental constituents of offensive activities. The study will analyse these factors with the help of some authentic books on criminal laws. Court cases will be analysed to support the theoretical concepts.  </w:t>
      </w:r>
    </w:p>
    <w:p w14:paraId="00000008" w14:textId="77777777" w:rsidR="00951E89" w:rsidRDefault="00951E89" w:rsidP="0092586E"/>
    <w:p w14:paraId="00000009" w14:textId="77777777" w:rsidR="00951E89" w:rsidRDefault="000A5EDE" w:rsidP="0092586E">
      <w:pPr>
        <w:pStyle w:val="Heading1"/>
      </w:pPr>
      <w:bookmarkStart w:id="2" w:name="_qk6kcvatwrrv" w:colFirst="0" w:colLast="0"/>
      <w:bookmarkEnd w:id="2"/>
      <w:r>
        <w:br w:type="page"/>
      </w:r>
    </w:p>
    <w:p w14:paraId="0000000A" w14:textId="7D3950CA" w:rsidR="00951E89" w:rsidRDefault="000A5EDE" w:rsidP="0092586E">
      <w:pPr>
        <w:pStyle w:val="Heading1"/>
      </w:pPr>
      <w:bookmarkStart w:id="3" w:name="_ey7vye2l0wnh" w:colFirst="0" w:colLast="0"/>
      <w:bookmarkStart w:id="4" w:name="_Toc184221339"/>
      <w:bookmarkEnd w:id="3"/>
      <w:r>
        <w:t>Question 1</w:t>
      </w:r>
      <w:r w:rsidR="00750448">
        <w:t xml:space="preserve">: </w:t>
      </w:r>
      <w:r>
        <w:t>According to Taylor (2018) crimes can be divided into different types depending on the nature of their actus reus. Briefly explain what these types of crimes are and how the actus reus elements differ.</w:t>
      </w:r>
      <w:bookmarkEnd w:id="4"/>
    </w:p>
    <w:p w14:paraId="0000000B" w14:textId="4A156DC8" w:rsidR="00951E89" w:rsidRDefault="000A5EDE" w:rsidP="0092586E">
      <w:r>
        <w:t>Any deviant action is considered as crime after identifying the presence of actus reus in it. Crimes can be segmented into multiple types depending on the dynamics of actus reus. As suggested by Taylor (2018), actus reus has divided crimes into three different types including conduct crimes, result crimes and state of affair crimes. In each subdivision of crime, the actus reus heavily differs.</w:t>
      </w:r>
    </w:p>
    <w:p w14:paraId="0000000C" w14:textId="263C60C1" w:rsidR="00951E89" w:rsidRDefault="000A5EDE" w:rsidP="0092586E">
      <w:r>
        <w:t xml:space="preserve">Conduct crimes </w:t>
      </w:r>
      <w:r w:rsidR="00750448">
        <w:t>refer</w:t>
      </w:r>
      <w:r>
        <w:t xml:space="preserve"> to the offensive activities in which the conduct used is the main deviance. Most of the cases such crimes lack result elements. In the opinion of Taylor (2018), actus reus in the particular scenario of any conduct crimes takes place as an omission or act. The actus reus must be proved showing illegality of particular conduct or behaviour attended by the criminals rather than the result emerged from the crime. For instance, perjury is a conducted crime in which a person unlawfully makes a false statement in court. The actus reus is related to the behaviour of stating incorrect facts in this case. The impact of the false statement on the outcome of trials is ignored during judgement. </w:t>
      </w:r>
    </w:p>
    <w:p w14:paraId="0000000D" w14:textId="64EED2CB" w:rsidR="00951E89" w:rsidRDefault="000A5EDE" w:rsidP="0092586E">
      <w:r>
        <w:t xml:space="preserve">Result crimes are those offending activities which generate negative outcomes. </w:t>
      </w:r>
      <w:r w:rsidR="00750448">
        <w:t>Actus</w:t>
      </w:r>
      <w:r>
        <w:t xml:space="preserve"> reus for result crimes are the specific result that has been produced for the commitment of any illegal action (Taylor, 2018). For instance, murder cases are the result of crimes in which the act of killing a person led to negative outcomes of physical injury or death. The actus reus here is focused on the negative results of death. In state of affairs crimes, the criminal offenses are centred on people and their surrounding environment. In such cases actus reus are a combination of consequences and circumstances (Taylor, 2018). For instance, in the R v Lersonneur case, the presence of the foreigner in the UK without permission is considered as actus reus.                          </w:t>
      </w:r>
    </w:p>
    <w:p w14:paraId="0000000E" w14:textId="77777777" w:rsidR="00951E89" w:rsidRDefault="000A5EDE" w:rsidP="0092586E">
      <w:pPr>
        <w:pStyle w:val="Heading1"/>
      </w:pPr>
      <w:bookmarkStart w:id="5" w:name="_f83c8e8kj7oz" w:colFirst="0" w:colLast="0"/>
      <w:bookmarkStart w:id="6" w:name="_Toc184221340"/>
      <w:bookmarkEnd w:id="5"/>
      <w:r>
        <w:t>Question 2: According to Herring (2022), what is the voluntary act ‘requirement’ and what are some of the exceptions to this?</w:t>
      </w:r>
      <w:bookmarkEnd w:id="6"/>
    </w:p>
    <w:p w14:paraId="0000000F" w14:textId="025673EE" w:rsidR="00951E89" w:rsidRDefault="000A5EDE" w:rsidP="0092586E">
      <w:r>
        <w:t xml:space="preserve">It is crucial to maintain justice while judging any criminal case. Voluntary act requirement is the factor that plays a significant role in maintaining justice within court trials. In accordance with the definition given by Herring (2022), VAR (Voluntary Act Requirement) refers to the necessity of a person to intentionally attempt any illegal act for being criminally liable. It has been specified by this reformation of criminal law that a person can only be proved as a criminal in a court trial after establishing the fact the person has committed the crime intentionally with a determined mindset. The lack of proof regarding any voluntary act performed by the suspects can turn the outcome of trials in the favour of defendants. The examples of voluntary act requirements include unintentional commission of crime due to reflex, unconscious state and many </w:t>
      </w:r>
      <w:r w:rsidR="00750448">
        <w:t>others. The</w:t>
      </w:r>
      <w:r>
        <w:t xml:space="preserve"> defendants are provided proper flexibilities in such cases. </w:t>
      </w:r>
    </w:p>
    <w:p w14:paraId="00000010" w14:textId="20774FEE" w:rsidR="00951E89" w:rsidRDefault="000A5EDE" w:rsidP="0092586E">
      <w:r>
        <w:t xml:space="preserve">In the criminal laws, some exceptions are present regarding VAR. Any kind of deviant activities that have occurred owing to the negligence of the defendants can make them criminally liable (Herring, 2022). In such cases, the defendants generally are not involved in criminal activities with intention. Although, their negligence towards their professional or personal duty can cause serious crime. The court can make sentencing against the defendants in such cases. The other exception of VAR is commission of crime by being mentally unstable. In several cases, crimes like domestic violence or even murder are committed unintentionally due to unstable mental conditions. The defendant can be found guilty in these particular cases. For instance, in the R vs Wooling case, the defendant threw his child on the ground in frustration. It was considered a crime in the UK court despite the defendant being unintended to do the crime.       </w:t>
      </w:r>
    </w:p>
    <w:p w14:paraId="00000011" w14:textId="326D40DD" w:rsidR="00951E89" w:rsidRDefault="000A5EDE" w:rsidP="0092586E">
      <w:pPr>
        <w:pStyle w:val="Heading1"/>
      </w:pPr>
      <w:bookmarkStart w:id="7" w:name="_qj7s0wn47lvo" w:colFirst="0" w:colLast="0"/>
      <w:bookmarkStart w:id="8" w:name="_Toc184221341"/>
      <w:bookmarkEnd w:id="7"/>
      <w:r>
        <w:t>Question 3. Using Macdonald (2018) explains the difference between direct and indirect (oblique) intention.</w:t>
      </w:r>
      <w:bookmarkEnd w:id="8"/>
      <w:r>
        <w:t xml:space="preserve"> </w:t>
      </w:r>
    </w:p>
    <w:p w14:paraId="00000012" w14:textId="1610C7A6" w:rsidR="00951E89" w:rsidRDefault="000A5EDE" w:rsidP="0092586E">
      <w:r>
        <w:t xml:space="preserve">The element intension is an important considerable in criminal cases. Intention refers to the level of motivation of criminals behind committing any particular crime. Such motivation can be broadly divided into two types including direct intention and oblique or indirect intention (Macdonald, 2018). Direct intention refers to the presence of high motivation of the criminals for committing the crime. In this specific case, the criminals are aware of the consequences of their crimes to a full extent and intend to benefit from those consequences. The criminals with direct intention are engaged in planning and organising the crime methods in order to encounter the outcomes of the deviant activities. As a consequence, the crimes of direct intention are comprised of multiple intermediate steps and the policing </w:t>
      </w:r>
      <w:r w:rsidR="00750448">
        <w:t>process to</w:t>
      </w:r>
      <w:r>
        <w:t xml:space="preserve"> detect the criminal are complicated. For example, the crime of killing a person for personal or other motive is considered an illegal activity with direct intention. </w:t>
      </w:r>
    </w:p>
    <w:p w14:paraId="00000013" w14:textId="3EAB62EF" w:rsidR="00951E89" w:rsidRDefault="000A5EDE" w:rsidP="0092586E">
      <w:r>
        <w:t xml:space="preserve">The crime of murder can turn into indirect intention when the killing process is attempted accidentally without any direct intention. Indirect intention refers to the presence of an oblique motivation of the criminals for committing a crime which has led to a different outcome as a result of voluntary act (Macdonald, 2018). The main difference between direct and indirect intention is that the criminals in the case of indirect intention possess no desire to experience the negative consequences of their crime. The criminals, unaware of their activities also fall under the category of oblique (indirect) intention. Therefore, the recklessness is high in the case of indirect intention. The example of accidentally murdering a person with an intention of only causing physical injury is known as oblique intention. </w:t>
      </w:r>
    </w:p>
    <w:p w14:paraId="00000014" w14:textId="109ACCAE" w:rsidR="00951E89" w:rsidRDefault="000A5EDE" w:rsidP="0092586E">
      <w:pPr>
        <w:pStyle w:val="Heading1"/>
      </w:pPr>
      <w:bookmarkStart w:id="9" w:name="_fu5a7rlo8b8" w:colFirst="0" w:colLast="0"/>
      <w:bookmarkStart w:id="10" w:name="_Toc184221342"/>
      <w:bookmarkEnd w:id="9"/>
      <w:r>
        <w:t>Question 4: Using Finch and Fafinski (2021) discuss what the test for subjective recklessness is and identify key cases that apply.</w:t>
      </w:r>
      <w:bookmarkEnd w:id="10"/>
    </w:p>
    <w:p w14:paraId="00000015" w14:textId="6AD49C9E" w:rsidR="00951E89" w:rsidRDefault="000A5EDE" w:rsidP="0092586E">
      <w:r>
        <w:t xml:space="preserve">Recklessness is a common term in criminal laws that define a situation in which the criminals act in a deliberate manner without paying attention to the risk that can be emerged from the deviant activities. As stated by Finch and Fafinski (2021), recklessness can be subjective or objective. Subjective recklessness can be referred to as the awareness </w:t>
      </w:r>
      <w:r w:rsidR="00750448">
        <w:t>of the</w:t>
      </w:r>
      <w:r>
        <w:t xml:space="preserve"> suspects regarding the consequences of their unlawful activities and intention to achieve the consequences. Test for subjective recklessness is a key activity through which prosecutions can prove that the accused have foreseen the risk of the crime and committed it intentionally (Finch and Fafinski, 2021). As the subjective recklessness plays an important role in the final sentencing for punishment, the tests are urgent to be applied during court trials. </w:t>
      </w:r>
    </w:p>
    <w:p w14:paraId="00000016" w14:textId="507AF755" w:rsidR="00951E89" w:rsidRDefault="000A5EDE" w:rsidP="0092586E">
      <w:r>
        <w:t xml:space="preserve">The key case associated with this subjective test is </w:t>
      </w:r>
      <w:r>
        <w:rPr>
          <w:b/>
        </w:rPr>
        <w:t>R vs Cunningham</w:t>
      </w:r>
      <w:r>
        <w:t xml:space="preserve">. In this case, the defendant was found guilty under Offences against Person Act for harming people with noxious substances (Finch and Fafinski, 2021). The word malicious was used to describe the defendant's guilt. However, the test of subjective recklessness in the court helped find out that the person was not aware of the harmful effects of the gas and the conviction was rejected. Another concept of subjective test is generated from the </w:t>
      </w:r>
      <w:r w:rsidRPr="00750448">
        <w:rPr>
          <w:b/>
          <w:bCs/>
        </w:rPr>
        <w:t>Stephenson</w:t>
      </w:r>
      <w:r>
        <w:rPr>
          <w:b/>
        </w:rPr>
        <w:t xml:space="preserve"> [1979]</w:t>
      </w:r>
      <w:r>
        <w:t xml:space="preserve"> case. The defendant avoided his guilt of causing a fire incident in a haystack by stating the fact that he has schizophrenia (Finch and Fafinski, 2021). The illness prevents people from thinking and acting in a normal way. Hence, the court decided that the subjective test must verify the physical or mental state of the defendants for foreseeing any risk rather than judging others’ capability of foreseeing the risk.</w:t>
      </w:r>
    </w:p>
    <w:p w14:paraId="00000017" w14:textId="0405F5D8" w:rsidR="00951E89" w:rsidRDefault="000A5EDE" w:rsidP="0092586E">
      <w:pPr>
        <w:pStyle w:val="Heading1"/>
      </w:pPr>
      <w:bookmarkStart w:id="11" w:name="_s8my7ntq7xpe" w:colFirst="0" w:colLast="0"/>
      <w:bookmarkStart w:id="12" w:name="_Toc184221343"/>
      <w:bookmarkEnd w:id="11"/>
      <w:r>
        <w:t>Question 5. Discuss what is meant by the ‘coincidence of actus reus and mens rea’. Please use relevant case law to support your answer.</w:t>
      </w:r>
      <w:bookmarkEnd w:id="12"/>
    </w:p>
    <w:p w14:paraId="00000018" w14:textId="37DAFF47" w:rsidR="00951E89" w:rsidRDefault="000A5EDE" w:rsidP="0092586E">
      <w:r>
        <w:t>In a criminal act, both mens rea and actus reus play significant roles. Actus reus represents the physical action of the deviants while committing any unlawful action (</w:t>
      </w:r>
      <w:r>
        <w:rPr>
          <w:highlight w:val="white"/>
        </w:rPr>
        <w:t>Child and Hunt, 2022</w:t>
      </w:r>
      <w:r>
        <w:t>). On the contrary, menus reus is generally defined as the mental state of the offenders at the time of committing the crime. In most of the cases, these two elements simultaneously act to perform any illegal action. Coincidence of actus reus and mens rea is a principle that has determined the fact that criminal liability can be imposed on the suspects only in the conditions where elements of mens rea and actus reus are concurrently present during the criminal offence (</w:t>
      </w:r>
      <w:r>
        <w:rPr>
          <w:highlight w:val="white"/>
        </w:rPr>
        <w:t>Nahvi</w:t>
      </w:r>
      <w:r>
        <w:rPr>
          <w:i/>
          <w:highlight w:val="white"/>
        </w:rPr>
        <w:t xml:space="preserve"> et al.,</w:t>
      </w:r>
      <w:r>
        <w:rPr>
          <w:highlight w:val="white"/>
        </w:rPr>
        <w:t xml:space="preserve"> 2023</w:t>
      </w:r>
      <w:r>
        <w:t>). The trials are required to place proves for both mental and physical elements of crime to maintain justice. Through mens rea, the prosecution can prove the motive for offence whereas actus reus is utilised to define the physical action of crime so that the motive can be fulfilled.</w:t>
      </w:r>
    </w:p>
    <w:p w14:paraId="00000019" w14:textId="28B7E1D3" w:rsidR="00951E89" w:rsidRDefault="000A5EDE" w:rsidP="0092586E">
      <w:r>
        <w:t xml:space="preserve">The requirement for coincidence of the two elements can be observed by analysis various case examples. For instance, </w:t>
      </w:r>
      <w:r>
        <w:rPr>
          <w:b/>
        </w:rPr>
        <w:t>Fagan v Metropolitan Police</w:t>
      </w:r>
      <w:r>
        <w:t xml:space="preserve"> a conflict occurred regarding the simultaneous presence of mens rea and actus reus. The defendant Fagan was accused by MPC due the actus reus of reversing car over a police’s boots (Law Journals, 2024). However, mens rea, which is the mental element or move to harm a police officer was absent in this case. Consequently, the case went for Fagan. Conversely, in the Thabo-Meli v R case, the victim was alive when the criminals beat him with the motivation to kill (e-Law Sources, 2024). The death of the victim was caused due to falling from cliff. Hence, the clash between mens rea and actus reus caused the conventions to be upheld.  </w:t>
      </w:r>
      <w:r>
        <w:br w:type="page"/>
      </w:r>
    </w:p>
    <w:p w14:paraId="0000001A" w14:textId="77777777" w:rsidR="00951E89" w:rsidRDefault="000A5EDE" w:rsidP="0092586E">
      <w:pPr>
        <w:pStyle w:val="Heading1"/>
      </w:pPr>
      <w:bookmarkStart w:id="13" w:name="_uhzjnctt1w93" w:colFirst="0" w:colLast="0"/>
      <w:bookmarkStart w:id="14" w:name="_Toc184221344"/>
      <w:bookmarkEnd w:id="13"/>
      <w:r>
        <w:t>Conclusion</w:t>
      </w:r>
      <w:bookmarkEnd w:id="14"/>
      <w:r>
        <w:t xml:space="preserve">               </w:t>
      </w:r>
    </w:p>
    <w:p w14:paraId="0000001B" w14:textId="05950291" w:rsidR="00951E89" w:rsidRDefault="000A5EDE" w:rsidP="0092586E">
      <w:r>
        <w:t xml:space="preserve">The responses to the questions </w:t>
      </w:r>
      <w:r w:rsidR="00750448">
        <w:t>have</w:t>
      </w:r>
      <w:r>
        <w:t xml:space="preserve"> increased the knowledge regarding the connection between physical act (actus reus) and mens rea (mental component). The trial processes must focus on both elements to determine recklessness, intention level and other important factors.   </w:t>
      </w:r>
      <w:r>
        <w:br w:type="page"/>
      </w:r>
    </w:p>
    <w:p w14:paraId="744526F1" w14:textId="008D9AF5" w:rsidR="00F54A1F" w:rsidRPr="00F54A1F" w:rsidRDefault="000A5EDE" w:rsidP="00F54A1F">
      <w:pPr>
        <w:pStyle w:val="Heading1"/>
      </w:pPr>
      <w:bookmarkStart w:id="15" w:name="_aas7w93jhg45" w:colFirst="0" w:colLast="0"/>
      <w:bookmarkStart w:id="16" w:name="_Toc184221345"/>
      <w:bookmarkEnd w:id="15"/>
      <w:r>
        <w:t>Reference</w:t>
      </w:r>
      <w:r w:rsidR="00F54A1F">
        <w:t>s</w:t>
      </w:r>
      <w:bookmarkEnd w:id="16"/>
    </w:p>
    <w:p w14:paraId="1BF3E024" w14:textId="77777777" w:rsidR="00F54A1F" w:rsidRPr="00F54A1F" w:rsidRDefault="00F54A1F" w:rsidP="00F54A1F">
      <w:pPr>
        <w:spacing w:before="200"/>
        <w:rPr>
          <w:highlight w:val="white"/>
        </w:rPr>
      </w:pPr>
      <w:r w:rsidRPr="00F54A1F">
        <w:rPr>
          <w:highlight w:val="white"/>
        </w:rPr>
        <w:t xml:space="preserve">Child, J.J. and Hunt, A., 2022. Beyond the Present-Fault Paradigm: Expanding Mens rea Definitions in the General Part. </w:t>
      </w:r>
      <w:r w:rsidRPr="00F54A1F">
        <w:rPr>
          <w:i/>
          <w:highlight w:val="white"/>
        </w:rPr>
        <w:t>Oxford Journal of Legal Studies</w:t>
      </w:r>
      <w:r w:rsidRPr="00F54A1F">
        <w:rPr>
          <w:highlight w:val="white"/>
        </w:rPr>
        <w:t xml:space="preserve">, </w:t>
      </w:r>
      <w:r w:rsidRPr="00F54A1F">
        <w:rPr>
          <w:i/>
          <w:highlight w:val="white"/>
        </w:rPr>
        <w:t>42</w:t>
      </w:r>
      <w:r w:rsidRPr="00F54A1F">
        <w:rPr>
          <w:highlight w:val="white"/>
        </w:rPr>
        <w:t>(2), pp.438-467.</w:t>
      </w:r>
    </w:p>
    <w:p w14:paraId="75EA90D4" w14:textId="77777777" w:rsidR="00F54A1F" w:rsidRDefault="00F54A1F" w:rsidP="00F54A1F">
      <w:pPr>
        <w:spacing w:before="200"/>
      </w:pPr>
      <w:r>
        <w:t xml:space="preserve">e-Law Sources, 2024. </w:t>
      </w:r>
      <w:r w:rsidRPr="00F54A1F">
        <w:rPr>
          <w:i/>
        </w:rPr>
        <w:t>Thabo-Meli v R</w:t>
      </w:r>
      <w:r>
        <w:t xml:space="preserve"> [Online] Available at:&lt;https://www.e-lawresources.co.uk/thabo-meli-v-r&gt; [Accessed on 4th December 2024]. </w:t>
      </w:r>
    </w:p>
    <w:p w14:paraId="42C3075B" w14:textId="77777777" w:rsidR="00F54A1F" w:rsidRDefault="00F54A1F" w:rsidP="00F54A1F">
      <w:pPr>
        <w:spacing w:before="200"/>
      </w:pPr>
      <w:r>
        <w:t xml:space="preserve">Finch, E. and Fafinski, S. ,2021. </w:t>
      </w:r>
      <w:r w:rsidRPr="00F54A1F">
        <w:rPr>
          <w:i/>
        </w:rPr>
        <w:t>Criminal law</w:t>
      </w:r>
      <w:r>
        <w:t>. 8th edition. Harlow, England: Pearson.</w:t>
      </w:r>
    </w:p>
    <w:p w14:paraId="4EFE0F17" w14:textId="77777777" w:rsidR="00F54A1F" w:rsidRDefault="00F54A1F" w:rsidP="00F54A1F">
      <w:pPr>
        <w:spacing w:before="200"/>
      </w:pPr>
      <w:r>
        <w:t xml:space="preserve">Herring, J. ,2022. </w:t>
      </w:r>
      <w:r w:rsidRPr="00F54A1F">
        <w:rPr>
          <w:i/>
        </w:rPr>
        <w:t>Criminal law : text, cases, and materials</w:t>
      </w:r>
      <w:r>
        <w:t>. Tenth edition. Oxford: Oxford University Press.</w:t>
      </w:r>
    </w:p>
    <w:p w14:paraId="0395C7D1" w14:textId="77777777" w:rsidR="00F54A1F" w:rsidRDefault="00F54A1F" w:rsidP="00F54A1F">
      <w:pPr>
        <w:spacing w:before="200"/>
      </w:pPr>
      <w:r>
        <w:t xml:space="preserve">Law Journals, 2024. </w:t>
      </w:r>
      <w:r w:rsidRPr="00F54A1F">
        <w:rPr>
          <w:i/>
        </w:rPr>
        <w:t>Case: Fagan v Metropolitan Police Commissioner</w:t>
      </w:r>
      <w:r>
        <w:t xml:space="preserve"> [Online] Available at:&lt;https://www.lawjournals.co.uk/cases_referred/fagan-v-metropolitan-police-commissioner-1969-1-qb-439/&gt; [Accessed on 4th December 2024].</w:t>
      </w:r>
    </w:p>
    <w:p w14:paraId="241F43F7" w14:textId="77777777" w:rsidR="00F54A1F" w:rsidRDefault="00F54A1F" w:rsidP="00F54A1F">
      <w:pPr>
        <w:spacing w:before="200"/>
      </w:pPr>
      <w:r>
        <w:t xml:space="preserve">Macdonald, S.K. ,2018. </w:t>
      </w:r>
      <w:r w:rsidRPr="00F54A1F">
        <w:rPr>
          <w:i/>
        </w:rPr>
        <w:t>Text, cases, and materials on criminal law</w:t>
      </w:r>
      <w:r>
        <w:t>. Second edition. Harlow, England: Pearson Education Limited.</w:t>
      </w:r>
    </w:p>
    <w:p w14:paraId="5E7F268E" w14:textId="77777777" w:rsidR="00F54A1F" w:rsidRPr="00F54A1F" w:rsidRDefault="00F54A1F" w:rsidP="00F54A1F">
      <w:pPr>
        <w:spacing w:before="200"/>
        <w:rPr>
          <w:highlight w:val="white"/>
        </w:rPr>
      </w:pPr>
      <w:r w:rsidRPr="00F54A1F">
        <w:rPr>
          <w:highlight w:val="white"/>
        </w:rPr>
        <w:t xml:space="preserve">Nahvi, A., Ghorbani, A. and Abasi, A., 2023. Elements of Crime and Causation in British Criminal Law. </w:t>
      </w:r>
      <w:r w:rsidRPr="00F54A1F">
        <w:rPr>
          <w:i/>
          <w:highlight w:val="white"/>
        </w:rPr>
        <w:t>Comparative Criminal Jurisprudence</w:t>
      </w:r>
      <w:r w:rsidRPr="00F54A1F">
        <w:rPr>
          <w:highlight w:val="white"/>
        </w:rPr>
        <w:t xml:space="preserve">, </w:t>
      </w:r>
      <w:r w:rsidRPr="00F54A1F">
        <w:rPr>
          <w:i/>
          <w:highlight w:val="white"/>
        </w:rPr>
        <w:t>2</w:t>
      </w:r>
      <w:r w:rsidRPr="00F54A1F">
        <w:rPr>
          <w:highlight w:val="white"/>
        </w:rPr>
        <w:t>(5), pp.145-156.</w:t>
      </w:r>
    </w:p>
    <w:p w14:paraId="4EF70EE5" w14:textId="77777777" w:rsidR="00F54A1F" w:rsidRDefault="00F54A1F" w:rsidP="00F54A1F">
      <w:pPr>
        <w:spacing w:before="200"/>
      </w:pPr>
      <w:r>
        <w:t xml:space="preserve">Taylor, L. ,2018. </w:t>
      </w:r>
      <w:r w:rsidRPr="00F54A1F">
        <w:rPr>
          <w:i/>
        </w:rPr>
        <w:t>Elliott and Quinn’s criminal law</w:t>
      </w:r>
      <w:r>
        <w:t>. Twelfth edition. Harlow, England ; Pearson Education Limited.</w:t>
      </w:r>
    </w:p>
    <w:p w14:paraId="0000002B" w14:textId="77777777" w:rsidR="00951E89" w:rsidRDefault="00951E89" w:rsidP="0092586E">
      <w:pPr>
        <w:rPr>
          <w:b/>
        </w:rPr>
      </w:pPr>
    </w:p>
    <w:sectPr w:rsidR="00951E8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6EE10A" w14:textId="77777777" w:rsidR="00555C46" w:rsidRDefault="00555C46" w:rsidP="00750448">
      <w:pPr>
        <w:spacing w:line="240" w:lineRule="auto"/>
      </w:pPr>
      <w:r>
        <w:separator/>
      </w:r>
    </w:p>
  </w:endnote>
  <w:endnote w:type="continuationSeparator" w:id="0">
    <w:p w14:paraId="4EE20FB0" w14:textId="77777777" w:rsidR="00555C46" w:rsidRDefault="00555C46" w:rsidP="007504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6795276"/>
      <w:docPartObj>
        <w:docPartGallery w:val="Page Numbers (Bottom of Page)"/>
        <w:docPartUnique/>
      </w:docPartObj>
    </w:sdtPr>
    <w:sdtEndPr>
      <w:rPr>
        <w:noProof/>
      </w:rPr>
    </w:sdtEndPr>
    <w:sdtContent>
      <w:p w14:paraId="3934894D" w14:textId="4AAEADAC" w:rsidR="00750448" w:rsidRDefault="00750448">
        <w:pPr>
          <w:pStyle w:val="Footer"/>
          <w:jc w:val="right"/>
        </w:pPr>
        <w:r>
          <w:fldChar w:fldCharType="begin"/>
        </w:r>
        <w:r>
          <w:instrText xml:space="preserve"> PAGE   \* MERGEFORMAT </w:instrText>
        </w:r>
        <w:r>
          <w:fldChar w:fldCharType="separate"/>
        </w:r>
        <w:r w:rsidR="00D40489">
          <w:rPr>
            <w:noProof/>
          </w:rPr>
          <w:t>1</w:t>
        </w:r>
        <w:r>
          <w:rPr>
            <w:noProof/>
          </w:rPr>
          <w:fldChar w:fldCharType="end"/>
        </w:r>
      </w:p>
    </w:sdtContent>
  </w:sdt>
  <w:p w14:paraId="121273E0" w14:textId="77777777" w:rsidR="00750448" w:rsidRDefault="00750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CDD55E" w14:textId="77777777" w:rsidR="00555C46" w:rsidRDefault="00555C46" w:rsidP="00750448">
      <w:pPr>
        <w:spacing w:line="240" w:lineRule="auto"/>
      </w:pPr>
      <w:r>
        <w:separator/>
      </w:r>
    </w:p>
  </w:footnote>
  <w:footnote w:type="continuationSeparator" w:id="0">
    <w:p w14:paraId="38E8705E" w14:textId="77777777" w:rsidR="00555C46" w:rsidRDefault="00555C46" w:rsidP="007504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92F1F"/>
    <w:multiLevelType w:val="hybridMultilevel"/>
    <w:tmpl w:val="048CE4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04339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2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E89"/>
    <w:rsid w:val="000A5EDE"/>
    <w:rsid w:val="001F1021"/>
    <w:rsid w:val="00264B9C"/>
    <w:rsid w:val="002E518F"/>
    <w:rsid w:val="002F6B09"/>
    <w:rsid w:val="003D5D63"/>
    <w:rsid w:val="00555C46"/>
    <w:rsid w:val="006D6668"/>
    <w:rsid w:val="00750448"/>
    <w:rsid w:val="0092586E"/>
    <w:rsid w:val="00951E89"/>
    <w:rsid w:val="00D13FDF"/>
    <w:rsid w:val="00D40489"/>
    <w:rsid w:val="00F54A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F175E"/>
  <w15:docId w15:val="{DD371F70-2007-4EDB-AE9D-2B16305AF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50448"/>
    <w:pPr>
      <w:tabs>
        <w:tab w:val="center" w:pos="4513"/>
        <w:tab w:val="right" w:pos="9026"/>
      </w:tabs>
      <w:spacing w:line="240" w:lineRule="auto"/>
    </w:pPr>
  </w:style>
  <w:style w:type="character" w:customStyle="1" w:styleId="HeaderChar">
    <w:name w:val="Header Char"/>
    <w:basedOn w:val="DefaultParagraphFont"/>
    <w:link w:val="Header"/>
    <w:uiPriority w:val="99"/>
    <w:rsid w:val="00750448"/>
  </w:style>
  <w:style w:type="paragraph" w:styleId="Footer">
    <w:name w:val="footer"/>
    <w:basedOn w:val="Normal"/>
    <w:link w:val="FooterChar"/>
    <w:uiPriority w:val="99"/>
    <w:unhideWhenUsed/>
    <w:rsid w:val="00750448"/>
    <w:pPr>
      <w:tabs>
        <w:tab w:val="center" w:pos="4513"/>
        <w:tab w:val="right" w:pos="9026"/>
      </w:tabs>
      <w:spacing w:line="240" w:lineRule="auto"/>
    </w:pPr>
  </w:style>
  <w:style w:type="character" w:customStyle="1" w:styleId="FooterChar">
    <w:name w:val="Footer Char"/>
    <w:basedOn w:val="DefaultParagraphFont"/>
    <w:link w:val="Footer"/>
    <w:uiPriority w:val="99"/>
    <w:rsid w:val="00750448"/>
  </w:style>
  <w:style w:type="paragraph" w:styleId="TOCHeading">
    <w:name w:val="TOC Heading"/>
    <w:basedOn w:val="Heading1"/>
    <w:next w:val="Normal"/>
    <w:uiPriority w:val="39"/>
    <w:unhideWhenUsed/>
    <w:qFormat/>
    <w:rsid w:val="0075044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50448"/>
    <w:pPr>
      <w:spacing w:after="100"/>
    </w:pPr>
  </w:style>
  <w:style w:type="character" w:styleId="Hyperlink">
    <w:name w:val="Hyperlink"/>
    <w:basedOn w:val="DefaultParagraphFont"/>
    <w:uiPriority w:val="99"/>
    <w:unhideWhenUsed/>
    <w:rsid w:val="00750448"/>
    <w:rPr>
      <w:color w:val="0000FF" w:themeColor="hyperlink"/>
      <w:u w:val="single"/>
    </w:rPr>
  </w:style>
  <w:style w:type="paragraph" w:styleId="ListParagraph">
    <w:name w:val="List Paragraph"/>
    <w:basedOn w:val="Normal"/>
    <w:uiPriority w:val="34"/>
    <w:qFormat/>
    <w:rsid w:val="00F54A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06653-1D6B-4257-A256-4E2BB87323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1940</Words>
  <Characters>11058</Characters>
  <Application>Microsoft Office Word</Application>
  <DocSecurity>0</DocSecurity>
  <Lines>92</Lines>
  <Paragraphs>25</Paragraphs>
  <ScaleCrop>false</ScaleCrop>
  <Company/>
  <LinksUpToDate>false</LinksUpToDate>
  <CharactersWithSpaces>12973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Moldovan</cp:lastModifiedBy>
  <cp:revision>2</cp:revision>
  <dcterms:created xsi:type="dcterms:W3CDTF">2024-12-05T14:26:00Z</dcterms:created>
  <dcterms:modified xsi:type="dcterms:W3CDTF">2024-12-05T14:26:00Z</dcterms:modified>
</cp:coreProperties>
</file>