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4AD7C7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6110C">
              <w:rPr>
                <w:rFonts w:ascii="Times New Roman" w:hAnsi="Times New Roman" w:cs="Times New Roman"/>
                <w:b/>
                <w:color w:val="auto"/>
                <w:sz w:val="48"/>
              </w:rPr>
              <w:t xml:space="preserve">Mali Dafydd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31DA56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6110C">
              <w:rPr>
                <w:rFonts w:ascii="Times New Roman" w:hAnsi="Times New Roman" w:cs="Times New Roman"/>
                <w:b/>
                <w:color w:val="auto"/>
                <w:sz w:val="48"/>
              </w:rPr>
              <w:t xml:space="preserve"> </w:t>
            </w:r>
            <w:r w:rsidR="00C6110C" w:rsidRPr="00AA42C6">
              <w:rPr>
                <w:rFonts w:ascii="Times New Roman" w:hAnsi="Times New Roman" w:cs="Times New Roman"/>
                <w:b/>
                <w:sz w:val="46"/>
                <w:szCs w:val="46"/>
              </w:rPr>
              <w:t>2322105</w:t>
            </w:r>
            <w:r w:rsidR="00C6110C">
              <w:rPr>
                <w:rFonts w:ascii="Times New Roman" w:hAnsi="Times New Roman" w:cs="Times New Roman"/>
                <w:b/>
                <w:sz w:val="46"/>
                <w:szCs w:val="46"/>
              </w:rPr>
              <w:t>@student.uwtsd@ac.uk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643E35B" w14:textId="4575E570" w:rsidR="00C6110C" w:rsidRPr="005D3F07" w:rsidRDefault="00C6110C" w:rsidP="005D3F07">
            <w:pPr>
              <w:overflowPunct/>
              <w:autoSpaceDE/>
              <w:autoSpaceDN/>
              <w:adjustRightInd/>
              <w:ind w:right="-957"/>
              <w:textAlignment w:val="auto"/>
              <w:rPr>
                <w:rFonts w:ascii="Times New Roman" w:hAnsi="Times New Roman" w:cs="Times New Roman"/>
                <w:b/>
                <w:color w:val="auto"/>
                <w:sz w:val="48"/>
              </w:rPr>
            </w:pPr>
            <w:r w:rsidRPr="00AA42C6">
              <w:rPr>
                <w:rFonts w:ascii="Times New Roman" w:hAnsi="Times New Roman" w:cs="Times New Roman"/>
                <w:b/>
                <w:sz w:val="46"/>
                <w:szCs w:val="46"/>
              </w:rPr>
              <w:t>2322105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2F9A473A" w14:textId="77777777" w:rsidR="00C6110C" w:rsidRDefault="00C6110C" w:rsidP="00FF7EBB">
            <w:pPr>
              <w:jc w:val="both"/>
              <w:rPr>
                <w:b/>
                <w:sz w:val="24"/>
                <w:szCs w:val="24"/>
              </w:rPr>
            </w:pPr>
          </w:p>
          <w:p w14:paraId="61345E09" w14:textId="77777777" w:rsidR="00C6110C" w:rsidRDefault="00C6110C" w:rsidP="00FF7EBB">
            <w:pPr>
              <w:jc w:val="both"/>
              <w:rPr>
                <w:b/>
                <w:sz w:val="24"/>
                <w:szCs w:val="24"/>
              </w:rPr>
            </w:pPr>
          </w:p>
          <w:p w14:paraId="31085F7B" w14:textId="6E31FD7F" w:rsidR="00C6110C" w:rsidRDefault="00C6110C" w:rsidP="00C6110C">
            <w:pPr>
              <w:rPr>
                <w:sz w:val="24"/>
                <w:szCs w:val="24"/>
              </w:rPr>
            </w:pPr>
            <w:r w:rsidRPr="00D31628">
              <w:rPr>
                <w:sz w:val="24"/>
                <w:szCs w:val="24"/>
              </w:rPr>
              <w:t xml:space="preserve">The main legislations underpinning safeguarding practice with adults in Wales are the Social Services and Well-being (Wales) Act 2014 (SSWBA), Mental Capacity Act 2005 (MCA), Human Right Act 1998 and Equality Act 2010. These are supported by the Wales Safeguarding Procedures </w:t>
            </w:r>
            <w:r w:rsidR="00130794">
              <w:rPr>
                <w:sz w:val="24"/>
                <w:szCs w:val="24"/>
              </w:rPr>
              <w:t xml:space="preserve">(Social Care Wales, </w:t>
            </w:r>
            <w:r w:rsidRPr="00D31628">
              <w:rPr>
                <w:sz w:val="24"/>
                <w:szCs w:val="24"/>
              </w:rPr>
              <w:t>2026</w:t>
            </w:r>
            <w:r w:rsidR="00130794">
              <w:rPr>
                <w:sz w:val="24"/>
                <w:szCs w:val="24"/>
              </w:rPr>
              <w:t>e)</w:t>
            </w:r>
            <w:r w:rsidRPr="00D31628">
              <w:rPr>
                <w:sz w:val="24"/>
                <w:szCs w:val="24"/>
              </w:rPr>
              <w:t xml:space="preserve"> and Working Together to Safeguard People guidance (Welsh Government, 20</w:t>
            </w:r>
            <w:r w:rsidR="007719FF">
              <w:rPr>
                <w:sz w:val="24"/>
                <w:szCs w:val="24"/>
              </w:rPr>
              <w:t>22</w:t>
            </w:r>
            <w:r w:rsidRPr="00D31628">
              <w:rPr>
                <w:sz w:val="24"/>
                <w:szCs w:val="24"/>
              </w:rPr>
              <w:t xml:space="preserve">). England follow the Care Act 2014 and have their own Safeguarding policies and procedures. </w:t>
            </w:r>
          </w:p>
          <w:p w14:paraId="1615AE36" w14:textId="77777777" w:rsidR="00C6110C" w:rsidRPr="00D31628" w:rsidRDefault="00C6110C" w:rsidP="00C6110C">
            <w:pPr>
              <w:rPr>
                <w:sz w:val="24"/>
                <w:szCs w:val="24"/>
              </w:rPr>
            </w:pPr>
          </w:p>
          <w:p w14:paraId="60048A0D" w14:textId="08AACB4F" w:rsidR="008B3FC8" w:rsidRDefault="00C6110C" w:rsidP="008B3FC8">
            <w:pPr>
              <w:rPr>
                <w:sz w:val="24"/>
                <w:szCs w:val="24"/>
              </w:rPr>
            </w:pPr>
            <w:r w:rsidRPr="00D31628">
              <w:rPr>
                <w:sz w:val="24"/>
                <w:szCs w:val="24"/>
              </w:rPr>
              <w:t xml:space="preserve">The SSWBA 2014 outlines that an adult is a person who is aged 18 or over (s.3(2)). An adult at risk is defined to be experiencing or is at risk of abuse or neglect, has needs for care and support, and as a result of those needs, is unable to protect themselves against the abuse or neglect and the risk of it (s.126(1)(a)(b)(c)). Where a relevant partner of a Local Authority has reasonable cause to suspect that an adult </w:t>
            </w:r>
            <w:r w:rsidR="009B7DAE">
              <w:rPr>
                <w:sz w:val="24"/>
                <w:szCs w:val="24"/>
              </w:rPr>
              <w:t xml:space="preserve">is </w:t>
            </w:r>
            <w:r w:rsidRPr="00D31628">
              <w:rPr>
                <w:sz w:val="24"/>
                <w:szCs w:val="24"/>
              </w:rPr>
              <w:t xml:space="preserve">at risk, there is a duty to inform the Local Authority (S.128(1)(2)(3)). </w:t>
            </w:r>
            <w:r w:rsidR="009B7DAE">
              <w:rPr>
                <w:sz w:val="24"/>
                <w:szCs w:val="24"/>
              </w:rPr>
              <w:t>There is an expectation that consent</w:t>
            </w:r>
            <w:r w:rsidRPr="00D31628">
              <w:rPr>
                <w:sz w:val="24"/>
                <w:szCs w:val="24"/>
              </w:rPr>
              <w:t xml:space="preserve"> should normally be sought </w:t>
            </w:r>
            <w:r w:rsidR="009B7DAE">
              <w:rPr>
                <w:sz w:val="24"/>
                <w:szCs w:val="24"/>
              </w:rPr>
              <w:t xml:space="preserve">by adults when referring to the Local Authority </w:t>
            </w:r>
            <w:r w:rsidRPr="00D31628">
              <w:rPr>
                <w:sz w:val="24"/>
                <w:szCs w:val="24"/>
              </w:rPr>
              <w:t>however safeguarding information can be shared without consent where there is lawful basis under the Data Protection Act 201</w:t>
            </w:r>
            <w:r w:rsidR="009B7DAE">
              <w:rPr>
                <w:sz w:val="24"/>
                <w:szCs w:val="24"/>
              </w:rPr>
              <w:t>8</w:t>
            </w:r>
            <w:r w:rsidR="008B6395">
              <w:rPr>
                <w:sz w:val="24"/>
                <w:szCs w:val="24"/>
              </w:rPr>
              <w:t>, and</w:t>
            </w:r>
            <w:r w:rsidRPr="00D31628">
              <w:rPr>
                <w:sz w:val="24"/>
                <w:szCs w:val="24"/>
              </w:rPr>
              <w:t xml:space="preserve"> this is necessary and proportionate to protect an adult or others at risk (</w:t>
            </w:r>
            <w:r w:rsidR="00130794">
              <w:rPr>
                <w:sz w:val="24"/>
                <w:szCs w:val="24"/>
              </w:rPr>
              <w:t xml:space="preserve">Social Care Wales, </w:t>
            </w:r>
            <w:r w:rsidRPr="00D31628">
              <w:rPr>
                <w:sz w:val="24"/>
                <w:szCs w:val="24"/>
              </w:rPr>
              <w:t>2026</w:t>
            </w:r>
            <w:r w:rsidR="00130794">
              <w:rPr>
                <w:sz w:val="24"/>
                <w:szCs w:val="24"/>
              </w:rPr>
              <w:t>e</w:t>
            </w:r>
            <w:r w:rsidRPr="00D31628">
              <w:rPr>
                <w:sz w:val="24"/>
                <w:szCs w:val="24"/>
              </w:rPr>
              <w:t xml:space="preserve">). </w:t>
            </w:r>
            <w:r w:rsidR="008B3FC8">
              <w:rPr>
                <w:sz w:val="24"/>
                <w:szCs w:val="24"/>
              </w:rPr>
              <w:t>C</w:t>
            </w:r>
            <w:r w:rsidR="008B3FC8" w:rsidRPr="00D31628">
              <w:rPr>
                <w:sz w:val="24"/>
                <w:szCs w:val="24"/>
              </w:rPr>
              <w:t xml:space="preserve">ircumstances </w:t>
            </w:r>
            <w:r w:rsidR="008B3FC8">
              <w:rPr>
                <w:sz w:val="24"/>
                <w:szCs w:val="24"/>
              </w:rPr>
              <w:t xml:space="preserve">in which safeguarding action may proceed despite an adult’s refusal, include where </w:t>
            </w:r>
            <w:r w:rsidR="008B3FC8" w:rsidRPr="00D31628">
              <w:rPr>
                <w:sz w:val="24"/>
                <w:szCs w:val="24"/>
              </w:rPr>
              <w:t xml:space="preserve">there </w:t>
            </w:r>
            <w:r w:rsidR="008B3FC8">
              <w:rPr>
                <w:sz w:val="24"/>
                <w:szCs w:val="24"/>
              </w:rPr>
              <w:t>are concerns regarding serious risk to the adult or others, suspected or ongoing criminal activity, or concerns for failure to care (</w:t>
            </w:r>
            <w:r w:rsidR="00130794">
              <w:rPr>
                <w:sz w:val="24"/>
                <w:szCs w:val="24"/>
              </w:rPr>
              <w:t>Social Care Wales, 2026e</w:t>
            </w:r>
            <w:r w:rsidR="008B3FC8" w:rsidRPr="00D31628">
              <w:rPr>
                <w:sz w:val="24"/>
                <w:szCs w:val="24"/>
              </w:rPr>
              <w:t xml:space="preserve">). </w:t>
            </w:r>
          </w:p>
          <w:p w14:paraId="33B73652" w14:textId="77777777" w:rsidR="00C6110C" w:rsidRPr="00D31628" w:rsidRDefault="00C6110C" w:rsidP="00C6110C">
            <w:pPr>
              <w:rPr>
                <w:sz w:val="24"/>
                <w:szCs w:val="24"/>
              </w:rPr>
            </w:pPr>
          </w:p>
          <w:p w14:paraId="24715891" w14:textId="7AE0751A" w:rsidR="00C6110C" w:rsidRDefault="00C6110C" w:rsidP="00C6110C">
            <w:pPr>
              <w:rPr>
                <w:sz w:val="24"/>
                <w:szCs w:val="24"/>
              </w:rPr>
            </w:pPr>
            <w:r w:rsidRPr="00D31628">
              <w:rPr>
                <w:sz w:val="24"/>
                <w:szCs w:val="24"/>
              </w:rPr>
              <w:t xml:space="preserve">The SSWBA 2014 provides the powers for an authorised officer to apply for an Adult Protection and Support Order under section 127(1) if concerned that an adult is at risk, to enable access to the authorised officer to speak with the adult in private, to establish their circumstances, including ascertaining whether they are making decisions freely. Section 128 of The Act places a legal duty on Local Authorities in Wales to consider advocacy where an adult has care and support needs. </w:t>
            </w:r>
          </w:p>
          <w:p w14:paraId="55165BD5" w14:textId="77777777" w:rsidR="00C6110C" w:rsidRPr="00D31628" w:rsidRDefault="00C6110C" w:rsidP="00C6110C">
            <w:pPr>
              <w:rPr>
                <w:sz w:val="24"/>
                <w:szCs w:val="24"/>
              </w:rPr>
            </w:pPr>
          </w:p>
          <w:p w14:paraId="2B5F7A62" w14:textId="1B464954" w:rsidR="00C6110C" w:rsidRDefault="00C6110C" w:rsidP="00C6110C">
            <w:pPr>
              <w:rPr>
                <w:sz w:val="24"/>
                <w:szCs w:val="24"/>
              </w:rPr>
            </w:pPr>
            <w:r w:rsidRPr="00D31628">
              <w:rPr>
                <w:sz w:val="24"/>
                <w:szCs w:val="24"/>
              </w:rPr>
              <w:t>Where section 126 enquiries of the SSWBA 2014 establish reasonable cause to suspect abuse or neglect of an adult, a strategy discussion or meeting should take place to determine appropriate action (</w:t>
            </w:r>
            <w:r w:rsidR="00130794">
              <w:rPr>
                <w:sz w:val="24"/>
                <w:szCs w:val="24"/>
              </w:rPr>
              <w:t>Social Care Wales, 2026e</w:t>
            </w:r>
            <w:r w:rsidRPr="00D31628">
              <w:rPr>
                <w:sz w:val="24"/>
                <w:szCs w:val="24"/>
              </w:rPr>
              <w:t>). This should consider the adult’s wishes, consent, capacity, risks, protection needs and the roles of different agencies (</w:t>
            </w:r>
            <w:r w:rsidR="00130794">
              <w:rPr>
                <w:sz w:val="24"/>
                <w:szCs w:val="24"/>
              </w:rPr>
              <w:t>Social Care Wales, 2026e)</w:t>
            </w:r>
            <w:r w:rsidR="008B6395">
              <w:rPr>
                <w:sz w:val="24"/>
                <w:szCs w:val="24"/>
              </w:rPr>
              <w:t>.</w:t>
            </w:r>
            <w:r w:rsidRPr="00D31628">
              <w:rPr>
                <w:sz w:val="24"/>
                <w:szCs w:val="24"/>
              </w:rPr>
              <w:t xml:space="preserve"> Information should be shared appropriately and decisions clearly recorded (</w:t>
            </w:r>
            <w:r w:rsidR="00130794">
              <w:rPr>
                <w:sz w:val="24"/>
                <w:szCs w:val="24"/>
              </w:rPr>
              <w:t>Social Care Wales, 2026e).</w:t>
            </w:r>
            <w:r w:rsidRPr="00D31628">
              <w:rPr>
                <w:sz w:val="24"/>
                <w:szCs w:val="24"/>
              </w:rPr>
              <w:t xml:space="preserve"> The Welsh Government’s safeguarding guidance also emphasises supported and informed decision-making and person-centred practice when working with adults (2019).</w:t>
            </w:r>
          </w:p>
          <w:p w14:paraId="574A17DF" w14:textId="77777777" w:rsidR="00C6110C" w:rsidRPr="00D31628" w:rsidRDefault="00C6110C" w:rsidP="00C6110C">
            <w:pPr>
              <w:rPr>
                <w:sz w:val="24"/>
                <w:szCs w:val="24"/>
              </w:rPr>
            </w:pPr>
          </w:p>
          <w:p w14:paraId="08E6D4ED" w14:textId="17670640" w:rsidR="00C6110C" w:rsidRDefault="00C6110C" w:rsidP="00C6110C">
            <w:pPr>
              <w:rPr>
                <w:sz w:val="24"/>
                <w:szCs w:val="24"/>
              </w:rPr>
            </w:pPr>
            <w:r w:rsidRPr="00D31628">
              <w:rPr>
                <w:sz w:val="24"/>
                <w:szCs w:val="24"/>
              </w:rPr>
              <w:t xml:space="preserve">The MCA 2005 is particularly relevant where there are concerns about and adult’s ability to make decisions about their safety or care. The Act requires capacity to be </w:t>
            </w:r>
            <w:r w:rsidR="008B3FC8">
              <w:rPr>
                <w:sz w:val="24"/>
                <w:szCs w:val="24"/>
              </w:rPr>
              <w:t>presumed</w:t>
            </w:r>
            <w:r w:rsidRPr="00D31628">
              <w:rPr>
                <w:sz w:val="24"/>
                <w:szCs w:val="24"/>
              </w:rPr>
              <w:t xml:space="preserve"> unless established otherwise (S.1(2)), requires practicable steps to support decision-making, and states that unwise decisions does not, by itself, demonstrate incapacity (S1(3)(4)). Where a person lacks capacity, decisions should be made in their best interests and in the least restrictive way. Depriving an adult of their liberty can only be done by carrying out arrangements authorised under Schedule AA1 (Mental Capacity (Amendment) Act 2019, (s.1) (2)(5)). The Human Rights Act 1998 proposes an adult’s rights to liberty, freedom of conscience, private and family life and protection from inhuman or degrading treatment. The Equality Act 2010 requires practitioners to consider equality and prevent unlawful discrimination when safeguarding adults.</w:t>
            </w:r>
          </w:p>
          <w:p w14:paraId="36C0B4BB" w14:textId="77777777" w:rsidR="00C6110C" w:rsidRPr="00D31628" w:rsidRDefault="00C6110C" w:rsidP="00C6110C">
            <w:pPr>
              <w:rPr>
                <w:sz w:val="24"/>
                <w:szCs w:val="24"/>
              </w:rPr>
            </w:pPr>
          </w:p>
          <w:p w14:paraId="1A833AFA" w14:textId="06292E72" w:rsidR="00C6110C" w:rsidRPr="00D31628" w:rsidRDefault="00C6110C" w:rsidP="00C6110C">
            <w:pPr>
              <w:rPr>
                <w:sz w:val="24"/>
                <w:szCs w:val="24"/>
              </w:rPr>
            </w:pPr>
            <w:r>
              <w:rPr>
                <w:sz w:val="24"/>
                <w:szCs w:val="24"/>
              </w:rPr>
              <w:t>(</w:t>
            </w:r>
            <w:r w:rsidR="008B3FC8">
              <w:rPr>
                <w:sz w:val="24"/>
                <w:szCs w:val="24"/>
              </w:rPr>
              <w:t>5</w:t>
            </w:r>
            <w:r w:rsidR="00130794">
              <w:rPr>
                <w:sz w:val="24"/>
                <w:szCs w:val="24"/>
              </w:rPr>
              <w:t>60</w:t>
            </w:r>
            <w:r w:rsidR="008B3FC8">
              <w:rPr>
                <w:sz w:val="24"/>
                <w:szCs w:val="24"/>
              </w:rPr>
              <w:t xml:space="preserve"> </w:t>
            </w:r>
            <w:r w:rsidRPr="00D31628">
              <w:rPr>
                <w:sz w:val="24"/>
                <w:szCs w:val="24"/>
              </w:rPr>
              <w:t>words</w:t>
            </w:r>
            <w:r>
              <w:rPr>
                <w:sz w:val="24"/>
                <w:szCs w:val="24"/>
              </w:rPr>
              <w:t>).</w:t>
            </w:r>
          </w:p>
          <w:p w14:paraId="03BD6D93" w14:textId="56AD433A" w:rsidR="00C6110C" w:rsidRPr="008B28E7" w:rsidRDefault="00C6110C"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647A31B2" w14:textId="77777777" w:rsidR="00C6110C" w:rsidRDefault="00C6110C" w:rsidP="00FC0334">
            <w:pPr>
              <w:jc w:val="both"/>
              <w:rPr>
                <w:i/>
                <w:sz w:val="24"/>
                <w:szCs w:val="24"/>
              </w:rPr>
            </w:pPr>
          </w:p>
          <w:p w14:paraId="04B31188" w14:textId="77777777" w:rsidR="00C6110C" w:rsidRDefault="00C6110C" w:rsidP="00FC0334">
            <w:pPr>
              <w:jc w:val="both"/>
              <w:rPr>
                <w:i/>
                <w:sz w:val="24"/>
                <w:szCs w:val="24"/>
              </w:rPr>
            </w:pPr>
          </w:p>
          <w:p w14:paraId="6DF8BD3A" w14:textId="21A2F74A" w:rsidR="00C6110C" w:rsidRDefault="00C6110C" w:rsidP="00C6110C">
            <w:pPr>
              <w:rPr>
                <w:sz w:val="24"/>
                <w:szCs w:val="24"/>
              </w:rPr>
            </w:pPr>
            <w:r w:rsidRPr="00D31628">
              <w:rPr>
                <w:sz w:val="24"/>
                <w:szCs w:val="24"/>
              </w:rPr>
              <w:t>The Local Authority ha</w:t>
            </w:r>
            <w:r>
              <w:rPr>
                <w:sz w:val="24"/>
                <w:szCs w:val="24"/>
              </w:rPr>
              <w:t>s</w:t>
            </w:r>
            <w:r w:rsidRPr="00D31628">
              <w:rPr>
                <w:sz w:val="24"/>
                <w:szCs w:val="24"/>
              </w:rPr>
              <w:t xml:space="preserve"> a duty to assess the needs of care and support of adults under section 19 and children under section 21 of the SSWBA 2014. Although safeguarding adults and children share the same principles of person-centred practice, partnership working and protection from abuse and neglect (</w:t>
            </w:r>
            <w:r w:rsidR="00130794">
              <w:rPr>
                <w:sz w:val="24"/>
                <w:szCs w:val="24"/>
              </w:rPr>
              <w:t>Social Care Wales,</w:t>
            </w:r>
            <w:r w:rsidRPr="003478D1">
              <w:rPr>
                <w:sz w:val="24"/>
                <w:szCs w:val="24"/>
              </w:rPr>
              <w:t xml:space="preserve"> 2026a; 2026</w:t>
            </w:r>
            <w:r w:rsidR="00130794">
              <w:rPr>
                <w:sz w:val="24"/>
                <w:szCs w:val="24"/>
              </w:rPr>
              <w:t>d; 2026e</w:t>
            </w:r>
            <w:r w:rsidRPr="00D31628">
              <w:rPr>
                <w:sz w:val="24"/>
                <w:szCs w:val="24"/>
              </w:rPr>
              <w:t xml:space="preserve">), </w:t>
            </w:r>
            <w:r>
              <w:rPr>
                <w:sz w:val="24"/>
                <w:szCs w:val="24"/>
              </w:rPr>
              <w:t>a key</w:t>
            </w:r>
            <w:r w:rsidRPr="00D31628">
              <w:rPr>
                <w:sz w:val="24"/>
                <w:szCs w:val="24"/>
              </w:rPr>
              <w:t xml:space="preserve"> difference is the balance between an </w:t>
            </w:r>
            <w:r>
              <w:rPr>
                <w:sz w:val="24"/>
                <w:szCs w:val="24"/>
              </w:rPr>
              <w:t>adult’s</w:t>
            </w:r>
            <w:r w:rsidRPr="00D31628">
              <w:rPr>
                <w:sz w:val="24"/>
                <w:szCs w:val="24"/>
              </w:rPr>
              <w:t xml:space="preserve"> autonomy</w:t>
            </w:r>
            <w:r>
              <w:rPr>
                <w:sz w:val="24"/>
                <w:szCs w:val="24"/>
              </w:rPr>
              <w:t>,</w:t>
            </w:r>
            <w:r w:rsidRPr="00D31628">
              <w:rPr>
                <w:sz w:val="24"/>
                <w:szCs w:val="24"/>
              </w:rPr>
              <w:t xml:space="preserve"> consent </w:t>
            </w:r>
            <w:r>
              <w:rPr>
                <w:sz w:val="24"/>
                <w:szCs w:val="24"/>
              </w:rPr>
              <w:t xml:space="preserve">and the Local Authority’s duty to protect. </w:t>
            </w:r>
          </w:p>
          <w:p w14:paraId="48E25359" w14:textId="77777777" w:rsidR="00C6110C" w:rsidRPr="00D31628" w:rsidRDefault="00C6110C" w:rsidP="00C6110C">
            <w:pPr>
              <w:rPr>
                <w:sz w:val="24"/>
                <w:szCs w:val="24"/>
              </w:rPr>
            </w:pPr>
          </w:p>
          <w:p w14:paraId="60967C35" w14:textId="58EC6757" w:rsidR="008B3FC8" w:rsidRDefault="00C6110C" w:rsidP="00C6110C">
            <w:pPr>
              <w:rPr>
                <w:sz w:val="24"/>
                <w:szCs w:val="24"/>
              </w:rPr>
            </w:pPr>
            <w:r w:rsidRPr="00D31628">
              <w:rPr>
                <w:sz w:val="24"/>
                <w:szCs w:val="24"/>
              </w:rPr>
              <w:t xml:space="preserve">Age is also a fundamental difference. The SSWBA 2014 defines a child to be a person under 18 (s.3(3)) and an adult </w:t>
            </w:r>
            <w:r>
              <w:rPr>
                <w:sz w:val="24"/>
                <w:szCs w:val="24"/>
              </w:rPr>
              <w:t>as a person</w:t>
            </w:r>
            <w:r w:rsidRPr="00D31628">
              <w:rPr>
                <w:sz w:val="24"/>
                <w:szCs w:val="24"/>
              </w:rPr>
              <w:t xml:space="preserve"> 18 or older (s.3(2)). The </w:t>
            </w:r>
            <w:r>
              <w:rPr>
                <w:sz w:val="24"/>
                <w:szCs w:val="24"/>
              </w:rPr>
              <w:t>Act</w:t>
            </w:r>
            <w:r w:rsidRPr="00D31628">
              <w:rPr>
                <w:sz w:val="24"/>
                <w:szCs w:val="24"/>
              </w:rPr>
              <w:t xml:space="preserve"> provides different frameworks for</w:t>
            </w:r>
            <w:r>
              <w:rPr>
                <w:sz w:val="24"/>
                <w:szCs w:val="24"/>
              </w:rPr>
              <w:t xml:space="preserve"> safeguarding</w:t>
            </w:r>
            <w:r w:rsidRPr="00D31628">
              <w:rPr>
                <w:sz w:val="24"/>
                <w:szCs w:val="24"/>
              </w:rPr>
              <w:t xml:space="preserve"> children and adults at risk. Adults generally have the right to make their own decisions, including decisions that professionals may consider unwise</w:t>
            </w:r>
            <w:r>
              <w:rPr>
                <w:sz w:val="24"/>
                <w:szCs w:val="24"/>
              </w:rPr>
              <w:t xml:space="preserve">, and to refuse engagement with safeguarding processes where they have the capacity to make that decision. This is reflected in the SSWBA 2014, as where an adult refuses a </w:t>
            </w:r>
            <w:r w:rsidRPr="00D31628">
              <w:rPr>
                <w:sz w:val="24"/>
                <w:szCs w:val="24"/>
              </w:rPr>
              <w:t xml:space="preserve">section 19 </w:t>
            </w:r>
            <w:r w:rsidRPr="00D31628">
              <w:rPr>
                <w:sz w:val="24"/>
                <w:szCs w:val="24"/>
              </w:rPr>
              <w:lastRenderedPageBreak/>
              <w:t>assessment, the duty to assess does not apply under section 20(1). The Wales Safeguarding Procedures emphasise respecting an adults’ wishes and decisions, while ensuring they understand identified risks and the potential impact on their safety and well-being (</w:t>
            </w:r>
            <w:r w:rsidR="00130794">
              <w:rPr>
                <w:sz w:val="24"/>
                <w:szCs w:val="24"/>
              </w:rPr>
              <w:t xml:space="preserve">Social Care Wales, </w:t>
            </w:r>
            <w:r w:rsidRPr="00D31628">
              <w:rPr>
                <w:sz w:val="24"/>
                <w:szCs w:val="24"/>
              </w:rPr>
              <w:t>2026</w:t>
            </w:r>
            <w:r w:rsidR="00130794">
              <w:rPr>
                <w:sz w:val="24"/>
                <w:szCs w:val="24"/>
              </w:rPr>
              <w:t>e</w:t>
            </w:r>
            <w:r w:rsidRPr="00D31628">
              <w:rPr>
                <w:sz w:val="24"/>
                <w:szCs w:val="24"/>
              </w:rPr>
              <w:t xml:space="preserve">). </w:t>
            </w:r>
          </w:p>
          <w:p w14:paraId="155A9D07" w14:textId="77777777" w:rsidR="00C6110C" w:rsidRPr="00D31628" w:rsidRDefault="00C6110C" w:rsidP="00C6110C">
            <w:pPr>
              <w:rPr>
                <w:sz w:val="24"/>
                <w:szCs w:val="24"/>
              </w:rPr>
            </w:pPr>
          </w:p>
          <w:p w14:paraId="4FCBB87D" w14:textId="50C0E73B" w:rsidR="00AA6D23" w:rsidRDefault="00C6110C" w:rsidP="00C6110C">
            <w:pPr>
              <w:rPr>
                <w:sz w:val="24"/>
                <w:szCs w:val="24"/>
              </w:rPr>
            </w:pPr>
            <w:r w:rsidRPr="00D31628">
              <w:rPr>
                <w:sz w:val="24"/>
                <w:szCs w:val="24"/>
              </w:rPr>
              <w:t xml:space="preserve">Children’s services operate differently according to </w:t>
            </w:r>
            <w:r>
              <w:rPr>
                <w:sz w:val="24"/>
                <w:szCs w:val="24"/>
              </w:rPr>
              <w:t xml:space="preserve">a child’s </w:t>
            </w:r>
            <w:r w:rsidRPr="00D31628">
              <w:rPr>
                <w:sz w:val="24"/>
                <w:szCs w:val="24"/>
              </w:rPr>
              <w:t xml:space="preserve">age and understanding. </w:t>
            </w:r>
            <w:r>
              <w:rPr>
                <w:sz w:val="24"/>
                <w:szCs w:val="24"/>
              </w:rPr>
              <w:t>S</w:t>
            </w:r>
            <w:r w:rsidRPr="00D31628">
              <w:rPr>
                <w:sz w:val="24"/>
                <w:szCs w:val="24"/>
              </w:rPr>
              <w:t xml:space="preserve">ection 23 of the SSWBA 2014 </w:t>
            </w:r>
            <w:r>
              <w:rPr>
                <w:sz w:val="24"/>
                <w:szCs w:val="24"/>
              </w:rPr>
              <w:t xml:space="preserve">provides that a child under 16 may refuse a needs assessment where the Local Authority is satisfied that </w:t>
            </w:r>
            <w:r w:rsidRPr="00D31628">
              <w:rPr>
                <w:sz w:val="24"/>
                <w:szCs w:val="24"/>
              </w:rPr>
              <w:t>the child has sufficient understanding to make an informed decision about refusing an assessment</w:t>
            </w:r>
            <w:r w:rsidR="00AA6D23">
              <w:rPr>
                <w:sz w:val="24"/>
                <w:szCs w:val="24"/>
              </w:rPr>
              <w:t xml:space="preserve">. </w:t>
            </w:r>
            <w:r w:rsidR="00DB6CF5">
              <w:rPr>
                <w:sz w:val="24"/>
                <w:szCs w:val="24"/>
              </w:rPr>
              <w:t>T</w:t>
            </w:r>
            <w:r w:rsidR="00AA6D23">
              <w:rPr>
                <w:sz w:val="24"/>
                <w:szCs w:val="24"/>
              </w:rPr>
              <w:t>o assess whether a child has maturity to make their own decisions and understand the implications of those decisions, Gillick competence and Fraser guidelines are used</w:t>
            </w:r>
            <w:r w:rsidR="00DB6CF5">
              <w:rPr>
                <w:sz w:val="24"/>
                <w:szCs w:val="24"/>
              </w:rPr>
              <w:t>. NSPCC outline that practitioners must always share child protection concerns with relevant agencies, even if this goes against the child’s wishes (202</w:t>
            </w:r>
            <w:r w:rsidR="001442DD">
              <w:rPr>
                <w:sz w:val="24"/>
                <w:szCs w:val="24"/>
              </w:rPr>
              <w:t>2</w:t>
            </w:r>
            <w:r w:rsidR="00DB6CF5">
              <w:rPr>
                <w:sz w:val="24"/>
                <w:szCs w:val="24"/>
              </w:rPr>
              <w:t>).</w:t>
            </w:r>
          </w:p>
          <w:p w14:paraId="7E0B444E" w14:textId="77777777" w:rsidR="00AA6D23" w:rsidRDefault="00AA6D23" w:rsidP="00C6110C">
            <w:pPr>
              <w:rPr>
                <w:sz w:val="24"/>
                <w:szCs w:val="24"/>
              </w:rPr>
            </w:pPr>
          </w:p>
          <w:p w14:paraId="25C12775" w14:textId="78B0A9E5" w:rsidR="00C6110C" w:rsidRDefault="00C6110C" w:rsidP="00C6110C">
            <w:pPr>
              <w:rPr>
                <w:sz w:val="24"/>
                <w:szCs w:val="24"/>
              </w:rPr>
            </w:pPr>
            <w:r>
              <w:rPr>
                <w:sz w:val="24"/>
                <w:szCs w:val="24"/>
              </w:rPr>
              <w:t xml:space="preserve">This reflects the importance of a child’s developing autonomy and decision-making ability. </w:t>
            </w:r>
            <w:r w:rsidR="007D21BC">
              <w:rPr>
                <w:sz w:val="24"/>
                <w:szCs w:val="24"/>
              </w:rPr>
              <w:t>A</w:t>
            </w:r>
            <w:r>
              <w:rPr>
                <w:sz w:val="24"/>
                <w:szCs w:val="24"/>
              </w:rPr>
              <w:t xml:space="preserve"> child’s refusal does not necessarily prevent safeguarding intervention where there are concerns that a child is experiencing, or is at risk of experiencing, abuse or neglect. Under section 30 of the SSWBA 2014, where the Local Authority have reasonable cause to suspect that a child is at risk of abuse, neglect or other harm and has care and support needs, it must make enquiries. </w:t>
            </w:r>
            <w:r w:rsidR="00AA6D23">
              <w:rPr>
                <w:sz w:val="24"/>
                <w:szCs w:val="24"/>
              </w:rPr>
              <w:t>The</w:t>
            </w:r>
            <w:r w:rsidR="0083209F">
              <w:rPr>
                <w:sz w:val="24"/>
                <w:szCs w:val="24"/>
              </w:rPr>
              <w:t xml:space="preserve"> Children Act 1989</w:t>
            </w:r>
            <w:r w:rsidR="00AA6D23">
              <w:rPr>
                <w:sz w:val="24"/>
                <w:szCs w:val="24"/>
              </w:rPr>
              <w:t xml:space="preserve"> delivers a clear principle in children’s services, that the welfare of the child should be of paramount consideration in all decision </w:t>
            </w:r>
            <w:r w:rsidR="00DB6CF5">
              <w:rPr>
                <w:sz w:val="24"/>
                <w:szCs w:val="24"/>
              </w:rPr>
              <w:t>making. Therefore</w:t>
            </w:r>
            <w:r>
              <w:rPr>
                <w:sz w:val="24"/>
                <w:szCs w:val="24"/>
              </w:rPr>
              <w:t xml:space="preserve">, a child’s age, understanding, wishes and feelings are important considerations but to not necessarily determine whether safeguarding action is taken. Children’s safeguarding place stronger emphasis on the Local Authority’s protective responsibilities alongside the child’s participation and developing autonomy. </w:t>
            </w:r>
          </w:p>
          <w:p w14:paraId="4A57CB6C" w14:textId="77777777" w:rsidR="00C6110C" w:rsidRDefault="00C6110C" w:rsidP="00C6110C">
            <w:pPr>
              <w:rPr>
                <w:sz w:val="24"/>
                <w:szCs w:val="24"/>
              </w:rPr>
            </w:pPr>
          </w:p>
          <w:p w14:paraId="7E138C24" w14:textId="44EC338C" w:rsidR="00C6110C" w:rsidRDefault="00C6110C" w:rsidP="00C6110C">
            <w:pPr>
              <w:rPr>
                <w:sz w:val="24"/>
                <w:szCs w:val="24"/>
              </w:rPr>
            </w:pPr>
            <w:r>
              <w:rPr>
                <w:sz w:val="24"/>
                <w:szCs w:val="24"/>
              </w:rPr>
              <w:t>(</w:t>
            </w:r>
            <w:r w:rsidR="00DB6CF5">
              <w:rPr>
                <w:sz w:val="24"/>
                <w:szCs w:val="24"/>
              </w:rPr>
              <w:t>4</w:t>
            </w:r>
            <w:r w:rsidR="00130794">
              <w:rPr>
                <w:sz w:val="24"/>
                <w:szCs w:val="24"/>
              </w:rPr>
              <w:t>4</w:t>
            </w:r>
            <w:r w:rsidR="007D21BC">
              <w:rPr>
                <w:sz w:val="24"/>
                <w:szCs w:val="24"/>
              </w:rPr>
              <w:t>1</w:t>
            </w:r>
            <w:r w:rsidR="00DB6CF5">
              <w:rPr>
                <w:sz w:val="24"/>
                <w:szCs w:val="24"/>
              </w:rPr>
              <w:t xml:space="preserve"> </w:t>
            </w:r>
            <w:r>
              <w:rPr>
                <w:sz w:val="24"/>
                <w:szCs w:val="24"/>
              </w:rPr>
              <w:t>words).</w:t>
            </w:r>
          </w:p>
          <w:p w14:paraId="73250333" w14:textId="77777777" w:rsidR="00C6110C" w:rsidRDefault="00C6110C"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E0265E" w14:textId="77777777" w:rsidR="00392A53" w:rsidRDefault="00392A53">
      <w:r>
        <w:separator/>
      </w:r>
    </w:p>
  </w:endnote>
  <w:endnote w:type="continuationSeparator" w:id="0">
    <w:p w14:paraId="28051C1B" w14:textId="77777777" w:rsidR="00392A53" w:rsidRDefault="00392A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E9CB3" w14:textId="77777777" w:rsidR="00392A53" w:rsidRDefault="00392A53">
      <w:r>
        <w:separator/>
      </w:r>
    </w:p>
  </w:footnote>
  <w:footnote w:type="continuationSeparator" w:id="0">
    <w:p w14:paraId="63C650B4" w14:textId="77777777" w:rsidR="00392A53" w:rsidRDefault="00392A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38D"/>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8AF"/>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0794"/>
    <w:rsid w:val="00132812"/>
    <w:rsid w:val="001347F8"/>
    <w:rsid w:val="001359EE"/>
    <w:rsid w:val="00137BB5"/>
    <w:rsid w:val="00137E05"/>
    <w:rsid w:val="001442DD"/>
    <w:rsid w:val="001447F6"/>
    <w:rsid w:val="001451F2"/>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A53"/>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03A8"/>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19FF"/>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21BC"/>
    <w:rsid w:val="007D3EB4"/>
    <w:rsid w:val="007D3F16"/>
    <w:rsid w:val="007E7D1D"/>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09F"/>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3FC8"/>
    <w:rsid w:val="008B6395"/>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B7DAE"/>
    <w:rsid w:val="009C337F"/>
    <w:rsid w:val="009C53E7"/>
    <w:rsid w:val="009C6092"/>
    <w:rsid w:val="009C7342"/>
    <w:rsid w:val="009D4365"/>
    <w:rsid w:val="009D477B"/>
    <w:rsid w:val="009D4E3B"/>
    <w:rsid w:val="009D59C2"/>
    <w:rsid w:val="009D7BC9"/>
    <w:rsid w:val="009E122F"/>
    <w:rsid w:val="009E145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6D23"/>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6AC6"/>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1311"/>
    <w:rsid w:val="00C54AED"/>
    <w:rsid w:val="00C555FC"/>
    <w:rsid w:val="00C55E9B"/>
    <w:rsid w:val="00C56D09"/>
    <w:rsid w:val="00C57D24"/>
    <w:rsid w:val="00C604D6"/>
    <w:rsid w:val="00C6110C"/>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6CF5"/>
    <w:rsid w:val="00DC1B10"/>
    <w:rsid w:val="00DC2924"/>
    <w:rsid w:val="00DC4729"/>
    <w:rsid w:val="00DC73DF"/>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47CA"/>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385"/>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40A"/>
    <w:rsid w:val="00FB05DD"/>
    <w:rsid w:val="00FB0F7C"/>
    <w:rsid w:val="00FB22DA"/>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4</Pages>
  <Words>1175</Words>
  <Characters>6701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Mali Gwenllian Dafydd (PLANT)</cp:lastModifiedBy>
  <cp:revision>9</cp:revision>
  <cp:lastPrinted>2020-02-11T19:20:00Z</cp:lastPrinted>
  <dcterms:created xsi:type="dcterms:W3CDTF">2026-09-15T08:33:00Z</dcterms:created>
  <dcterms:modified xsi:type="dcterms:W3CDTF">2026-10-04T21:12:00Z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