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2D904" w14:textId="77777777" w:rsidR="00C72CB9" w:rsidRPr="00C72CB9" w:rsidRDefault="00C72CB9" w:rsidP="00C72CB9">
      <w:pPr>
        <w:spacing w:after="0" w:line="360" w:lineRule="auto"/>
        <w:ind w:firstLine="284"/>
        <w:jc w:val="center"/>
        <w:rPr>
          <w:rFonts w:ascii="Arial" w:hAnsi="Arial" w:cs="Arial"/>
          <w:b/>
          <w:bCs/>
          <w:sz w:val="24"/>
          <w:szCs w:val="24"/>
        </w:rPr>
      </w:pPr>
      <w:r w:rsidRPr="00C72CB9">
        <w:rPr>
          <w:rFonts w:ascii="Arial" w:hAnsi="Arial" w:cs="Arial"/>
          <w:b/>
          <w:bCs/>
          <w:sz w:val="24"/>
          <w:szCs w:val="24"/>
        </w:rPr>
        <w:t>University of Wales Trinity Saint David Birmingham</w:t>
      </w:r>
    </w:p>
    <w:p w14:paraId="6E2C64C3" w14:textId="77777777" w:rsidR="00C72CB9" w:rsidRPr="00C72CB9" w:rsidRDefault="00C72CB9" w:rsidP="00C72CB9">
      <w:pPr>
        <w:spacing w:after="0" w:line="360" w:lineRule="auto"/>
        <w:ind w:firstLine="284"/>
        <w:jc w:val="center"/>
        <w:rPr>
          <w:rFonts w:ascii="Arial" w:hAnsi="Arial" w:cs="Arial"/>
          <w:b/>
          <w:bCs/>
          <w:sz w:val="24"/>
          <w:szCs w:val="24"/>
        </w:rPr>
      </w:pPr>
      <w:r w:rsidRPr="00C72CB9">
        <w:rPr>
          <w:rFonts w:ascii="Arial" w:hAnsi="Arial" w:cs="Arial"/>
          <w:b/>
          <w:bCs/>
          <w:sz w:val="24"/>
          <w:szCs w:val="24"/>
        </w:rPr>
        <w:t>BA (Hons) Business Management</w:t>
      </w:r>
    </w:p>
    <w:p w14:paraId="382285C6" w14:textId="4B10181D" w:rsidR="00C72CB9" w:rsidRPr="00C72CB9" w:rsidRDefault="00C72CB9" w:rsidP="00C72CB9">
      <w:pPr>
        <w:spacing w:after="0" w:line="360" w:lineRule="auto"/>
        <w:ind w:firstLine="284"/>
        <w:jc w:val="center"/>
        <w:rPr>
          <w:rFonts w:ascii="Arial" w:hAnsi="Arial" w:cs="Arial"/>
          <w:b/>
          <w:bCs/>
          <w:sz w:val="24"/>
          <w:szCs w:val="24"/>
        </w:rPr>
      </w:pPr>
      <w:r w:rsidRPr="00C72CB9">
        <w:rPr>
          <w:rFonts w:ascii="Arial" w:hAnsi="Arial" w:cs="Arial"/>
          <w:b/>
          <w:bCs/>
          <w:sz w:val="24"/>
          <w:szCs w:val="24"/>
        </w:rPr>
        <w:t>LCBB6004_BIRM Strategic Management and Sustainability</w:t>
      </w:r>
    </w:p>
    <w:p w14:paraId="1F72DD5D" w14:textId="77777777" w:rsidR="00C72CB9" w:rsidRPr="00C72CB9" w:rsidRDefault="00C72CB9" w:rsidP="00C72CB9">
      <w:pPr>
        <w:spacing w:after="0" w:line="360" w:lineRule="auto"/>
        <w:ind w:firstLine="284"/>
        <w:jc w:val="both"/>
        <w:rPr>
          <w:rFonts w:ascii="Arial" w:hAnsi="Arial" w:cs="Arial"/>
          <w:b/>
          <w:bCs/>
          <w:sz w:val="24"/>
          <w:szCs w:val="24"/>
        </w:rPr>
      </w:pPr>
    </w:p>
    <w:p w14:paraId="14A309DC" w14:textId="77777777" w:rsidR="00C72CB9" w:rsidRPr="00C72CB9" w:rsidRDefault="00C72CB9" w:rsidP="00C72CB9">
      <w:pPr>
        <w:spacing w:after="0" w:line="360" w:lineRule="auto"/>
        <w:ind w:firstLine="284"/>
        <w:jc w:val="both"/>
        <w:rPr>
          <w:rFonts w:ascii="Arial" w:hAnsi="Arial" w:cs="Arial"/>
          <w:b/>
          <w:bCs/>
          <w:sz w:val="24"/>
          <w:szCs w:val="24"/>
        </w:rPr>
      </w:pPr>
    </w:p>
    <w:p w14:paraId="4DBE04ED" w14:textId="77777777" w:rsidR="00C72CB9" w:rsidRPr="00C72CB9" w:rsidRDefault="00C72CB9" w:rsidP="00C72CB9">
      <w:pPr>
        <w:spacing w:after="0" w:line="360" w:lineRule="auto"/>
        <w:ind w:firstLine="284"/>
        <w:jc w:val="both"/>
        <w:rPr>
          <w:rFonts w:ascii="Arial" w:hAnsi="Arial" w:cs="Arial"/>
          <w:b/>
          <w:bCs/>
          <w:sz w:val="24"/>
          <w:szCs w:val="24"/>
        </w:rPr>
      </w:pPr>
    </w:p>
    <w:p w14:paraId="0DCFE74B" w14:textId="77777777" w:rsidR="00C72CB9" w:rsidRPr="00C72CB9" w:rsidRDefault="00C72CB9" w:rsidP="00C72CB9">
      <w:pPr>
        <w:spacing w:after="0" w:line="360" w:lineRule="auto"/>
        <w:ind w:firstLine="284"/>
        <w:jc w:val="both"/>
        <w:rPr>
          <w:rFonts w:ascii="Arial" w:hAnsi="Arial" w:cs="Arial"/>
          <w:b/>
          <w:bCs/>
          <w:sz w:val="24"/>
          <w:szCs w:val="24"/>
        </w:rPr>
      </w:pPr>
    </w:p>
    <w:p w14:paraId="7BE8F100" w14:textId="77777777" w:rsidR="00C72CB9" w:rsidRPr="00C72CB9" w:rsidRDefault="00C72CB9" w:rsidP="00C72CB9">
      <w:pPr>
        <w:spacing w:after="0" w:line="360" w:lineRule="auto"/>
        <w:ind w:firstLine="284"/>
        <w:jc w:val="both"/>
        <w:rPr>
          <w:rFonts w:ascii="Arial" w:hAnsi="Arial" w:cs="Arial"/>
          <w:b/>
          <w:bCs/>
          <w:sz w:val="24"/>
          <w:szCs w:val="24"/>
        </w:rPr>
      </w:pPr>
    </w:p>
    <w:p w14:paraId="32727527" w14:textId="77777777" w:rsidR="00C72CB9" w:rsidRPr="00C72CB9" w:rsidRDefault="00C72CB9" w:rsidP="00C72CB9">
      <w:pPr>
        <w:spacing w:after="0" w:line="360" w:lineRule="auto"/>
        <w:ind w:firstLine="284"/>
        <w:jc w:val="both"/>
        <w:rPr>
          <w:rFonts w:ascii="Arial" w:hAnsi="Arial" w:cs="Arial"/>
          <w:b/>
          <w:bCs/>
          <w:sz w:val="24"/>
          <w:szCs w:val="24"/>
        </w:rPr>
      </w:pPr>
    </w:p>
    <w:p w14:paraId="128C13E6" w14:textId="7ED6BB60" w:rsidR="00C72CB9" w:rsidRPr="00276C88" w:rsidRDefault="00C72CB9" w:rsidP="00C72CB9">
      <w:pPr>
        <w:tabs>
          <w:tab w:val="left" w:pos="709"/>
        </w:tabs>
        <w:spacing w:line="360" w:lineRule="auto"/>
        <w:ind w:firstLine="284"/>
        <w:jc w:val="center"/>
        <w:rPr>
          <w:rFonts w:ascii="Arial" w:hAnsi="Arial" w:cs="Arial"/>
          <w:b/>
          <w:bCs/>
          <w:sz w:val="24"/>
          <w:szCs w:val="24"/>
        </w:rPr>
      </w:pPr>
      <w:r w:rsidRPr="00C72CB9">
        <w:rPr>
          <w:rFonts w:ascii="Arial" w:hAnsi="Arial" w:cs="Arial"/>
          <w:b/>
          <w:bCs/>
          <w:sz w:val="28"/>
          <w:szCs w:val="28"/>
        </w:rPr>
        <w:t>Component 1</w:t>
      </w:r>
      <w:r w:rsidRPr="00C72CB9">
        <w:rPr>
          <w:rFonts w:ascii="Arial" w:hAnsi="Arial" w:cs="Arial"/>
          <w:b/>
          <w:bCs/>
          <w:sz w:val="28"/>
          <w:szCs w:val="28"/>
        </w:rPr>
        <w:br/>
        <w:t>Essay:</w:t>
      </w:r>
      <w:r w:rsidRPr="00C72CB9">
        <w:rPr>
          <w:rFonts w:ascii="Arial" w:hAnsi="Arial" w:cs="Arial"/>
          <w:b/>
          <w:bCs/>
          <w:sz w:val="28"/>
          <w:szCs w:val="28"/>
        </w:rPr>
        <w:br/>
      </w:r>
      <w:r w:rsidRPr="00276C88">
        <w:rPr>
          <w:rFonts w:ascii="Arial" w:hAnsi="Arial" w:cs="Arial"/>
          <w:b/>
          <w:bCs/>
          <w:sz w:val="24"/>
          <w:szCs w:val="24"/>
        </w:rPr>
        <w:t>Strategic Management and Sustainability at Lidl GB: A Strategy Formulation Plan</w:t>
      </w:r>
    </w:p>
    <w:p w14:paraId="1B8BC78B" w14:textId="22E41B79" w:rsidR="00C72CB9" w:rsidRPr="00C72CB9" w:rsidRDefault="00C72CB9" w:rsidP="00C72CB9">
      <w:pPr>
        <w:spacing w:after="0" w:line="360" w:lineRule="auto"/>
        <w:ind w:firstLine="284"/>
        <w:jc w:val="center"/>
        <w:rPr>
          <w:rFonts w:ascii="Arial" w:hAnsi="Arial" w:cs="Arial"/>
          <w:b/>
          <w:bCs/>
          <w:sz w:val="24"/>
          <w:szCs w:val="24"/>
        </w:rPr>
      </w:pPr>
    </w:p>
    <w:p w14:paraId="5C72E075" w14:textId="77777777" w:rsidR="00C72CB9" w:rsidRPr="00C72CB9" w:rsidRDefault="00C72CB9" w:rsidP="00C72CB9">
      <w:pPr>
        <w:spacing w:after="0" w:line="360" w:lineRule="auto"/>
        <w:ind w:firstLine="284"/>
        <w:jc w:val="both"/>
        <w:rPr>
          <w:rFonts w:ascii="Arial" w:hAnsi="Arial" w:cs="Arial"/>
          <w:b/>
          <w:bCs/>
          <w:sz w:val="24"/>
          <w:szCs w:val="24"/>
        </w:rPr>
      </w:pPr>
    </w:p>
    <w:p w14:paraId="3E19D4DA" w14:textId="77777777" w:rsidR="00C72CB9" w:rsidRPr="00C72CB9" w:rsidRDefault="00C72CB9" w:rsidP="00C72CB9">
      <w:pPr>
        <w:spacing w:after="0" w:line="360" w:lineRule="auto"/>
        <w:ind w:firstLine="284"/>
        <w:jc w:val="both"/>
        <w:rPr>
          <w:rFonts w:ascii="Arial" w:hAnsi="Arial" w:cs="Arial"/>
          <w:b/>
          <w:bCs/>
          <w:sz w:val="24"/>
          <w:szCs w:val="24"/>
        </w:rPr>
      </w:pPr>
    </w:p>
    <w:p w14:paraId="00077BB4" w14:textId="77777777" w:rsidR="00C72CB9" w:rsidRPr="00C72CB9" w:rsidRDefault="00C72CB9" w:rsidP="00C72CB9">
      <w:pPr>
        <w:spacing w:after="0" w:line="360" w:lineRule="auto"/>
        <w:ind w:firstLine="284"/>
        <w:jc w:val="both"/>
        <w:rPr>
          <w:rFonts w:ascii="Arial" w:hAnsi="Arial" w:cs="Arial"/>
          <w:b/>
          <w:bCs/>
          <w:sz w:val="24"/>
          <w:szCs w:val="24"/>
        </w:rPr>
      </w:pPr>
    </w:p>
    <w:p w14:paraId="3A2146F6" w14:textId="77777777" w:rsidR="00C72CB9" w:rsidRPr="00C72CB9" w:rsidRDefault="00C72CB9" w:rsidP="00C72CB9">
      <w:pPr>
        <w:spacing w:after="0" w:line="360" w:lineRule="auto"/>
        <w:ind w:firstLine="284"/>
        <w:jc w:val="both"/>
        <w:rPr>
          <w:rFonts w:ascii="Arial" w:hAnsi="Arial" w:cs="Arial"/>
          <w:b/>
          <w:bCs/>
          <w:sz w:val="24"/>
          <w:szCs w:val="24"/>
        </w:rPr>
      </w:pPr>
    </w:p>
    <w:p w14:paraId="29AC2968" w14:textId="77777777" w:rsidR="00C72CB9" w:rsidRPr="00C72CB9" w:rsidRDefault="00C72CB9" w:rsidP="00C72CB9">
      <w:pPr>
        <w:spacing w:after="0" w:line="360" w:lineRule="auto"/>
        <w:ind w:firstLine="284"/>
        <w:jc w:val="both"/>
        <w:rPr>
          <w:rFonts w:ascii="Arial" w:hAnsi="Arial" w:cs="Arial"/>
          <w:b/>
          <w:bCs/>
          <w:sz w:val="24"/>
          <w:szCs w:val="24"/>
        </w:rPr>
      </w:pPr>
    </w:p>
    <w:p w14:paraId="4CBD3A52" w14:textId="77777777" w:rsidR="00C72CB9" w:rsidRPr="00C72CB9" w:rsidRDefault="00C72CB9" w:rsidP="00C72CB9">
      <w:pPr>
        <w:spacing w:after="0" w:line="360" w:lineRule="auto"/>
        <w:ind w:firstLine="284"/>
        <w:jc w:val="both"/>
        <w:rPr>
          <w:rFonts w:ascii="Arial" w:hAnsi="Arial" w:cs="Arial"/>
          <w:b/>
          <w:bCs/>
          <w:sz w:val="24"/>
          <w:szCs w:val="24"/>
        </w:rPr>
      </w:pPr>
    </w:p>
    <w:p w14:paraId="127336D4" w14:textId="77777777" w:rsidR="00C72CB9" w:rsidRPr="00C72CB9" w:rsidRDefault="00C72CB9" w:rsidP="00C72CB9">
      <w:pPr>
        <w:spacing w:after="0" w:line="360" w:lineRule="auto"/>
        <w:ind w:firstLine="284"/>
        <w:jc w:val="both"/>
        <w:rPr>
          <w:rFonts w:ascii="Arial" w:hAnsi="Arial" w:cs="Arial"/>
          <w:b/>
          <w:bCs/>
          <w:sz w:val="24"/>
          <w:szCs w:val="24"/>
        </w:rPr>
      </w:pPr>
    </w:p>
    <w:p w14:paraId="690B3117" w14:textId="77777777" w:rsidR="00C72CB9" w:rsidRPr="00C72CB9" w:rsidRDefault="00C72CB9" w:rsidP="00C72CB9">
      <w:pPr>
        <w:spacing w:after="0" w:line="360" w:lineRule="auto"/>
        <w:ind w:firstLine="284"/>
        <w:jc w:val="both"/>
        <w:rPr>
          <w:rFonts w:ascii="Arial" w:hAnsi="Arial" w:cs="Arial"/>
          <w:b/>
          <w:bCs/>
          <w:sz w:val="24"/>
          <w:szCs w:val="24"/>
        </w:rPr>
      </w:pPr>
    </w:p>
    <w:p w14:paraId="6D672388" w14:textId="77777777" w:rsidR="00C72CB9" w:rsidRPr="00C72CB9" w:rsidRDefault="00C72CB9" w:rsidP="00C72CB9">
      <w:pPr>
        <w:spacing w:after="0" w:line="360" w:lineRule="auto"/>
        <w:ind w:firstLine="284"/>
        <w:jc w:val="both"/>
        <w:rPr>
          <w:rFonts w:ascii="Arial" w:hAnsi="Arial" w:cs="Arial"/>
          <w:b/>
          <w:bCs/>
          <w:sz w:val="24"/>
          <w:szCs w:val="24"/>
        </w:rPr>
      </w:pPr>
    </w:p>
    <w:p w14:paraId="28CB12FE" w14:textId="77777777" w:rsidR="00C72CB9" w:rsidRPr="00C72CB9" w:rsidRDefault="00C72CB9" w:rsidP="00C72CB9">
      <w:pPr>
        <w:spacing w:after="0" w:line="360" w:lineRule="auto"/>
        <w:ind w:firstLine="284"/>
        <w:jc w:val="both"/>
        <w:rPr>
          <w:rFonts w:ascii="Arial" w:hAnsi="Arial" w:cs="Arial"/>
          <w:b/>
          <w:bCs/>
          <w:sz w:val="24"/>
          <w:szCs w:val="24"/>
        </w:rPr>
      </w:pPr>
    </w:p>
    <w:p w14:paraId="11A4540C" w14:textId="77777777" w:rsidR="00C72CB9" w:rsidRPr="00C72CB9" w:rsidRDefault="00C72CB9" w:rsidP="00C72CB9">
      <w:pPr>
        <w:spacing w:after="0" w:line="360" w:lineRule="auto"/>
        <w:ind w:firstLine="284"/>
        <w:jc w:val="both"/>
        <w:rPr>
          <w:rFonts w:ascii="Arial" w:hAnsi="Arial" w:cs="Arial"/>
          <w:b/>
          <w:bCs/>
          <w:sz w:val="24"/>
          <w:szCs w:val="24"/>
        </w:rPr>
      </w:pPr>
    </w:p>
    <w:p w14:paraId="6839058E" w14:textId="77777777" w:rsidR="00C72CB9" w:rsidRPr="00C72CB9" w:rsidRDefault="00C72CB9" w:rsidP="00C72CB9">
      <w:pPr>
        <w:spacing w:after="0" w:line="360" w:lineRule="auto"/>
        <w:ind w:firstLine="284"/>
        <w:jc w:val="right"/>
        <w:rPr>
          <w:rFonts w:ascii="Arial" w:hAnsi="Arial" w:cs="Arial"/>
          <w:b/>
          <w:bCs/>
          <w:sz w:val="24"/>
          <w:szCs w:val="24"/>
        </w:rPr>
      </w:pPr>
      <w:r w:rsidRPr="00C72CB9">
        <w:rPr>
          <w:rFonts w:ascii="Arial" w:hAnsi="Arial" w:cs="Arial"/>
          <w:b/>
          <w:bCs/>
          <w:sz w:val="24"/>
          <w:szCs w:val="24"/>
        </w:rPr>
        <w:t>Author:   Elena Turcanu, Student nr 2127547</w:t>
      </w:r>
    </w:p>
    <w:p w14:paraId="6E971770" w14:textId="63388310" w:rsidR="00C72CB9" w:rsidRPr="00C72CB9" w:rsidRDefault="00C72CB9" w:rsidP="00C72CB9">
      <w:pPr>
        <w:spacing w:after="0" w:line="360" w:lineRule="auto"/>
        <w:ind w:firstLine="284"/>
        <w:jc w:val="right"/>
        <w:rPr>
          <w:rFonts w:ascii="Arial" w:hAnsi="Arial" w:cs="Arial"/>
          <w:b/>
          <w:bCs/>
          <w:sz w:val="24"/>
          <w:szCs w:val="24"/>
        </w:rPr>
      </w:pPr>
      <w:r w:rsidRPr="00C72CB9">
        <w:rPr>
          <w:rFonts w:ascii="Arial" w:hAnsi="Arial" w:cs="Arial"/>
          <w:b/>
          <w:bCs/>
          <w:sz w:val="24"/>
          <w:szCs w:val="24"/>
        </w:rPr>
        <w:t>Lecturer: Abdi Rehman</w:t>
      </w:r>
    </w:p>
    <w:p w14:paraId="0BD7073C" w14:textId="5F473ED8" w:rsidR="00276C88" w:rsidRPr="00C72CB9" w:rsidRDefault="00276C88" w:rsidP="00C72CB9">
      <w:pPr>
        <w:tabs>
          <w:tab w:val="left" w:pos="709"/>
        </w:tabs>
        <w:spacing w:line="360" w:lineRule="auto"/>
        <w:ind w:firstLine="284"/>
        <w:jc w:val="both"/>
        <w:rPr>
          <w:rFonts w:ascii="Arial" w:hAnsi="Arial" w:cs="Arial"/>
          <w:sz w:val="24"/>
          <w:szCs w:val="24"/>
        </w:rPr>
      </w:pPr>
    </w:p>
    <w:p w14:paraId="3C8AE693" w14:textId="77777777" w:rsidR="00C72CB9" w:rsidRPr="00C72CB9" w:rsidRDefault="00C72CB9" w:rsidP="00C72CB9">
      <w:pPr>
        <w:tabs>
          <w:tab w:val="left" w:pos="709"/>
        </w:tabs>
        <w:spacing w:line="360" w:lineRule="auto"/>
        <w:ind w:firstLine="284"/>
        <w:jc w:val="both"/>
        <w:rPr>
          <w:rFonts w:ascii="Arial" w:hAnsi="Arial" w:cs="Arial"/>
          <w:sz w:val="24"/>
          <w:szCs w:val="24"/>
        </w:rPr>
      </w:pPr>
    </w:p>
    <w:p w14:paraId="54E75978" w14:textId="77777777" w:rsidR="00C72CB9" w:rsidRPr="00C72CB9" w:rsidRDefault="00C72CB9" w:rsidP="00C72CB9">
      <w:pPr>
        <w:tabs>
          <w:tab w:val="left" w:pos="709"/>
        </w:tabs>
        <w:spacing w:line="360" w:lineRule="auto"/>
        <w:ind w:firstLine="284"/>
        <w:jc w:val="both"/>
        <w:rPr>
          <w:rFonts w:ascii="Arial" w:hAnsi="Arial" w:cs="Arial"/>
          <w:sz w:val="24"/>
          <w:szCs w:val="24"/>
        </w:rPr>
      </w:pPr>
    </w:p>
    <w:p w14:paraId="65F279E0" w14:textId="77777777" w:rsidR="00C72CB9" w:rsidRPr="00C72CB9" w:rsidRDefault="00C72CB9" w:rsidP="00C72CB9">
      <w:pPr>
        <w:tabs>
          <w:tab w:val="left" w:pos="709"/>
        </w:tabs>
        <w:spacing w:line="360" w:lineRule="auto"/>
        <w:ind w:firstLine="284"/>
        <w:jc w:val="both"/>
        <w:rPr>
          <w:rFonts w:ascii="Arial" w:hAnsi="Arial" w:cs="Arial"/>
          <w:sz w:val="24"/>
          <w:szCs w:val="24"/>
        </w:rPr>
      </w:pPr>
    </w:p>
    <w:p w14:paraId="35C061B0" w14:textId="77777777" w:rsidR="00C72CB9" w:rsidRPr="00276C88" w:rsidRDefault="00C72CB9" w:rsidP="00C72CB9">
      <w:pPr>
        <w:tabs>
          <w:tab w:val="left" w:pos="709"/>
        </w:tabs>
        <w:spacing w:line="360" w:lineRule="auto"/>
        <w:ind w:firstLine="284"/>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607571321"/>
        <w:docPartObj>
          <w:docPartGallery w:val="Table of Contents"/>
          <w:docPartUnique/>
        </w:docPartObj>
      </w:sdtPr>
      <w:sdtEndPr>
        <w:rPr>
          <w:b/>
          <w:bCs/>
          <w:noProof/>
        </w:rPr>
      </w:sdtEndPr>
      <w:sdtContent>
        <w:p w14:paraId="09A34F25" w14:textId="63143257" w:rsidR="00C72CB9" w:rsidRPr="00C72CB9" w:rsidRDefault="00C72CB9" w:rsidP="00C72CB9">
          <w:pPr>
            <w:pStyle w:val="TOCHeading"/>
            <w:spacing w:line="360" w:lineRule="auto"/>
            <w:rPr>
              <w:rFonts w:ascii="Arial" w:hAnsi="Arial" w:cs="Arial"/>
              <w:b/>
              <w:bCs/>
              <w:color w:val="auto"/>
            </w:rPr>
          </w:pPr>
          <w:r w:rsidRPr="00C72CB9">
            <w:rPr>
              <w:rFonts w:ascii="Arial" w:hAnsi="Arial" w:cs="Arial"/>
              <w:b/>
              <w:bCs/>
              <w:color w:val="auto"/>
            </w:rPr>
            <w:t>Table of Contents</w:t>
          </w:r>
        </w:p>
        <w:p w14:paraId="717EA067" w14:textId="5E610BC4" w:rsidR="00C72CB9" w:rsidRPr="00C72CB9" w:rsidRDefault="00C72CB9" w:rsidP="00C72CB9">
          <w:pPr>
            <w:pStyle w:val="TOC1"/>
            <w:tabs>
              <w:tab w:val="left" w:pos="480"/>
              <w:tab w:val="right" w:leader="dot" w:pos="10196"/>
            </w:tabs>
            <w:spacing w:line="360" w:lineRule="auto"/>
            <w:rPr>
              <w:rFonts w:ascii="Arial" w:hAnsi="Arial" w:cs="Arial"/>
              <w:noProof/>
              <w:sz w:val="24"/>
              <w:szCs w:val="24"/>
            </w:rPr>
          </w:pPr>
          <w:r w:rsidRPr="00C72CB9">
            <w:rPr>
              <w:rFonts w:ascii="Arial" w:hAnsi="Arial" w:cs="Arial"/>
              <w:sz w:val="24"/>
              <w:szCs w:val="24"/>
            </w:rPr>
            <w:fldChar w:fldCharType="begin"/>
          </w:r>
          <w:r w:rsidRPr="00C72CB9">
            <w:rPr>
              <w:rFonts w:ascii="Arial" w:hAnsi="Arial" w:cs="Arial"/>
              <w:sz w:val="24"/>
              <w:szCs w:val="24"/>
            </w:rPr>
            <w:instrText xml:space="preserve"> TOC \o "1-3" \h \z \u </w:instrText>
          </w:r>
          <w:r w:rsidRPr="00C72CB9">
            <w:rPr>
              <w:rFonts w:ascii="Arial" w:hAnsi="Arial" w:cs="Arial"/>
              <w:sz w:val="24"/>
              <w:szCs w:val="24"/>
            </w:rPr>
            <w:fldChar w:fldCharType="separate"/>
          </w:r>
          <w:hyperlink w:anchor="_Toc180323785" w:history="1">
            <w:r w:rsidRPr="00C72CB9">
              <w:rPr>
                <w:rStyle w:val="Hyperlink"/>
                <w:rFonts w:ascii="Arial" w:hAnsi="Arial" w:cs="Arial"/>
                <w:noProof/>
                <w:sz w:val="24"/>
                <w:szCs w:val="24"/>
              </w:rPr>
              <w:t>1.</w:t>
            </w:r>
            <w:r w:rsidRPr="00C72CB9">
              <w:rPr>
                <w:rFonts w:ascii="Arial" w:hAnsi="Arial" w:cs="Arial"/>
                <w:noProof/>
                <w:sz w:val="24"/>
                <w:szCs w:val="24"/>
              </w:rPr>
              <w:tab/>
            </w:r>
            <w:r w:rsidRPr="00C72CB9">
              <w:rPr>
                <w:rStyle w:val="Hyperlink"/>
                <w:rFonts w:ascii="Arial" w:hAnsi="Arial" w:cs="Arial"/>
                <w:noProof/>
                <w:sz w:val="24"/>
                <w:szCs w:val="24"/>
              </w:rPr>
              <w:t>Executive Summary</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_Toc180323785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3</w:t>
            </w:r>
            <w:r w:rsidRPr="00C72CB9">
              <w:rPr>
                <w:rFonts w:ascii="Arial" w:hAnsi="Arial" w:cs="Arial"/>
                <w:noProof/>
                <w:webHidden/>
                <w:sz w:val="24"/>
                <w:szCs w:val="24"/>
              </w:rPr>
              <w:fldChar w:fldCharType="end"/>
            </w:r>
          </w:hyperlink>
        </w:p>
        <w:p w14:paraId="21DC7865" w14:textId="35C0C66A" w:rsidR="00C72CB9" w:rsidRPr="00C72CB9" w:rsidRDefault="00C72CB9" w:rsidP="00C72CB9">
          <w:pPr>
            <w:pStyle w:val="TOC1"/>
            <w:tabs>
              <w:tab w:val="left" w:pos="480"/>
              <w:tab w:val="right" w:leader="dot" w:pos="10196"/>
            </w:tabs>
            <w:spacing w:line="360" w:lineRule="auto"/>
            <w:rPr>
              <w:rFonts w:ascii="Arial" w:hAnsi="Arial" w:cs="Arial"/>
              <w:noProof/>
              <w:sz w:val="24"/>
              <w:szCs w:val="24"/>
            </w:rPr>
          </w:pPr>
          <w:hyperlink w:anchor="_Toc180323786" w:history="1">
            <w:r w:rsidRPr="00C72CB9">
              <w:rPr>
                <w:rStyle w:val="Hyperlink"/>
                <w:rFonts w:ascii="Arial" w:hAnsi="Arial" w:cs="Arial"/>
                <w:noProof/>
                <w:sz w:val="24"/>
                <w:szCs w:val="24"/>
              </w:rPr>
              <w:t>2.</w:t>
            </w:r>
            <w:r w:rsidRPr="00C72CB9">
              <w:rPr>
                <w:rFonts w:ascii="Arial" w:hAnsi="Arial" w:cs="Arial"/>
                <w:noProof/>
                <w:sz w:val="24"/>
                <w:szCs w:val="24"/>
              </w:rPr>
              <w:tab/>
            </w:r>
            <w:r w:rsidRPr="00C72CB9">
              <w:rPr>
                <w:rStyle w:val="Hyperlink"/>
                <w:rFonts w:ascii="Arial" w:hAnsi="Arial" w:cs="Arial"/>
                <w:noProof/>
                <w:sz w:val="24"/>
                <w:szCs w:val="24"/>
              </w:rPr>
              <w:t>Introduction to the Strategy</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_Toc180323786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3</w:t>
            </w:r>
            <w:r w:rsidRPr="00C72CB9">
              <w:rPr>
                <w:rFonts w:ascii="Arial" w:hAnsi="Arial" w:cs="Arial"/>
                <w:noProof/>
                <w:webHidden/>
                <w:sz w:val="24"/>
                <w:szCs w:val="24"/>
              </w:rPr>
              <w:fldChar w:fldCharType="end"/>
            </w:r>
          </w:hyperlink>
        </w:p>
        <w:p w14:paraId="2203809A" w14:textId="7760DC7F" w:rsidR="00C72CB9" w:rsidRPr="00C72CB9" w:rsidRDefault="00C72CB9" w:rsidP="00C72CB9">
          <w:pPr>
            <w:pStyle w:val="TOC1"/>
            <w:tabs>
              <w:tab w:val="left" w:pos="480"/>
              <w:tab w:val="right" w:leader="dot" w:pos="10196"/>
            </w:tabs>
            <w:spacing w:line="360" w:lineRule="auto"/>
            <w:rPr>
              <w:rFonts w:ascii="Arial" w:hAnsi="Arial" w:cs="Arial"/>
              <w:noProof/>
              <w:sz w:val="24"/>
              <w:szCs w:val="24"/>
            </w:rPr>
          </w:pPr>
          <w:hyperlink w:anchor="_Toc180323787" w:history="1">
            <w:r w:rsidRPr="00C72CB9">
              <w:rPr>
                <w:rStyle w:val="Hyperlink"/>
                <w:rFonts w:ascii="Arial" w:hAnsi="Arial" w:cs="Arial"/>
                <w:noProof/>
                <w:sz w:val="24"/>
                <w:szCs w:val="24"/>
              </w:rPr>
              <w:t>3.</w:t>
            </w:r>
            <w:r w:rsidRPr="00C72CB9">
              <w:rPr>
                <w:rFonts w:ascii="Arial" w:hAnsi="Arial" w:cs="Arial"/>
                <w:noProof/>
                <w:sz w:val="24"/>
                <w:szCs w:val="24"/>
              </w:rPr>
              <w:tab/>
            </w:r>
            <w:r w:rsidRPr="00C72CB9">
              <w:rPr>
                <w:rStyle w:val="Hyperlink"/>
                <w:rFonts w:ascii="Arial" w:hAnsi="Arial" w:cs="Arial"/>
                <w:noProof/>
                <w:sz w:val="24"/>
                <w:szCs w:val="24"/>
              </w:rPr>
              <w:t>Overview / Background of the Firm</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_Toc180323787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4</w:t>
            </w:r>
            <w:r w:rsidRPr="00C72CB9">
              <w:rPr>
                <w:rFonts w:ascii="Arial" w:hAnsi="Arial" w:cs="Arial"/>
                <w:noProof/>
                <w:webHidden/>
                <w:sz w:val="24"/>
                <w:szCs w:val="24"/>
              </w:rPr>
              <w:fldChar w:fldCharType="end"/>
            </w:r>
          </w:hyperlink>
        </w:p>
        <w:p w14:paraId="7B69597A" w14:textId="14A84A7F" w:rsidR="00C72CB9" w:rsidRPr="00C72CB9" w:rsidRDefault="00C72CB9" w:rsidP="00C72CB9">
          <w:pPr>
            <w:pStyle w:val="TOC1"/>
            <w:tabs>
              <w:tab w:val="left" w:pos="480"/>
              <w:tab w:val="right" w:leader="dot" w:pos="10196"/>
            </w:tabs>
            <w:spacing w:line="360" w:lineRule="auto"/>
            <w:rPr>
              <w:rFonts w:ascii="Arial" w:hAnsi="Arial" w:cs="Arial"/>
              <w:noProof/>
              <w:sz w:val="24"/>
              <w:szCs w:val="24"/>
            </w:rPr>
          </w:pPr>
          <w:hyperlink w:anchor="_Toc180323788" w:history="1">
            <w:r w:rsidRPr="00C72CB9">
              <w:rPr>
                <w:rStyle w:val="Hyperlink"/>
                <w:rFonts w:ascii="Arial" w:hAnsi="Arial" w:cs="Arial"/>
                <w:noProof/>
                <w:sz w:val="24"/>
                <w:szCs w:val="24"/>
              </w:rPr>
              <w:t>4.</w:t>
            </w:r>
            <w:r w:rsidRPr="00C72CB9">
              <w:rPr>
                <w:rFonts w:ascii="Arial" w:hAnsi="Arial" w:cs="Arial"/>
                <w:noProof/>
                <w:sz w:val="24"/>
                <w:szCs w:val="24"/>
              </w:rPr>
              <w:tab/>
            </w:r>
            <w:r w:rsidRPr="00C72CB9">
              <w:rPr>
                <w:rStyle w:val="Hyperlink"/>
                <w:rFonts w:ascii="Arial" w:hAnsi="Arial" w:cs="Arial"/>
                <w:noProof/>
                <w:sz w:val="24"/>
                <w:szCs w:val="24"/>
              </w:rPr>
              <w:t>Strategic Intent</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_Toc180323788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4</w:t>
            </w:r>
            <w:r w:rsidRPr="00C72CB9">
              <w:rPr>
                <w:rFonts w:ascii="Arial" w:hAnsi="Arial" w:cs="Arial"/>
                <w:noProof/>
                <w:webHidden/>
                <w:sz w:val="24"/>
                <w:szCs w:val="24"/>
              </w:rPr>
              <w:fldChar w:fldCharType="end"/>
            </w:r>
          </w:hyperlink>
        </w:p>
        <w:p w14:paraId="139A8CBE" w14:textId="58E6798F" w:rsidR="00C72CB9" w:rsidRPr="00C72CB9" w:rsidRDefault="00C72CB9" w:rsidP="00C72CB9">
          <w:pPr>
            <w:pStyle w:val="TOC1"/>
            <w:tabs>
              <w:tab w:val="left" w:pos="480"/>
              <w:tab w:val="right" w:leader="dot" w:pos="10196"/>
            </w:tabs>
            <w:spacing w:line="360" w:lineRule="auto"/>
            <w:rPr>
              <w:rFonts w:ascii="Arial" w:hAnsi="Arial" w:cs="Arial"/>
              <w:noProof/>
              <w:sz w:val="24"/>
              <w:szCs w:val="24"/>
            </w:rPr>
          </w:pPr>
          <w:hyperlink w:anchor="_Toc180323789" w:history="1">
            <w:r w:rsidRPr="00C72CB9">
              <w:rPr>
                <w:rStyle w:val="Hyperlink"/>
                <w:rFonts w:ascii="Arial" w:hAnsi="Arial" w:cs="Arial"/>
                <w:noProof/>
                <w:sz w:val="24"/>
                <w:szCs w:val="24"/>
              </w:rPr>
              <w:t>5.</w:t>
            </w:r>
            <w:r w:rsidRPr="00C72CB9">
              <w:rPr>
                <w:rFonts w:ascii="Arial" w:hAnsi="Arial" w:cs="Arial"/>
                <w:noProof/>
                <w:sz w:val="24"/>
                <w:szCs w:val="24"/>
              </w:rPr>
              <w:tab/>
            </w:r>
            <w:r w:rsidRPr="00C72CB9">
              <w:rPr>
                <w:rStyle w:val="Hyperlink"/>
                <w:rFonts w:ascii="Arial" w:hAnsi="Arial" w:cs="Arial"/>
                <w:noProof/>
                <w:sz w:val="24"/>
                <w:szCs w:val="24"/>
              </w:rPr>
              <w:t>The Company’s Current Performance</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_Toc180323789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5</w:t>
            </w:r>
            <w:r w:rsidRPr="00C72CB9">
              <w:rPr>
                <w:rFonts w:ascii="Arial" w:hAnsi="Arial" w:cs="Arial"/>
                <w:noProof/>
                <w:webHidden/>
                <w:sz w:val="24"/>
                <w:szCs w:val="24"/>
              </w:rPr>
              <w:fldChar w:fldCharType="end"/>
            </w:r>
          </w:hyperlink>
        </w:p>
        <w:p w14:paraId="2B160C66" w14:textId="49B7B471" w:rsidR="00C72CB9" w:rsidRPr="00C72CB9" w:rsidRDefault="00C72CB9" w:rsidP="00C72CB9">
          <w:pPr>
            <w:pStyle w:val="TOC1"/>
            <w:tabs>
              <w:tab w:val="right" w:leader="dot" w:pos="10196"/>
            </w:tabs>
            <w:spacing w:line="360" w:lineRule="auto"/>
            <w:rPr>
              <w:rFonts w:ascii="Arial" w:hAnsi="Arial" w:cs="Arial"/>
              <w:noProof/>
              <w:sz w:val="24"/>
              <w:szCs w:val="24"/>
            </w:rPr>
          </w:pPr>
          <w:hyperlink w:anchor="_Toc180323790" w:history="1">
            <w:r w:rsidRPr="00C72CB9">
              <w:rPr>
                <w:rStyle w:val="Hyperlink"/>
                <w:rFonts w:ascii="Arial" w:hAnsi="Arial" w:cs="Arial"/>
                <w:noProof/>
                <w:sz w:val="24"/>
                <w:szCs w:val="24"/>
              </w:rPr>
              <w:t>6. Strategy Analysis: The Selected Company's Competitive Environment</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_Toc180323790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6</w:t>
            </w:r>
            <w:r w:rsidRPr="00C72CB9">
              <w:rPr>
                <w:rFonts w:ascii="Arial" w:hAnsi="Arial" w:cs="Arial"/>
                <w:noProof/>
                <w:webHidden/>
                <w:sz w:val="24"/>
                <w:szCs w:val="24"/>
              </w:rPr>
              <w:fldChar w:fldCharType="end"/>
            </w:r>
          </w:hyperlink>
        </w:p>
        <w:p w14:paraId="07E66173" w14:textId="2CF3A276" w:rsidR="00C72CB9" w:rsidRPr="00C72CB9" w:rsidRDefault="00C72CB9" w:rsidP="00C72CB9">
          <w:pPr>
            <w:pStyle w:val="TOC2"/>
            <w:tabs>
              <w:tab w:val="right" w:leader="dot" w:pos="10196"/>
            </w:tabs>
            <w:spacing w:line="360" w:lineRule="auto"/>
            <w:rPr>
              <w:rFonts w:ascii="Arial" w:hAnsi="Arial" w:cs="Arial"/>
              <w:noProof/>
              <w:sz w:val="24"/>
              <w:szCs w:val="24"/>
            </w:rPr>
          </w:pPr>
          <w:hyperlink w:anchor="_Toc180323791" w:history="1">
            <w:r w:rsidRPr="00C72CB9">
              <w:rPr>
                <w:rStyle w:val="Hyperlink"/>
                <w:rFonts w:ascii="Arial" w:hAnsi="Arial" w:cs="Arial"/>
                <w:noProof/>
                <w:sz w:val="24"/>
                <w:szCs w:val="24"/>
              </w:rPr>
              <w:t>6A. External Environmental Audit: PESTEL and Porter’s Five Forces</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_Toc180323791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6</w:t>
            </w:r>
            <w:r w:rsidRPr="00C72CB9">
              <w:rPr>
                <w:rFonts w:ascii="Arial" w:hAnsi="Arial" w:cs="Arial"/>
                <w:noProof/>
                <w:webHidden/>
                <w:sz w:val="24"/>
                <w:szCs w:val="24"/>
              </w:rPr>
              <w:fldChar w:fldCharType="end"/>
            </w:r>
          </w:hyperlink>
        </w:p>
        <w:p w14:paraId="2C353BB1" w14:textId="01121C72" w:rsidR="00C72CB9" w:rsidRPr="00C72CB9" w:rsidRDefault="00C72CB9" w:rsidP="00C72CB9">
          <w:pPr>
            <w:pStyle w:val="TOC2"/>
            <w:tabs>
              <w:tab w:val="right" w:leader="dot" w:pos="10196"/>
            </w:tabs>
            <w:spacing w:line="360" w:lineRule="auto"/>
            <w:rPr>
              <w:rFonts w:ascii="Arial" w:hAnsi="Arial" w:cs="Arial"/>
              <w:noProof/>
              <w:sz w:val="24"/>
              <w:szCs w:val="24"/>
            </w:rPr>
          </w:pPr>
          <w:hyperlink w:anchor="_Toc180323792" w:history="1">
            <w:r w:rsidRPr="00C72CB9">
              <w:rPr>
                <w:rStyle w:val="Hyperlink"/>
                <w:rFonts w:ascii="Arial" w:hAnsi="Arial" w:cs="Arial"/>
                <w:noProof/>
                <w:sz w:val="24"/>
                <w:szCs w:val="24"/>
              </w:rPr>
              <w:t>6B. Internal Environmental Audit: SWOT, VRIO, and Value Chain Analysis</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_Toc180323792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7</w:t>
            </w:r>
            <w:r w:rsidRPr="00C72CB9">
              <w:rPr>
                <w:rFonts w:ascii="Arial" w:hAnsi="Arial" w:cs="Arial"/>
                <w:noProof/>
                <w:webHidden/>
                <w:sz w:val="24"/>
                <w:szCs w:val="24"/>
              </w:rPr>
              <w:fldChar w:fldCharType="end"/>
            </w:r>
          </w:hyperlink>
        </w:p>
        <w:p w14:paraId="113FB0A6" w14:textId="78DCD449" w:rsidR="00C72CB9" w:rsidRPr="00C72CB9" w:rsidRDefault="00C72CB9" w:rsidP="00C72CB9">
          <w:pPr>
            <w:pStyle w:val="TOC1"/>
            <w:tabs>
              <w:tab w:val="right" w:leader="dot" w:pos="10196"/>
            </w:tabs>
            <w:spacing w:line="360" w:lineRule="auto"/>
            <w:rPr>
              <w:rFonts w:ascii="Arial" w:hAnsi="Arial" w:cs="Arial"/>
              <w:noProof/>
              <w:sz w:val="24"/>
              <w:szCs w:val="24"/>
            </w:rPr>
          </w:pPr>
          <w:hyperlink w:anchor="_Toc180323793" w:history="1">
            <w:r w:rsidRPr="00C72CB9">
              <w:rPr>
                <w:rStyle w:val="Hyperlink"/>
                <w:rFonts w:ascii="Arial" w:hAnsi="Arial" w:cs="Arial"/>
                <w:noProof/>
                <w:sz w:val="24"/>
                <w:szCs w:val="24"/>
              </w:rPr>
              <w:t>7. Strategy Formulation: Strategic Choices and Proposed New Strategy</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_Toc180323793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9</w:t>
            </w:r>
            <w:r w:rsidRPr="00C72CB9">
              <w:rPr>
                <w:rFonts w:ascii="Arial" w:hAnsi="Arial" w:cs="Arial"/>
                <w:noProof/>
                <w:webHidden/>
                <w:sz w:val="24"/>
                <w:szCs w:val="24"/>
              </w:rPr>
              <w:fldChar w:fldCharType="end"/>
            </w:r>
          </w:hyperlink>
        </w:p>
        <w:p w14:paraId="53687E62" w14:textId="18CA7138" w:rsidR="00C72CB9" w:rsidRPr="00C72CB9" w:rsidRDefault="00C72CB9" w:rsidP="00C72CB9">
          <w:pPr>
            <w:pStyle w:val="TOC1"/>
            <w:tabs>
              <w:tab w:val="right" w:leader="dot" w:pos="10196"/>
            </w:tabs>
            <w:spacing w:line="360" w:lineRule="auto"/>
            <w:rPr>
              <w:rFonts w:ascii="Arial" w:hAnsi="Arial" w:cs="Arial"/>
              <w:noProof/>
              <w:sz w:val="24"/>
              <w:szCs w:val="24"/>
            </w:rPr>
          </w:pPr>
          <w:hyperlink w:anchor="_Toc180323794" w:history="1">
            <w:r w:rsidRPr="00C72CB9">
              <w:rPr>
                <w:rStyle w:val="Hyperlink"/>
                <w:rFonts w:ascii="Arial" w:hAnsi="Arial" w:cs="Arial"/>
                <w:noProof/>
                <w:sz w:val="24"/>
                <w:szCs w:val="24"/>
              </w:rPr>
              <w:t>8. Conclusion and Recommendation</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_Toc180323794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10</w:t>
            </w:r>
            <w:r w:rsidRPr="00C72CB9">
              <w:rPr>
                <w:rFonts w:ascii="Arial" w:hAnsi="Arial" w:cs="Arial"/>
                <w:noProof/>
                <w:webHidden/>
                <w:sz w:val="24"/>
                <w:szCs w:val="24"/>
              </w:rPr>
              <w:fldChar w:fldCharType="end"/>
            </w:r>
          </w:hyperlink>
        </w:p>
        <w:p w14:paraId="6AC56AA3" w14:textId="503A6B77" w:rsidR="00C72CB9" w:rsidRPr="00C72CB9" w:rsidRDefault="00C72CB9" w:rsidP="00C72CB9">
          <w:pPr>
            <w:pStyle w:val="TOC1"/>
            <w:tabs>
              <w:tab w:val="right" w:leader="dot" w:pos="10196"/>
            </w:tabs>
            <w:spacing w:line="360" w:lineRule="auto"/>
            <w:rPr>
              <w:rFonts w:ascii="Arial" w:hAnsi="Arial" w:cs="Arial"/>
              <w:noProof/>
              <w:sz w:val="24"/>
              <w:szCs w:val="24"/>
            </w:rPr>
          </w:pPr>
          <w:hyperlink w:anchor="_Toc180323795" w:history="1">
            <w:r w:rsidRPr="00C72CB9">
              <w:rPr>
                <w:rStyle w:val="Hyperlink"/>
                <w:rFonts w:ascii="Arial" w:hAnsi="Arial" w:cs="Arial"/>
                <w:noProof/>
                <w:sz w:val="24"/>
                <w:szCs w:val="24"/>
              </w:rPr>
              <w:t>References</w:t>
            </w:r>
            <w:r w:rsidRPr="00C72CB9">
              <w:rPr>
                <w:rFonts w:ascii="Arial" w:hAnsi="Arial" w:cs="Arial"/>
                <w:noProof/>
                <w:webHidden/>
                <w:sz w:val="24"/>
                <w:szCs w:val="24"/>
              </w:rPr>
              <w:tab/>
            </w:r>
            <w:r w:rsidRPr="00C72CB9">
              <w:rPr>
                <w:rFonts w:ascii="Arial" w:hAnsi="Arial" w:cs="Arial"/>
                <w:noProof/>
                <w:webHidden/>
                <w:sz w:val="24"/>
                <w:szCs w:val="24"/>
              </w:rPr>
              <w:fldChar w:fldCharType="begin"/>
            </w:r>
            <w:r w:rsidRPr="00C72CB9">
              <w:rPr>
                <w:rFonts w:ascii="Arial" w:hAnsi="Arial" w:cs="Arial"/>
                <w:noProof/>
                <w:webHidden/>
                <w:sz w:val="24"/>
                <w:szCs w:val="24"/>
              </w:rPr>
              <w:instrText xml:space="preserve"> PAGEREF _Toc180323795 \h </w:instrText>
            </w:r>
            <w:r w:rsidRPr="00C72CB9">
              <w:rPr>
                <w:rFonts w:ascii="Arial" w:hAnsi="Arial" w:cs="Arial"/>
                <w:noProof/>
                <w:webHidden/>
                <w:sz w:val="24"/>
                <w:szCs w:val="24"/>
              </w:rPr>
            </w:r>
            <w:r w:rsidRPr="00C72CB9">
              <w:rPr>
                <w:rFonts w:ascii="Arial" w:hAnsi="Arial" w:cs="Arial"/>
                <w:noProof/>
                <w:webHidden/>
                <w:sz w:val="24"/>
                <w:szCs w:val="24"/>
              </w:rPr>
              <w:fldChar w:fldCharType="separate"/>
            </w:r>
            <w:r w:rsidR="00C05955">
              <w:rPr>
                <w:rFonts w:ascii="Arial" w:hAnsi="Arial" w:cs="Arial"/>
                <w:noProof/>
                <w:webHidden/>
                <w:sz w:val="24"/>
                <w:szCs w:val="24"/>
              </w:rPr>
              <w:t>11</w:t>
            </w:r>
            <w:r w:rsidRPr="00C72CB9">
              <w:rPr>
                <w:rFonts w:ascii="Arial" w:hAnsi="Arial" w:cs="Arial"/>
                <w:noProof/>
                <w:webHidden/>
                <w:sz w:val="24"/>
                <w:szCs w:val="24"/>
              </w:rPr>
              <w:fldChar w:fldCharType="end"/>
            </w:r>
          </w:hyperlink>
        </w:p>
        <w:p w14:paraId="591FFE21" w14:textId="04E512F0" w:rsidR="00C72CB9" w:rsidRDefault="00C72CB9" w:rsidP="00C72CB9">
          <w:pPr>
            <w:spacing w:line="360" w:lineRule="auto"/>
          </w:pPr>
          <w:r w:rsidRPr="00C72CB9">
            <w:rPr>
              <w:rFonts w:ascii="Arial" w:hAnsi="Arial" w:cs="Arial"/>
              <w:b/>
              <w:bCs/>
              <w:noProof/>
              <w:sz w:val="24"/>
              <w:szCs w:val="24"/>
            </w:rPr>
            <w:fldChar w:fldCharType="end"/>
          </w:r>
        </w:p>
      </w:sdtContent>
    </w:sdt>
    <w:p w14:paraId="6202EA92" w14:textId="77777777" w:rsidR="00C72CB9" w:rsidRDefault="00C72CB9" w:rsidP="00C72CB9">
      <w:pPr>
        <w:tabs>
          <w:tab w:val="left" w:pos="709"/>
        </w:tabs>
        <w:spacing w:line="360" w:lineRule="auto"/>
        <w:ind w:firstLine="284"/>
        <w:jc w:val="both"/>
        <w:rPr>
          <w:rFonts w:ascii="Arial" w:hAnsi="Arial" w:cs="Arial"/>
          <w:b/>
          <w:bCs/>
          <w:sz w:val="24"/>
          <w:szCs w:val="24"/>
        </w:rPr>
      </w:pPr>
    </w:p>
    <w:p w14:paraId="58F3572A" w14:textId="77777777" w:rsidR="00C72CB9" w:rsidRDefault="00C72CB9" w:rsidP="00C72CB9">
      <w:pPr>
        <w:tabs>
          <w:tab w:val="left" w:pos="709"/>
        </w:tabs>
        <w:spacing w:line="360" w:lineRule="auto"/>
        <w:ind w:firstLine="284"/>
        <w:jc w:val="both"/>
        <w:rPr>
          <w:rFonts w:ascii="Arial" w:hAnsi="Arial" w:cs="Arial"/>
          <w:b/>
          <w:bCs/>
          <w:sz w:val="24"/>
          <w:szCs w:val="24"/>
        </w:rPr>
      </w:pPr>
    </w:p>
    <w:p w14:paraId="30267836" w14:textId="77777777" w:rsidR="00C72CB9" w:rsidRDefault="00C72CB9" w:rsidP="00C72CB9">
      <w:pPr>
        <w:tabs>
          <w:tab w:val="left" w:pos="709"/>
        </w:tabs>
        <w:spacing w:line="360" w:lineRule="auto"/>
        <w:ind w:firstLine="284"/>
        <w:jc w:val="both"/>
        <w:rPr>
          <w:rFonts w:ascii="Arial" w:hAnsi="Arial" w:cs="Arial"/>
          <w:b/>
          <w:bCs/>
          <w:sz w:val="24"/>
          <w:szCs w:val="24"/>
        </w:rPr>
      </w:pPr>
    </w:p>
    <w:p w14:paraId="21435C50" w14:textId="77777777" w:rsidR="00C72CB9" w:rsidRDefault="00C72CB9" w:rsidP="00C72CB9">
      <w:pPr>
        <w:tabs>
          <w:tab w:val="left" w:pos="709"/>
        </w:tabs>
        <w:spacing w:line="360" w:lineRule="auto"/>
        <w:ind w:firstLine="284"/>
        <w:jc w:val="both"/>
        <w:rPr>
          <w:rFonts w:ascii="Arial" w:hAnsi="Arial" w:cs="Arial"/>
          <w:b/>
          <w:bCs/>
          <w:sz w:val="24"/>
          <w:szCs w:val="24"/>
        </w:rPr>
      </w:pPr>
    </w:p>
    <w:p w14:paraId="6FD9328D" w14:textId="77777777" w:rsidR="00C72CB9" w:rsidRDefault="00C72CB9" w:rsidP="00C72CB9">
      <w:pPr>
        <w:tabs>
          <w:tab w:val="left" w:pos="709"/>
        </w:tabs>
        <w:spacing w:line="360" w:lineRule="auto"/>
        <w:ind w:firstLine="284"/>
        <w:jc w:val="both"/>
        <w:rPr>
          <w:rFonts w:ascii="Arial" w:hAnsi="Arial" w:cs="Arial"/>
          <w:b/>
          <w:bCs/>
          <w:sz w:val="24"/>
          <w:szCs w:val="24"/>
        </w:rPr>
      </w:pPr>
    </w:p>
    <w:p w14:paraId="776C6261" w14:textId="77777777" w:rsidR="00C72CB9" w:rsidRDefault="00C72CB9" w:rsidP="00C72CB9">
      <w:pPr>
        <w:tabs>
          <w:tab w:val="left" w:pos="709"/>
        </w:tabs>
        <w:spacing w:line="360" w:lineRule="auto"/>
        <w:ind w:firstLine="284"/>
        <w:jc w:val="both"/>
        <w:rPr>
          <w:rFonts w:ascii="Arial" w:hAnsi="Arial" w:cs="Arial"/>
          <w:b/>
          <w:bCs/>
          <w:sz w:val="24"/>
          <w:szCs w:val="24"/>
        </w:rPr>
      </w:pPr>
    </w:p>
    <w:p w14:paraId="79046332" w14:textId="77777777" w:rsidR="00C72CB9" w:rsidRDefault="00C72CB9" w:rsidP="00C72CB9">
      <w:pPr>
        <w:tabs>
          <w:tab w:val="left" w:pos="709"/>
        </w:tabs>
        <w:spacing w:line="360" w:lineRule="auto"/>
        <w:ind w:firstLine="284"/>
        <w:jc w:val="both"/>
        <w:rPr>
          <w:rFonts w:ascii="Arial" w:hAnsi="Arial" w:cs="Arial"/>
          <w:b/>
          <w:bCs/>
          <w:sz w:val="24"/>
          <w:szCs w:val="24"/>
        </w:rPr>
      </w:pPr>
    </w:p>
    <w:p w14:paraId="168EE0EF" w14:textId="77777777" w:rsidR="00C72CB9" w:rsidRDefault="00C72CB9" w:rsidP="00C72CB9">
      <w:pPr>
        <w:tabs>
          <w:tab w:val="left" w:pos="709"/>
        </w:tabs>
        <w:spacing w:line="360" w:lineRule="auto"/>
        <w:ind w:firstLine="284"/>
        <w:jc w:val="both"/>
        <w:rPr>
          <w:rFonts w:ascii="Arial" w:hAnsi="Arial" w:cs="Arial"/>
          <w:b/>
          <w:bCs/>
          <w:sz w:val="24"/>
          <w:szCs w:val="24"/>
        </w:rPr>
      </w:pPr>
    </w:p>
    <w:p w14:paraId="2C104CD8" w14:textId="77777777" w:rsidR="00C72CB9" w:rsidRDefault="00C72CB9" w:rsidP="00C72CB9">
      <w:pPr>
        <w:tabs>
          <w:tab w:val="left" w:pos="709"/>
        </w:tabs>
        <w:spacing w:line="360" w:lineRule="auto"/>
        <w:ind w:firstLine="284"/>
        <w:jc w:val="both"/>
        <w:rPr>
          <w:rFonts w:ascii="Arial" w:hAnsi="Arial" w:cs="Arial"/>
          <w:b/>
          <w:bCs/>
          <w:sz w:val="24"/>
          <w:szCs w:val="24"/>
        </w:rPr>
      </w:pPr>
    </w:p>
    <w:p w14:paraId="2D81AD02" w14:textId="77777777" w:rsidR="00C72CB9" w:rsidRDefault="00C72CB9" w:rsidP="00C72CB9">
      <w:pPr>
        <w:tabs>
          <w:tab w:val="left" w:pos="709"/>
        </w:tabs>
        <w:spacing w:line="360" w:lineRule="auto"/>
        <w:ind w:firstLine="284"/>
        <w:jc w:val="both"/>
        <w:rPr>
          <w:rFonts w:ascii="Arial" w:hAnsi="Arial" w:cs="Arial"/>
          <w:b/>
          <w:bCs/>
          <w:sz w:val="24"/>
          <w:szCs w:val="24"/>
        </w:rPr>
      </w:pPr>
    </w:p>
    <w:p w14:paraId="6C745E9A" w14:textId="77777777" w:rsidR="00C72CB9" w:rsidRDefault="00C72CB9" w:rsidP="00C72CB9">
      <w:pPr>
        <w:tabs>
          <w:tab w:val="left" w:pos="709"/>
        </w:tabs>
        <w:spacing w:line="360" w:lineRule="auto"/>
        <w:ind w:firstLine="284"/>
        <w:jc w:val="both"/>
        <w:rPr>
          <w:rFonts w:ascii="Arial" w:hAnsi="Arial" w:cs="Arial"/>
          <w:b/>
          <w:bCs/>
          <w:sz w:val="24"/>
          <w:szCs w:val="24"/>
        </w:rPr>
      </w:pPr>
    </w:p>
    <w:p w14:paraId="533D52C0" w14:textId="0C79F976" w:rsidR="00276C88" w:rsidRPr="00276C88" w:rsidRDefault="00276C88" w:rsidP="00C72CB9">
      <w:pPr>
        <w:pStyle w:val="Heading1"/>
        <w:numPr>
          <w:ilvl w:val="0"/>
          <w:numId w:val="27"/>
        </w:numPr>
      </w:pPr>
      <w:bookmarkStart w:id="0" w:name="_Toc180323785"/>
      <w:r w:rsidRPr="00276C88">
        <w:lastRenderedPageBreak/>
        <w:t>Executive Summary</w:t>
      </w:r>
      <w:bookmarkEnd w:id="0"/>
    </w:p>
    <w:p w14:paraId="3DD43993" w14:textId="77777777" w:rsidR="00C72CB9" w:rsidRPr="00C72CB9" w:rsidRDefault="00C72CB9" w:rsidP="00C72CB9">
      <w:pPr>
        <w:tabs>
          <w:tab w:val="left" w:pos="709"/>
        </w:tabs>
        <w:spacing w:line="360" w:lineRule="auto"/>
        <w:ind w:firstLine="284"/>
        <w:jc w:val="both"/>
        <w:rPr>
          <w:rFonts w:ascii="Arial" w:hAnsi="Arial" w:cs="Arial"/>
          <w:sz w:val="24"/>
          <w:szCs w:val="24"/>
        </w:rPr>
      </w:pPr>
      <w:r w:rsidRPr="00C72CB9">
        <w:rPr>
          <w:rFonts w:ascii="Arial" w:hAnsi="Arial" w:cs="Arial"/>
          <w:sz w:val="24"/>
          <w:szCs w:val="24"/>
        </w:rPr>
        <w:t>This report presents a comprehensive strategy formulation plan for Lidl GB, a leading discount supermarket operating in the highly competitive UK grocery retail sector. With a growing market share of 8% and continued sales growth, Lidl faces both opportunities and challenges as it seeks to maintain its cost leadership position while adapting to changing market conditions.</w:t>
      </w:r>
    </w:p>
    <w:p w14:paraId="11B19F29" w14:textId="77777777" w:rsidR="00C72CB9" w:rsidRPr="00C72CB9" w:rsidRDefault="00C72CB9" w:rsidP="00C72CB9">
      <w:pPr>
        <w:tabs>
          <w:tab w:val="left" w:pos="709"/>
        </w:tabs>
        <w:spacing w:line="360" w:lineRule="auto"/>
        <w:ind w:firstLine="284"/>
        <w:jc w:val="both"/>
        <w:rPr>
          <w:rFonts w:ascii="Arial" w:hAnsi="Arial" w:cs="Arial"/>
          <w:sz w:val="24"/>
          <w:szCs w:val="24"/>
        </w:rPr>
      </w:pPr>
      <w:r w:rsidRPr="00C72CB9">
        <w:rPr>
          <w:rFonts w:ascii="Arial" w:hAnsi="Arial" w:cs="Arial"/>
          <w:sz w:val="24"/>
          <w:szCs w:val="24"/>
        </w:rPr>
        <w:t>The report begins by exploring the meaning and benefits of strategic management, followed by an overview of Lidl’s vision, mission, and current performance. An external environmental audit, using PESTEL and Porter’s Five Forces, identifies key drivers such as economic pressures, digital transformation, and sustainability trends shaping the retail landscape. The internal audit, incorporating SWOT, VRIO, BCG, and Value Chain analysis, highlights Lidl’s strengths in cost efficiency but also underscores weaknesses in its digital presence.</w:t>
      </w:r>
    </w:p>
    <w:p w14:paraId="6633AACE" w14:textId="77777777" w:rsidR="00C72CB9" w:rsidRPr="00C72CB9" w:rsidRDefault="00C72CB9" w:rsidP="00C72CB9">
      <w:pPr>
        <w:tabs>
          <w:tab w:val="left" w:pos="709"/>
        </w:tabs>
        <w:spacing w:line="360" w:lineRule="auto"/>
        <w:ind w:firstLine="284"/>
        <w:jc w:val="both"/>
        <w:rPr>
          <w:rFonts w:ascii="Arial" w:hAnsi="Arial" w:cs="Arial"/>
          <w:sz w:val="24"/>
          <w:szCs w:val="24"/>
        </w:rPr>
      </w:pPr>
      <w:r w:rsidRPr="00C72CB9">
        <w:rPr>
          <w:rFonts w:ascii="Arial" w:hAnsi="Arial" w:cs="Arial"/>
          <w:sz w:val="24"/>
          <w:szCs w:val="24"/>
        </w:rPr>
        <w:t>The proposed strategy advocates for a hybrid approach that maintains cost leadership while embracing digital innovation and sustainability. Recommendations include investing in e-commerce platforms, expanding sustainable product lines, and enhancing the customer experience. These strategic initiatives are designed to enable Lidl to remain competitive, increase market share, and meet evolving consumer demands.</w:t>
      </w:r>
    </w:p>
    <w:p w14:paraId="672C828A" w14:textId="77777777" w:rsidR="00C72CB9" w:rsidRPr="00C72CB9" w:rsidRDefault="00C72CB9" w:rsidP="00C72CB9">
      <w:pPr>
        <w:tabs>
          <w:tab w:val="left" w:pos="709"/>
        </w:tabs>
        <w:spacing w:line="360" w:lineRule="auto"/>
        <w:ind w:firstLine="284"/>
        <w:jc w:val="both"/>
        <w:rPr>
          <w:rFonts w:ascii="Arial" w:hAnsi="Arial" w:cs="Arial"/>
          <w:sz w:val="24"/>
          <w:szCs w:val="24"/>
        </w:rPr>
      </w:pPr>
      <w:r w:rsidRPr="00C72CB9">
        <w:rPr>
          <w:rFonts w:ascii="Arial" w:hAnsi="Arial" w:cs="Arial"/>
          <w:sz w:val="24"/>
          <w:szCs w:val="24"/>
        </w:rPr>
        <w:t>The conclusion emphasizes the importance of Lidl's adaptability in a dynamic market, where digital transformation and sustainability will be critical to its future success.</w:t>
      </w:r>
    </w:p>
    <w:p w14:paraId="7C147D78" w14:textId="39BE9712" w:rsidR="00276C88" w:rsidRPr="00C72CB9" w:rsidRDefault="00276C88" w:rsidP="00C72CB9">
      <w:pPr>
        <w:pStyle w:val="Heading1"/>
        <w:numPr>
          <w:ilvl w:val="0"/>
          <w:numId w:val="27"/>
        </w:numPr>
      </w:pPr>
      <w:bookmarkStart w:id="1" w:name="_Toc180323786"/>
      <w:r w:rsidRPr="00C72CB9">
        <w:t>Introduction to the Strategy</w:t>
      </w:r>
      <w:bookmarkEnd w:id="1"/>
    </w:p>
    <w:p w14:paraId="391E5596"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Strategic management is a crucial process for businesses to maintain competitive advantages in rapidly evolving markets. According to Chandler (1963), strategy entails determining the long-term goals of an organization and ensuring the effective allocation of resources to achieve these objectives. Similarly, Porter (1996) emphasized the need for companies to develop unique activities to gain competitive edges. In a competitive industry such as grocery retail, strategic planning enables organizations like Lidl to align their business activities with market demands, technological changes, and sustainability expectations.</w:t>
      </w:r>
    </w:p>
    <w:p w14:paraId="5BC63208"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 xml:space="preserve">This report aims to formulate a strategy for Lidl GB, focusing on adapting to shifts in consumer preferences, leveraging digital platforms, and enhancing sustainability practices. The strategic analysis will include both external and internal environmental audits using frameworks such as PESTEL, Porter’s Five Forces, SWOT, VRIO, and BCG. Based on the analysis, recommendations will be made to further strengthen Lidl’s market position. The report is structured as follows: the </w:t>
      </w:r>
      <w:r w:rsidRPr="00276C88">
        <w:rPr>
          <w:rFonts w:ascii="Arial" w:hAnsi="Arial" w:cs="Arial"/>
          <w:sz w:val="24"/>
          <w:szCs w:val="24"/>
        </w:rPr>
        <w:lastRenderedPageBreak/>
        <w:t>first section provides a background of Lidl GB, followed by its strategic intent (vision, mission, and objectives). The subsequent sections analyze Lidl’s current performance, external and internal environments, strategy formulation, and recommendations for the company’s future trajectory.</w:t>
      </w:r>
    </w:p>
    <w:p w14:paraId="3924FA6C" w14:textId="2248CED1"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The importance of strategic management lies in its ability to help organizations navigate complexities and anticipate changes in the business environment. As Fogel (2016) pointed out, integrating sustainability into strategic management is becoming more relevant, as organizations seek to balance profitability with social and environmental responsibilities.</w:t>
      </w:r>
    </w:p>
    <w:p w14:paraId="5AA7E556" w14:textId="045EB427" w:rsidR="00276C88" w:rsidRPr="00C72CB9" w:rsidRDefault="00276C88" w:rsidP="00C72CB9">
      <w:pPr>
        <w:pStyle w:val="Heading1"/>
        <w:numPr>
          <w:ilvl w:val="0"/>
          <w:numId w:val="27"/>
        </w:numPr>
      </w:pPr>
      <w:bookmarkStart w:id="2" w:name="_Toc180323787"/>
      <w:r w:rsidRPr="00C72CB9">
        <w:t>Overview / Background of the Firm</w:t>
      </w:r>
      <w:bookmarkEnd w:id="2"/>
    </w:p>
    <w:p w14:paraId="761607DB"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Lidl is a global discount supermarket chain that operates over 900 stores in the United Kingdom, making it a significant player in the British grocery retail sector. As part of the German Schwarz Group, Lidl was founded in 1973 and entered the UK market in 1994. Lidl specializes in offering a limited selection of products at lower prices, adopting a cost-leadership strategy. It operates in the highly competitive grocery sector, which includes large supermarket chains such as Tesco, Sainsbury’s, and Aldi.</w:t>
      </w:r>
    </w:p>
    <w:p w14:paraId="463840D0"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 xml:space="preserve">Lidl's business model focuses on providing a narrow product range of both food and non-food items. Most products sold are </w:t>
      </w:r>
      <w:proofErr w:type="gramStart"/>
      <w:r w:rsidRPr="00276C88">
        <w:rPr>
          <w:rFonts w:ascii="Arial" w:hAnsi="Arial" w:cs="Arial"/>
          <w:sz w:val="24"/>
          <w:szCs w:val="24"/>
        </w:rPr>
        <w:t>private-label</w:t>
      </w:r>
      <w:proofErr w:type="gramEnd"/>
      <w:r w:rsidRPr="00276C88">
        <w:rPr>
          <w:rFonts w:ascii="Arial" w:hAnsi="Arial" w:cs="Arial"/>
          <w:sz w:val="24"/>
          <w:szCs w:val="24"/>
        </w:rPr>
        <w:t>, allowing Lidl to maintain its cost advantage. Recently, Lidl has expanded its range of organic and sustainably produced items, catering to environmentally conscious consumers. Lidl’s strategy is centered around efficiency, offering quality products at discounted prices while maintaining a lean operational structure.</w:t>
      </w:r>
    </w:p>
    <w:p w14:paraId="6C7BCF80" w14:textId="47B5BE0D"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The company’s market presence in the UK has grown rapidly, driven by changing consumer behavior and a shift towards discounters, particularly after economic challenges like Brexit and the COVID-19 pandemic. With sustainability and digital transformation becoming critical aspects of its strategy, Lidl is aiming to expand its customer base further and enhance its market share.</w:t>
      </w:r>
    </w:p>
    <w:p w14:paraId="6445D0F7" w14:textId="308E0A82" w:rsidR="00C72CB9" w:rsidRPr="00C72CB9" w:rsidRDefault="00276C88" w:rsidP="00C72CB9">
      <w:pPr>
        <w:pStyle w:val="Heading1"/>
        <w:numPr>
          <w:ilvl w:val="0"/>
          <w:numId w:val="27"/>
        </w:numPr>
        <w:rPr>
          <w:b w:val="0"/>
        </w:rPr>
      </w:pPr>
      <w:bookmarkStart w:id="3" w:name="_Toc180323788"/>
      <w:r w:rsidRPr="00C72CB9">
        <w:t>Strategic Intent</w:t>
      </w:r>
      <w:bookmarkEnd w:id="3"/>
    </w:p>
    <w:p w14:paraId="41CF127C" w14:textId="22885C33" w:rsidR="00276C88" w:rsidRPr="00C72CB9" w:rsidRDefault="00276C88" w:rsidP="00C72CB9">
      <w:pPr>
        <w:tabs>
          <w:tab w:val="left" w:pos="709"/>
        </w:tabs>
        <w:spacing w:line="360" w:lineRule="auto"/>
        <w:ind w:firstLine="284"/>
        <w:jc w:val="both"/>
        <w:rPr>
          <w:rFonts w:ascii="Arial" w:hAnsi="Arial" w:cs="Arial"/>
          <w:sz w:val="24"/>
          <w:szCs w:val="24"/>
        </w:rPr>
      </w:pPr>
      <w:r w:rsidRPr="00C72CB9">
        <w:rPr>
          <w:rFonts w:ascii="Arial" w:hAnsi="Arial" w:cs="Arial"/>
          <w:sz w:val="24"/>
          <w:szCs w:val="24"/>
        </w:rPr>
        <w:t>Lidl’s strategic intent is encapsulated in its vision, mission, and objectives. The company’s vision is to provide high-quality products at low prices, making grocery shopping accessible to a broad customer base. This vision aligns with its core philosophy of delivering value through cost leadership.</w:t>
      </w:r>
    </w:p>
    <w:p w14:paraId="4004EFD2"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 xml:space="preserve">The mission of Lidl GB emphasizes its commitment to offering sustainable, high-quality products at affordable prices. By focusing on efficiency, Lidl seeks to reduce waste in its </w:t>
      </w:r>
      <w:r w:rsidRPr="00276C88">
        <w:rPr>
          <w:rFonts w:ascii="Arial" w:hAnsi="Arial" w:cs="Arial"/>
          <w:sz w:val="24"/>
          <w:szCs w:val="24"/>
        </w:rPr>
        <w:lastRenderedPageBreak/>
        <w:t>operations and supply chain while improving the shopping experience. Its mission also reflects its ambition to lead in the discount sector through competitive pricing and strong customer service.</w:t>
      </w:r>
    </w:p>
    <w:p w14:paraId="46908155" w14:textId="3AC58CC2"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Lidl's strategic objectives revolve around maintaining its cost leadership while expanding its market share in the UK. Key objectives include growing its store network, increasing market penetration, enhancing sustainability practices, and improving digital infrastructure to meet the demands of online shoppers. Additionally, Lidl aims to continue diversifying its product offerings, particularly in organic and sustainable products, to align with changing consumer preferences and environmental concerns.</w:t>
      </w:r>
    </w:p>
    <w:p w14:paraId="361CDC49" w14:textId="65F37AF2" w:rsidR="00C72CB9" w:rsidRPr="00C72CB9" w:rsidRDefault="00276C88" w:rsidP="00C72CB9">
      <w:pPr>
        <w:pStyle w:val="Heading1"/>
        <w:numPr>
          <w:ilvl w:val="0"/>
          <w:numId w:val="27"/>
        </w:numPr>
        <w:rPr>
          <w:b w:val="0"/>
        </w:rPr>
      </w:pPr>
      <w:bookmarkStart w:id="4" w:name="_Toc180323789"/>
      <w:r w:rsidRPr="00C72CB9">
        <w:t>The Company’s Current Performance</w:t>
      </w:r>
      <w:bookmarkEnd w:id="4"/>
      <w:r w:rsidRPr="00C72CB9">
        <w:t xml:space="preserve"> </w:t>
      </w:r>
    </w:p>
    <w:p w14:paraId="02AA53AA" w14:textId="199384A3" w:rsidR="00E22D66" w:rsidRPr="00C72CB9" w:rsidRDefault="00276C88" w:rsidP="00E22D66">
      <w:pPr>
        <w:tabs>
          <w:tab w:val="left" w:pos="709"/>
        </w:tabs>
        <w:spacing w:line="360" w:lineRule="auto"/>
        <w:ind w:firstLine="284"/>
        <w:jc w:val="both"/>
        <w:rPr>
          <w:rFonts w:ascii="Arial" w:hAnsi="Arial" w:cs="Arial"/>
          <w:sz w:val="24"/>
          <w:szCs w:val="24"/>
        </w:rPr>
      </w:pPr>
      <w:r w:rsidRPr="00C72CB9">
        <w:rPr>
          <w:rFonts w:ascii="Arial" w:hAnsi="Arial" w:cs="Arial"/>
          <w:sz w:val="24"/>
          <w:szCs w:val="24"/>
        </w:rPr>
        <w:t>Lidl’s performance in the UK market has been impressive, marked by significant growth in both sales and market share. According to the latest reports, Lidl’s market share in the UK reached 8% as of April 2024, positioning it as a major player in the grocery retail market. Lidl's sales have grown consistently over the past few years, with a notable 15.2% year-on-year sales increase reported in October 2023. This growth was largely driven by the shift in consumer behavior towards discount retailers, particularly in response to inflationary pressures and the rising cost of living.</w:t>
      </w:r>
    </w:p>
    <w:p w14:paraId="5DB1737A"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Lidl’s strategy of offering competitively priced products has resonated well with consumers, especially during times of economic uncertainty. In 2021, Lidl’s UK revenue surpassed £7.7 billion, demonstrating strong financial performance. The company’s aggressive store expansion strategy has been instrumental in this growth, with over 900 stores currently operating in the UK. Lidl’s low-cost, high-efficiency business model has allowed it to compete effectively with larger supermarkets such as Tesco and Sainsbury’s, while also facing direct competition from Aldi.</w:t>
      </w:r>
    </w:p>
    <w:p w14:paraId="1066E6C7" w14:textId="672CBFC3"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 xml:space="preserve">Despite this growth, Lidl faces challenges, particularly in its limited online presence and the increasing demand for digital shopping solutions. While Lidl has successfully captured a significant portion of the brick-and-mortar retail market, it </w:t>
      </w:r>
      <w:proofErr w:type="gramStart"/>
      <w:r w:rsidRPr="00276C88">
        <w:rPr>
          <w:rFonts w:ascii="Arial" w:hAnsi="Arial" w:cs="Arial"/>
          <w:sz w:val="24"/>
          <w:szCs w:val="24"/>
        </w:rPr>
        <w:t>lags behind</w:t>
      </w:r>
      <w:proofErr w:type="gramEnd"/>
      <w:r w:rsidRPr="00276C88">
        <w:rPr>
          <w:rFonts w:ascii="Arial" w:hAnsi="Arial" w:cs="Arial"/>
          <w:sz w:val="24"/>
          <w:szCs w:val="24"/>
        </w:rPr>
        <w:t xml:space="preserve"> competitors in e-commerce, a gap that needs addressing. Moreover, Lidl is focusing on enhancing its sustainability practices, recognizing the growing consumer preference for environmentally friendly products. This is reflected in Lidl's efforts to reduce plastic waste and improve energy efficiency in its operations.</w:t>
      </w:r>
    </w:p>
    <w:p w14:paraId="56B01784" w14:textId="4BBB9B5A" w:rsidR="00276C88" w:rsidRPr="00276C88" w:rsidRDefault="00C72CB9" w:rsidP="00C72CB9">
      <w:pPr>
        <w:pStyle w:val="Heading1"/>
      </w:pPr>
      <w:bookmarkStart w:id="5" w:name="_Toc180323790"/>
      <w:r>
        <w:lastRenderedPageBreak/>
        <w:t>6.</w:t>
      </w:r>
      <w:r w:rsidR="00276C88" w:rsidRPr="00276C88">
        <w:t xml:space="preserve"> Strategy Analysis: The Selected Company's Competitive Environment</w:t>
      </w:r>
      <w:bookmarkEnd w:id="5"/>
    </w:p>
    <w:p w14:paraId="3C82F7C6" w14:textId="67FADFA5" w:rsidR="00276C88" w:rsidRPr="00276C88" w:rsidRDefault="00C72CB9" w:rsidP="00C72CB9">
      <w:pPr>
        <w:pStyle w:val="Heading2"/>
      </w:pPr>
      <w:bookmarkStart w:id="6" w:name="_Toc180323791"/>
      <w:r w:rsidRPr="00C72CB9">
        <w:t>6</w:t>
      </w:r>
      <w:r w:rsidR="00276C88" w:rsidRPr="00C72CB9">
        <w:t>A</w:t>
      </w:r>
      <w:r w:rsidR="00276C88" w:rsidRPr="00276C88">
        <w:t>. External Environmental Audit: PESTEL and Porter’s Five Forces</w:t>
      </w:r>
      <w:bookmarkEnd w:id="6"/>
    </w:p>
    <w:p w14:paraId="07683216"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b/>
          <w:bCs/>
          <w:sz w:val="24"/>
          <w:szCs w:val="24"/>
        </w:rPr>
        <w:t>PESTEL Analysis</w:t>
      </w:r>
    </w:p>
    <w:p w14:paraId="43563096" w14:textId="77777777" w:rsidR="00276C88" w:rsidRPr="00276C88" w:rsidRDefault="00276C88" w:rsidP="00C72CB9">
      <w:pPr>
        <w:numPr>
          <w:ilvl w:val="0"/>
          <w:numId w:val="18"/>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Political</w:t>
      </w:r>
      <w:r w:rsidRPr="00276C88">
        <w:rPr>
          <w:rFonts w:ascii="Arial" w:hAnsi="Arial" w:cs="Arial"/>
          <w:sz w:val="24"/>
          <w:szCs w:val="24"/>
        </w:rPr>
        <w:t>: Lidl operates in a complex political environment shaped by post-Brexit trade regulations, labor laws, and changing import duties. These factors affect Lidl’s supply chain, increasing operational challenges, particularly when sourcing products from the European Union (Johnson et al., 2017).</w:t>
      </w:r>
    </w:p>
    <w:p w14:paraId="5C92C5FA" w14:textId="77777777" w:rsidR="00276C88" w:rsidRPr="00276C88" w:rsidRDefault="00276C88" w:rsidP="00C72CB9">
      <w:pPr>
        <w:numPr>
          <w:ilvl w:val="0"/>
          <w:numId w:val="18"/>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Economic</w:t>
      </w:r>
      <w:r w:rsidRPr="00276C88">
        <w:rPr>
          <w:rFonts w:ascii="Arial" w:hAnsi="Arial" w:cs="Arial"/>
          <w:sz w:val="24"/>
          <w:szCs w:val="24"/>
        </w:rPr>
        <w:t>: Economic conditions, including rising inflation and the ongoing cost-of-living crisis, have significantly influenced consumer behavior. As customers become more price-sensitive, Lidl's low-cost value proposition has gained popularity, evidenced by its sales growth of 15.2% in 2023 (Bedford, 2024). However, inflationary pressures have also increased operational costs for retailers.</w:t>
      </w:r>
    </w:p>
    <w:p w14:paraId="05C1FFB6" w14:textId="77777777" w:rsidR="00276C88" w:rsidRPr="00276C88" w:rsidRDefault="00276C88" w:rsidP="00C72CB9">
      <w:pPr>
        <w:numPr>
          <w:ilvl w:val="0"/>
          <w:numId w:val="18"/>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Social</w:t>
      </w:r>
      <w:r w:rsidRPr="00276C88">
        <w:rPr>
          <w:rFonts w:ascii="Arial" w:hAnsi="Arial" w:cs="Arial"/>
          <w:sz w:val="24"/>
          <w:szCs w:val="24"/>
        </w:rPr>
        <w:t>: Social trends toward sustainability, local sourcing, and healthier lifestyles present opportunities for Lidl to enhance its product offerings. Consumers are increasingly concerned with the environmental and ethical impact of their purchases, driving demand for sustainably sourced products (Grant, 2018).</w:t>
      </w:r>
    </w:p>
    <w:p w14:paraId="7E7B8E34" w14:textId="77777777" w:rsidR="00276C88" w:rsidRPr="00276C88" w:rsidRDefault="00276C88" w:rsidP="00C72CB9">
      <w:pPr>
        <w:numPr>
          <w:ilvl w:val="0"/>
          <w:numId w:val="18"/>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Technological</w:t>
      </w:r>
      <w:r w:rsidRPr="00276C88">
        <w:rPr>
          <w:rFonts w:ascii="Arial" w:hAnsi="Arial" w:cs="Arial"/>
          <w:sz w:val="24"/>
          <w:szCs w:val="24"/>
        </w:rPr>
        <w:t>: Digital transformation is reshaping the grocery retail sector. Lidl’s lack of a robust e-commerce platform is a significant disadvantage compared to competitors like Tesco and Sainsbury's, which have well-established online operations (Geppert et al., 2015). Developing digital capabilities is essential for future growth.</w:t>
      </w:r>
    </w:p>
    <w:p w14:paraId="650B5DB8" w14:textId="77777777" w:rsidR="00276C88" w:rsidRPr="00276C88" w:rsidRDefault="00276C88" w:rsidP="00C72CB9">
      <w:pPr>
        <w:numPr>
          <w:ilvl w:val="0"/>
          <w:numId w:val="18"/>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Environmental</w:t>
      </w:r>
      <w:r w:rsidRPr="00276C88">
        <w:rPr>
          <w:rFonts w:ascii="Arial" w:hAnsi="Arial" w:cs="Arial"/>
          <w:sz w:val="24"/>
          <w:szCs w:val="24"/>
        </w:rPr>
        <w:t>: Growing awareness of environmental issues has led consumers to demand sustainable business practices. Lidl has responded by implementing initiatives to reduce plastic usage and improve energy efficiency, but the company must further align with consumer expectations for environmental responsibility (Statista, 2024).</w:t>
      </w:r>
    </w:p>
    <w:p w14:paraId="00174D5D" w14:textId="77777777" w:rsidR="00276C88" w:rsidRPr="00276C88" w:rsidRDefault="00276C88" w:rsidP="00C72CB9">
      <w:pPr>
        <w:numPr>
          <w:ilvl w:val="0"/>
          <w:numId w:val="18"/>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Legal</w:t>
      </w:r>
      <w:r w:rsidRPr="00276C88">
        <w:rPr>
          <w:rFonts w:ascii="Arial" w:hAnsi="Arial" w:cs="Arial"/>
          <w:sz w:val="24"/>
          <w:szCs w:val="24"/>
        </w:rPr>
        <w:t>: Compliance with labor, food safety, and environmental regulations affects Lidl’s operations. The UK government’s increasing focus on sustainability and ethical practices requires Lidl to adopt new strategies to meet regulatory requirements (Hill et al., 2017).</w:t>
      </w:r>
    </w:p>
    <w:p w14:paraId="18FFA362"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b/>
          <w:bCs/>
          <w:sz w:val="24"/>
          <w:szCs w:val="24"/>
        </w:rPr>
        <w:t>Porter’s Five Forces</w:t>
      </w:r>
    </w:p>
    <w:p w14:paraId="222B9BBB" w14:textId="77777777" w:rsidR="00276C88" w:rsidRPr="00276C88" w:rsidRDefault="00276C88" w:rsidP="00C72CB9">
      <w:pPr>
        <w:numPr>
          <w:ilvl w:val="0"/>
          <w:numId w:val="19"/>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lastRenderedPageBreak/>
        <w:t>Threat of New Entrants</w:t>
      </w:r>
      <w:r w:rsidRPr="00276C88">
        <w:rPr>
          <w:rFonts w:ascii="Arial" w:hAnsi="Arial" w:cs="Arial"/>
          <w:sz w:val="24"/>
          <w:szCs w:val="24"/>
        </w:rPr>
        <w:t>: The threat of new entrants in the grocery market is low due to the high barriers to entry, including large capital investments and established players like Tesco, Sainsbury's, and Aldi. Lidl’s strong market position limits the potential for new competitors (Porter, 1996).</w:t>
      </w:r>
    </w:p>
    <w:p w14:paraId="7E020DBF" w14:textId="77777777" w:rsidR="00276C88" w:rsidRPr="00276C88" w:rsidRDefault="00276C88" w:rsidP="00C72CB9">
      <w:pPr>
        <w:numPr>
          <w:ilvl w:val="0"/>
          <w:numId w:val="19"/>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Bargaining Power of Suppliers</w:t>
      </w:r>
      <w:r w:rsidRPr="00276C88">
        <w:rPr>
          <w:rFonts w:ascii="Arial" w:hAnsi="Arial" w:cs="Arial"/>
          <w:sz w:val="24"/>
          <w:szCs w:val="24"/>
        </w:rPr>
        <w:t>: Lidl mitigates supplier power through its private-label strategy, which allows for better control over pricing and supply chain dynamics. Lidl’s reliance on direct sourcing and long-term contracts with suppliers strengthens its negotiating power (Johnson et al., 2017).</w:t>
      </w:r>
    </w:p>
    <w:p w14:paraId="2FD64496" w14:textId="77777777" w:rsidR="00276C88" w:rsidRPr="00276C88" w:rsidRDefault="00276C88" w:rsidP="00C72CB9">
      <w:pPr>
        <w:numPr>
          <w:ilvl w:val="0"/>
          <w:numId w:val="19"/>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Bargaining Power of Buyers</w:t>
      </w:r>
      <w:r w:rsidRPr="00276C88">
        <w:rPr>
          <w:rFonts w:ascii="Arial" w:hAnsi="Arial" w:cs="Arial"/>
          <w:sz w:val="24"/>
          <w:szCs w:val="24"/>
        </w:rPr>
        <w:t>: Customers have significant bargaining power due to the variety of grocery options available. To maintain customer loyalty, Lidl must continuously offer high-quality products at low prices, especially as consumer preferences shift towards sustainability (Hill et al., 2017).</w:t>
      </w:r>
    </w:p>
    <w:p w14:paraId="4A11ED0F" w14:textId="77777777" w:rsidR="00276C88" w:rsidRPr="00276C88" w:rsidRDefault="00276C88" w:rsidP="00C72CB9">
      <w:pPr>
        <w:numPr>
          <w:ilvl w:val="0"/>
          <w:numId w:val="19"/>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Threat of Substitutes</w:t>
      </w:r>
      <w:r w:rsidRPr="00276C88">
        <w:rPr>
          <w:rFonts w:ascii="Arial" w:hAnsi="Arial" w:cs="Arial"/>
          <w:sz w:val="24"/>
          <w:szCs w:val="24"/>
        </w:rPr>
        <w:t>: Although food is a necessity, substitutes such as meal kits, online grocery services, and non-traditional retailers (e.g., Amazon Fresh) pose a potential threat to Lidl's market share. Lidl must innovate to remain competitive in this evolving landscape (Fogel, 2016).</w:t>
      </w:r>
    </w:p>
    <w:p w14:paraId="2CC025A0" w14:textId="77777777" w:rsidR="00276C88" w:rsidRPr="00276C88" w:rsidRDefault="00276C88" w:rsidP="00C72CB9">
      <w:pPr>
        <w:numPr>
          <w:ilvl w:val="0"/>
          <w:numId w:val="19"/>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Rivalry Among Competitors</w:t>
      </w:r>
      <w:r w:rsidRPr="00276C88">
        <w:rPr>
          <w:rFonts w:ascii="Arial" w:hAnsi="Arial" w:cs="Arial"/>
          <w:sz w:val="24"/>
          <w:szCs w:val="24"/>
        </w:rPr>
        <w:t>: Competition within the UK grocery sector is intense, particularly between Lidl and Aldi, as well as traditional supermarkets like Tesco and Sainsbury’s. Lidl’s low-cost strategy is a key differentiator, but the company must continue to innovate to maintain its competitive edge (Porter, 1996).</w:t>
      </w:r>
    </w:p>
    <w:p w14:paraId="62704869" w14:textId="717B9737" w:rsidR="00276C88" w:rsidRPr="00276C88" w:rsidRDefault="00C72CB9" w:rsidP="00C72CB9">
      <w:pPr>
        <w:pStyle w:val="Heading2"/>
      </w:pPr>
      <w:bookmarkStart w:id="7" w:name="_Toc180323792"/>
      <w:r>
        <w:t>6</w:t>
      </w:r>
      <w:r w:rsidR="00276C88" w:rsidRPr="00276C88">
        <w:t>B. Internal Environmental Audit: SWOT, VRIO, and Value Chain Analysis</w:t>
      </w:r>
      <w:bookmarkEnd w:id="7"/>
    </w:p>
    <w:p w14:paraId="0896C375"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b/>
          <w:bCs/>
          <w:sz w:val="24"/>
          <w:szCs w:val="24"/>
        </w:rPr>
        <w:t>SWOT Analysis</w:t>
      </w:r>
    </w:p>
    <w:p w14:paraId="1AD514C8" w14:textId="77777777" w:rsidR="00276C88" w:rsidRPr="00276C88" w:rsidRDefault="00276C88" w:rsidP="00C72CB9">
      <w:pPr>
        <w:numPr>
          <w:ilvl w:val="0"/>
          <w:numId w:val="20"/>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Strengths</w:t>
      </w:r>
      <w:r w:rsidRPr="00276C88">
        <w:rPr>
          <w:rFonts w:ascii="Arial" w:hAnsi="Arial" w:cs="Arial"/>
          <w:sz w:val="24"/>
          <w:szCs w:val="24"/>
        </w:rPr>
        <w:t>:</w:t>
      </w:r>
    </w:p>
    <w:p w14:paraId="7B8AF5C0" w14:textId="77777777" w:rsidR="00276C88" w:rsidRPr="00276C88" w:rsidRDefault="00276C88" w:rsidP="00C72CB9">
      <w:pPr>
        <w:numPr>
          <w:ilvl w:val="1"/>
          <w:numId w:val="20"/>
        </w:numPr>
        <w:tabs>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Cost Leadership</w:t>
      </w:r>
      <w:r w:rsidRPr="00276C88">
        <w:rPr>
          <w:rFonts w:ascii="Arial" w:hAnsi="Arial" w:cs="Arial"/>
          <w:sz w:val="24"/>
          <w:szCs w:val="24"/>
        </w:rPr>
        <w:t>: Lidl’s cost leadership strategy allows it to offer high-quality products at competitive prices, making it attractive to price-sensitive consumers (Grant, 2018).</w:t>
      </w:r>
    </w:p>
    <w:p w14:paraId="1D02B054" w14:textId="77777777" w:rsidR="00276C88" w:rsidRPr="00276C88" w:rsidRDefault="00276C88" w:rsidP="00C72CB9">
      <w:pPr>
        <w:numPr>
          <w:ilvl w:val="1"/>
          <w:numId w:val="20"/>
        </w:numPr>
        <w:tabs>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Strong Brand Loyalty</w:t>
      </w:r>
      <w:r w:rsidRPr="00276C88">
        <w:rPr>
          <w:rFonts w:ascii="Arial" w:hAnsi="Arial" w:cs="Arial"/>
          <w:sz w:val="24"/>
          <w:szCs w:val="24"/>
        </w:rPr>
        <w:t>: Lidl enjoys high brand loyalty, with 89% of customers likely to shop at Lidl again (Statista, 2023).</w:t>
      </w:r>
    </w:p>
    <w:p w14:paraId="0B333773" w14:textId="77777777" w:rsidR="00276C88" w:rsidRPr="00276C88" w:rsidRDefault="00276C88" w:rsidP="00C72CB9">
      <w:pPr>
        <w:numPr>
          <w:ilvl w:val="1"/>
          <w:numId w:val="20"/>
        </w:numPr>
        <w:tabs>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Efficient Supply Chain</w:t>
      </w:r>
      <w:r w:rsidRPr="00276C88">
        <w:rPr>
          <w:rFonts w:ascii="Arial" w:hAnsi="Arial" w:cs="Arial"/>
          <w:sz w:val="24"/>
          <w:szCs w:val="24"/>
        </w:rPr>
        <w:t>: Lidl’s vertically integrated supply chain enables cost control and operational efficiency.</w:t>
      </w:r>
    </w:p>
    <w:p w14:paraId="46E2DB58" w14:textId="77777777" w:rsidR="00276C88" w:rsidRPr="00276C88" w:rsidRDefault="00276C88" w:rsidP="00C72CB9">
      <w:pPr>
        <w:numPr>
          <w:ilvl w:val="0"/>
          <w:numId w:val="20"/>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Weaknesses</w:t>
      </w:r>
      <w:r w:rsidRPr="00276C88">
        <w:rPr>
          <w:rFonts w:ascii="Arial" w:hAnsi="Arial" w:cs="Arial"/>
          <w:sz w:val="24"/>
          <w:szCs w:val="24"/>
        </w:rPr>
        <w:t>:</w:t>
      </w:r>
    </w:p>
    <w:p w14:paraId="08058B06" w14:textId="77777777" w:rsidR="00276C88" w:rsidRPr="00276C88" w:rsidRDefault="00276C88" w:rsidP="00C72CB9">
      <w:pPr>
        <w:numPr>
          <w:ilvl w:val="1"/>
          <w:numId w:val="20"/>
        </w:numPr>
        <w:tabs>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lastRenderedPageBreak/>
        <w:t>Limited Online Presence</w:t>
      </w:r>
      <w:r w:rsidRPr="00276C88">
        <w:rPr>
          <w:rFonts w:ascii="Arial" w:hAnsi="Arial" w:cs="Arial"/>
          <w:sz w:val="24"/>
          <w:szCs w:val="24"/>
        </w:rPr>
        <w:t>: Lidl’s slow adoption of e-commerce has placed it at a disadvantage compared to competitors with established online shopping platforms (Grant, 2018).</w:t>
      </w:r>
    </w:p>
    <w:p w14:paraId="57B326AA" w14:textId="77777777" w:rsidR="00276C88" w:rsidRPr="00276C88" w:rsidRDefault="00276C88" w:rsidP="00C72CB9">
      <w:pPr>
        <w:numPr>
          <w:ilvl w:val="1"/>
          <w:numId w:val="20"/>
        </w:numPr>
        <w:tabs>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Perceived Product Range Limitations</w:t>
      </w:r>
      <w:r w:rsidRPr="00276C88">
        <w:rPr>
          <w:rFonts w:ascii="Arial" w:hAnsi="Arial" w:cs="Arial"/>
          <w:sz w:val="24"/>
          <w:szCs w:val="24"/>
        </w:rPr>
        <w:t>: Some consumers perceive Lidl’s product range as limited, particularly in terms of premium and organic offerings (Fogel, 2016).</w:t>
      </w:r>
    </w:p>
    <w:p w14:paraId="0EDF3E86" w14:textId="77777777" w:rsidR="00276C88" w:rsidRPr="00276C88" w:rsidRDefault="00276C88" w:rsidP="00C72CB9">
      <w:pPr>
        <w:numPr>
          <w:ilvl w:val="0"/>
          <w:numId w:val="20"/>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Opportunities</w:t>
      </w:r>
      <w:r w:rsidRPr="00276C88">
        <w:rPr>
          <w:rFonts w:ascii="Arial" w:hAnsi="Arial" w:cs="Arial"/>
          <w:sz w:val="24"/>
          <w:szCs w:val="24"/>
        </w:rPr>
        <w:t>:</w:t>
      </w:r>
    </w:p>
    <w:p w14:paraId="256E4A56" w14:textId="77777777" w:rsidR="00276C88" w:rsidRPr="00276C88" w:rsidRDefault="00276C88" w:rsidP="00C72CB9">
      <w:pPr>
        <w:numPr>
          <w:ilvl w:val="1"/>
          <w:numId w:val="20"/>
        </w:numPr>
        <w:tabs>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E-commerce Expansion</w:t>
      </w:r>
      <w:r w:rsidRPr="00276C88">
        <w:rPr>
          <w:rFonts w:ascii="Arial" w:hAnsi="Arial" w:cs="Arial"/>
          <w:sz w:val="24"/>
          <w:szCs w:val="24"/>
        </w:rPr>
        <w:t>: Expanding Lidl’s online capabilities will allow the company to tap into the growing demand for digital grocery shopping (Statista, 2024).</w:t>
      </w:r>
    </w:p>
    <w:p w14:paraId="13268CCD" w14:textId="77777777" w:rsidR="00276C88" w:rsidRPr="00276C88" w:rsidRDefault="00276C88" w:rsidP="00C72CB9">
      <w:pPr>
        <w:numPr>
          <w:ilvl w:val="1"/>
          <w:numId w:val="20"/>
        </w:numPr>
        <w:tabs>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Sustainability Initiatives</w:t>
      </w:r>
      <w:r w:rsidRPr="00276C88">
        <w:rPr>
          <w:rFonts w:ascii="Arial" w:hAnsi="Arial" w:cs="Arial"/>
          <w:sz w:val="24"/>
          <w:szCs w:val="24"/>
        </w:rPr>
        <w:t>: Increasing focus on sustainability presents opportunities for Lidl to enhance its product range with more eco-friendly and locally sourced products.</w:t>
      </w:r>
    </w:p>
    <w:p w14:paraId="48F459DB" w14:textId="77777777" w:rsidR="00276C88" w:rsidRPr="00276C88" w:rsidRDefault="00276C88" w:rsidP="00C72CB9">
      <w:pPr>
        <w:numPr>
          <w:ilvl w:val="0"/>
          <w:numId w:val="20"/>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Threats</w:t>
      </w:r>
      <w:r w:rsidRPr="00276C88">
        <w:rPr>
          <w:rFonts w:ascii="Arial" w:hAnsi="Arial" w:cs="Arial"/>
          <w:sz w:val="24"/>
          <w:szCs w:val="24"/>
        </w:rPr>
        <w:t>:</w:t>
      </w:r>
    </w:p>
    <w:p w14:paraId="6128080A" w14:textId="77777777" w:rsidR="00276C88" w:rsidRPr="00276C88" w:rsidRDefault="00276C88" w:rsidP="00C72CB9">
      <w:pPr>
        <w:numPr>
          <w:ilvl w:val="1"/>
          <w:numId w:val="20"/>
        </w:numPr>
        <w:tabs>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Intense Competition</w:t>
      </w:r>
      <w:r w:rsidRPr="00276C88">
        <w:rPr>
          <w:rFonts w:ascii="Arial" w:hAnsi="Arial" w:cs="Arial"/>
          <w:sz w:val="24"/>
          <w:szCs w:val="24"/>
        </w:rPr>
        <w:t>: The UK grocery market is highly competitive, with both discount and traditional retailers vying for market share (Porter, 1996).</w:t>
      </w:r>
    </w:p>
    <w:p w14:paraId="57C94D89" w14:textId="77777777" w:rsidR="00276C88" w:rsidRPr="00276C88" w:rsidRDefault="00276C88" w:rsidP="00C72CB9">
      <w:pPr>
        <w:numPr>
          <w:ilvl w:val="1"/>
          <w:numId w:val="20"/>
        </w:numPr>
        <w:tabs>
          <w:tab w:val="clear" w:pos="1440"/>
          <w:tab w:val="left" w:pos="709"/>
          <w:tab w:val="num" w:pos="1418"/>
        </w:tabs>
        <w:spacing w:line="360" w:lineRule="auto"/>
        <w:ind w:left="0" w:firstLine="284"/>
        <w:jc w:val="both"/>
        <w:rPr>
          <w:rFonts w:ascii="Arial" w:hAnsi="Arial" w:cs="Arial"/>
          <w:sz w:val="24"/>
          <w:szCs w:val="24"/>
        </w:rPr>
      </w:pPr>
      <w:r w:rsidRPr="00276C88">
        <w:rPr>
          <w:rFonts w:ascii="Arial" w:hAnsi="Arial" w:cs="Arial"/>
          <w:b/>
          <w:bCs/>
          <w:sz w:val="24"/>
          <w:szCs w:val="24"/>
        </w:rPr>
        <w:t>Rising Operational Costs</w:t>
      </w:r>
      <w:r w:rsidRPr="00276C88">
        <w:rPr>
          <w:rFonts w:ascii="Arial" w:hAnsi="Arial" w:cs="Arial"/>
          <w:sz w:val="24"/>
          <w:szCs w:val="24"/>
        </w:rPr>
        <w:t>: Inflation and supply chain disruptions could impact Lidl’s ability to maintain its cost leadership strategy (Bedford, 2024).</w:t>
      </w:r>
    </w:p>
    <w:p w14:paraId="60B05BCE"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b/>
          <w:bCs/>
          <w:sz w:val="24"/>
          <w:szCs w:val="24"/>
        </w:rPr>
        <w:t>VRIO Analysis</w:t>
      </w:r>
    </w:p>
    <w:p w14:paraId="68BEE246" w14:textId="77777777" w:rsidR="00276C88" w:rsidRPr="00276C88" w:rsidRDefault="00276C88" w:rsidP="00C72CB9">
      <w:pPr>
        <w:numPr>
          <w:ilvl w:val="0"/>
          <w:numId w:val="21"/>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Value</w:t>
      </w:r>
      <w:r w:rsidRPr="00276C88">
        <w:rPr>
          <w:rFonts w:ascii="Arial" w:hAnsi="Arial" w:cs="Arial"/>
          <w:sz w:val="24"/>
          <w:szCs w:val="24"/>
        </w:rPr>
        <w:t>: Lidl’s cost leadership strategy creates value by offering affordable products to price-conscious consumers.</w:t>
      </w:r>
    </w:p>
    <w:p w14:paraId="7DFB7B9B" w14:textId="77777777" w:rsidR="00276C88" w:rsidRPr="00276C88" w:rsidRDefault="00276C88" w:rsidP="00C72CB9">
      <w:pPr>
        <w:numPr>
          <w:ilvl w:val="0"/>
          <w:numId w:val="21"/>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Rarity</w:t>
      </w:r>
      <w:r w:rsidRPr="00276C88">
        <w:rPr>
          <w:rFonts w:ascii="Arial" w:hAnsi="Arial" w:cs="Arial"/>
          <w:sz w:val="24"/>
          <w:szCs w:val="24"/>
        </w:rPr>
        <w:t>: Lidl’s efficient supply chain and vertically integrated operations are rare among competitors in the UK grocery market.</w:t>
      </w:r>
    </w:p>
    <w:p w14:paraId="33C1E3E4" w14:textId="77777777" w:rsidR="00276C88" w:rsidRPr="00276C88" w:rsidRDefault="00276C88" w:rsidP="00C72CB9">
      <w:pPr>
        <w:numPr>
          <w:ilvl w:val="0"/>
          <w:numId w:val="21"/>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Imitability</w:t>
      </w:r>
      <w:r w:rsidRPr="00276C88">
        <w:rPr>
          <w:rFonts w:ascii="Arial" w:hAnsi="Arial" w:cs="Arial"/>
          <w:sz w:val="24"/>
          <w:szCs w:val="24"/>
        </w:rPr>
        <w:t>: Lidl’s business model is difficult to imitate due to its economies of scale and strong supplier relationships.</w:t>
      </w:r>
    </w:p>
    <w:p w14:paraId="305081F6" w14:textId="77777777" w:rsidR="00276C88" w:rsidRPr="00276C88" w:rsidRDefault="00276C88" w:rsidP="00C72CB9">
      <w:pPr>
        <w:numPr>
          <w:ilvl w:val="0"/>
          <w:numId w:val="21"/>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Organization</w:t>
      </w:r>
      <w:r w:rsidRPr="00276C88">
        <w:rPr>
          <w:rFonts w:ascii="Arial" w:hAnsi="Arial" w:cs="Arial"/>
          <w:sz w:val="24"/>
          <w:szCs w:val="24"/>
        </w:rPr>
        <w:t>: Lidl is well-organized to capture value from its resources, particularly through its lean operational model and strategic supply chain management (Barney, 1991).</w:t>
      </w:r>
    </w:p>
    <w:p w14:paraId="1B9695EF"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b/>
          <w:bCs/>
          <w:sz w:val="24"/>
          <w:szCs w:val="24"/>
        </w:rPr>
        <w:t>Value Chain Analysis</w:t>
      </w:r>
    </w:p>
    <w:p w14:paraId="2F588EF9" w14:textId="7D6D5A43"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Lidl’s value chain focuses on operational efficiency, cost control, and quality management. Key activities include sourcing directly from suppliers, streamlining logistics, and maintaining efficient store operations. These activities enable Lidl to offer high-quality products at low prices, which is the cornerstone of its competitive strategy (Johnson et al., 2017).</w:t>
      </w:r>
    </w:p>
    <w:p w14:paraId="7371BD4C" w14:textId="6F953A43" w:rsidR="00276C88" w:rsidRPr="00276C88" w:rsidRDefault="00C72CB9" w:rsidP="00C72CB9">
      <w:pPr>
        <w:pStyle w:val="Heading1"/>
      </w:pPr>
      <w:bookmarkStart w:id="8" w:name="_Toc180323793"/>
      <w:r>
        <w:lastRenderedPageBreak/>
        <w:t>7</w:t>
      </w:r>
      <w:r w:rsidR="00276C88" w:rsidRPr="00276C88">
        <w:t>. Strategy Formulation: Strategic Choices and Proposed New Strategy</w:t>
      </w:r>
      <w:bookmarkEnd w:id="8"/>
    </w:p>
    <w:p w14:paraId="6D77FA74"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Lidl faces both opportunities and challenges as it seeks to maintain its competitive position in the UK grocery market. Based on the analysis of Lidl’s external and internal environments, several strategic choices emerge for the company’s future direction.</w:t>
      </w:r>
    </w:p>
    <w:p w14:paraId="2ED01912"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b/>
          <w:bCs/>
          <w:sz w:val="24"/>
          <w:szCs w:val="24"/>
        </w:rPr>
        <w:t>Strategic Choices</w:t>
      </w:r>
      <w:r w:rsidRPr="00276C88">
        <w:rPr>
          <w:rFonts w:ascii="Arial" w:hAnsi="Arial" w:cs="Arial"/>
          <w:sz w:val="24"/>
          <w:szCs w:val="24"/>
        </w:rPr>
        <w:t>:</w:t>
      </w:r>
    </w:p>
    <w:p w14:paraId="005E94CB" w14:textId="77777777" w:rsidR="00276C88" w:rsidRPr="00276C88" w:rsidRDefault="00276C88" w:rsidP="00C72CB9">
      <w:pPr>
        <w:numPr>
          <w:ilvl w:val="0"/>
          <w:numId w:val="22"/>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E-commerce Development</w:t>
      </w:r>
      <w:r w:rsidRPr="00276C88">
        <w:rPr>
          <w:rFonts w:ascii="Arial" w:hAnsi="Arial" w:cs="Arial"/>
          <w:sz w:val="24"/>
          <w:szCs w:val="24"/>
        </w:rPr>
        <w:t>: Given the growing demand for online grocery shopping, Lidl must prioritize the development of its digital capabilities. Investing in a robust e-commerce platform and offering home delivery services will allow Lidl to compete with major players like Tesco and Sainsbury's in the digital space (Grant, 2018).</w:t>
      </w:r>
    </w:p>
    <w:p w14:paraId="477EEDA3" w14:textId="77777777" w:rsidR="00276C88" w:rsidRPr="00276C88" w:rsidRDefault="00276C88" w:rsidP="00C72CB9">
      <w:pPr>
        <w:numPr>
          <w:ilvl w:val="0"/>
          <w:numId w:val="22"/>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Sustainability and Ethical Sourcing</w:t>
      </w:r>
      <w:r w:rsidRPr="00276C88">
        <w:rPr>
          <w:rFonts w:ascii="Arial" w:hAnsi="Arial" w:cs="Arial"/>
          <w:sz w:val="24"/>
          <w:szCs w:val="24"/>
        </w:rPr>
        <w:t>: With consumers increasingly valuing sustainability, Lidl can enhance its product offerings by expanding its range of organic, fair trade, and locally sourced products. Implementing eco-friendly initiatives, such as reducing plastic use and promoting sustainable packaging, will align Lidl with consumer expectations and government regulations (Fogel, 2016).</w:t>
      </w:r>
    </w:p>
    <w:p w14:paraId="6B6F6167" w14:textId="77777777" w:rsidR="00276C88" w:rsidRPr="00276C88" w:rsidRDefault="00276C88" w:rsidP="00C72CB9">
      <w:pPr>
        <w:numPr>
          <w:ilvl w:val="0"/>
          <w:numId w:val="22"/>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Expansion of Premium Product Range</w:t>
      </w:r>
      <w:r w:rsidRPr="00276C88">
        <w:rPr>
          <w:rFonts w:ascii="Arial" w:hAnsi="Arial" w:cs="Arial"/>
          <w:sz w:val="24"/>
          <w:szCs w:val="24"/>
        </w:rPr>
        <w:t>: While Lidl is known for its cost leadership, expanding its premium product offerings—such as high-quality private-label products—can attract higher-income customers. This move would complement Lidl’s existing product range and increase its appeal to a broader customer base (Johnson et al., 2017).</w:t>
      </w:r>
    </w:p>
    <w:p w14:paraId="2AF896D1" w14:textId="77777777" w:rsidR="00276C88" w:rsidRPr="00276C88" w:rsidRDefault="00276C88" w:rsidP="00C72CB9">
      <w:pPr>
        <w:numPr>
          <w:ilvl w:val="0"/>
          <w:numId w:val="22"/>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Enhancing In-Store Experience</w:t>
      </w:r>
      <w:r w:rsidRPr="00276C88">
        <w:rPr>
          <w:rFonts w:ascii="Arial" w:hAnsi="Arial" w:cs="Arial"/>
          <w:sz w:val="24"/>
          <w:szCs w:val="24"/>
        </w:rPr>
        <w:t>: Improving the in-store shopping experience is essential to maintaining customer loyalty. Lidl can invest in store redesigns, enhance customer service, and adopt advanced checkout systems to create a more seamless and enjoyable shopping experience (Mintzberg, 2007).</w:t>
      </w:r>
    </w:p>
    <w:p w14:paraId="1DBEA712"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b/>
          <w:bCs/>
          <w:sz w:val="24"/>
          <w:szCs w:val="24"/>
        </w:rPr>
        <w:t>Proposed New Strategy</w:t>
      </w:r>
      <w:r w:rsidRPr="00276C88">
        <w:rPr>
          <w:rFonts w:ascii="Arial" w:hAnsi="Arial" w:cs="Arial"/>
          <w:sz w:val="24"/>
          <w:szCs w:val="24"/>
        </w:rPr>
        <w:t>:</w:t>
      </w:r>
    </w:p>
    <w:p w14:paraId="361C1A88"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Lidl should adopt a hybrid strategy that combines cost leadership with differentiation through sustainability and digital transformation. This approach will allow Lidl to maintain its core strength of offering affordable products while appealing to the growing demand for sustainability and convenience.</w:t>
      </w:r>
    </w:p>
    <w:p w14:paraId="6F32A7B3" w14:textId="77777777" w:rsidR="00276C88" w:rsidRPr="00276C88" w:rsidRDefault="00276C88" w:rsidP="00C72CB9">
      <w:pPr>
        <w:numPr>
          <w:ilvl w:val="0"/>
          <w:numId w:val="23"/>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lastRenderedPageBreak/>
        <w:t>Digital Transformation</w:t>
      </w:r>
      <w:r w:rsidRPr="00276C88">
        <w:rPr>
          <w:rFonts w:ascii="Arial" w:hAnsi="Arial" w:cs="Arial"/>
          <w:sz w:val="24"/>
          <w:szCs w:val="24"/>
        </w:rPr>
        <w:t>: Lidl must allocate resources to develop its e-commerce platform and integrate digital technologies, such as personalized shopping experiences and mobile apps, to enhance customer engagement.</w:t>
      </w:r>
    </w:p>
    <w:p w14:paraId="05586522" w14:textId="77777777" w:rsidR="00276C88" w:rsidRPr="00276C88" w:rsidRDefault="00276C88" w:rsidP="00C72CB9">
      <w:pPr>
        <w:numPr>
          <w:ilvl w:val="0"/>
          <w:numId w:val="23"/>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Sustainability Leadership</w:t>
      </w:r>
      <w:r w:rsidRPr="00276C88">
        <w:rPr>
          <w:rFonts w:ascii="Arial" w:hAnsi="Arial" w:cs="Arial"/>
          <w:sz w:val="24"/>
          <w:szCs w:val="24"/>
        </w:rPr>
        <w:t>: By adopting a sustainability-focused strategy, Lidl can differentiate itself from competitors. Initiatives such as reducing carbon emissions, promoting locally sourced products, and introducing eco-friendly packaging will resonate with environmentally conscious consumers (Fogel, 2016).</w:t>
      </w:r>
    </w:p>
    <w:p w14:paraId="2B2C7A6E" w14:textId="77777777" w:rsidR="00276C88" w:rsidRPr="00276C88" w:rsidRDefault="00276C88" w:rsidP="00C72CB9">
      <w:pPr>
        <w:numPr>
          <w:ilvl w:val="0"/>
          <w:numId w:val="23"/>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Customer Experience Focus</w:t>
      </w:r>
      <w:r w:rsidRPr="00276C88">
        <w:rPr>
          <w:rFonts w:ascii="Arial" w:hAnsi="Arial" w:cs="Arial"/>
          <w:sz w:val="24"/>
          <w:szCs w:val="24"/>
        </w:rPr>
        <w:t>: Enhancing the in-store experience through better store layouts, faster checkouts, and personalized promotions will help Lidl retain existing customers and attract new ones.</w:t>
      </w:r>
    </w:p>
    <w:p w14:paraId="1149D6D4" w14:textId="0CED0F3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In conclusion, Lidl’s future success hinges on its ability to innovate and adapt to changing market dynamics. By embracing digital transformation, sustainability, and an enhanced customer experience, Lidl can strengthen its competitive position and ensure long-term growth in the UK grocery market.</w:t>
      </w:r>
    </w:p>
    <w:p w14:paraId="58C34540" w14:textId="7338134E" w:rsidR="00276C88" w:rsidRPr="00276C88" w:rsidRDefault="00C72CB9" w:rsidP="00C72CB9">
      <w:pPr>
        <w:pStyle w:val="Heading1"/>
      </w:pPr>
      <w:bookmarkStart w:id="9" w:name="_Toc180323794"/>
      <w:r>
        <w:t>8.</w:t>
      </w:r>
      <w:r w:rsidR="00276C88" w:rsidRPr="00276C88">
        <w:t xml:space="preserve"> Conclusion and Recommendation</w:t>
      </w:r>
      <w:bookmarkEnd w:id="9"/>
    </w:p>
    <w:p w14:paraId="564497F8"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Lidl is well-positioned to capitalize on the growing demand for discount retailers in the UK. However, to sustain its competitive advantage, the company must address key weaknesses, particularly in the areas of e-commerce and product variety, while continuing to leverage its strengths in cost leadership and operational efficiency. The proposed strategy of combining cost leadership with differentiation through sustainability and digital transformation will enable Lidl to meet evolving consumer demands and regulatory requirements.</w:t>
      </w:r>
    </w:p>
    <w:p w14:paraId="2086D844"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t>The key recommendations for Lidl’s strategic direction are as follows:</w:t>
      </w:r>
    </w:p>
    <w:p w14:paraId="70237401" w14:textId="77777777" w:rsidR="00276C88" w:rsidRPr="00276C88" w:rsidRDefault="00276C88" w:rsidP="00C72CB9">
      <w:pPr>
        <w:numPr>
          <w:ilvl w:val="0"/>
          <w:numId w:val="24"/>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Invest in Digital Transformation</w:t>
      </w:r>
      <w:r w:rsidRPr="00276C88">
        <w:rPr>
          <w:rFonts w:ascii="Arial" w:hAnsi="Arial" w:cs="Arial"/>
          <w:sz w:val="24"/>
          <w:szCs w:val="24"/>
        </w:rPr>
        <w:t>: Develop a robust e-commerce platform and integrate digital technologies to compete effectively in the growing online grocery market.</w:t>
      </w:r>
    </w:p>
    <w:p w14:paraId="1B263942" w14:textId="77777777" w:rsidR="00276C88" w:rsidRPr="00276C88" w:rsidRDefault="00276C88" w:rsidP="00C72CB9">
      <w:pPr>
        <w:numPr>
          <w:ilvl w:val="0"/>
          <w:numId w:val="24"/>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Enhance Sustainability Initiatives</w:t>
      </w:r>
      <w:r w:rsidRPr="00276C88">
        <w:rPr>
          <w:rFonts w:ascii="Arial" w:hAnsi="Arial" w:cs="Arial"/>
          <w:sz w:val="24"/>
          <w:szCs w:val="24"/>
        </w:rPr>
        <w:t>: Expand the range of organic and sustainably sourced products while reducing the company’s environmental footprint.</w:t>
      </w:r>
    </w:p>
    <w:p w14:paraId="246F6C39" w14:textId="77777777" w:rsidR="00276C88" w:rsidRPr="00276C88" w:rsidRDefault="00276C88" w:rsidP="00C72CB9">
      <w:pPr>
        <w:numPr>
          <w:ilvl w:val="0"/>
          <w:numId w:val="24"/>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b/>
          <w:bCs/>
          <w:sz w:val="24"/>
          <w:szCs w:val="24"/>
        </w:rPr>
        <w:t>Improve Customer Experience</w:t>
      </w:r>
      <w:r w:rsidRPr="00276C88">
        <w:rPr>
          <w:rFonts w:ascii="Arial" w:hAnsi="Arial" w:cs="Arial"/>
          <w:sz w:val="24"/>
          <w:szCs w:val="24"/>
        </w:rPr>
        <w:t>: Invest in store enhancements, customer service improvements, and faster checkout processes to increase customer loyalty.</w:t>
      </w:r>
    </w:p>
    <w:p w14:paraId="619798FA" w14:textId="77777777" w:rsidR="00276C88" w:rsidRPr="00276C88" w:rsidRDefault="00276C88" w:rsidP="00C72CB9">
      <w:pPr>
        <w:tabs>
          <w:tab w:val="left" w:pos="709"/>
        </w:tabs>
        <w:spacing w:line="360" w:lineRule="auto"/>
        <w:ind w:firstLine="284"/>
        <w:jc w:val="both"/>
        <w:rPr>
          <w:rFonts w:ascii="Arial" w:hAnsi="Arial" w:cs="Arial"/>
          <w:sz w:val="24"/>
          <w:szCs w:val="24"/>
        </w:rPr>
      </w:pPr>
      <w:r w:rsidRPr="00276C88">
        <w:rPr>
          <w:rFonts w:ascii="Arial" w:hAnsi="Arial" w:cs="Arial"/>
          <w:sz w:val="24"/>
          <w:szCs w:val="24"/>
        </w:rPr>
        <w:lastRenderedPageBreak/>
        <w:t>By implementing these strategies, Lidl can continue to grow its market share and solidify its position as a leading discount retailer in the UK.</w:t>
      </w:r>
    </w:p>
    <w:p w14:paraId="6A152FD6" w14:textId="77777777" w:rsidR="00276C88" w:rsidRPr="00276C88" w:rsidRDefault="00276C88" w:rsidP="00C72CB9">
      <w:pPr>
        <w:pStyle w:val="Heading1"/>
      </w:pPr>
      <w:bookmarkStart w:id="10" w:name="_Toc180323795"/>
      <w:r w:rsidRPr="00276C88">
        <w:t>References</w:t>
      </w:r>
      <w:bookmarkEnd w:id="10"/>
    </w:p>
    <w:p w14:paraId="49D919DB"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Barney, J. B. (1991). ‘Firm resources and sustained competitive advantage’. </w:t>
      </w:r>
      <w:r w:rsidRPr="00276C88">
        <w:rPr>
          <w:rFonts w:ascii="Arial" w:hAnsi="Arial" w:cs="Arial"/>
          <w:i/>
          <w:iCs/>
          <w:sz w:val="24"/>
          <w:szCs w:val="24"/>
        </w:rPr>
        <w:t>Journal of Management</w:t>
      </w:r>
      <w:r w:rsidRPr="00276C88">
        <w:rPr>
          <w:rFonts w:ascii="Arial" w:hAnsi="Arial" w:cs="Arial"/>
          <w:sz w:val="24"/>
          <w:szCs w:val="24"/>
        </w:rPr>
        <w:t>, 17(1), pp. 99-120.</w:t>
      </w:r>
    </w:p>
    <w:p w14:paraId="28C1BCBA"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Bedford, E. (2024). ‘Lidl sales growth year-on-year in Great Britain 2014-2023’. </w:t>
      </w:r>
      <w:r w:rsidRPr="00276C88">
        <w:rPr>
          <w:rFonts w:ascii="Arial" w:hAnsi="Arial" w:cs="Arial"/>
          <w:i/>
          <w:iCs/>
          <w:sz w:val="24"/>
          <w:szCs w:val="24"/>
        </w:rPr>
        <w:t>Statista</w:t>
      </w:r>
      <w:r w:rsidRPr="00276C88">
        <w:rPr>
          <w:rFonts w:ascii="Arial" w:hAnsi="Arial" w:cs="Arial"/>
          <w:sz w:val="24"/>
          <w:szCs w:val="24"/>
        </w:rPr>
        <w:t>.</w:t>
      </w:r>
    </w:p>
    <w:p w14:paraId="2B720111"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Chandler, A. D. (1963). </w:t>
      </w:r>
      <w:r w:rsidRPr="00276C88">
        <w:rPr>
          <w:rFonts w:ascii="Arial" w:hAnsi="Arial" w:cs="Arial"/>
          <w:i/>
          <w:iCs/>
          <w:sz w:val="24"/>
          <w:szCs w:val="24"/>
        </w:rPr>
        <w:t>Strategy and Structure: Chapters in the History of American Enterprise</w:t>
      </w:r>
      <w:r w:rsidRPr="00276C88">
        <w:rPr>
          <w:rFonts w:ascii="Arial" w:hAnsi="Arial" w:cs="Arial"/>
          <w:sz w:val="24"/>
          <w:szCs w:val="24"/>
        </w:rPr>
        <w:t>. MIT Press.</w:t>
      </w:r>
    </w:p>
    <w:p w14:paraId="4F9FA651"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Drucker, P. F. (1994). ‘The theory of </w:t>
      </w:r>
      <w:proofErr w:type="gramStart"/>
      <w:r w:rsidRPr="00276C88">
        <w:rPr>
          <w:rFonts w:ascii="Arial" w:hAnsi="Arial" w:cs="Arial"/>
          <w:sz w:val="24"/>
          <w:szCs w:val="24"/>
        </w:rPr>
        <w:t>business’</w:t>
      </w:r>
      <w:proofErr w:type="gramEnd"/>
      <w:r w:rsidRPr="00276C88">
        <w:rPr>
          <w:rFonts w:ascii="Arial" w:hAnsi="Arial" w:cs="Arial"/>
          <w:sz w:val="24"/>
          <w:szCs w:val="24"/>
        </w:rPr>
        <w:t xml:space="preserve">. </w:t>
      </w:r>
      <w:r w:rsidRPr="00276C88">
        <w:rPr>
          <w:rFonts w:ascii="Arial" w:hAnsi="Arial" w:cs="Arial"/>
          <w:i/>
          <w:iCs/>
          <w:sz w:val="24"/>
          <w:szCs w:val="24"/>
        </w:rPr>
        <w:t>Harvard Business Review</w:t>
      </w:r>
      <w:r w:rsidRPr="00276C88">
        <w:rPr>
          <w:rFonts w:ascii="Arial" w:hAnsi="Arial" w:cs="Arial"/>
          <w:sz w:val="24"/>
          <w:szCs w:val="24"/>
        </w:rPr>
        <w:t>, September–October, pp. 95–106.</w:t>
      </w:r>
    </w:p>
    <w:p w14:paraId="3ABC53A8"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Fogel, D. S. (2016). </w:t>
      </w:r>
      <w:r w:rsidRPr="00276C88">
        <w:rPr>
          <w:rFonts w:ascii="Arial" w:hAnsi="Arial" w:cs="Arial"/>
          <w:i/>
          <w:iCs/>
          <w:sz w:val="24"/>
          <w:szCs w:val="24"/>
        </w:rPr>
        <w:t>Strategic Sustainability: A Natural Environmental Lens on Organizations and Management</w:t>
      </w:r>
      <w:r w:rsidRPr="00276C88">
        <w:rPr>
          <w:rFonts w:ascii="Arial" w:hAnsi="Arial" w:cs="Arial"/>
          <w:sz w:val="24"/>
          <w:szCs w:val="24"/>
        </w:rPr>
        <w:t>. New York: Routledge.</w:t>
      </w:r>
    </w:p>
    <w:p w14:paraId="65E232E3"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Geppert, M., Williams, K., Uçkan, B. (2015). ‘Industrial relations in European hypermarkets: Home and host country </w:t>
      </w:r>
      <w:proofErr w:type="gramStart"/>
      <w:r w:rsidRPr="00276C88">
        <w:rPr>
          <w:rFonts w:ascii="Arial" w:hAnsi="Arial" w:cs="Arial"/>
          <w:sz w:val="24"/>
          <w:szCs w:val="24"/>
        </w:rPr>
        <w:t>influences’</w:t>
      </w:r>
      <w:proofErr w:type="gramEnd"/>
      <w:r w:rsidRPr="00276C88">
        <w:rPr>
          <w:rFonts w:ascii="Arial" w:hAnsi="Arial" w:cs="Arial"/>
          <w:sz w:val="24"/>
          <w:szCs w:val="24"/>
        </w:rPr>
        <w:t xml:space="preserve">. </w:t>
      </w:r>
      <w:r w:rsidRPr="00276C88">
        <w:rPr>
          <w:rFonts w:ascii="Arial" w:hAnsi="Arial" w:cs="Arial"/>
          <w:i/>
          <w:iCs/>
          <w:sz w:val="24"/>
          <w:szCs w:val="24"/>
        </w:rPr>
        <w:t>Industrial Relations Journal</w:t>
      </w:r>
      <w:r w:rsidRPr="00276C88">
        <w:rPr>
          <w:rFonts w:ascii="Arial" w:hAnsi="Arial" w:cs="Arial"/>
          <w:sz w:val="24"/>
          <w:szCs w:val="24"/>
        </w:rPr>
        <w:t>, 20(3), pp. 350-369.</w:t>
      </w:r>
    </w:p>
    <w:p w14:paraId="31C72D05"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Grant, R. M. (2018). </w:t>
      </w:r>
      <w:r w:rsidRPr="00276C88">
        <w:rPr>
          <w:rFonts w:ascii="Arial" w:hAnsi="Arial" w:cs="Arial"/>
          <w:i/>
          <w:iCs/>
          <w:sz w:val="24"/>
          <w:szCs w:val="24"/>
        </w:rPr>
        <w:t>Contemporary Strategy Analysis</w:t>
      </w:r>
      <w:r w:rsidRPr="00276C88">
        <w:rPr>
          <w:rFonts w:ascii="Arial" w:hAnsi="Arial" w:cs="Arial"/>
          <w:sz w:val="24"/>
          <w:szCs w:val="24"/>
        </w:rPr>
        <w:t>. 10th ed. NJ: John Wiley &amp; Sons, Inc.</w:t>
      </w:r>
    </w:p>
    <w:p w14:paraId="4116EAA3"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Hill, C. W. L., Schilling, M. A., &amp; Jones, G. R. (2017). </w:t>
      </w:r>
      <w:r w:rsidRPr="00276C88">
        <w:rPr>
          <w:rFonts w:ascii="Arial" w:hAnsi="Arial" w:cs="Arial"/>
          <w:i/>
          <w:iCs/>
          <w:sz w:val="24"/>
          <w:szCs w:val="24"/>
        </w:rPr>
        <w:t>Strategic Management, Theory</w:t>
      </w:r>
      <w:r w:rsidRPr="00276C88">
        <w:rPr>
          <w:rFonts w:ascii="Arial" w:hAnsi="Arial" w:cs="Arial"/>
          <w:sz w:val="24"/>
          <w:szCs w:val="24"/>
        </w:rPr>
        <w:t>. 12th ed. Boston: Cengage Learning.</w:t>
      </w:r>
    </w:p>
    <w:p w14:paraId="2734568B"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Johnson, G., Scholes, K., Whittington, R. (2017). </w:t>
      </w:r>
      <w:r w:rsidRPr="00276C88">
        <w:rPr>
          <w:rFonts w:ascii="Arial" w:hAnsi="Arial" w:cs="Arial"/>
          <w:i/>
          <w:iCs/>
          <w:sz w:val="24"/>
          <w:szCs w:val="24"/>
        </w:rPr>
        <w:t>Exploring Corporate Strategy</w:t>
      </w:r>
      <w:r w:rsidRPr="00276C88">
        <w:rPr>
          <w:rFonts w:ascii="Arial" w:hAnsi="Arial" w:cs="Arial"/>
          <w:sz w:val="24"/>
          <w:szCs w:val="24"/>
        </w:rPr>
        <w:t>. 11th ed. Pearson Education Ltd.</w:t>
      </w:r>
    </w:p>
    <w:p w14:paraId="1DE8D87B"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Mintzberg, H. (2007). </w:t>
      </w:r>
      <w:r w:rsidRPr="00276C88">
        <w:rPr>
          <w:rFonts w:ascii="Arial" w:hAnsi="Arial" w:cs="Arial"/>
          <w:i/>
          <w:iCs/>
          <w:sz w:val="24"/>
          <w:szCs w:val="24"/>
        </w:rPr>
        <w:t>Tracking Strategies: Towards a General Theory</w:t>
      </w:r>
      <w:r w:rsidRPr="00276C88">
        <w:rPr>
          <w:rFonts w:ascii="Arial" w:hAnsi="Arial" w:cs="Arial"/>
          <w:sz w:val="24"/>
          <w:szCs w:val="24"/>
        </w:rPr>
        <w:t>. Oxford University Press.</w:t>
      </w:r>
    </w:p>
    <w:p w14:paraId="08C5B330"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Porter, M. E. (1996). ‘What is strategy?’. </w:t>
      </w:r>
      <w:r w:rsidRPr="00276C88">
        <w:rPr>
          <w:rFonts w:ascii="Arial" w:hAnsi="Arial" w:cs="Arial"/>
          <w:i/>
          <w:iCs/>
          <w:sz w:val="24"/>
          <w:szCs w:val="24"/>
        </w:rPr>
        <w:t>Harvard Business Review</w:t>
      </w:r>
      <w:r w:rsidRPr="00276C88">
        <w:rPr>
          <w:rFonts w:ascii="Arial" w:hAnsi="Arial" w:cs="Arial"/>
          <w:sz w:val="24"/>
          <w:szCs w:val="24"/>
        </w:rPr>
        <w:t>, November–December, pp. 60-75.</w:t>
      </w:r>
    </w:p>
    <w:p w14:paraId="2377FD60"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Statista. (2024). ‘Lidl brand profile in the UK 2023’.</w:t>
      </w:r>
    </w:p>
    <w:p w14:paraId="4D40038C" w14:textId="77777777" w:rsidR="00276C88" w:rsidRPr="00276C88" w:rsidRDefault="00276C88" w:rsidP="00C72CB9">
      <w:pPr>
        <w:numPr>
          <w:ilvl w:val="0"/>
          <w:numId w:val="25"/>
        </w:numPr>
        <w:tabs>
          <w:tab w:val="clear" w:pos="720"/>
          <w:tab w:val="left" w:pos="709"/>
        </w:tabs>
        <w:spacing w:line="360" w:lineRule="auto"/>
        <w:ind w:left="0" w:firstLine="284"/>
        <w:jc w:val="both"/>
        <w:rPr>
          <w:rFonts w:ascii="Arial" w:hAnsi="Arial" w:cs="Arial"/>
          <w:sz w:val="24"/>
          <w:szCs w:val="24"/>
        </w:rPr>
      </w:pPr>
      <w:r w:rsidRPr="00276C88">
        <w:rPr>
          <w:rFonts w:ascii="Arial" w:hAnsi="Arial" w:cs="Arial"/>
          <w:sz w:val="24"/>
          <w:szCs w:val="24"/>
        </w:rPr>
        <w:t xml:space="preserve">Statista. (2024). ‘Food shopping behavior in the UK’. </w:t>
      </w:r>
      <w:r w:rsidRPr="00276C88">
        <w:rPr>
          <w:rFonts w:ascii="Arial" w:hAnsi="Arial" w:cs="Arial"/>
          <w:i/>
          <w:iCs/>
          <w:sz w:val="24"/>
          <w:szCs w:val="24"/>
        </w:rPr>
        <w:t>Statista</w:t>
      </w:r>
      <w:r w:rsidRPr="00276C88">
        <w:rPr>
          <w:rFonts w:ascii="Arial" w:hAnsi="Arial" w:cs="Arial"/>
          <w:sz w:val="24"/>
          <w:szCs w:val="24"/>
        </w:rPr>
        <w:t>.</w:t>
      </w:r>
    </w:p>
    <w:p w14:paraId="7D8B9BA1" w14:textId="77777777" w:rsidR="00555237" w:rsidRPr="00C72CB9" w:rsidRDefault="00555237" w:rsidP="00C72CB9">
      <w:pPr>
        <w:tabs>
          <w:tab w:val="left" w:pos="709"/>
        </w:tabs>
        <w:spacing w:line="360" w:lineRule="auto"/>
        <w:ind w:firstLine="284"/>
        <w:jc w:val="both"/>
        <w:rPr>
          <w:rFonts w:ascii="Arial" w:hAnsi="Arial" w:cs="Arial"/>
          <w:sz w:val="24"/>
          <w:szCs w:val="24"/>
        </w:rPr>
      </w:pPr>
    </w:p>
    <w:sectPr w:rsidR="00555237" w:rsidRPr="00C72CB9" w:rsidSect="00C72CB9">
      <w:pgSz w:w="11906" w:h="16838"/>
      <w:pgMar w:top="1440" w:right="849"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76195"/>
    <w:multiLevelType w:val="multilevel"/>
    <w:tmpl w:val="B840F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DB5B24"/>
    <w:multiLevelType w:val="multilevel"/>
    <w:tmpl w:val="61402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C485C"/>
    <w:multiLevelType w:val="multilevel"/>
    <w:tmpl w:val="556A1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D288E"/>
    <w:multiLevelType w:val="multilevel"/>
    <w:tmpl w:val="2DDEF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6851DE"/>
    <w:multiLevelType w:val="multilevel"/>
    <w:tmpl w:val="CFC6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D758C5"/>
    <w:multiLevelType w:val="multilevel"/>
    <w:tmpl w:val="7F601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3C0A13"/>
    <w:multiLevelType w:val="multilevel"/>
    <w:tmpl w:val="B8C8838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265E61"/>
    <w:multiLevelType w:val="multilevel"/>
    <w:tmpl w:val="F5C0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D733B7"/>
    <w:multiLevelType w:val="multilevel"/>
    <w:tmpl w:val="871CB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D00D51"/>
    <w:multiLevelType w:val="multilevel"/>
    <w:tmpl w:val="FD0C5D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D05459"/>
    <w:multiLevelType w:val="hybridMultilevel"/>
    <w:tmpl w:val="1786D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191129"/>
    <w:multiLevelType w:val="multilevel"/>
    <w:tmpl w:val="2E4C9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3634B5"/>
    <w:multiLevelType w:val="multilevel"/>
    <w:tmpl w:val="5E600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752D19"/>
    <w:multiLevelType w:val="multilevel"/>
    <w:tmpl w:val="8AFA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C08FA"/>
    <w:multiLevelType w:val="multilevel"/>
    <w:tmpl w:val="22F0D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387DFE"/>
    <w:multiLevelType w:val="multilevel"/>
    <w:tmpl w:val="9710D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E61D49"/>
    <w:multiLevelType w:val="multilevel"/>
    <w:tmpl w:val="7E027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427FD9"/>
    <w:multiLevelType w:val="multilevel"/>
    <w:tmpl w:val="EB748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1B6EB5"/>
    <w:multiLevelType w:val="multilevel"/>
    <w:tmpl w:val="E41C8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F253A1"/>
    <w:multiLevelType w:val="multilevel"/>
    <w:tmpl w:val="41143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046936"/>
    <w:multiLevelType w:val="multilevel"/>
    <w:tmpl w:val="1C2A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7602FC"/>
    <w:multiLevelType w:val="multilevel"/>
    <w:tmpl w:val="42F4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A3605F"/>
    <w:multiLevelType w:val="hybridMultilevel"/>
    <w:tmpl w:val="57F60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CC77C7"/>
    <w:multiLevelType w:val="multilevel"/>
    <w:tmpl w:val="A0BA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1C27A5"/>
    <w:multiLevelType w:val="multilevel"/>
    <w:tmpl w:val="29BEE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EB5A38"/>
    <w:multiLevelType w:val="multilevel"/>
    <w:tmpl w:val="E4262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13499C"/>
    <w:multiLevelType w:val="multilevel"/>
    <w:tmpl w:val="71F657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9088680">
    <w:abstractNumId w:val="20"/>
  </w:num>
  <w:num w:numId="2" w16cid:durableId="1317807475">
    <w:abstractNumId w:val="4"/>
  </w:num>
  <w:num w:numId="3" w16cid:durableId="554856559">
    <w:abstractNumId w:val="21"/>
  </w:num>
  <w:num w:numId="4" w16cid:durableId="1277181670">
    <w:abstractNumId w:val="13"/>
  </w:num>
  <w:num w:numId="5" w16cid:durableId="1704163538">
    <w:abstractNumId w:val="15"/>
  </w:num>
  <w:num w:numId="6" w16cid:durableId="1430468452">
    <w:abstractNumId w:val="23"/>
  </w:num>
  <w:num w:numId="7" w16cid:durableId="1401707816">
    <w:abstractNumId w:val="14"/>
  </w:num>
  <w:num w:numId="8" w16cid:durableId="553465869">
    <w:abstractNumId w:val="5"/>
  </w:num>
  <w:num w:numId="9" w16cid:durableId="720207004">
    <w:abstractNumId w:val="26"/>
  </w:num>
  <w:num w:numId="10" w16cid:durableId="207380950">
    <w:abstractNumId w:val="17"/>
  </w:num>
  <w:num w:numId="11" w16cid:durableId="817459057">
    <w:abstractNumId w:val="7"/>
  </w:num>
  <w:num w:numId="12" w16cid:durableId="1328365950">
    <w:abstractNumId w:val="0"/>
  </w:num>
  <w:num w:numId="13" w16cid:durableId="437142116">
    <w:abstractNumId w:val="18"/>
  </w:num>
  <w:num w:numId="14" w16cid:durableId="332993626">
    <w:abstractNumId w:val="16"/>
  </w:num>
  <w:num w:numId="15" w16cid:durableId="1793285241">
    <w:abstractNumId w:val="25"/>
  </w:num>
  <w:num w:numId="16" w16cid:durableId="802574272">
    <w:abstractNumId w:val="24"/>
  </w:num>
  <w:num w:numId="17" w16cid:durableId="2034531557">
    <w:abstractNumId w:val="3"/>
  </w:num>
  <w:num w:numId="18" w16cid:durableId="1915626934">
    <w:abstractNumId w:val="12"/>
  </w:num>
  <w:num w:numId="19" w16cid:durableId="1282421009">
    <w:abstractNumId w:val="1"/>
  </w:num>
  <w:num w:numId="20" w16cid:durableId="1101416721">
    <w:abstractNumId w:val="9"/>
  </w:num>
  <w:num w:numId="21" w16cid:durableId="348602258">
    <w:abstractNumId w:val="19"/>
  </w:num>
  <w:num w:numId="22" w16cid:durableId="1456216875">
    <w:abstractNumId w:val="8"/>
  </w:num>
  <w:num w:numId="23" w16cid:durableId="2102792059">
    <w:abstractNumId w:val="2"/>
  </w:num>
  <w:num w:numId="24" w16cid:durableId="1177620267">
    <w:abstractNumId w:val="11"/>
  </w:num>
  <w:num w:numId="25" w16cid:durableId="1660426399">
    <w:abstractNumId w:val="6"/>
  </w:num>
  <w:num w:numId="26" w16cid:durableId="877397790">
    <w:abstractNumId w:val="22"/>
  </w:num>
  <w:num w:numId="27" w16cid:durableId="5910839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1DF"/>
    <w:rsid w:val="00025B31"/>
    <w:rsid w:val="001A7482"/>
    <w:rsid w:val="00276C88"/>
    <w:rsid w:val="005002B8"/>
    <w:rsid w:val="00555237"/>
    <w:rsid w:val="009A0539"/>
    <w:rsid w:val="00B33A15"/>
    <w:rsid w:val="00C05955"/>
    <w:rsid w:val="00C25D3D"/>
    <w:rsid w:val="00C72CB9"/>
    <w:rsid w:val="00D2041B"/>
    <w:rsid w:val="00DD41DF"/>
    <w:rsid w:val="00E22D66"/>
    <w:rsid w:val="00E94385"/>
    <w:rsid w:val="00EB3E86"/>
    <w:rsid w:val="00FB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1B909"/>
  <w15:chartTrackingRefBased/>
  <w15:docId w15:val="{E0EB3AC4-C6BD-4C20-8CE7-9A4697F9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72CB9"/>
    <w:pPr>
      <w:keepNext/>
      <w:keepLines/>
      <w:spacing w:before="360" w:after="80"/>
      <w:outlineLvl w:val="0"/>
    </w:pPr>
    <w:rPr>
      <w:rFonts w:ascii="Arial" w:eastAsiaTheme="majorEastAsia" w:hAnsi="Arial" w:cstheme="majorBidi"/>
      <w:b/>
      <w:sz w:val="36"/>
      <w:szCs w:val="40"/>
    </w:rPr>
  </w:style>
  <w:style w:type="paragraph" w:styleId="Heading2">
    <w:name w:val="heading 2"/>
    <w:basedOn w:val="Normal"/>
    <w:next w:val="Normal"/>
    <w:link w:val="Heading2Char"/>
    <w:uiPriority w:val="9"/>
    <w:unhideWhenUsed/>
    <w:qFormat/>
    <w:rsid w:val="00C72CB9"/>
    <w:pPr>
      <w:keepNext/>
      <w:keepLines/>
      <w:spacing w:before="160" w:after="80"/>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DD41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1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1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1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1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1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1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CB9"/>
    <w:rPr>
      <w:rFonts w:ascii="Arial" w:eastAsiaTheme="majorEastAsia" w:hAnsi="Arial" w:cstheme="majorBidi"/>
      <w:b/>
      <w:sz w:val="36"/>
      <w:szCs w:val="40"/>
    </w:rPr>
  </w:style>
  <w:style w:type="character" w:customStyle="1" w:styleId="Heading2Char">
    <w:name w:val="Heading 2 Char"/>
    <w:basedOn w:val="DefaultParagraphFont"/>
    <w:link w:val="Heading2"/>
    <w:uiPriority w:val="9"/>
    <w:rsid w:val="00C72CB9"/>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semiHidden/>
    <w:rsid w:val="00DD41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1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1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1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1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1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1DF"/>
    <w:rPr>
      <w:rFonts w:eastAsiaTheme="majorEastAsia" w:cstheme="majorBidi"/>
      <w:color w:val="272727" w:themeColor="text1" w:themeTint="D8"/>
    </w:rPr>
  </w:style>
  <w:style w:type="paragraph" w:styleId="Title">
    <w:name w:val="Title"/>
    <w:basedOn w:val="Normal"/>
    <w:next w:val="Normal"/>
    <w:link w:val="TitleChar"/>
    <w:uiPriority w:val="10"/>
    <w:qFormat/>
    <w:rsid w:val="00DD41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1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1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1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1DF"/>
    <w:pPr>
      <w:spacing w:before="160"/>
      <w:jc w:val="center"/>
    </w:pPr>
    <w:rPr>
      <w:i/>
      <w:iCs/>
      <w:color w:val="404040" w:themeColor="text1" w:themeTint="BF"/>
    </w:rPr>
  </w:style>
  <w:style w:type="character" w:customStyle="1" w:styleId="QuoteChar">
    <w:name w:val="Quote Char"/>
    <w:basedOn w:val="DefaultParagraphFont"/>
    <w:link w:val="Quote"/>
    <w:uiPriority w:val="29"/>
    <w:rsid w:val="00DD41DF"/>
    <w:rPr>
      <w:i/>
      <w:iCs/>
      <w:color w:val="404040" w:themeColor="text1" w:themeTint="BF"/>
    </w:rPr>
  </w:style>
  <w:style w:type="paragraph" w:styleId="ListParagraph">
    <w:name w:val="List Paragraph"/>
    <w:basedOn w:val="Normal"/>
    <w:uiPriority w:val="34"/>
    <w:qFormat/>
    <w:rsid w:val="00DD41DF"/>
    <w:pPr>
      <w:ind w:left="720"/>
      <w:contextualSpacing/>
    </w:pPr>
  </w:style>
  <w:style w:type="character" w:styleId="IntenseEmphasis">
    <w:name w:val="Intense Emphasis"/>
    <w:basedOn w:val="DefaultParagraphFont"/>
    <w:uiPriority w:val="21"/>
    <w:qFormat/>
    <w:rsid w:val="00DD41DF"/>
    <w:rPr>
      <w:i/>
      <w:iCs/>
      <w:color w:val="0F4761" w:themeColor="accent1" w:themeShade="BF"/>
    </w:rPr>
  </w:style>
  <w:style w:type="paragraph" w:styleId="IntenseQuote">
    <w:name w:val="Intense Quote"/>
    <w:basedOn w:val="Normal"/>
    <w:next w:val="Normal"/>
    <w:link w:val="IntenseQuoteChar"/>
    <w:uiPriority w:val="30"/>
    <w:qFormat/>
    <w:rsid w:val="00DD41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1DF"/>
    <w:rPr>
      <w:i/>
      <w:iCs/>
      <w:color w:val="0F4761" w:themeColor="accent1" w:themeShade="BF"/>
    </w:rPr>
  </w:style>
  <w:style w:type="character" w:styleId="IntenseReference">
    <w:name w:val="Intense Reference"/>
    <w:basedOn w:val="DefaultParagraphFont"/>
    <w:uiPriority w:val="32"/>
    <w:qFormat/>
    <w:rsid w:val="00DD41DF"/>
    <w:rPr>
      <w:b/>
      <w:bCs/>
      <w:smallCaps/>
      <w:color w:val="0F4761" w:themeColor="accent1" w:themeShade="BF"/>
      <w:spacing w:val="5"/>
    </w:rPr>
  </w:style>
  <w:style w:type="paragraph" w:styleId="NormalWeb">
    <w:name w:val="Normal (Web)"/>
    <w:basedOn w:val="Normal"/>
    <w:uiPriority w:val="99"/>
    <w:semiHidden/>
    <w:unhideWhenUsed/>
    <w:rsid w:val="00C72C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C72CB9"/>
    <w:pPr>
      <w:spacing w:before="240" w:after="0"/>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72CB9"/>
    <w:pPr>
      <w:spacing w:after="100"/>
    </w:pPr>
  </w:style>
  <w:style w:type="paragraph" w:styleId="TOC2">
    <w:name w:val="toc 2"/>
    <w:basedOn w:val="Normal"/>
    <w:next w:val="Normal"/>
    <w:autoRedefine/>
    <w:uiPriority w:val="39"/>
    <w:unhideWhenUsed/>
    <w:rsid w:val="00C72CB9"/>
    <w:pPr>
      <w:spacing w:after="100"/>
      <w:ind w:left="220"/>
    </w:pPr>
  </w:style>
  <w:style w:type="character" w:styleId="Hyperlink">
    <w:name w:val="Hyperlink"/>
    <w:basedOn w:val="DefaultParagraphFont"/>
    <w:uiPriority w:val="99"/>
    <w:unhideWhenUsed/>
    <w:rsid w:val="00C72CB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922926">
      <w:bodyDiv w:val="1"/>
      <w:marLeft w:val="0"/>
      <w:marRight w:val="0"/>
      <w:marTop w:val="0"/>
      <w:marBottom w:val="0"/>
      <w:divBdr>
        <w:top w:val="none" w:sz="0" w:space="0" w:color="auto"/>
        <w:left w:val="none" w:sz="0" w:space="0" w:color="auto"/>
        <w:bottom w:val="none" w:sz="0" w:space="0" w:color="auto"/>
        <w:right w:val="none" w:sz="0" w:space="0" w:color="auto"/>
      </w:divBdr>
    </w:div>
    <w:div w:id="657540555">
      <w:bodyDiv w:val="1"/>
      <w:marLeft w:val="0"/>
      <w:marRight w:val="0"/>
      <w:marTop w:val="0"/>
      <w:marBottom w:val="0"/>
      <w:divBdr>
        <w:top w:val="none" w:sz="0" w:space="0" w:color="auto"/>
        <w:left w:val="none" w:sz="0" w:space="0" w:color="auto"/>
        <w:bottom w:val="none" w:sz="0" w:space="0" w:color="auto"/>
        <w:right w:val="none" w:sz="0" w:space="0" w:color="auto"/>
      </w:divBdr>
    </w:div>
    <w:div w:id="836724964">
      <w:bodyDiv w:val="1"/>
      <w:marLeft w:val="0"/>
      <w:marRight w:val="0"/>
      <w:marTop w:val="0"/>
      <w:marBottom w:val="0"/>
      <w:divBdr>
        <w:top w:val="none" w:sz="0" w:space="0" w:color="auto"/>
        <w:left w:val="none" w:sz="0" w:space="0" w:color="auto"/>
        <w:bottom w:val="none" w:sz="0" w:space="0" w:color="auto"/>
        <w:right w:val="none" w:sz="0" w:space="0" w:color="auto"/>
      </w:divBdr>
    </w:div>
    <w:div w:id="880089908">
      <w:bodyDiv w:val="1"/>
      <w:marLeft w:val="0"/>
      <w:marRight w:val="0"/>
      <w:marTop w:val="0"/>
      <w:marBottom w:val="0"/>
      <w:divBdr>
        <w:top w:val="none" w:sz="0" w:space="0" w:color="auto"/>
        <w:left w:val="none" w:sz="0" w:space="0" w:color="auto"/>
        <w:bottom w:val="none" w:sz="0" w:space="0" w:color="auto"/>
        <w:right w:val="none" w:sz="0" w:space="0" w:color="auto"/>
      </w:divBdr>
    </w:div>
    <w:div w:id="940142471">
      <w:bodyDiv w:val="1"/>
      <w:marLeft w:val="0"/>
      <w:marRight w:val="0"/>
      <w:marTop w:val="0"/>
      <w:marBottom w:val="0"/>
      <w:divBdr>
        <w:top w:val="none" w:sz="0" w:space="0" w:color="auto"/>
        <w:left w:val="none" w:sz="0" w:space="0" w:color="auto"/>
        <w:bottom w:val="none" w:sz="0" w:space="0" w:color="auto"/>
        <w:right w:val="none" w:sz="0" w:space="0" w:color="auto"/>
      </w:divBdr>
    </w:div>
    <w:div w:id="1010909604">
      <w:bodyDiv w:val="1"/>
      <w:marLeft w:val="0"/>
      <w:marRight w:val="0"/>
      <w:marTop w:val="0"/>
      <w:marBottom w:val="0"/>
      <w:divBdr>
        <w:top w:val="none" w:sz="0" w:space="0" w:color="auto"/>
        <w:left w:val="none" w:sz="0" w:space="0" w:color="auto"/>
        <w:bottom w:val="none" w:sz="0" w:space="0" w:color="auto"/>
        <w:right w:val="none" w:sz="0" w:space="0" w:color="auto"/>
      </w:divBdr>
    </w:div>
    <w:div w:id="1207369997">
      <w:bodyDiv w:val="1"/>
      <w:marLeft w:val="0"/>
      <w:marRight w:val="0"/>
      <w:marTop w:val="0"/>
      <w:marBottom w:val="0"/>
      <w:divBdr>
        <w:top w:val="none" w:sz="0" w:space="0" w:color="auto"/>
        <w:left w:val="none" w:sz="0" w:space="0" w:color="auto"/>
        <w:bottom w:val="none" w:sz="0" w:space="0" w:color="auto"/>
        <w:right w:val="none" w:sz="0" w:space="0" w:color="auto"/>
      </w:divBdr>
    </w:div>
    <w:div w:id="1267424183">
      <w:bodyDiv w:val="1"/>
      <w:marLeft w:val="0"/>
      <w:marRight w:val="0"/>
      <w:marTop w:val="0"/>
      <w:marBottom w:val="0"/>
      <w:divBdr>
        <w:top w:val="none" w:sz="0" w:space="0" w:color="auto"/>
        <w:left w:val="none" w:sz="0" w:space="0" w:color="auto"/>
        <w:bottom w:val="none" w:sz="0" w:space="0" w:color="auto"/>
        <w:right w:val="none" w:sz="0" w:space="0" w:color="auto"/>
      </w:divBdr>
    </w:div>
    <w:div w:id="1274168618">
      <w:bodyDiv w:val="1"/>
      <w:marLeft w:val="0"/>
      <w:marRight w:val="0"/>
      <w:marTop w:val="0"/>
      <w:marBottom w:val="0"/>
      <w:divBdr>
        <w:top w:val="none" w:sz="0" w:space="0" w:color="auto"/>
        <w:left w:val="none" w:sz="0" w:space="0" w:color="auto"/>
        <w:bottom w:val="none" w:sz="0" w:space="0" w:color="auto"/>
        <w:right w:val="none" w:sz="0" w:space="0" w:color="auto"/>
      </w:divBdr>
    </w:div>
    <w:div w:id="1390614386">
      <w:bodyDiv w:val="1"/>
      <w:marLeft w:val="0"/>
      <w:marRight w:val="0"/>
      <w:marTop w:val="0"/>
      <w:marBottom w:val="0"/>
      <w:divBdr>
        <w:top w:val="none" w:sz="0" w:space="0" w:color="auto"/>
        <w:left w:val="none" w:sz="0" w:space="0" w:color="auto"/>
        <w:bottom w:val="none" w:sz="0" w:space="0" w:color="auto"/>
        <w:right w:val="none" w:sz="0" w:space="0" w:color="auto"/>
      </w:divBdr>
    </w:div>
    <w:div w:id="1494030106">
      <w:bodyDiv w:val="1"/>
      <w:marLeft w:val="0"/>
      <w:marRight w:val="0"/>
      <w:marTop w:val="0"/>
      <w:marBottom w:val="0"/>
      <w:divBdr>
        <w:top w:val="none" w:sz="0" w:space="0" w:color="auto"/>
        <w:left w:val="none" w:sz="0" w:space="0" w:color="auto"/>
        <w:bottom w:val="none" w:sz="0" w:space="0" w:color="auto"/>
        <w:right w:val="none" w:sz="0" w:space="0" w:color="auto"/>
      </w:divBdr>
    </w:div>
    <w:div w:id="1956013272">
      <w:bodyDiv w:val="1"/>
      <w:marLeft w:val="0"/>
      <w:marRight w:val="0"/>
      <w:marTop w:val="0"/>
      <w:marBottom w:val="0"/>
      <w:divBdr>
        <w:top w:val="none" w:sz="0" w:space="0" w:color="auto"/>
        <w:left w:val="none" w:sz="0" w:space="0" w:color="auto"/>
        <w:bottom w:val="none" w:sz="0" w:space="0" w:color="auto"/>
        <w:right w:val="none" w:sz="0" w:space="0" w:color="auto"/>
      </w:divBdr>
    </w:div>
    <w:div w:id="1983002942">
      <w:bodyDiv w:val="1"/>
      <w:marLeft w:val="0"/>
      <w:marRight w:val="0"/>
      <w:marTop w:val="0"/>
      <w:marBottom w:val="0"/>
      <w:divBdr>
        <w:top w:val="none" w:sz="0" w:space="0" w:color="auto"/>
        <w:left w:val="none" w:sz="0" w:space="0" w:color="auto"/>
        <w:bottom w:val="none" w:sz="0" w:space="0" w:color="auto"/>
        <w:right w:val="none" w:sz="0" w:space="0" w:color="auto"/>
      </w:divBdr>
    </w:div>
    <w:div w:id="2096783550">
      <w:bodyDiv w:val="1"/>
      <w:marLeft w:val="0"/>
      <w:marRight w:val="0"/>
      <w:marTop w:val="0"/>
      <w:marBottom w:val="0"/>
      <w:divBdr>
        <w:top w:val="none" w:sz="0" w:space="0" w:color="auto"/>
        <w:left w:val="none" w:sz="0" w:space="0" w:color="auto"/>
        <w:bottom w:val="none" w:sz="0" w:space="0" w:color="auto"/>
        <w:right w:val="none" w:sz="0" w:space="0" w:color="auto"/>
      </w:divBdr>
    </w:div>
    <w:div w:id="212645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3339F-4267-4133-AE28-70BE6C53B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3132</Words>
  <Characters>17855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Tree Accounting and Business Consulting Ltd</dc:creator>
  <cp:keywords/>
  <dc:description/>
  <cp:lastModifiedBy>Golden Tree Accounting and Business Consulting Ltd</cp:lastModifiedBy>
  <cp:revision>4</cp:revision>
  <dcterms:created xsi:type="dcterms:W3CDTF">2024-10-20T11:53:00Z</dcterms:created>
  <dcterms:modified xsi:type="dcterms:W3CDTF">2024-10-20T12:52:00Z</dcterms:modified>
</cp:coreProperties>
</file>