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1FACB" w14:textId="7D7BE121" w:rsidR="00486A52" w:rsidRPr="00486A52" w:rsidRDefault="00D2517E" w:rsidP="005A7741">
      <w:pPr>
        <w:jc w:val="center"/>
        <w:rPr>
          <w:rFonts w:cs="Times New Roman"/>
          <w:b/>
          <w:sz w:val="36"/>
        </w:rPr>
      </w:pPr>
      <w:r>
        <w:rPr>
          <w:noProof/>
        </w:rPr>
        <w:drawing>
          <wp:inline distT="0" distB="0" distL="0" distR="0" wp14:anchorId="2ECAF0D1" wp14:editId="21816E94">
            <wp:extent cx="2514600" cy="1384300"/>
            <wp:effectExtent l="0" t="0" r="0" b="6350"/>
            <wp:docPr id="708719435"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00" cy="1384300"/>
                    </a:xfrm>
                    <a:prstGeom prst="rect">
                      <a:avLst/>
                    </a:prstGeom>
                    <a:noFill/>
                    <a:ln>
                      <a:noFill/>
                    </a:ln>
                  </pic:spPr>
                </pic:pic>
              </a:graphicData>
            </a:graphic>
          </wp:inline>
        </w:drawing>
      </w:r>
    </w:p>
    <w:p w14:paraId="05CEF45F" w14:textId="77777777" w:rsidR="00486A52" w:rsidRPr="00486A52" w:rsidRDefault="00486A52" w:rsidP="005A7741">
      <w:pPr>
        <w:jc w:val="center"/>
        <w:rPr>
          <w:rFonts w:cs="Times New Roman"/>
          <w:b/>
          <w:sz w:val="36"/>
        </w:rPr>
      </w:pPr>
    </w:p>
    <w:p w14:paraId="6F81A3F2" w14:textId="77777777" w:rsidR="00486A52" w:rsidRPr="00486A52" w:rsidRDefault="00486A52" w:rsidP="005A7741">
      <w:pPr>
        <w:jc w:val="center"/>
        <w:rPr>
          <w:rFonts w:cs="Times New Roman"/>
          <w:b/>
          <w:sz w:val="36"/>
        </w:rPr>
      </w:pPr>
    </w:p>
    <w:p w14:paraId="5B7B6709" w14:textId="77777777" w:rsidR="00486A52" w:rsidRPr="00486A52" w:rsidRDefault="00486A52" w:rsidP="005A7741">
      <w:pPr>
        <w:jc w:val="center"/>
        <w:rPr>
          <w:rFonts w:cs="Times New Roman"/>
          <w:b/>
          <w:sz w:val="36"/>
        </w:rPr>
      </w:pPr>
    </w:p>
    <w:p w14:paraId="703939FE" w14:textId="742E49B7" w:rsidR="00DA4CDE" w:rsidRDefault="00DA4CDE" w:rsidP="00DA4CDE">
      <w:pPr>
        <w:jc w:val="center"/>
        <w:rPr>
          <w:rFonts w:cs="Times New Roman"/>
          <w:b/>
          <w:sz w:val="36"/>
          <w:szCs w:val="36"/>
        </w:rPr>
      </w:pPr>
      <w:r w:rsidRPr="00DA4CDE">
        <w:rPr>
          <w:rFonts w:cs="Times New Roman"/>
          <w:b/>
          <w:sz w:val="36"/>
          <w:szCs w:val="36"/>
        </w:rPr>
        <w:t>Student name: Sheneya Akther Peya</w:t>
      </w:r>
    </w:p>
    <w:p w14:paraId="15433E82" w14:textId="5726D913" w:rsidR="00DA4CDE" w:rsidRPr="00DA4CDE" w:rsidRDefault="00DA4CDE" w:rsidP="00DA4CDE">
      <w:pPr>
        <w:jc w:val="center"/>
        <w:rPr>
          <w:rFonts w:cs="Times New Roman"/>
          <w:b/>
          <w:sz w:val="36"/>
          <w:szCs w:val="36"/>
        </w:rPr>
      </w:pPr>
      <w:r w:rsidRPr="00DA4CDE">
        <w:rPr>
          <w:rFonts w:cs="Times New Roman"/>
          <w:b/>
          <w:sz w:val="36"/>
          <w:szCs w:val="36"/>
        </w:rPr>
        <w:t>Student number: 2442413</w:t>
      </w:r>
    </w:p>
    <w:p w14:paraId="282CA24E" w14:textId="494B7E4D" w:rsidR="00486A52" w:rsidRPr="00DA4CDE" w:rsidRDefault="000D3FEC" w:rsidP="00486A52">
      <w:pPr>
        <w:jc w:val="center"/>
        <w:rPr>
          <w:rFonts w:cs="Times New Roman"/>
          <w:b/>
          <w:sz w:val="36"/>
          <w:szCs w:val="36"/>
        </w:rPr>
      </w:pPr>
      <w:r w:rsidRPr="00DA4CDE">
        <w:rPr>
          <w:rFonts w:cs="Times New Roman"/>
          <w:b/>
          <w:color w:val="1F1F1F"/>
          <w:sz w:val="36"/>
          <w:szCs w:val="36"/>
          <w:shd w:val="clear" w:color="auto" w:fill="FFFFFF"/>
        </w:rPr>
        <w:t>Module</w:t>
      </w:r>
      <w:r w:rsidR="00D2517E" w:rsidRPr="00DA4CDE">
        <w:rPr>
          <w:rFonts w:cs="Times New Roman"/>
          <w:b/>
          <w:color w:val="1F1F1F"/>
          <w:sz w:val="36"/>
          <w:szCs w:val="36"/>
          <w:shd w:val="clear" w:color="auto" w:fill="FFFFFF"/>
        </w:rPr>
        <w:t xml:space="preserve"> code: </w:t>
      </w:r>
      <w:r w:rsidR="00486A52" w:rsidRPr="00DA4CDE">
        <w:rPr>
          <w:rFonts w:cs="Times New Roman"/>
          <w:b/>
          <w:color w:val="1F1F1F"/>
          <w:sz w:val="36"/>
          <w:szCs w:val="36"/>
          <w:shd w:val="clear" w:color="auto" w:fill="FFFFFF"/>
        </w:rPr>
        <w:t>LCHS4010</w:t>
      </w:r>
    </w:p>
    <w:p w14:paraId="535B629A" w14:textId="0CE66574" w:rsidR="00A23F4C" w:rsidRPr="00DA4CDE" w:rsidRDefault="000D3FEC" w:rsidP="005A7741">
      <w:pPr>
        <w:jc w:val="center"/>
        <w:rPr>
          <w:rFonts w:cs="Times New Roman"/>
          <w:b/>
          <w:sz w:val="36"/>
          <w:szCs w:val="36"/>
        </w:rPr>
      </w:pPr>
      <w:r w:rsidRPr="00DA4CDE">
        <w:rPr>
          <w:rFonts w:cs="Times New Roman"/>
          <w:b/>
          <w:sz w:val="36"/>
          <w:szCs w:val="36"/>
        </w:rPr>
        <w:t xml:space="preserve">Module name: </w:t>
      </w:r>
      <w:r w:rsidR="005A7741" w:rsidRPr="00DA4CDE">
        <w:rPr>
          <w:rFonts w:cs="Times New Roman"/>
          <w:b/>
          <w:sz w:val="36"/>
          <w:szCs w:val="36"/>
        </w:rPr>
        <w:t>Psychology in Health and Social Care</w:t>
      </w:r>
    </w:p>
    <w:p w14:paraId="5457BD80" w14:textId="6E08C264" w:rsidR="00486A52" w:rsidRPr="00DA4CDE" w:rsidRDefault="00D2517E" w:rsidP="00252D6F">
      <w:pPr>
        <w:jc w:val="center"/>
        <w:rPr>
          <w:rFonts w:cs="Times New Roman"/>
          <w:b/>
          <w:sz w:val="36"/>
          <w:szCs w:val="36"/>
        </w:rPr>
      </w:pPr>
      <w:r w:rsidRPr="00DA4CDE">
        <w:rPr>
          <w:rFonts w:cs="Times New Roman"/>
          <w:b/>
          <w:sz w:val="36"/>
          <w:szCs w:val="36"/>
        </w:rPr>
        <w:t>Lecturer’s name: Shepherd Ziko</w:t>
      </w:r>
    </w:p>
    <w:p w14:paraId="450DC439" w14:textId="1A99413D" w:rsidR="00486A52" w:rsidRDefault="00FF4C2E" w:rsidP="005A7741">
      <w:pPr>
        <w:jc w:val="center"/>
        <w:rPr>
          <w:rFonts w:cs="Times New Roman"/>
          <w:b/>
          <w:color w:val="1F1F1F"/>
          <w:sz w:val="36"/>
          <w:szCs w:val="36"/>
          <w:shd w:val="clear" w:color="auto" w:fill="FFFFFF"/>
        </w:rPr>
      </w:pPr>
      <w:r w:rsidRPr="00DA4CDE">
        <w:rPr>
          <w:rFonts w:cs="Times New Roman"/>
          <w:b/>
          <w:color w:val="1F1F1F"/>
          <w:sz w:val="36"/>
          <w:szCs w:val="36"/>
          <w:shd w:val="clear" w:color="auto" w:fill="FFFFFF"/>
        </w:rPr>
        <w:t xml:space="preserve">Assignment Title: </w:t>
      </w:r>
      <w:r w:rsidR="00486A52" w:rsidRPr="00DA4CDE">
        <w:rPr>
          <w:rFonts w:cs="Times New Roman"/>
          <w:b/>
          <w:color w:val="1F1F1F"/>
          <w:sz w:val="36"/>
          <w:szCs w:val="36"/>
          <w:shd w:val="clear" w:color="auto" w:fill="FFFFFF"/>
        </w:rPr>
        <w:t>Assessment 2: Bibliography &amp; report</w:t>
      </w:r>
    </w:p>
    <w:p w14:paraId="5B939CBE" w14:textId="48F11232" w:rsidR="00252D6F" w:rsidRDefault="00290835" w:rsidP="00715190">
      <w:pPr>
        <w:jc w:val="left"/>
        <w:rPr>
          <w:rFonts w:cs="Times New Roman"/>
          <w:bCs/>
          <w:color w:val="1F1F1F"/>
          <w:szCs w:val="24"/>
          <w:shd w:val="clear" w:color="auto" w:fill="FFFFFF"/>
        </w:rPr>
      </w:pPr>
      <w:r>
        <w:rPr>
          <w:rFonts w:cs="Times New Roman"/>
          <w:bCs/>
          <w:color w:val="1F1F1F"/>
          <w:szCs w:val="24"/>
          <w:shd w:val="clear" w:color="auto" w:fill="FFFFFF"/>
        </w:rPr>
        <w:t xml:space="preserve">                                               </w:t>
      </w:r>
      <w:r w:rsidR="00715190" w:rsidRPr="00843E85">
        <w:rPr>
          <w:rFonts w:cs="Times New Roman"/>
          <w:bCs/>
          <w:color w:val="1F1F1F"/>
          <w:szCs w:val="24"/>
          <w:shd w:val="clear" w:color="auto" w:fill="FFFFFF"/>
        </w:rPr>
        <w:t>Acknowledgment of the use of AI tools</w:t>
      </w:r>
    </w:p>
    <w:p w14:paraId="1B55888A" w14:textId="0B2D1F73" w:rsidR="00715190" w:rsidRPr="00715190" w:rsidRDefault="00715190" w:rsidP="00715190">
      <w:pPr>
        <w:jc w:val="left"/>
        <w:rPr>
          <w:rFonts w:cs="Times New Roman"/>
          <w:bCs/>
          <w:color w:val="1F1F1F"/>
          <w:szCs w:val="24"/>
          <w:shd w:val="clear" w:color="auto" w:fill="FFFFFF"/>
        </w:rPr>
      </w:pPr>
      <w:r w:rsidRPr="00715190">
        <w:rPr>
          <w:rFonts w:cs="Times New Roman"/>
          <w:bCs/>
          <w:color w:val="1F1F1F"/>
          <w:szCs w:val="24"/>
          <w:shd w:val="clear" w:color="auto" w:fill="FFFFFF"/>
        </w:rPr>
        <w:t>I confirm that I have not used any form of AI in my assignment.  I confirm I have copies of my drafts, notes, and other resources I have used to prepare my assignment.</w:t>
      </w:r>
    </w:p>
    <w:p w14:paraId="1FDCD476" w14:textId="77777777" w:rsidR="009553E1" w:rsidRDefault="009553E1" w:rsidP="009553E1">
      <w:pPr>
        <w:jc w:val="left"/>
        <w:rPr>
          <w:rFonts w:cs="Times New Roman"/>
          <w:b/>
          <w:color w:val="1F1F1F"/>
          <w:sz w:val="36"/>
          <w:szCs w:val="36"/>
          <w:shd w:val="clear" w:color="auto" w:fill="FFFFFF"/>
        </w:rPr>
      </w:pPr>
    </w:p>
    <w:p w14:paraId="65689593" w14:textId="25D26838" w:rsidR="009553E1" w:rsidRPr="00DA4CDE" w:rsidRDefault="009553E1" w:rsidP="005A7741">
      <w:pPr>
        <w:jc w:val="center"/>
        <w:rPr>
          <w:rFonts w:cs="Times New Roman"/>
          <w:b/>
          <w:sz w:val="36"/>
          <w:szCs w:val="36"/>
        </w:rPr>
      </w:pPr>
      <w:r>
        <w:rPr>
          <w:rFonts w:cs="Times New Roman"/>
          <w:b/>
          <w:color w:val="1F1F1F"/>
          <w:sz w:val="36"/>
          <w:szCs w:val="36"/>
          <w:shd w:val="clear" w:color="auto" w:fill="FFFFFF"/>
        </w:rPr>
        <w:t xml:space="preserve"> </w:t>
      </w:r>
    </w:p>
    <w:p w14:paraId="3C2D87B0" w14:textId="77777777" w:rsidR="00A23F4C" w:rsidRPr="00486A52" w:rsidRDefault="00A23F4C" w:rsidP="00A23F4C">
      <w:pPr>
        <w:rPr>
          <w:rFonts w:eastAsiaTheme="majorEastAsia" w:cs="Times New Roman"/>
          <w:color w:val="2F5496" w:themeColor="accent1" w:themeShade="BF"/>
        </w:rPr>
      </w:pPr>
      <w:r w:rsidRPr="00486A52">
        <w:rPr>
          <w:rFonts w:cs="Times New Roman"/>
        </w:rPr>
        <w:br w:type="page"/>
      </w:r>
    </w:p>
    <w:sdt>
      <w:sdtPr>
        <w:rPr>
          <w:rFonts w:ascii="Times New Roman" w:eastAsiaTheme="minorHAnsi" w:hAnsi="Times New Roman" w:cs="Times New Roman"/>
          <w:color w:val="auto"/>
          <w:sz w:val="24"/>
          <w:szCs w:val="22"/>
          <w:lang w:val="en-GB"/>
          <w14:ligatures w14:val="standardContextual"/>
        </w:rPr>
        <w:id w:val="1322392471"/>
        <w:docPartObj>
          <w:docPartGallery w:val="Table of Contents"/>
          <w:docPartUnique/>
        </w:docPartObj>
      </w:sdtPr>
      <w:sdtEndPr>
        <w:rPr>
          <w:b/>
          <w:bCs/>
          <w:noProof/>
        </w:rPr>
      </w:sdtEndPr>
      <w:sdtContent>
        <w:p w14:paraId="39BB41A1" w14:textId="77777777" w:rsidR="00A23F4C" w:rsidRPr="00486A52" w:rsidRDefault="00A23F4C">
          <w:pPr>
            <w:pStyle w:val="TOCHeading"/>
            <w:rPr>
              <w:rFonts w:ascii="Times New Roman" w:hAnsi="Times New Roman" w:cs="Times New Roman"/>
            </w:rPr>
          </w:pPr>
          <w:r w:rsidRPr="00486A52">
            <w:rPr>
              <w:rFonts w:ascii="Times New Roman" w:hAnsi="Times New Roman" w:cs="Times New Roman"/>
            </w:rPr>
            <w:t>Contents</w:t>
          </w:r>
        </w:p>
        <w:p w14:paraId="5FD19D65" w14:textId="77777777" w:rsidR="00EF59F0" w:rsidRDefault="00A23F4C">
          <w:pPr>
            <w:pStyle w:val="TOC1"/>
            <w:tabs>
              <w:tab w:val="right" w:leader="dot" w:pos="9020"/>
            </w:tabs>
            <w:rPr>
              <w:rFonts w:asciiTheme="minorHAnsi" w:eastAsiaTheme="minorEastAsia" w:hAnsiTheme="minorHAnsi"/>
              <w:noProof/>
              <w:sz w:val="22"/>
              <w:lang w:val="en-US"/>
              <w14:ligatures w14:val="none"/>
            </w:rPr>
          </w:pPr>
          <w:r w:rsidRPr="00486A52">
            <w:rPr>
              <w:rFonts w:cs="Times New Roman"/>
            </w:rPr>
            <w:fldChar w:fldCharType="begin"/>
          </w:r>
          <w:r w:rsidRPr="00486A52">
            <w:rPr>
              <w:rFonts w:cs="Times New Roman"/>
            </w:rPr>
            <w:instrText xml:space="preserve"> TOC \o "1-3" \h \z \u </w:instrText>
          </w:r>
          <w:r w:rsidRPr="00486A52">
            <w:rPr>
              <w:rFonts w:cs="Times New Roman"/>
            </w:rPr>
            <w:fldChar w:fldCharType="separate"/>
          </w:r>
          <w:hyperlink w:anchor="_Toc227453673" w:history="1">
            <w:r w:rsidR="00EF59F0" w:rsidRPr="00C80A2F">
              <w:rPr>
                <w:rStyle w:val="Hyperlink"/>
                <w:rFonts w:cs="Times New Roman"/>
                <w:noProof/>
              </w:rPr>
              <w:t>Part A: Annotated Bibliography</w:t>
            </w:r>
            <w:r w:rsidR="00EF59F0">
              <w:rPr>
                <w:noProof/>
                <w:webHidden/>
              </w:rPr>
              <w:tab/>
            </w:r>
            <w:r w:rsidR="00EF59F0">
              <w:rPr>
                <w:noProof/>
                <w:webHidden/>
              </w:rPr>
              <w:fldChar w:fldCharType="begin"/>
            </w:r>
            <w:r w:rsidR="00EF59F0">
              <w:rPr>
                <w:noProof/>
                <w:webHidden/>
              </w:rPr>
              <w:instrText xml:space="preserve"> PAGEREF _Toc227453673 \h </w:instrText>
            </w:r>
            <w:r w:rsidR="00EF59F0">
              <w:rPr>
                <w:noProof/>
                <w:webHidden/>
              </w:rPr>
            </w:r>
            <w:r w:rsidR="00EF59F0">
              <w:rPr>
                <w:noProof/>
                <w:webHidden/>
              </w:rPr>
              <w:fldChar w:fldCharType="separate"/>
            </w:r>
            <w:r w:rsidR="00EF59F0">
              <w:rPr>
                <w:noProof/>
                <w:webHidden/>
              </w:rPr>
              <w:t>3</w:t>
            </w:r>
            <w:r w:rsidR="00EF59F0">
              <w:rPr>
                <w:noProof/>
                <w:webHidden/>
              </w:rPr>
              <w:fldChar w:fldCharType="end"/>
            </w:r>
          </w:hyperlink>
        </w:p>
        <w:p w14:paraId="079018B7" w14:textId="77777777" w:rsidR="00EF59F0" w:rsidRDefault="00EF59F0">
          <w:pPr>
            <w:pStyle w:val="TOC1"/>
            <w:tabs>
              <w:tab w:val="right" w:leader="dot" w:pos="9020"/>
            </w:tabs>
            <w:rPr>
              <w:rFonts w:asciiTheme="minorHAnsi" w:eastAsiaTheme="minorEastAsia" w:hAnsiTheme="minorHAnsi"/>
              <w:noProof/>
              <w:sz w:val="22"/>
              <w:lang w:val="en-US"/>
              <w14:ligatures w14:val="none"/>
            </w:rPr>
          </w:pPr>
          <w:hyperlink w:anchor="_Toc227453674" w:history="1">
            <w:r w:rsidRPr="00C80A2F">
              <w:rPr>
                <w:rStyle w:val="Hyperlink"/>
                <w:rFonts w:cs="Times New Roman"/>
                <w:noProof/>
              </w:rPr>
              <w:t>Part B: Short Report: The self-efficacy theory to improve well-being in Residential care.</w:t>
            </w:r>
            <w:r>
              <w:rPr>
                <w:noProof/>
                <w:webHidden/>
              </w:rPr>
              <w:tab/>
            </w:r>
            <w:r>
              <w:rPr>
                <w:noProof/>
                <w:webHidden/>
              </w:rPr>
              <w:fldChar w:fldCharType="begin"/>
            </w:r>
            <w:r>
              <w:rPr>
                <w:noProof/>
                <w:webHidden/>
              </w:rPr>
              <w:instrText xml:space="preserve"> PAGEREF _Toc227453674 \h </w:instrText>
            </w:r>
            <w:r>
              <w:rPr>
                <w:noProof/>
                <w:webHidden/>
              </w:rPr>
            </w:r>
            <w:r>
              <w:rPr>
                <w:noProof/>
                <w:webHidden/>
              </w:rPr>
              <w:fldChar w:fldCharType="separate"/>
            </w:r>
            <w:r>
              <w:rPr>
                <w:noProof/>
                <w:webHidden/>
              </w:rPr>
              <w:t>6</w:t>
            </w:r>
            <w:r>
              <w:rPr>
                <w:noProof/>
                <w:webHidden/>
              </w:rPr>
              <w:fldChar w:fldCharType="end"/>
            </w:r>
          </w:hyperlink>
        </w:p>
        <w:p w14:paraId="3E10E2F9" w14:textId="77777777" w:rsidR="00EF59F0" w:rsidRDefault="00EF59F0">
          <w:pPr>
            <w:pStyle w:val="TOC2"/>
            <w:tabs>
              <w:tab w:val="right" w:leader="dot" w:pos="9020"/>
            </w:tabs>
            <w:rPr>
              <w:rFonts w:asciiTheme="minorHAnsi" w:eastAsiaTheme="minorEastAsia" w:hAnsiTheme="minorHAnsi"/>
              <w:noProof/>
              <w:sz w:val="22"/>
              <w:lang w:val="en-US"/>
              <w14:ligatures w14:val="none"/>
            </w:rPr>
          </w:pPr>
          <w:hyperlink w:anchor="_Toc227453675" w:history="1">
            <w:r w:rsidRPr="00C80A2F">
              <w:rPr>
                <w:rStyle w:val="Hyperlink"/>
                <w:rFonts w:cs="Times New Roman"/>
                <w:noProof/>
              </w:rPr>
              <w:t>Introduction</w:t>
            </w:r>
            <w:r>
              <w:rPr>
                <w:noProof/>
                <w:webHidden/>
              </w:rPr>
              <w:tab/>
            </w:r>
            <w:r>
              <w:rPr>
                <w:noProof/>
                <w:webHidden/>
              </w:rPr>
              <w:fldChar w:fldCharType="begin"/>
            </w:r>
            <w:r>
              <w:rPr>
                <w:noProof/>
                <w:webHidden/>
              </w:rPr>
              <w:instrText xml:space="preserve"> PAGEREF _Toc227453675 \h </w:instrText>
            </w:r>
            <w:r>
              <w:rPr>
                <w:noProof/>
                <w:webHidden/>
              </w:rPr>
            </w:r>
            <w:r>
              <w:rPr>
                <w:noProof/>
                <w:webHidden/>
              </w:rPr>
              <w:fldChar w:fldCharType="separate"/>
            </w:r>
            <w:r>
              <w:rPr>
                <w:noProof/>
                <w:webHidden/>
              </w:rPr>
              <w:t>6</w:t>
            </w:r>
            <w:r>
              <w:rPr>
                <w:noProof/>
                <w:webHidden/>
              </w:rPr>
              <w:fldChar w:fldCharType="end"/>
            </w:r>
          </w:hyperlink>
        </w:p>
        <w:p w14:paraId="28E030AB" w14:textId="77777777" w:rsidR="00EF59F0" w:rsidRDefault="00EF59F0">
          <w:pPr>
            <w:pStyle w:val="TOC2"/>
            <w:tabs>
              <w:tab w:val="right" w:leader="dot" w:pos="9020"/>
            </w:tabs>
            <w:rPr>
              <w:rFonts w:asciiTheme="minorHAnsi" w:eastAsiaTheme="minorEastAsia" w:hAnsiTheme="minorHAnsi"/>
              <w:noProof/>
              <w:sz w:val="22"/>
              <w:lang w:val="en-US"/>
              <w14:ligatures w14:val="none"/>
            </w:rPr>
          </w:pPr>
          <w:hyperlink w:anchor="_Toc227453676" w:history="1">
            <w:r w:rsidRPr="00C80A2F">
              <w:rPr>
                <w:rStyle w:val="Hyperlink"/>
                <w:rFonts w:cs="Times New Roman"/>
                <w:noProof/>
              </w:rPr>
              <w:t>Applying Self-Efficacy Theory in Residential Care</w:t>
            </w:r>
            <w:r>
              <w:rPr>
                <w:noProof/>
                <w:webHidden/>
              </w:rPr>
              <w:tab/>
            </w:r>
            <w:r>
              <w:rPr>
                <w:noProof/>
                <w:webHidden/>
              </w:rPr>
              <w:fldChar w:fldCharType="begin"/>
            </w:r>
            <w:r>
              <w:rPr>
                <w:noProof/>
                <w:webHidden/>
              </w:rPr>
              <w:instrText xml:space="preserve"> PAGEREF _Toc227453676 \h </w:instrText>
            </w:r>
            <w:r>
              <w:rPr>
                <w:noProof/>
                <w:webHidden/>
              </w:rPr>
            </w:r>
            <w:r>
              <w:rPr>
                <w:noProof/>
                <w:webHidden/>
              </w:rPr>
              <w:fldChar w:fldCharType="separate"/>
            </w:r>
            <w:r>
              <w:rPr>
                <w:noProof/>
                <w:webHidden/>
              </w:rPr>
              <w:t>6</w:t>
            </w:r>
            <w:r>
              <w:rPr>
                <w:noProof/>
                <w:webHidden/>
              </w:rPr>
              <w:fldChar w:fldCharType="end"/>
            </w:r>
          </w:hyperlink>
        </w:p>
        <w:p w14:paraId="3BB7CB2A" w14:textId="77777777" w:rsidR="00EF59F0" w:rsidRDefault="00EF59F0">
          <w:pPr>
            <w:pStyle w:val="TOC2"/>
            <w:tabs>
              <w:tab w:val="right" w:leader="dot" w:pos="9020"/>
            </w:tabs>
            <w:rPr>
              <w:rFonts w:asciiTheme="minorHAnsi" w:eastAsiaTheme="minorEastAsia" w:hAnsiTheme="minorHAnsi"/>
              <w:noProof/>
              <w:sz w:val="22"/>
              <w:lang w:val="en-US"/>
              <w14:ligatures w14:val="none"/>
            </w:rPr>
          </w:pPr>
          <w:hyperlink w:anchor="_Toc227453677" w:history="1">
            <w:r w:rsidRPr="00C80A2F">
              <w:rPr>
                <w:rStyle w:val="Hyperlink"/>
                <w:rFonts w:cs="Times New Roman"/>
                <w:noProof/>
              </w:rPr>
              <w:t>Case Scenario</w:t>
            </w:r>
            <w:r>
              <w:rPr>
                <w:noProof/>
                <w:webHidden/>
              </w:rPr>
              <w:tab/>
            </w:r>
            <w:r>
              <w:rPr>
                <w:noProof/>
                <w:webHidden/>
              </w:rPr>
              <w:fldChar w:fldCharType="begin"/>
            </w:r>
            <w:r>
              <w:rPr>
                <w:noProof/>
                <w:webHidden/>
              </w:rPr>
              <w:instrText xml:space="preserve"> PAGEREF _Toc227453677 \h </w:instrText>
            </w:r>
            <w:r>
              <w:rPr>
                <w:noProof/>
                <w:webHidden/>
              </w:rPr>
            </w:r>
            <w:r>
              <w:rPr>
                <w:noProof/>
                <w:webHidden/>
              </w:rPr>
              <w:fldChar w:fldCharType="separate"/>
            </w:r>
            <w:r>
              <w:rPr>
                <w:noProof/>
                <w:webHidden/>
              </w:rPr>
              <w:t>6</w:t>
            </w:r>
            <w:r>
              <w:rPr>
                <w:noProof/>
                <w:webHidden/>
              </w:rPr>
              <w:fldChar w:fldCharType="end"/>
            </w:r>
          </w:hyperlink>
        </w:p>
        <w:p w14:paraId="14F9E932" w14:textId="77777777" w:rsidR="00EF59F0" w:rsidRDefault="00EF59F0">
          <w:pPr>
            <w:pStyle w:val="TOC2"/>
            <w:tabs>
              <w:tab w:val="right" w:leader="dot" w:pos="9020"/>
            </w:tabs>
            <w:rPr>
              <w:rFonts w:asciiTheme="minorHAnsi" w:eastAsiaTheme="minorEastAsia" w:hAnsiTheme="minorHAnsi"/>
              <w:noProof/>
              <w:sz w:val="22"/>
              <w:lang w:val="en-US"/>
              <w14:ligatures w14:val="none"/>
            </w:rPr>
          </w:pPr>
          <w:hyperlink w:anchor="_Toc227453678" w:history="1">
            <w:r w:rsidRPr="00C80A2F">
              <w:rPr>
                <w:rStyle w:val="Hyperlink"/>
                <w:rFonts w:cs="Times New Roman"/>
                <w:noProof/>
              </w:rPr>
              <w:t>Challenge in Application</w:t>
            </w:r>
            <w:r>
              <w:rPr>
                <w:noProof/>
                <w:webHidden/>
              </w:rPr>
              <w:tab/>
            </w:r>
            <w:r>
              <w:rPr>
                <w:noProof/>
                <w:webHidden/>
              </w:rPr>
              <w:fldChar w:fldCharType="begin"/>
            </w:r>
            <w:r>
              <w:rPr>
                <w:noProof/>
                <w:webHidden/>
              </w:rPr>
              <w:instrText xml:space="preserve"> PAGEREF _Toc227453678 \h </w:instrText>
            </w:r>
            <w:r>
              <w:rPr>
                <w:noProof/>
                <w:webHidden/>
              </w:rPr>
            </w:r>
            <w:r>
              <w:rPr>
                <w:noProof/>
                <w:webHidden/>
              </w:rPr>
              <w:fldChar w:fldCharType="separate"/>
            </w:r>
            <w:r>
              <w:rPr>
                <w:noProof/>
                <w:webHidden/>
              </w:rPr>
              <w:t>7</w:t>
            </w:r>
            <w:r>
              <w:rPr>
                <w:noProof/>
                <w:webHidden/>
              </w:rPr>
              <w:fldChar w:fldCharType="end"/>
            </w:r>
          </w:hyperlink>
        </w:p>
        <w:p w14:paraId="5273DBF5" w14:textId="77777777" w:rsidR="00EF59F0" w:rsidRDefault="00EF59F0">
          <w:pPr>
            <w:pStyle w:val="TOC2"/>
            <w:tabs>
              <w:tab w:val="right" w:leader="dot" w:pos="9020"/>
            </w:tabs>
            <w:rPr>
              <w:rFonts w:asciiTheme="minorHAnsi" w:eastAsiaTheme="minorEastAsia" w:hAnsiTheme="minorHAnsi"/>
              <w:noProof/>
              <w:sz w:val="22"/>
              <w:lang w:val="en-US"/>
              <w14:ligatures w14:val="none"/>
            </w:rPr>
          </w:pPr>
          <w:hyperlink w:anchor="_Toc227453679" w:history="1">
            <w:r w:rsidRPr="00C80A2F">
              <w:rPr>
                <w:rStyle w:val="Hyperlink"/>
                <w:rFonts w:cs="Times New Roman"/>
                <w:noProof/>
              </w:rPr>
              <w:t>Strategy to Overcome the Challenge.</w:t>
            </w:r>
            <w:r>
              <w:rPr>
                <w:noProof/>
                <w:webHidden/>
              </w:rPr>
              <w:tab/>
            </w:r>
            <w:r>
              <w:rPr>
                <w:noProof/>
                <w:webHidden/>
              </w:rPr>
              <w:fldChar w:fldCharType="begin"/>
            </w:r>
            <w:r>
              <w:rPr>
                <w:noProof/>
                <w:webHidden/>
              </w:rPr>
              <w:instrText xml:space="preserve"> PAGEREF _Toc227453679 \h </w:instrText>
            </w:r>
            <w:r>
              <w:rPr>
                <w:noProof/>
                <w:webHidden/>
              </w:rPr>
            </w:r>
            <w:r>
              <w:rPr>
                <w:noProof/>
                <w:webHidden/>
              </w:rPr>
              <w:fldChar w:fldCharType="separate"/>
            </w:r>
            <w:r>
              <w:rPr>
                <w:noProof/>
                <w:webHidden/>
              </w:rPr>
              <w:t>7</w:t>
            </w:r>
            <w:r>
              <w:rPr>
                <w:noProof/>
                <w:webHidden/>
              </w:rPr>
              <w:fldChar w:fldCharType="end"/>
            </w:r>
          </w:hyperlink>
        </w:p>
        <w:p w14:paraId="41CA3A11" w14:textId="77777777" w:rsidR="00EF59F0" w:rsidRDefault="00EF59F0">
          <w:pPr>
            <w:pStyle w:val="TOC2"/>
            <w:tabs>
              <w:tab w:val="right" w:leader="dot" w:pos="9020"/>
            </w:tabs>
            <w:rPr>
              <w:rFonts w:asciiTheme="minorHAnsi" w:eastAsiaTheme="minorEastAsia" w:hAnsiTheme="minorHAnsi"/>
              <w:noProof/>
              <w:sz w:val="22"/>
              <w:lang w:val="en-US"/>
              <w14:ligatures w14:val="none"/>
            </w:rPr>
          </w:pPr>
          <w:hyperlink w:anchor="_Toc227453680" w:history="1">
            <w:r w:rsidRPr="00C80A2F">
              <w:rPr>
                <w:rStyle w:val="Hyperlink"/>
                <w:rFonts w:cs="Times New Roman"/>
                <w:noProof/>
              </w:rPr>
              <w:t>Conclusion</w:t>
            </w:r>
            <w:r>
              <w:rPr>
                <w:noProof/>
                <w:webHidden/>
              </w:rPr>
              <w:tab/>
            </w:r>
            <w:r>
              <w:rPr>
                <w:noProof/>
                <w:webHidden/>
              </w:rPr>
              <w:fldChar w:fldCharType="begin"/>
            </w:r>
            <w:r>
              <w:rPr>
                <w:noProof/>
                <w:webHidden/>
              </w:rPr>
              <w:instrText xml:space="preserve"> PAGEREF _Toc227453680 \h </w:instrText>
            </w:r>
            <w:r>
              <w:rPr>
                <w:noProof/>
                <w:webHidden/>
              </w:rPr>
            </w:r>
            <w:r>
              <w:rPr>
                <w:noProof/>
                <w:webHidden/>
              </w:rPr>
              <w:fldChar w:fldCharType="separate"/>
            </w:r>
            <w:r>
              <w:rPr>
                <w:noProof/>
                <w:webHidden/>
              </w:rPr>
              <w:t>7</w:t>
            </w:r>
            <w:r>
              <w:rPr>
                <w:noProof/>
                <w:webHidden/>
              </w:rPr>
              <w:fldChar w:fldCharType="end"/>
            </w:r>
          </w:hyperlink>
        </w:p>
        <w:p w14:paraId="062285E1" w14:textId="77777777" w:rsidR="00EF59F0" w:rsidRDefault="00EF59F0">
          <w:pPr>
            <w:pStyle w:val="TOC1"/>
            <w:tabs>
              <w:tab w:val="right" w:leader="dot" w:pos="9020"/>
            </w:tabs>
            <w:rPr>
              <w:rFonts w:asciiTheme="minorHAnsi" w:eastAsiaTheme="minorEastAsia" w:hAnsiTheme="minorHAnsi"/>
              <w:noProof/>
              <w:sz w:val="22"/>
              <w:lang w:val="en-US"/>
              <w14:ligatures w14:val="none"/>
            </w:rPr>
          </w:pPr>
          <w:hyperlink w:anchor="_Toc227453681" w:history="1">
            <w:r w:rsidRPr="00C80A2F">
              <w:rPr>
                <w:rStyle w:val="Hyperlink"/>
                <w:rFonts w:cs="Times New Roman"/>
                <w:noProof/>
              </w:rPr>
              <w:t>References</w:t>
            </w:r>
            <w:r>
              <w:rPr>
                <w:noProof/>
                <w:webHidden/>
              </w:rPr>
              <w:tab/>
            </w:r>
            <w:r>
              <w:rPr>
                <w:noProof/>
                <w:webHidden/>
              </w:rPr>
              <w:fldChar w:fldCharType="begin"/>
            </w:r>
            <w:r>
              <w:rPr>
                <w:noProof/>
                <w:webHidden/>
              </w:rPr>
              <w:instrText xml:space="preserve"> PAGEREF _Toc227453681 \h </w:instrText>
            </w:r>
            <w:r>
              <w:rPr>
                <w:noProof/>
                <w:webHidden/>
              </w:rPr>
            </w:r>
            <w:r>
              <w:rPr>
                <w:noProof/>
                <w:webHidden/>
              </w:rPr>
              <w:fldChar w:fldCharType="separate"/>
            </w:r>
            <w:r>
              <w:rPr>
                <w:noProof/>
                <w:webHidden/>
              </w:rPr>
              <w:t>8</w:t>
            </w:r>
            <w:r>
              <w:rPr>
                <w:noProof/>
                <w:webHidden/>
              </w:rPr>
              <w:fldChar w:fldCharType="end"/>
            </w:r>
          </w:hyperlink>
        </w:p>
        <w:p w14:paraId="7576CB32" w14:textId="77777777" w:rsidR="00A23F4C" w:rsidRPr="00486A52" w:rsidRDefault="00A23F4C">
          <w:pPr>
            <w:rPr>
              <w:rFonts w:cs="Times New Roman"/>
            </w:rPr>
          </w:pPr>
          <w:r w:rsidRPr="00486A52">
            <w:rPr>
              <w:rFonts w:cs="Times New Roman"/>
              <w:b/>
              <w:bCs/>
              <w:noProof/>
            </w:rPr>
            <w:fldChar w:fldCharType="end"/>
          </w:r>
        </w:p>
      </w:sdtContent>
    </w:sdt>
    <w:p w14:paraId="695E41C9" w14:textId="77777777" w:rsidR="00A23F4C" w:rsidRPr="00486A52" w:rsidRDefault="00A23F4C" w:rsidP="00A23F4C">
      <w:pPr>
        <w:pStyle w:val="Heading1"/>
        <w:spacing w:line="360" w:lineRule="auto"/>
        <w:rPr>
          <w:rFonts w:ascii="Times New Roman" w:hAnsi="Times New Roman" w:cs="Times New Roman"/>
          <w:sz w:val="22"/>
          <w:szCs w:val="22"/>
        </w:rPr>
      </w:pPr>
    </w:p>
    <w:p w14:paraId="600EA957" w14:textId="77777777" w:rsidR="00A23F4C" w:rsidRPr="00486A52" w:rsidRDefault="00A23F4C" w:rsidP="00A23F4C">
      <w:pPr>
        <w:rPr>
          <w:rFonts w:eastAsiaTheme="majorEastAsia" w:cs="Times New Roman"/>
          <w:color w:val="2F5496" w:themeColor="accent1" w:themeShade="BF"/>
        </w:rPr>
      </w:pPr>
      <w:r w:rsidRPr="00486A52">
        <w:rPr>
          <w:rFonts w:cs="Times New Roman"/>
        </w:rPr>
        <w:br w:type="page"/>
      </w:r>
    </w:p>
    <w:p w14:paraId="2D8348F8" w14:textId="77777777" w:rsidR="00A23F4C" w:rsidRPr="00486A52" w:rsidRDefault="00A23F4C" w:rsidP="00A23F4C">
      <w:pPr>
        <w:pStyle w:val="Heading1"/>
        <w:spacing w:line="360" w:lineRule="auto"/>
        <w:rPr>
          <w:rFonts w:ascii="Times New Roman" w:hAnsi="Times New Roman" w:cs="Times New Roman"/>
          <w:szCs w:val="22"/>
        </w:rPr>
      </w:pPr>
      <w:bookmarkStart w:id="0" w:name="_Toc227453673"/>
      <w:r w:rsidRPr="00486A52">
        <w:rPr>
          <w:rFonts w:ascii="Times New Roman" w:hAnsi="Times New Roman" w:cs="Times New Roman"/>
          <w:szCs w:val="22"/>
        </w:rPr>
        <w:t>Part A: Annotated Bibliography</w:t>
      </w:r>
      <w:bookmarkEnd w:id="0"/>
    </w:p>
    <w:p w14:paraId="20932E2F" w14:textId="77777777" w:rsidR="00A23F4C" w:rsidRPr="00486A52" w:rsidRDefault="00A23F4C" w:rsidP="00A23F4C">
      <w:pPr>
        <w:spacing w:line="360" w:lineRule="auto"/>
        <w:rPr>
          <w:rFonts w:cs="Times New Roman"/>
          <w:b/>
          <w:sz w:val="22"/>
        </w:rPr>
      </w:pPr>
      <w:r w:rsidRPr="00486A52">
        <w:rPr>
          <w:rFonts w:cs="Times New Roman"/>
          <w:b/>
          <w:sz w:val="22"/>
        </w:rPr>
        <w:t>Das, K. (2025)</w:t>
      </w:r>
      <w:r w:rsidR="00FA6320" w:rsidRPr="00486A52">
        <w:rPr>
          <w:rFonts w:cs="Times New Roman"/>
          <w:b/>
          <w:sz w:val="22"/>
        </w:rPr>
        <w:t>.</w:t>
      </w:r>
      <w:r w:rsidRPr="00486A52">
        <w:rPr>
          <w:rFonts w:cs="Times New Roman"/>
          <w:b/>
          <w:sz w:val="22"/>
        </w:rPr>
        <w:t xml:space="preserve"> ALBERT BANDURA’S SELF-EFFICACY THEORY AND ITS IMPLICATIONS IN HUMAN LIFE, </w:t>
      </w:r>
      <w:r w:rsidR="00FA6320" w:rsidRPr="00486A52">
        <w:rPr>
          <w:rFonts w:cs="Times New Roman"/>
          <w:b/>
          <w:sz w:val="22"/>
        </w:rPr>
        <w:t>ResearchGate.net</w:t>
      </w:r>
      <w:r w:rsidRPr="00486A52">
        <w:rPr>
          <w:rFonts w:cs="Times New Roman"/>
          <w:b/>
          <w:sz w:val="22"/>
        </w:rPr>
        <w:t>. Available at: https://www.researchgate.net/publication/395585207_ALBERT_BANDURA'</w:t>
      </w:r>
      <w:r w:rsidR="00FA6320" w:rsidRPr="00486A52">
        <w:rPr>
          <w:rFonts w:cs="Times New Roman"/>
          <w:b/>
          <w:sz w:val="22"/>
        </w:rPr>
        <w:t xml:space="preserve"> </w:t>
      </w:r>
      <w:r w:rsidRPr="00486A52">
        <w:rPr>
          <w:rFonts w:cs="Times New Roman"/>
          <w:b/>
          <w:sz w:val="22"/>
        </w:rPr>
        <w:t>S_SELF-EFFICACY_THEORY_AND_ITS_IMPLICATIONS_IN_HUMAN_LIFE (Accessed: April 18, 2026).</w:t>
      </w:r>
    </w:p>
    <w:p w14:paraId="495F7D9E" w14:textId="77777777" w:rsidR="00A23F4C" w:rsidRPr="00486A52" w:rsidRDefault="00A23F4C" w:rsidP="00A23F4C">
      <w:pPr>
        <w:spacing w:line="360" w:lineRule="auto"/>
        <w:rPr>
          <w:rFonts w:cs="Times New Roman"/>
          <w:b/>
          <w:sz w:val="22"/>
        </w:rPr>
      </w:pPr>
      <w:r w:rsidRPr="00486A52">
        <w:rPr>
          <w:rFonts w:cs="Times New Roman"/>
          <w:b/>
          <w:sz w:val="22"/>
        </w:rPr>
        <w:t>Summary</w:t>
      </w:r>
    </w:p>
    <w:p w14:paraId="6F62E73E" w14:textId="77777777" w:rsidR="00A23F4C" w:rsidRPr="00486A52" w:rsidRDefault="00A23F4C" w:rsidP="00A23F4C">
      <w:pPr>
        <w:spacing w:line="360" w:lineRule="auto"/>
        <w:rPr>
          <w:rFonts w:cs="Times New Roman"/>
          <w:sz w:val="22"/>
        </w:rPr>
      </w:pPr>
      <w:r w:rsidRPr="00486A52">
        <w:rPr>
          <w:rFonts w:cs="Times New Roman"/>
          <w:sz w:val="22"/>
        </w:rPr>
        <w:t xml:space="preserve">Das (2025) discusses the self-efficacy theory of Albert Bandura and its importance in the development of human behaviour, motivation and </w:t>
      </w:r>
      <w:r w:rsidR="00FA6320" w:rsidRPr="00486A52">
        <w:rPr>
          <w:rFonts w:cs="Times New Roman"/>
          <w:sz w:val="22"/>
        </w:rPr>
        <w:t>decision-making</w:t>
      </w:r>
      <w:r w:rsidRPr="00486A52">
        <w:rPr>
          <w:rFonts w:cs="Times New Roman"/>
          <w:sz w:val="22"/>
        </w:rPr>
        <w:t>. The article states that individuals with greater self-efficacy will have more challenging goals to achieve, will persist when faced with adversities and are capable of successfully navigating stresses in life. It points out the major self-efficacy sources, such as mastery experiences, social modelling, verbal persuasion and emotional states. The paper also relates the self-efficacy to better health behaviours</w:t>
      </w:r>
      <w:r w:rsidR="00FA6320" w:rsidRPr="00486A52">
        <w:rPr>
          <w:rFonts w:cs="Times New Roman"/>
          <w:sz w:val="22"/>
        </w:rPr>
        <w:t>,</w:t>
      </w:r>
      <w:r w:rsidRPr="00486A52">
        <w:rPr>
          <w:rFonts w:cs="Times New Roman"/>
          <w:sz w:val="22"/>
        </w:rPr>
        <w:t xml:space="preserve"> which implies that those individuals </w:t>
      </w:r>
      <w:r w:rsidR="00FA6320" w:rsidRPr="00486A52">
        <w:rPr>
          <w:rFonts w:cs="Times New Roman"/>
          <w:sz w:val="22"/>
        </w:rPr>
        <w:t>who</w:t>
      </w:r>
      <w:r w:rsidRPr="00486A52">
        <w:rPr>
          <w:rFonts w:cs="Times New Roman"/>
          <w:sz w:val="22"/>
        </w:rPr>
        <w:t xml:space="preserve"> believe in their abilities are more willing to embrace and hold on to positive lifestyle changes. Overall, the study indicates that self-efficacy is an important phenomenon which influences psychological health and adaptive lives across the lifespan.</w:t>
      </w:r>
    </w:p>
    <w:p w14:paraId="404E355A" w14:textId="77777777" w:rsidR="00A23F4C" w:rsidRPr="00486A52" w:rsidRDefault="00A23F4C" w:rsidP="00A23F4C">
      <w:pPr>
        <w:spacing w:line="360" w:lineRule="auto"/>
        <w:rPr>
          <w:rFonts w:cs="Times New Roman"/>
          <w:b/>
          <w:sz w:val="22"/>
        </w:rPr>
      </w:pPr>
      <w:r w:rsidRPr="00486A52">
        <w:rPr>
          <w:rFonts w:cs="Times New Roman"/>
          <w:b/>
          <w:sz w:val="22"/>
        </w:rPr>
        <w:t>Critical relevance</w:t>
      </w:r>
    </w:p>
    <w:p w14:paraId="1361930B" w14:textId="77777777" w:rsidR="00A23F4C" w:rsidRPr="00486A52" w:rsidRDefault="00A23F4C" w:rsidP="00A23F4C">
      <w:pPr>
        <w:spacing w:line="360" w:lineRule="auto"/>
        <w:rPr>
          <w:rFonts w:cs="Times New Roman"/>
          <w:sz w:val="22"/>
        </w:rPr>
      </w:pPr>
      <w:r w:rsidRPr="00486A52">
        <w:rPr>
          <w:rFonts w:cs="Times New Roman"/>
          <w:sz w:val="22"/>
        </w:rPr>
        <w:t>This theory is very relevant to older adults in health and social care</w:t>
      </w:r>
      <w:r w:rsidR="00FA6320" w:rsidRPr="00486A52">
        <w:rPr>
          <w:rFonts w:cs="Times New Roman"/>
          <w:sz w:val="22"/>
        </w:rPr>
        <w:t>,</w:t>
      </w:r>
      <w:r w:rsidRPr="00486A52">
        <w:rPr>
          <w:rFonts w:cs="Times New Roman"/>
          <w:sz w:val="22"/>
        </w:rPr>
        <w:t xml:space="preserve"> particularly in the handling of chronic diseases</w:t>
      </w:r>
      <w:r w:rsidR="00FA6320" w:rsidRPr="00486A52">
        <w:rPr>
          <w:rFonts w:cs="Times New Roman"/>
          <w:sz w:val="22"/>
        </w:rPr>
        <w:t>,</w:t>
      </w:r>
      <w:r w:rsidRPr="00486A52">
        <w:rPr>
          <w:rFonts w:cs="Times New Roman"/>
          <w:sz w:val="22"/>
        </w:rPr>
        <w:t xml:space="preserve"> as well as in </w:t>
      </w:r>
      <w:r w:rsidR="00FA6320" w:rsidRPr="00486A52">
        <w:rPr>
          <w:rFonts w:cs="Times New Roman"/>
          <w:sz w:val="22"/>
        </w:rPr>
        <w:t xml:space="preserve">the </w:t>
      </w:r>
      <w:r w:rsidRPr="00486A52">
        <w:rPr>
          <w:rFonts w:cs="Times New Roman"/>
          <w:sz w:val="22"/>
        </w:rPr>
        <w:t>acceptance of autonomy. Self-efficacy is one of those factors</w:t>
      </w:r>
      <w:r w:rsidR="00FA6320" w:rsidRPr="00486A52">
        <w:rPr>
          <w:rFonts w:cs="Times New Roman"/>
          <w:sz w:val="22"/>
        </w:rPr>
        <w:t>,</w:t>
      </w:r>
      <w:r w:rsidRPr="00486A52">
        <w:rPr>
          <w:rFonts w:cs="Times New Roman"/>
          <w:sz w:val="22"/>
        </w:rPr>
        <w:t xml:space="preserve"> and it can be boosted </w:t>
      </w:r>
      <w:r w:rsidR="00FA6320" w:rsidRPr="00486A52">
        <w:rPr>
          <w:rFonts w:cs="Times New Roman"/>
          <w:sz w:val="22"/>
        </w:rPr>
        <w:t>by</w:t>
      </w:r>
      <w:r w:rsidRPr="00486A52">
        <w:rPr>
          <w:rFonts w:cs="Times New Roman"/>
          <w:sz w:val="22"/>
        </w:rPr>
        <w:t xml:space="preserve"> enhancing treatment adherence and active ageing. Yet it is very </w:t>
      </w:r>
      <w:r w:rsidR="00FA6320" w:rsidRPr="00486A52">
        <w:rPr>
          <w:rFonts w:cs="Times New Roman"/>
          <w:sz w:val="22"/>
        </w:rPr>
        <w:t>theoretical</w:t>
      </w:r>
      <w:r w:rsidRPr="00486A52">
        <w:rPr>
          <w:rFonts w:cs="Times New Roman"/>
          <w:sz w:val="22"/>
        </w:rPr>
        <w:t xml:space="preserve"> in nature and has less solid empirical evidence</w:t>
      </w:r>
      <w:r w:rsidR="00FA6320" w:rsidRPr="00486A52">
        <w:rPr>
          <w:rFonts w:cs="Times New Roman"/>
          <w:sz w:val="22"/>
        </w:rPr>
        <w:t>,</w:t>
      </w:r>
      <w:r w:rsidRPr="00486A52">
        <w:rPr>
          <w:rFonts w:cs="Times New Roman"/>
          <w:sz w:val="22"/>
        </w:rPr>
        <w:t xml:space="preserve"> hence making its application in complicated care environments more difficult.</w:t>
      </w:r>
    </w:p>
    <w:p w14:paraId="2152BC34" w14:textId="77777777" w:rsidR="00A23F4C" w:rsidRPr="00486A52" w:rsidRDefault="00A23F4C" w:rsidP="00A23F4C">
      <w:pPr>
        <w:spacing w:line="360" w:lineRule="auto"/>
        <w:rPr>
          <w:rFonts w:cs="Times New Roman"/>
          <w:b/>
          <w:sz w:val="22"/>
        </w:rPr>
      </w:pPr>
      <w:r w:rsidRPr="00486A52">
        <w:rPr>
          <w:rFonts w:cs="Times New Roman"/>
          <w:b/>
          <w:sz w:val="22"/>
        </w:rPr>
        <w:t>Juul Darling, P., Bové Illum, D. and Storebø, O.J. (2024) “The critical role of attachment theory in child and adolescent mental health care,” Scandinavian Journal of Child and Adolescent Psychiatry and Psychology, 12(1), pp. 47–49. Available at: https://doi.org/10.2478/sjcapp-2024-0005.</w:t>
      </w:r>
    </w:p>
    <w:p w14:paraId="7E0ADAFF" w14:textId="77777777" w:rsidR="00A23F4C" w:rsidRPr="00486A52" w:rsidRDefault="00A23F4C" w:rsidP="00A23F4C">
      <w:pPr>
        <w:spacing w:line="360" w:lineRule="auto"/>
        <w:rPr>
          <w:rFonts w:cs="Times New Roman"/>
          <w:b/>
          <w:sz w:val="22"/>
        </w:rPr>
      </w:pPr>
      <w:r w:rsidRPr="00486A52">
        <w:rPr>
          <w:rFonts w:cs="Times New Roman"/>
          <w:b/>
          <w:sz w:val="22"/>
        </w:rPr>
        <w:t>Summary</w:t>
      </w:r>
    </w:p>
    <w:p w14:paraId="01806D1D" w14:textId="77777777" w:rsidR="00A23F4C" w:rsidRPr="00486A52" w:rsidRDefault="00A23F4C" w:rsidP="00A23F4C">
      <w:pPr>
        <w:spacing w:line="360" w:lineRule="auto"/>
        <w:rPr>
          <w:rFonts w:cs="Times New Roman"/>
          <w:sz w:val="22"/>
        </w:rPr>
      </w:pPr>
      <w:r w:rsidRPr="00486A52">
        <w:rPr>
          <w:rFonts w:cs="Times New Roman"/>
          <w:sz w:val="22"/>
        </w:rPr>
        <w:t xml:space="preserve">Juul Darling, Bove Illum and </w:t>
      </w:r>
      <w:r w:rsidR="00FA6320" w:rsidRPr="00486A52">
        <w:rPr>
          <w:rFonts w:cs="Times New Roman"/>
          <w:sz w:val="22"/>
        </w:rPr>
        <w:t>Storebø</w:t>
      </w:r>
      <w:r w:rsidRPr="00486A52">
        <w:rPr>
          <w:rFonts w:cs="Times New Roman"/>
          <w:sz w:val="22"/>
        </w:rPr>
        <w:t xml:space="preserve"> (2024)</w:t>
      </w:r>
      <w:r w:rsidR="00FA6320" w:rsidRPr="00486A52">
        <w:rPr>
          <w:rFonts w:cs="Times New Roman"/>
          <w:sz w:val="22"/>
        </w:rPr>
        <w:t>,</w:t>
      </w:r>
      <w:r w:rsidRPr="00486A52">
        <w:rPr>
          <w:rFonts w:cs="Times New Roman"/>
          <w:sz w:val="22"/>
        </w:rPr>
        <w:t xml:space="preserve"> in a conversation on the importance of the attachment theory in mental health care</w:t>
      </w:r>
      <w:r w:rsidR="00FA6320" w:rsidRPr="00486A52">
        <w:rPr>
          <w:rFonts w:cs="Times New Roman"/>
          <w:sz w:val="22"/>
        </w:rPr>
        <w:t>,</w:t>
      </w:r>
      <w:r w:rsidRPr="00486A52">
        <w:rPr>
          <w:rFonts w:cs="Times New Roman"/>
          <w:sz w:val="22"/>
        </w:rPr>
        <w:t xml:space="preserve"> stress the importance of early attachment relationships in the regulation of emotion, resilience and interpersonal operation. The authors assert that secure attachment helps in the formation of psychological stability and insecure attachment produces vulnerability to psychological issues. The article promotes using the practice of attachment as a way of care, in which the therapist and the caregiver develop a shared relationship of trust, steadiness and friendliness.</w:t>
      </w:r>
    </w:p>
    <w:p w14:paraId="36E6AA68" w14:textId="77777777" w:rsidR="00A23F4C" w:rsidRPr="00486A52" w:rsidRDefault="00A23F4C" w:rsidP="00A23F4C">
      <w:pPr>
        <w:spacing w:line="360" w:lineRule="auto"/>
        <w:rPr>
          <w:rFonts w:cs="Times New Roman"/>
          <w:b/>
          <w:sz w:val="22"/>
        </w:rPr>
      </w:pPr>
      <w:r w:rsidRPr="00486A52">
        <w:rPr>
          <w:rFonts w:cs="Times New Roman"/>
          <w:b/>
          <w:sz w:val="22"/>
        </w:rPr>
        <w:t>Critical relevance</w:t>
      </w:r>
    </w:p>
    <w:p w14:paraId="4A242C73" w14:textId="77777777" w:rsidR="00A23F4C" w:rsidRPr="00486A52" w:rsidRDefault="00A23F4C" w:rsidP="00A23F4C">
      <w:pPr>
        <w:spacing w:line="360" w:lineRule="auto"/>
        <w:rPr>
          <w:rFonts w:cs="Times New Roman"/>
          <w:sz w:val="22"/>
        </w:rPr>
      </w:pPr>
      <w:r w:rsidRPr="00486A52">
        <w:rPr>
          <w:rFonts w:cs="Times New Roman"/>
          <w:sz w:val="22"/>
        </w:rPr>
        <w:t xml:space="preserve">The theory, even though it concentrates on young people, can be extensively extended to the </w:t>
      </w:r>
      <w:r w:rsidR="00FA6320" w:rsidRPr="00486A52">
        <w:rPr>
          <w:rFonts w:cs="Times New Roman"/>
          <w:sz w:val="22"/>
        </w:rPr>
        <w:t>elderly,</w:t>
      </w:r>
      <w:r w:rsidRPr="00486A52">
        <w:rPr>
          <w:rFonts w:cs="Times New Roman"/>
          <w:sz w:val="22"/>
        </w:rPr>
        <w:t xml:space="preserve"> but in caring establishments. Anxiety, loneliness and behavioural distress can be reduced by good relations between the carers and the older adults. Though the fact that the article is quite specific to ageing implies that it will have to be transduced to apply to the practice of gerontological care</w:t>
      </w:r>
      <w:r w:rsidR="00FA6320" w:rsidRPr="00486A52">
        <w:rPr>
          <w:rFonts w:cs="Times New Roman"/>
          <w:sz w:val="22"/>
        </w:rPr>
        <w:t>,</w:t>
      </w:r>
      <w:r w:rsidRPr="00486A52">
        <w:rPr>
          <w:rFonts w:cs="Times New Roman"/>
          <w:sz w:val="22"/>
        </w:rPr>
        <w:t xml:space="preserve"> hence less directly relevant to the care of gerontology.</w:t>
      </w:r>
    </w:p>
    <w:p w14:paraId="68CA26D2" w14:textId="77777777" w:rsidR="00A23F4C" w:rsidRPr="00486A52" w:rsidRDefault="00A23F4C" w:rsidP="00A23F4C">
      <w:pPr>
        <w:spacing w:line="360" w:lineRule="auto"/>
        <w:rPr>
          <w:rFonts w:cs="Times New Roman"/>
          <w:b/>
          <w:sz w:val="22"/>
        </w:rPr>
      </w:pPr>
      <w:r w:rsidRPr="00486A52">
        <w:rPr>
          <w:rFonts w:cs="Times New Roman"/>
          <w:b/>
          <w:sz w:val="22"/>
        </w:rPr>
        <w:t xml:space="preserve">Pakpahan, F.H. and Saragih, M. (2022) “Theory of cognitive development by </w:t>
      </w:r>
      <w:r w:rsidR="00FA6320" w:rsidRPr="00486A52">
        <w:rPr>
          <w:rFonts w:cs="Times New Roman"/>
          <w:b/>
          <w:sz w:val="22"/>
        </w:rPr>
        <w:t>Jean</w:t>
      </w:r>
      <w:r w:rsidRPr="00486A52">
        <w:rPr>
          <w:rFonts w:cs="Times New Roman"/>
          <w:b/>
          <w:sz w:val="22"/>
        </w:rPr>
        <w:t xml:space="preserve"> Piaget,” Journal of Applied Linguistics, 2(2), pp. 55–60. Available at: https://doi.org/10.52622/joal.v2i2.79.</w:t>
      </w:r>
    </w:p>
    <w:p w14:paraId="2E402779" w14:textId="77777777" w:rsidR="00A23F4C" w:rsidRPr="00486A52" w:rsidRDefault="00A23F4C" w:rsidP="00A23F4C">
      <w:pPr>
        <w:spacing w:line="360" w:lineRule="auto"/>
        <w:rPr>
          <w:rFonts w:cs="Times New Roman"/>
          <w:b/>
          <w:sz w:val="22"/>
        </w:rPr>
      </w:pPr>
      <w:r w:rsidRPr="00486A52">
        <w:rPr>
          <w:rFonts w:cs="Times New Roman"/>
          <w:b/>
          <w:sz w:val="22"/>
        </w:rPr>
        <w:t>Summary</w:t>
      </w:r>
    </w:p>
    <w:p w14:paraId="6E3716FC" w14:textId="77777777" w:rsidR="00A23F4C" w:rsidRPr="00486A52" w:rsidRDefault="00A23F4C" w:rsidP="00A23F4C">
      <w:pPr>
        <w:spacing w:line="360" w:lineRule="auto"/>
        <w:rPr>
          <w:rFonts w:cs="Times New Roman"/>
          <w:sz w:val="22"/>
        </w:rPr>
      </w:pPr>
      <w:r w:rsidRPr="00486A52">
        <w:rPr>
          <w:rFonts w:cs="Times New Roman"/>
          <w:sz w:val="22"/>
        </w:rPr>
        <w:t xml:space="preserve">Reviewing the cognitive development theory offered by Jean Piaget, Pakpahan and Saragih (2022) determine which of the stages of cognitive thinking </w:t>
      </w:r>
      <w:r w:rsidR="00FA6320" w:rsidRPr="00486A52">
        <w:rPr>
          <w:rFonts w:cs="Times New Roman"/>
          <w:sz w:val="22"/>
        </w:rPr>
        <w:t>the predominant one is:</w:t>
      </w:r>
      <w:r w:rsidRPr="00486A52">
        <w:rPr>
          <w:rFonts w:cs="Times New Roman"/>
          <w:sz w:val="22"/>
        </w:rPr>
        <w:t xml:space="preserve"> sensorimotor, preoperational, concrete operational and formal. The paper discusses how people build their knowledge by interacting with the world around them</w:t>
      </w:r>
      <w:r w:rsidR="00FA6320" w:rsidRPr="00486A52">
        <w:rPr>
          <w:rFonts w:cs="Times New Roman"/>
          <w:sz w:val="22"/>
        </w:rPr>
        <w:t>,</w:t>
      </w:r>
      <w:r w:rsidRPr="00486A52">
        <w:rPr>
          <w:rFonts w:cs="Times New Roman"/>
          <w:sz w:val="22"/>
        </w:rPr>
        <w:t xml:space="preserve"> and in the process, it discusses processes of assimilation and accommodation. Even though the first black theme is child development, the authors comment on the significance of the cognitive constructions in the process of acquiring the learning, reasoning, </w:t>
      </w:r>
      <w:r w:rsidR="00FA6320" w:rsidRPr="00486A52">
        <w:rPr>
          <w:rFonts w:cs="Times New Roman"/>
          <w:sz w:val="22"/>
        </w:rPr>
        <w:t>problem-solving</w:t>
      </w:r>
      <w:r w:rsidRPr="00486A52">
        <w:rPr>
          <w:rFonts w:cs="Times New Roman"/>
          <w:sz w:val="22"/>
        </w:rPr>
        <w:t xml:space="preserve"> and thinking capabilities. The paper indicates that the adjustment process and long-term learning process </w:t>
      </w:r>
      <w:r w:rsidR="00FA6320" w:rsidRPr="00486A52">
        <w:rPr>
          <w:rFonts w:cs="Times New Roman"/>
          <w:sz w:val="22"/>
        </w:rPr>
        <w:t>are</w:t>
      </w:r>
      <w:r w:rsidRPr="00486A52">
        <w:rPr>
          <w:rFonts w:cs="Times New Roman"/>
          <w:sz w:val="22"/>
        </w:rPr>
        <w:t xml:space="preserve"> founded on cognitive development</w:t>
      </w:r>
      <w:r w:rsidR="00FA6320" w:rsidRPr="00486A52">
        <w:rPr>
          <w:rFonts w:cs="Times New Roman"/>
          <w:sz w:val="22"/>
        </w:rPr>
        <w:t>,</w:t>
      </w:r>
      <w:r w:rsidRPr="00486A52">
        <w:rPr>
          <w:rFonts w:cs="Times New Roman"/>
          <w:sz w:val="22"/>
        </w:rPr>
        <w:t xml:space="preserve"> despite the fact that </w:t>
      </w:r>
      <w:r w:rsidR="00FA6320" w:rsidRPr="00486A52">
        <w:rPr>
          <w:rFonts w:cs="Times New Roman"/>
          <w:sz w:val="22"/>
        </w:rPr>
        <w:t xml:space="preserve">the </w:t>
      </w:r>
      <w:r w:rsidRPr="00486A52">
        <w:rPr>
          <w:rFonts w:cs="Times New Roman"/>
          <w:sz w:val="22"/>
        </w:rPr>
        <w:t>first model that Piaget proposed does not directly refer to the adult stage.</w:t>
      </w:r>
    </w:p>
    <w:p w14:paraId="5279AD11" w14:textId="77777777" w:rsidR="00A23F4C" w:rsidRPr="00486A52" w:rsidRDefault="00A23F4C" w:rsidP="00A23F4C">
      <w:pPr>
        <w:spacing w:line="360" w:lineRule="auto"/>
        <w:rPr>
          <w:rFonts w:cs="Times New Roman"/>
          <w:b/>
          <w:sz w:val="22"/>
        </w:rPr>
      </w:pPr>
      <w:r w:rsidRPr="00486A52">
        <w:rPr>
          <w:rFonts w:cs="Times New Roman"/>
          <w:b/>
          <w:sz w:val="22"/>
        </w:rPr>
        <w:t>Critical relevance</w:t>
      </w:r>
    </w:p>
    <w:p w14:paraId="20F15831" w14:textId="77777777" w:rsidR="00A23F4C" w:rsidRPr="00486A52" w:rsidRDefault="00A23F4C" w:rsidP="00A23F4C">
      <w:pPr>
        <w:spacing w:line="360" w:lineRule="auto"/>
        <w:rPr>
          <w:rFonts w:cs="Times New Roman"/>
          <w:sz w:val="22"/>
        </w:rPr>
      </w:pPr>
      <w:r w:rsidRPr="00486A52">
        <w:rPr>
          <w:rFonts w:cs="Times New Roman"/>
          <w:sz w:val="22"/>
        </w:rPr>
        <w:t xml:space="preserve">The theory has a viable foundation </w:t>
      </w:r>
      <w:r w:rsidR="00FA6320" w:rsidRPr="00486A52">
        <w:rPr>
          <w:rFonts w:cs="Times New Roman"/>
          <w:sz w:val="22"/>
        </w:rPr>
        <w:t>in thinking and cannot be directly applied to older people, as it concerns young people</w:t>
      </w:r>
      <w:r w:rsidRPr="00486A52">
        <w:rPr>
          <w:rFonts w:cs="Times New Roman"/>
          <w:sz w:val="22"/>
        </w:rPr>
        <w:t>. It may also be used to open up practices that facilitate cognitive stimulation and learning in health and social care. The cognitive ageing can</w:t>
      </w:r>
      <w:r w:rsidR="00FA6320" w:rsidRPr="00486A52">
        <w:rPr>
          <w:rFonts w:cs="Times New Roman"/>
          <w:sz w:val="22"/>
        </w:rPr>
        <w:t>,</w:t>
      </w:r>
      <w:r w:rsidRPr="00486A52">
        <w:rPr>
          <w:rFonts w:cs="Times New Roman"/>
          <w:sz w:val="22"/>
        </w:rPr>
        <w:t xml:space="preserve"> however</w:t>
      </w:r>
      <w:r w:rsidR="00FA6320" w:rsidRPr="00486A52">
        <w:rPr>
          <w:rFonts w:cs="Times New Roman"/>
          <w:sz w:val="22"/>
        </w:rPr>
        <w:t>,</w:t>
      </w:r>
      <w:r w:rsidRPr="00486A52">
        <w:rPr>
          <w:rFonts w:cs="Times New Roman"/>
          <w:sz w:val="22"/>
        </w:rPr>
        <w:t xml:space="preserve"> be made simple by its staged formulation of ageing.</w:t>
      </w:r>
    </w:p>
    <w:p w14:paraId="65D122AB" w14:textId="77777777" w:rsidR="00A23F4C" w:rsidRPr="00486A52" w:rsidRDefault="00A23F4C" w:rsidP="00A23F4C">
      <w:pPr>
        <w:spacing w:line="360" w:lineRule="auto"/>
        <w:rPr>
          <w:rFonts w:cs="Times New Roman"/>
          <w:b/>
          <w:sz w:val="22"/>
        </w:rPr>
      </w:pPr>
      <w:r w:rsidRPr="00486A52">
        <w:rPr>
          <w:rFonts w:cs="Times New Roman"/>
          <w:b/>
          <w:sz w:val="22"/>
        </w:rPr>
        <w:t xml:space="preserve">Perry, T.E. et al. (2015) “Applying Erikson’s wisdom to self-management practices of older adults: findings from two field studies,” Research on </w:t>
      </w:r>
      <w:r w:rsidR="00FA6320" w:rsidRPr="00486A52">
        <w:rPr>
          <w:rFonts w:cs="Times New Roman"/>
          <w:b/>
          <w:sz w:val="22"/>
        </w:rPr>
        <w:t>Ageing</w:t>
      </w:r>
      <w:r w:rsidRPr="00486A52">
        <w:rPr>
          <w:rFonts w:cs="Times New Roman"/>
          <w:b/>
          <w:sz w:val="22"/>
        </w:rPr>
        <w:t>, 37(3), pp. 253–274. Available at: https://doi.org/10.1177/0164027514527974.</w:t>
      </w:r>
    </w:p>
    <w:p w14:paraId="232BF648" w14:textId="77777777" w:rsidR="00A23F4C" w:rsidRPr="00486A52" w:rsidRDefault="00A23F4C" w:rsidP="00A23F4C">
      <w:pPr>
        <w:spacing w:line="360" w:lineRule="auto"/>
        <w:rPr>
          <w:rFonts w:cs="Times New Roman"/>
          <w:b/>
          <w:sz w:val="22"/>
        </w:rPr>
      </w:pPr>
      <w:r w:rsidRPr="00486A52">
        <w:rPr>
          <w:rFonts w:cs="Times New Roman"/>
          <w:b/>
          <w:sz w:val="22"/>
        </w:rPr>
        <w:t>Summary</w:t>
      </w:r>
    </w:p>
    <w:p w14:paraId="6893DACE" w14:textId="77777777" w:rsidR="00A23F4C" w:rsidRPr="00486A52" w:rsidRDefault="00A23F4C" w:rsidP="00A23F4C">
      <w:pPr>
        <w:spacing w:line="360" w:lineRule="auto"/>
        <w:rPr>
          <w:rFonts w:cs="Times New Roman"/>
          <w:sz w:val="22"/>
        </w:rPr>
      </w:pPr>
    </w:p>
    <w:p w14:paraId="0B3E08F3" w14:textId="77777777" w:rsidR="00A23F4C" w:rsidRPr="00486A52" w:rsidRDefault="00A23F4C" w:rsidP="00A23F4C">
      <w:pPr>
        <w:spacing w:line="360" w:lineRule="auto"/>
        <w:rPr>
          <w:rFonts w:cs="Times New Roman"/>
          <w:sz w:val="22"/>
        </w:rPr>
      </w:pPr>
      <w:r w:rsidRPr="00486A52">
        <w:rPr>
          <w:rFonts w:cs="Times New Roman"/>
          <w:sz w:val="22"/>
        </w:rPr>
        <w:t xml:space="preserve">The theory that Perry et al. (2015) use to geriatric population (staging: integrity versus despair) is a psychosocial theory of Erik Erikson. The article gives the aspects of how the aged adults were familiar with how to use their experiences and abilities in handling the </w:t>
      </w:r>
      <w:r w:rsidR="00FA6320" w:rsidRPr="00486A52">
        <w:rPr>
          <w:rFonts w:cs="Times New Roman"/>
          <w:sz w:val="22"/>
        </w:rPr>
        <w:t>health-related</w:t>
      </w:r>
      <w:r w:rsidRPr="00486A52">
        <w:rPr>
          <w:rFonts w:cs="Times New Roman"/>
          <w:sz w:val="22"/>
        </w:rPr>
        <w:t xml:space="preserve"> issues and uphold their identity. The evidence indicates that most of </w:t>
      </w:r>
      <w:r w:rsidR="00FA6320" w:rsidRPr="00486A52">
        <w:rPr>
          <w:rFonts w:cs="Times New Roman"/>
          <w:sz w:val="22"/>
        </w:rPr>
        <w:t>the elderly</w:t>
      </w:r>
      <w:r w:rsidRPr="00486A52">
        <w:rPr>
          <w:rFonts w:cs="Times New Roman"/>
          <w:sz w:val="22"/>
        </w:rPr>
        <w:t xml:space="preserve"> individuals are strong-willed, flexible and more experienced since they retained part of the coping mechanisms that they used to adopt in the past. The research highlights the importance of </w:t>
      </w:r>
      <w:r w:rsidR="00FA6320" w:rsidRPr="00486A52">
        <w:rPr>
          <w:rFonts w:cs="Times New Roman"/>
          <w:sz w:val="22"/>
        </w:rPr>
        <w:t>self-reflection</w:t>
      </w:r>
      <w:r w:rsidRPr="00486A52">
        <w:rPr>
          <w:rFonts w:cs="Times New Roman"/>
          <w:sz w:val="22"/>
        </w:rPr>
        <w:t xml:space="preserve">, meaning-making and autonomy to psychological </w:t>
      </w:r>
      <w:r w:rsidR="00FA6320" w:rsidRPr="00486A52">
        <w:rPr>
          <w:rFonts w:cs="Times New Roman"/>
          <w:sz w:val="22"/>
        </w:rPr>
        <w:t>well-being</w:t>
      </w:r>
      <w:r w:rsidRPr="00486A52">
        <w:rPr>
          <w:rFonts w:cs="Times New Roman"/>
          <w:sz w:val="22"/>
        </w:rPr>
        <w:t xml:space="preserve"> in </w:t>
      </w:r>
      <w:r w:rsidR="00FA6320" w:rsidRPr="00486A52">
        <w:rPr>
          <w:rFonts w:cs="Times New Roman"/>
          <w:sz w:val="22"/>
        </w:rPr>
        <w:t xml:space="preserve">the </w:t>
      </w:r>
      <w:r w:rsidRPr="00486A52">
        <w:rPr>
          <w:rFonts w:cs="Times New Roman"/>
          <w:sz w:val="22"/>
        </w:rPr>
        <w:t>ageing process.</w:t>
      </w:r>
    </w:p>
    <w:p w14:paraId="65EA0C45" w14:textId="77777777" w:rsidR="00A23F4C" w:rsidRPr="00486A52" w:rsidRDefault="00A23F4C" w:rsidP="00A23F4C">
      <w:pPr>
        <w:spacing w:line="360" w:lineRule="auto"/>
        <w:rPr>
          <w:rFonts w:cs="Times New Roman"/>
          <w:b/>
          <w:sz w:val="22"/>
        </w:rPr>
      </w:pPr>
      <w:r w:rsidRPr="00486A52">
        <w:rPr>
          <w:rFonts w:cs="Times New Roman"/>
          <w:b/>
          <w:sz w:val="22"/>
        </w:rPr>
        <w:t>Critical relevance</w:t>
      </w:r>
    </w:p>
    <w:p w14:paraId="5EE5A388" w14:textId="77777777" w:rsidR="00A23F4C" w:rsidRPr="00486A52" w:rsidRDefault="00A23F4C" w:rsidP="00A23F4C">
      <w:pPr>
        <w:spacing w:line="360" w:lineRule="auto"/>
        <w:rPr>
          <w:rFonts w:cs="Times New Roman"/>
          <w:sz w:val="22"/>
        </w:rPr>
      </w:pPr>
      <w:r w:rsidRPr="00486A52">
        <w:rPr>
          <w:rFonts w:cs="Times New Roman"/>
          <w:sz w:val="22"/>
        </w:rPr>
        <w:t xml:space="preserve">This study is very crucial to health and social care as it is anchored on person-centred interventions, which have gained significance </w:t>
      </w:r>
      <w:r w:rsidR="00FA6320" w:rsidRPr="00486A52">
        <w:rPr>
          <w:rFonts w:cs="Times New Roman"/>
          <w:sz w:val="22"/>
        </w:rPr>
        <w:t>in</w:t>
      </w:r>
      <w:r w:rsidRPr="00486A52">
        <w:rPr>
          <w:rFonts w:cs="Times New Roman"/>
          <w:sz w:val="22"/>
        </w:rPr>
        <w:t xml:space="preserve"> the life histories and identities of an individual. Promoting thinking and decision-making may improve the quality of life in the future. But perhaps the Erikson stage model will not </w:t>
      </w:r>
      <w:r w:rsidR="00FA6320" w:rsidRPr="00486A52">
        <w:rPr>
          <w:rFonts w:cs="Times New Roman"/>
          <w:sz w:val="22"/>
        </w:rPr>
        <w:t>apply</w:t>
      </w:r>
      <w:r w:rsidRPr="00486A52">
        <w:rPr>
          <w:rFonts w:cs="Times New Roman"/>
          <w:sz w:val="22"/>
        </w:rPr>
        <w:t xml:space="preserve"> to the ageing experiences in all ages or even non-ages and, therefore, cannot be thought of as universal.</w:t>
      </w:r>
    </w:p>
    <w:p w14:paraId="2ABF8AE6" w14:textId="77777777" w:rsidR="00A23F4C" w:rsidRPr="00486A52" w:rsidRDefault="00A23F4C" w:rsidP="00A23F4C">
      <w:pPr>
        <w:spacing w:line="360" w:lineRule="auto"/>
        <w:rPr>
          <w:rFonts w:cs="Times New Roman"/>
          <w:sz w:val="22"/>
        </w:rPr>
      </w:pPr>
      <w:r w:rsidRPr="00486A52">
        <w:rPr>
          <w:rFonts w:cs="Times New Roman"/>
          <w:sz w:val="22"/>
        </w:rPr>
        <w:br/>
      </w:r>
      <w:r w:rsidRPr="00486A52">
        <w:rPr>
          <w:rFonts w:cs="Times New Roman"/>
          <w:sz w:val="22"/>
        </w:rPr>
        <w:br/>
      </w:r>
    </w:p>
    <w:p w14:paraId="11406203" w14:textId="77777777" w:rsidR="00A23F4C" w:rsidRPr="00486A52" w:rsidRDefault="00A23F4C" w:rsidP="00A23F4C">
      <w:pPr>
        <w:spacing w:line="360" w:lineRule="auto"/>
        <w:jc w:val="left"/>
        <w:rPr>
          <w:rFonts w:cs="Times New Roman"/>
          <w:sz w:val="22"/>
        </w:rPr>
      </w:pPr>
      <w:r w:rsidRPr="00486A52">
        <w:rPr>
          <w:rFonts w:cs="Times New Roman"/>
          <w:sz w:val="22"/>
        </w:rPr>
        <w:br w:type="page"/>
      </w:r>
    </w:p>
    <w:p w14:paraId="6DFCD95D" w14:textId="77777777" w:rsidR="00A23F4C" w:rsidRPr="00486A52" w:rsidRDefault="00A23F4C" w:rsidP="00A23F4C">
      <w:pPr>
        <w:pStyle w:val="Heading1"/>
        <w:rPr>
          <w:rFonts w:ascii="Times New Roman" w:hAnsi="Times New Roman" w:cs="Times New Roman"/>
        </w:rPr>
      </w:pPr>
      <w:bookmarkStart w:id="1" w:name="_Toc227453674"/>
      <w:r w:rsidRPr="00486A52">
        <w:rPr>
          <w:rFonts w:ascii="Times New Roman" w:hAnsi="Times New Roman" w:cs="Times New Roman"/>
        </w:rPr>
        <w:t xml:space="preserve">Part B: Short Report: The self-efficacy theory to improve </w:t>
      </w:r>
      <w:r w:rsidR="00FA6320" w:rsidRPr="00486A52">
        <w:rPr>
          <w:rFonts w:ascii="Times New Roman" w:hAnsi="Times New Roman" w:cs="Times New Roman"/>
        </w:rPr>
        <w:t>well-being</w:t>
      </w:r>
      <w:r w:rsidRPr="00486A52">
        <w:rPr>
          <w:rFonts w:ascii="Times New Roman" w:hAnsi="Times New Roman" w:cs="Times New Roman"/>
        </w:rPr>
        <w:t xml:space="preserve"> in Residential care.</w:t>
      </w:r>
      <w:bookmarkEnd w:id="1"/>
    </w:p>
    <w:p w14:paraId="182BC18B" w14:textId="77777777" w:rsidR="00A23F4C" w:rsidRPr="00486A52" w:rsidRDefault="00A23F4C" w:rsidP="00A23F4C">
      <w:pPr>
        <w:pStyle w:val="Heading2"/>
        <w:rPr>
          <w:rFonts w:ascii="Times New Roman" w:hAnsi="Times New Roman" w:cs="Times New Roman"/>
        </w:rPr>
      </w:pPr>
      <w:bookmarkStart w:id="2" w:name="_Toc227453675"/>
      <w:r w:rsidRPr="00486A52">
        <w:rPr>
          <w:rFonts w:ascii="Times New Roman" w:hAnsi="Times New Roman" w:cs="Times New Roman"/>
        </w:rPr>
        <w:t>Introduction</w:t>
      </w:r>
      <w:bookmarkEnd w:id="2"/>
    </w:p>
    <w:p w14:paraId="61ACB59B" w14:textId="77777777" w:rsidR="00A23F4C" w:rsidRPr="00486A52" w:rsidRDefault="00A23F4C" w:rsidP="00A23F4C">
      <w:pPr>
        <w:spacing w:line="360" w:lineRule="auto"/>
        <w:rPr>
          <w:rFonts w:cs="Times New Roman"/>
          <w:sz w:val="22"/>
        </w:rPr>
      </w:pPr>
      <w:r w:rsidRPr="00486A52">
        <w:rPr>
          <w:rFonts w:cs="Times New Roman"/>
          <w:sz w:val="22"/>
        </w:rPr>
        <w:t xml:space="preserve">Health and social care professionals are keen on the success of </w:t>
      </w:r>
      <w:r w:rsidR="00FA6320" w:rsidRPr="00486A52">
        <w:rPr>
          <w:rFonts w:cs="Times New Roman"/>
          <w:sz w:val="22"/>
        </w:rPr>
        <w:t xml:space="preserve">the </w:t>
      </w:r>
      <w:r w:rsidRPr="00486A52">
        <w:rPr>
          <w:rFonts w:cs="Times New Roman"/>
          <w:sz w:val="22"/>
        </w:rPr>
        <w:t xml:space="preserve">psychological </w:t>
      </w:r>
      <w:r w:rsidR="00FA6320" w:rsidRPr="00486A52">
        <w:rPr>
          <w:rFonts w:cs="Times New Roman"/>
          <w:sz w:val="22"/>
        </w:rPr>
        <w:t>well-being</w:t>
      </w:r>
      <w:r w:rsidRPr="00486A52">
        <w:rPr>
          <w:rFonts w:cs="Times New Roman"/>
          <w:sz w:val="22"/>
        </w:rPr>
        <w:t xml:space="preserve"> of old people in residential care. The impact is </w:t>
      </w:r>
      <w:r w:rsidR="00FA6320" w:rsidRPr="00486A52">
        <w:rPr>
          <w:rFonts w:cs="Times New Roman"/>
          <w:sz w:val="22"/>
        </w:rPr>
        <w:t xml:space="preserve">that </w:t>
      </w:r>
      <w:r w:rsidRPr="00486A52">
        <w:rPr>
          <w:rFonts w:cs="Times New Roman"/>
          <w:sz w:val="22"/>
        </w:rPr>
        <w:t xml:space="preserve">many residents feel less independent, </w:t>
      </w:r>
      <w:r w:rsidR="00FA6320" w:rsidRPr="00486A52">
        <w:rPr>
          <w:rFonts w:cs="Times New Roman"/>
          <w:sz w:val="22"/>
        </w:rPr>
        <w:t>have</w:t>
      </w:r>
      <w:r w:rsidRPr="00486A52">
        <w:rPr>
          <w:rFonts w:cs="Times New Roman"/>
          <w:sz w:val="22"/>
        </w:rPr>
        <w:t xml:space="preserve"> chronic </w:t>
      </w:r>
      <w:r w:rsidR="00FA6320" w:rsidRPr="00486A52">
        <w:rPr>
          <w:rFonts w:cs="Times New Roman"/>
          <w:sz w:val="22"/>
        </w:rPr>
        <w:t>illnesses,</w:t>
      </w:r>
      <w:r w:rsidRPr="00486A52">
        <w:rPr>
          <w:rFonts w:cs="Times New Roman"/>
          <w:sz w:val="22"/>
        </w:rPr>
        <w:t xml:space="preserve"> and </w:t>
      </w:r>
      <w:r w:rsidR="00FA6320" w:rsidRPr="00486A52">
        <w:rPr>
          <w:rFonts w:cs="Times New Roman"/>
          <w:sz w:val="22"/>
        </w:rPr>
        <w:t>are</w:t>
      </w:r>
      <w:r w:rsidRPr="00486A52">
        <w:rPr>
          <w:rFonts w:cs="Times New Roman"/>
          <w:sz w:val="22"/>
        </w:rPr>
        <w:t xml:space="preserve"> isolated (socially), which are all factors that can influence confidence and mental health negatively. One more resourceful theory to overcome these problems is the self-efficacy theory created by Albert Bandura</w:t>
      </w:r>
      <w:r w:rsidR="00FA6320" w:rsidRPr="00486A52">
        <w:rPr>
          <w:rFonts w:cs="Times New Roman"/>
          <w:sz w:val="22"/>
        </w:rPr>
        <w:t>,</w:t>
      </w:r>
      <w:r w:rsidRPr="00486A52">
        <w:rPr>
          <w:rFonts w:cs="Times New Roman"/>
          <w:sz w:val="22"/>
        </w:rPr>
        <w:t xml:space="preserve"> where the focus is directed towards how a specific individual thinks he/she would be able to manage the circumstances and achieve the objectives. This report explains the applicability of the theory of self-efficacy in the context of care </w:t>
      </w:r>
      <w:r w:rsidR="00FA6320" w:rsidRPr="00486A52">
        <w:rPr>
          <w:rFonts w:cs="Times New Roman"/>
          <w:sz w:val="22"/>
        </w:rPr>
        <w:t>homes,</w:t>
      </w:r>
      <w:r w:rsidRPr="00486A52">
        <w:rPr>
          <w:rFonts w:cs="Times New Roman"/>
          <w:sz w:val="22"/>
        </w:rPr>
        <w:t xml:space="preserve"> providing a practical example</w:t>
      </w:r>
      <w:r w:rsidR="00FA6320" w:rsidRPr="00486A52">
        <w:rPr>
          <w:rFonts w:cs="Times New Roman"/>
          <w:sz w:val="22"/>
        </w:rPr>
        <w:t>,</w:t>
      </w:r>
      <w:r w:rsidRPr="00486A52">
        <w:rPr>
          <w:rFonts w:cs="Times New Roman"/>
          <w:sz w:val="22"/>
        </w:rPr>
        <w:t xml:space="preserve"> one of the key challenges and a solution to this issue.</w:t>
      </w:r>
    </w:p>
    <w:p w14:paraId="39BFD96B" w14:textId="77777777" w:rsidR="00A23F4C" w:rsidRPr="00486A52" w:rsidRDefault="00A23F4C" w:rsidP="00A23F4C">
      <w:pPr>
        <w:pStyle w:val="Heading2"/>
        <w:rPr>
          <w:rFonts w:ascii="Times New Roman" w:hAnsi="Times New Roman" w:cs="Times New Roman"/>
        </w:rPr>
      </w:pPr>
      <w:bookmarkStart w:id="3" w:name="_Toc227453676"/>
      <w:r w:rsidRPr="00486A52">
        <w:rPr>
          <w:rFonts w:ascii="Times New Roman" w:hAnsi="Times New Roman" w:cs="Times New Roman"/>
        </w:rPr>
        <w:t>Applying Self-Efficacy Theory in Residential Care</w:t>
      </w:r>
      <w:bookmarkEnd w:id="3"/>
    </w:p>
    <w:p w14:paraId="1004BD1C" w14:textId="77777777" w:rsidR="00A23F4C" w:rsidRPr="00486A52" w:rsidRDefault="00A23F4C" w:rsidP="00A23F4C">
      <w:pPr>
        <w:spacing w:line="360" w:lineRule="auto"/>
        <w:rPr>
          <w:rFonts w:cs="Times New Roman"/>
          <w:sz w:val="22"/>
        </w:rPr>
      </w:pPr>
      <w:r w:rsidRPr="00486A52">
        <w:rPr>
          <w:rFonts w:cs="Times New Roman"/>
          <w:sz w:val="22"/>
        </w:rPr>
        <w:t xml:space="preserve">Self-efficacy refers to an </w:t>
      </w:r>
      <w:r w:rsidR="00FA6320" w:rsidRPr="00486A52">
        <w:rPr>
          <w:rFonts w:cs="Times New Roman"/>
          <w:sz w:val="22"/>
        </w:rPr>
        <w:t>individual's</w:t>
      </w:r>
      <w:r w:rsidRPr="00486A52">
        <w:rPr>
          <w:rFonts w:cs="Times New Roman"/>
          <w:sz w:val="22"/>
        </w:rPr>
        <w:t xml:space="preserve"> trust in the ability to perform some tasks or wrestle with problems</w:t>
      </w:r>
      <w:r w:rsidR="00FA6320" w:rsidRPr="00486A52">
        <w:rPr>
          <w:rFonts w:cs="Times New Roman"/>
          <w:sz w:val="22"/>
        </w:rPr>
        <w:t xml:space="preserve"> (Egele, Klopp and Stark, 2025)</w:t>
      </w:r>
      <w:r w:rsidRPr="00486A52">
        <w:rPr>
          <w:rFonts w:cs="Times New Roman"/>
          <w:sz w:val="22"/>
        </w:rPr>
        <w:t xml:space="preserve">. According to Bandura, individuals with high self-efficacy are more susceptible to favourable behaviours, persevere amid the challenges and maintain good psychological </w:t>
      </w:r>
      <w:r w:rsidR="00FA6320" w:rsidRPr="00486A52">
        <w:rPr>
          <w:rFonts w:cs="Times New Roman"/>
          <w:sz w:val="22"/>
        </w:rPr>
        <w:t>well-being</w:t>
      </w:r>
      <w:r w:rsidRPr="00486A52">
        <w:rPr>
          <w:rFonts w:cs="Times New Roman"/>
          <w:sz w:val="22"/>
        </w:rPr>
        <w:t>. A care home environment can also be applied using self-efficacy theory</w:t>
      </w:r>
      <w:r w:rsidR="00FA6320" w:rsidRPr="00486A52">
        <w:rPr>
          <w:rFonts w:cs="Times New Roman"/>
          <w:sz w:val="22"/>
        </w:rPr>
        <w:t>,</w:t>
      </w:r>
      <w:r w:rsidRPr="00486A52">
        <w:rPr>
          <w:rFonts w:cs="Times New Roman"/>
          <w:sz w:val="22"/>
        </w:rPr>
        <w:t xml:space="preserve"> whereby offering channels of experiencing success, the professionals can offer control and autonomy </w:t>
      </w:r>
      <w:r w:rsidR="00FA6320" w:rsidRPr="00486A52">
        <w:rPr>
          <w:rFonts w:cs="Times New Roman"/>
          <w:sz w:val="22"/>
        </w:rPr>
        <w:t>to</w:t>
      </w:r>
      <w:r w:rsidRPr="00486A52">
        <w:rPr>
          <w:rFonts w:cs="Times New Roman"/>
          <w:sz w:val="22"/>
        </w:rPr>
        <w:t xml:space="preserve"> the residents. This can include:</w:t>
      </w:r>
    </w:p>
    <w:p w14:paraId="20D7897B" w14:textId="77777777" w:rsidR="00A23F4C" w:rsidRPr="00486A52" w:rsidRDefault="00A23F4C" w:rsidP="00A23F4C">
      <w:pPr>
        <w:pStyle w:val="ListParagraph"/>
        <w:numPr>
          <w:ilvl w:val="0"/>
          <w:numId w:val="1"/>
        </w:numPr>
        <w:spacing w:line="360" w:lineRule="auto"/>
        <w:rPr>
          <w:rFonts w:cs="Times New Roman"/>
          <w:sz w:val="22"/>
        </w:rPr>
      </w:pPr>
      <w:r w:rsidRPr="00486A52">
        <w:rPr>
          <w:rFonts w:cs="Times New Roman"/>
          <w:sz w:val="22"/>
        </w:rPr>
        <w:t xml:space="preserve">Promoting the residents to participate in </w:t>
      </w:r>
      <w:r w:rsidR="00FA6320" w:rsidRPr="00486A52">
        <w:rPr>
          <w:rFonts w:cs="Times New Roman"/>
          <w:sz w:val="22"/>
        </w:rPr>
        <w:t>normal</w:t>
      </w:r>
      <w:r w:rsidRPr="00486A52">
        <w:rPr>
          <w:rFonts w:cs="Times New Roman"/>
          <w:sz w:val="22"/>
        </w:rPr>
        <w:t xml:space="preserve"> activities such as dressing, homemaking activities such as cooking</w:t>
      </w:r>
      <w:r w:rsidR="00FA6320" w:rsidRPr="00486A52">
        <w:rPr>
          <w:rFonts w:cs="Times New Roman"/>
          <w:sz w:val="22"/>
        </w:rPr>
        <w:t>,</w:t>
      </w:r>
      <w:r w:rsidRPr="00486A52">
        <w:rPr>
          <w:rFonts w:cs="Times New Roman"/>
          <w:sz w:val="22"/>
        </w:rPr>
        <w:t xml:space="preserve"> or even walking.</w:t>
      </w:r>
    </w:p>
    <w:p w14:paraId="07C1F0E7" w14:textId="77777777" w:rsidR="00A23F4C" w:rsidRPr="00486A52" w:rsidRDefault="00A23F4C" w:rsidP="00A23F4C">
      <w:pPr>
        <w:pStyle w:val="ListParagraph"/>
        <w:numPr>
          <w:ilvl w:val="0"/>
          <w:numId w:val="1"/>
        </w:numPr>
        <w:spacing w:line="360" w:lineRule="auto"/>
        <w:rPr>
          <w:rFonts w:cs="Times New Roman"/>
          <w:sz w:val="22"/>
        </w:rPr>
      </w:pPr>
      <w:r w:rsidRPr="00486A52">
        <w:rPr>
          <w:rFonts w:cs="Times New Roman"/>
          <w:sz w:val="22"/>
        </w:rPr>
        <w:t>Making realistic, attainable goals, which will not be offensive to personal abilities.</w:t>
      </w:r>
    </w:p>
    <w:p w14:paraId="364390C1" w14:textId="77777777" w:rsidR="00A23F4C" w:rsidRPr="00486A52" w:rsidRDefault="00A23F4C" w:rsidP="00A23F4C">
      <w:pPr>
        <w:pStyle w:val="ListParagraph"/>
        <w:numPr>
          <w:ilvl w:val="0"/>
          <w:numId w:val="1"/>
        </w:numPr>
        <w:spacing w:line="360" w:lineRule="auto"/>
        <w:rPr>
          <w:rFonts w:cs="Times New Roman"/>
          <w:sz w:val="22"/>
        </w:rPr>
      </w:pPr>
      <w:r w:rsidRPr="00486A52">
        <w:rPr>
          <w:rFonts w:cs="Times New Roman"/>
          <w:sz w:val="22"/>
        </w:rPr>
        <w:t xml:space="preserve">Reinforcement and encouragement of good </w:t>
      </w:r>
      <w:r w:rsidR="00FA6320" w:rsidRPr="00486A52">
        <w:rPr>
          <w:rFonts w:cs="Times New Roman"/>
          <w:sz w:val="22"/>
        </w:rPr>
        <w:t>behaviour</w:t>
      </w:r>
      <w:r w:rsidRPr="00486A52">
        <w:rPr>
          <w:rFonts w:cs="Times New Roman"/>
          <w:sz w:val="22"/>
        </w:rPr>
        <w:t>.</w:t>
      </w:r>
    </w:p>
    <w:p w14:paraId="591516DA" w14:textId="77777777" w:rsidR="00A23F4C" w:rsidRPr="00486A52" w:rsidRDefault="00A23F4C" w:rsidP="00A23F4C">
      <w:pPr>
        <w:pStyle w:val="ListParagraph"/>
        <w:numPr>
          <w:ilvl w:val="0"/>
          <w:numId w:val="1"/>
        </w:numPr>
        <w:spacing w:line="360" w:lineRule="auto"/>
        <w:rPr>
          <w:rFonts w:cs="Times New Roman"/>
          <w:sz w:val="22"/>
        </w:rPr>
      </w:pPr>
      <w:r w:rsidRPr="00486A52">
        <w:rPr>
          <w:rFonts w:cs="Times New Roman"/>
          <w:sz w:val="22"/>
        </w:rPr>
        <w:t xml:space="preserve">Through the process of peer modelling, people can have a glimpse of the other residents </w:t>
      </w:r>
      <w:r w:rsidR="00FA6320" w:rsidRPr="00486A52">
        <w:rPr>
          <w:rFonts w:cs="Times New Roman"/>
          <w:sz w:val="22"/>
        </w:rPr>
        <w:t>who</w:t>
      </w:r>
      <w:r w:rsidRPr="00486A52">
        <w:rPr>
          <w:rFonts w:cs="Times New Roman"/>
          <w:sz w:val="22"/>
        </w:rPr>
        <w:t xml:space="preserve"> are capable of taking on work well.</w:t>
      </w:r>
    </w:p>
    <w:p w14:paraId="191A81C3" w14:textId="77777777" w:rsidR="00A23F4C" w:rsidRPr="00486A52" w:rsidRDefault="00A23F4C" w:rsidP="00A23F4C">
      <w:pPr>
        <w:pStyle w:val="Heading2"/>
        <w:rPr>
          <w:rFonts w:ascii="Times New Roman" w:hAnsi="Times New Roman" w:cs="Times New Roman"/>
          <w:sz w:val="22"/>
          <w:szCs w:val="22"/>
        </w:rPr>
      </w:pPr>
      <w:bookmarkStart w:id="4" w:name="_Toc227453677"/>
      <w:r w:rsidRPr="00486A52">
        <w:rPr>
          <w:rFonts w:ascii="Times New Roman" w:hAnsi="Times New Roman" w:cs="Times New Roman"/>
        </w:rPr>
        <w:t>Case Scenario</w:t>
      </w:r>
      <w:bookmarkEnd w:id="4"/>
    </w:p>
    <w:p w14:paraId="28F0E424" w14:textId="77777777" w:rsidR="00A23F4C" w:rsidRPr="00486A52" w:rsidRDefault="00A23F4C" w:rsidP="00A23F4C">
      <w:pPr>
        <w:spacing w:line="360" w:lineRule="auto"/>
        <w:rPr>
          <w:rFonts w:cs="Times New Roman"/>
          <w:sz w:val="22"/>
        </w:rPr>
      </w:pPr>
      <w:r w:rsidRPr="00486A52">
        <w:rPr>
          <w:rFonts w:cs="Times New Roman"/>
          <w:sz w:val="22"/>
        </w:rPr>
        <w:t xml:space="preserve">Mrs Rahman, </w:t>
      </w:r>
      <w:r w:rsidR="00FA6320" w:rsidRPr="00486A52">
        <w:rPr>
          <w:rFonts w:cs="Times New Roman"/>
          <w:sz w:val="22"/>
        </w:rPr>
        <w:t>an</w:t>
      </w:r>
      <w:r w:rsidRPr="00486A52">
        <w:rPr>
          <w:rFonts w:cs="Times New Roman"/>
          <w:sz w:val="22"/>
        </w:rPr>
        <w:t xml:space="preserve"> </w:t>
      </w:r>
      <w:r w:rsidR="00FA6320" w:rsidRPr="00486A52">
        <w:rPr>
          <w:rFonts w:cs="Times New Roman"/>
          <w:sz w:val="22"/>
        </w:rPr>
        <w:t>82-year-old</w:t>
      </w:r>
      <w:r w:rsidRPr="00486A52">
        <w:rPr>
          <w:rFonts w:cs="Times New Roman"/>
          <w:sz w:val="22"/>
        </w:rPr>
        <w:t xml:space="preserve"> female, </w:t>
      </w:r>
      <w:r w:rsidR="00FA6320" w:rsidRPr="00486A52">
        <w:rPr>
          <w:rFonts w:cs="Times New Roman"/>
          <w:sz w:val="22"/>
        </w:rPr>
        <w:t xml:space="preserve">was </w:t>
      </w:r>
      <w:r w:rsidRPr="00486A52">
        <w:rPr>
          <w:rFonts w:cs="Times New Roman"/>
          <w:sz w:val="22"/>
        </w:rPr>
        <w:t xml:space="preserve">recently referred to a care home due to her arthritis. She initially withdrew and </w:t>
      </w:r>
      <w:r w:rsidR="00FA6320" w:rsidRPr="00486A52">
        <w:rPr>
          <w:rFonts w:cs="Times New Roman"/>
          <w:sz w:val="22"/>
        </w:rPr>
        <w:t>over-relied</w:t>
      </w:r>
      <w:r w:rsidRPr="00486A52">
        <w:rPr>
          <w:rFonts w:cs="Times New Roman"/>
          <w:sz w:val="22"/>
        </w:rPr>
        <w:t xml:space="preserve"> on the staff to perform some simple tasks</w:t>
      </w:r>
      <w:r w:rsidR="00FA6320" w:rsidRPr="00486A52">
        <w:rPr>
          <w:rFonts w:cs="Times New Roman"/>
          <w:sz w:val="22"/>
        </w:rPr>
        <w:t>,</w:t>
      </w:r>
      <w:r w:rsidRPr="00486A52">
        <w:rPr>
          <w:rFonts w:cs="Times New Roman"/>
          <w:sz w:val="22"/>
        </w:rPr>
        <w:t xml:space="preserve"> telling them that she was too old to do it. Employees </w:t>
      </w:r>
      <w:r w:rsidR="00FA6320" w:rsidRPr="00486A52">
        <w:rPr>
          <w:rFonts w:cs="Times New Roman"/>
          <w:sz w:val="22"/>
        </w:rPr>
        <w:t>realised</w:t>
      </w:r>
      <w:r w:rsidRPr="00486A52">
        <w:rPr>
          <w:rFonts w:cs="Times New Roman"/>
          <w:sz w:val="22"/>
        </w:rPr>
        <w:t xml:space="preserve"> that it was her lack of confidence that made her autonomy limited</w:t>
      </w:r>
      <w:r w:rsidR="00FA6320" w:rsidRPr="00486A52">
        <w:rPr>
          <w:rFonts w:cs="Times New Roman"/>
          <w:sz w:val="22"/>
        </w:rPr>
        <w:t>,</w:t>
      </w:r>
      <w:r w:rsidRPr="00486A52">
        <w:rPr>
          <w:rFonts w:cs="Times New Roman"/>
          <w:sz w:val="22"/>
        </w:rPr>
        <w:t xml:space="preserve"> and not the only aspect of the impossibility. Caregivers provided small and manageable functions through </w:t>
      </w:r>
      <w:r w:rsidR="00FA6320" w:rsidRPr="00486A52">
        <w:rPr>
          <w:rFonts w:cs="Times New Roman"/>
          <w:sz w:val="22"/>
        </w:rPr>
        <w:t>a self-efficacy-based</w:t>
      </w:r>
      <w:r w:rsidRPr="00486A52">
        <w:rPr>
          <w:rFonts w:cs="Times New Roman"/>
          <w:sz w:val="22"/>
        </w:rPr>
        <w:t xml:space="preserve"> approach. The first strategy was to go about the situation where Mrs Rahman was requested to brush her hair herself, but in a very motivating and comforting manner. As soon as she could do this more than once</w:t>
      </w:r>
      <w:r w:rsidR="00FA6320" w:rsidRPr="00486A52">
        <w:rPr>
          <w:rFonts w:cs="Times New Roman"/>
          <w:sz w:val="22"/>
        </w:rPr>
        <w:t>,</w:t>
      </w:r>
      <w:r w:rsidRPr="00486A52">
        <w:rPr>
          <w:rFonts w:cs="Times New Roman"/>
          <w:sz w:val="22"/>
        </w:rPr>
        <w:t xml:space="preserve"> she was physically assisted to learn slowly how to do it and even be able to go to a seated exercise </w:t>
      </w:r>
      <w:r w:rsidR="00FA6320" w:rsidRPr="00486A52">
        <w:rPr>
          <w:rFonts w:cs="Times New Roman"/>
          <w:sz w:val="22"/>
        </w:rPr>
        <w:t>group. The</w:t>
      </w:r>
      <w:r w:rsidRPr="00486A52">
        <w:rPr>
          <w:rFonts w:cs="Times New Roman"/>
          <w:sz w:val="22"/>
        </w:rPr>
        <w:t xml:space="preserve"> workers </w:t>
      </w:r>
      <w:r w:rsidR="00FA6320" w:rsidRPr="00486A52">
        <w:rPr>
          <w:rFonts w:cs="Times New Roman"/>
          <w:sz w:val="22"/>
        </w:rPr>
        <w:t>also</w:t>
      </w:r>
      <w:r w:rsidRPr="00486A52">
        <w:rPr>
          <w:rFonts w:cs="Times New Roman"/>
          <w:sz w:val="22"/>
        </w:rPr>
        <w:t xml:space="preserve"> cheered her innovations back</w:t>
      </w:r>
      <w:r w:rsidR="00FA6320" w:rsidRPr="00486A52">
        <w:rPr>
          <w:rFonts w:cs="Times New Roman"/>
          <w:sz w:val="22"/>
        </w:rPr>
        <w:t>,</w:t>
      </w:r>
      <w:r w:rsidRPr="00486A52">
        <w:rPr>
          <w:rFonts w:cs="Times New Roman"/>
          <w:sz w:val="22"/>
        </w:rPr>
        <w:t xml:space="preserve"> and they mentioned that she was doing well, which further contributed to her sense of capability. Watching other residents of the same age perform activities even more boosted her motivation. After several weeks, Mrs Rahman was more self-assured, socially engaged and claimed that she had a little bit more control in her life. This is one of them, and it can help them understand that significant alterations can be made in their mental health and functional independence with the help of using the self-efficacy theory.</w:t>
      </w:r>
    </w:p>
    <w:p w14:paraId="3C6D0BCD" w14:textId="77777777" w:rsidR="00A23F4C" w:rsidRPr="00486A52" w:rsidRDefault="00A23F4C" w:rsidP="00A23F4C">
      <w:pPr>
        <w:pStyle w:val="Heading2"/>
        <w:rPr>
          <w:rFonts w:ascii="Times New Roman" w:hAnsi="Times New Roman" w:cs="Times New Roman"/>
        </w:rPr>
      </w:pPr>
      <w:bookmarkStart w:id="5" w:name="_Toc227453678"/>
      <w:r w:rsidRPr="00486A52">
        <w:rPr>
          <w:rFonts w:ascii="Times New Roman" w:hAnsi="Times New Roman" w:cs="Times New Roman"/>
        </w:rPr>
        <w:t>Challenge in Application</w:t>
      </w:r>
      <w:bookmarkEnd w:id="5"/>
    </w:p>
    <w:p w14:paraId="3E6A7F54" w14:textId="77777777" w:rsidR="00A23F4C" w:rsidRPr="00486A52" w:rsidRDefault="00A23F4C" w:rsidP="00A23F4C">
      <w:pPr>
        <w:spacing w:line="360" w:lineRule="auto"/>
        <w:rPr>
          <w:rFonts w:cs="Times New Roman"/>
          <w:sz w:val="22"/>
        </w:rPr>
      </w:pPr>
      <w:r w:rsidRPr="00486A52">
        <w:rPr>
          <w:rFonts w:cs="Times New Roman"/>
          <w:sz w:val="22"/>
        </w:rPr>
        <w:t xml:space="preserve">The second important problem of </w:t>
      </w:r>
      <w:r w:rsidR="00FA6320" w:rsidRPr="00486A52">
        <w:rPr>
          <w:rFonts w:cs="Times New Roman"/>
          <w:sz w:val="22"/>
        </w:rPr>
        <w:t>the application of the self-efficacy theory</w:t>
      </w:r>
      <w:r w:rsidRPr="00486A52">
        <w:rPr>
          <w:rFonts w:cs="Times New Roman"/>
          <w:sz w:val="22"/>
        </w:rPr>
        <w:t xml:space="preserve"> to residential care is that cases of cognitive deterioration</w:t>
      </w:r>
      <w:r w:rsidR="00FA6320" w:rsidRPr="00486A52">
        <w:rPr>
          <w:rFonts w:cs="Times New Roman"/>
          <w:sz w:val="22"/>
        </w:rPr>
        <w:t>,</w:t>
      </w:r>
      <w:r w:rsidRPr="00486A52">
        <w:rPr>
          <w:rFonts w:cs="Times New Roman"/>
          <w:sz w:val="22"/>
        </w:rPr>
        <w:t xml:space="preserve"> such as dementia</w:t>
      </w:r>
      <w:r w:rsidR="00FA6320" w:rsidRPr="00486A52">
        <w:rPr>
          <w:rFonts w:cs="Times New Roman"/>
          <w:sz w:val="22"/>
        </w:rPr>
        <w:t>,</w:t>
      </w:r>
      <w:r w:rsidRPr="00486A52">
        <w:rPr>
          <w:rFonts w:cs="Times New Roman"/>
          <w:sz w:val="22"/>
        </w:rPr>
        <w:t xml:space="preserve"> may take place. </w:t>
      </w:r>
      <w:r w:rsidR="00FA6320" w:rsidRPr="00486A52">
        <w:rPr>
          <w:rFonts w:cs="Times New Roman"/>
          <w:sz w:val="22"/>
        </w:rPr>
        <w:t>Cognitively</w:t>
      </w:r>
      <w:r w:rsidRPr="00486A52">
        <w:rPr>
          <w:rFonts w:cs="Times New Roman"/>
          <w:sz w:val="22"/>
        </w:rPr>
        <w:t xml:space="preserve"> impaired residents are likely to have issues in retaining new information, responding to instructions or even </w:t>
      </w:r>
      <w:r w:rsidR="00FA6320" w:rsidRPr="00486A52">
        <w:rPr>
          <w:rFonts w:cs="Times New Roman"/>
          <w:sz w:val="22"/>
        </w:rPr>
        <w:t>being</w:t>
      </w:r>
      <w:r w:rsidRPr="00486A52">
        <w:rPr>
          <w:rFonts w:cs="Times New Roman"/>
          <w:sz w:val="22"/>
        </w:rPr>
        <w:t xml:space="preserve"> aware of their own improvement</w:t>
      </w:r>
      <w:r w:rsidR="00FA6320" w:rsidRPr="00486A52">
        <w:rPr>
          <w:rFonts w:cs="Times New Roman"/>
          <w:sz w:val="22"/>
        </w:rPr>
        <w:t xml:space="preserve"> (Meyer et al., 2022)</w:t>
      </w:r>
      <w:r w:rsidRPr="00486A52">
        <w:rPr>
          <w:rFonts w:cs="Times New Roman"/>
          <w:sz w:val="22"/>
        </w:rPr>
        <w:t>. This can limit the ability to build and sustain self-efficacy</w:t>
      </w:r>
      <w:r w:rsidR="00FA6320" w:rsidRPr="00486A52">
        <w:rPr>
          <w:rFonts w:cs="Times New Roman"/>
          <w:sz w:val="22"/>
        </w:rPr>
        <w:t>,</w:t>
      </w:r>
      <w:r w:rsidRPr="00486A52">
        <w:rPr>
          <w:rFonts w:cs="Times New Roman"/>
          <w:sz w:val="22"/>
        </w:rPr>
        <w:t xml:space="preserve"> and conventional practice is not as important. Additionally, staffing and work needs at the care homes might limit the opportunity to derive a personalised get-help that is fundamental in building trust in the long run.</w:t>
      </w:r>
    </w:p>
    <w:p w14:paraId="16A39AC7" w14:textId="77777777" w:rsidR="00A23F4C" w:rsidRPr="00486A52" w:rsidRDefault="00A23F4C" w:rsidP="00A23F4C">
      <w:pPr>
        <w:pStyle w:val="Heading2"/>
        <w:rPr>
          <w:rFonts w:ascii="Times New Roman" w:hAnsi="Times New Roman" w:cs="Times New Roman"/>
        </w:rPr>
      </w:pPr>
      <w:bookmarkStart w:id="6" w:name="_Toc227453679"/>
      <w:r w:rsidRPr="00486A52">
        <w:rPr>
          <w:rFonts w:ascii="Times New Roman" w:hAnsi="Times New Roman" w:cs="Times New Roman"/>
        </w:rPr>
        <w:t>Strategy to Overcome the Challenge.</w:t>
      </w:r>
      <w:bookmarkEnd w:id="6"/>
    </w:p>
    <w:p w14:paraId="1D756EEE" w14:textId="77777777" w:rsidR="00A23F4C" w:rsidRPr="00486A52" w:rsidRDefault="00A23F4C" w:rsidP="00A23F4C">
      <w:pPr>
        <w:spacing w:line="360" w:lineRule="auto"/>
        <w:rPr>
          <w:rFonts w:cs="Times New Roman"/>
          <w:sz w:val="22"/>
        </w:rPr>
      </w:pPr>
      <w:r w:rsidRPr="00486A52">
        <w:rPr>
          <w:rFonts w:cs="Times New Roman"/>
          <w:sz w:val="22"/>
        </w:rPr>
        <w:t xml:space="preserve">The professionals can address this barrier using an approach based on a person-centred and adaptive practice with </w:t>
      </w:r>
      <w:r w:rsidR="00FA6320" w:rsidRPr="00486A52">
        <w:rPr>
          <w:rFonts w:cs="Times New Roman"/>
          <w:sz w:val="22"/>
        </w:rPr>
        <w:t xml:space="preserve">low-cognitive ability </w:t>
      </w:r>
      <w:r w:rsidR="005A7741" w:rsidRPr="00486A52">
        <w:rPr>
          <w:rFonts w:cs="Times New Roman"/>
          <w:sz w:val="22"/>
        </w:rPr>
        <w:t>residents</w:t>
      </w:r>
      <w:r w:rsidR="00FA6320" w:rsidRPr="00486A52">
        <w:rPr>
          <w:rFonts w:cs="Times New Roman"/>
          <w:sz w:val="22"/>
        </w:rPr>
        <w:t>.</w:t>
      </w:r>
      <w:r w:rsidRPr="00486A52">
        <w:rPr>
          <w:rFonts w:cs="Times New Roman"/>
          <w:sz w:val="22"/>
        </w:rPr>
        <w:t xml:space="preserve"> The work must be </w:t>
      </w:r>
      <w:r w:rsidR="00FA6320" w:rsidRPr="00486A52">
        <w:rPr>
          <w:rFonts w:cs="Times New Roman"/>
          <w:sz w:val="22"/>
        </w:rPr>
        <w:t>minimised</w:t>
      </w:r>
      <w:r w:rsidRPr="00486A52">
        <w:rPr>
          <w:rFonts w:cs="Times New Roman"/>
          <w:sz w:val="22"/>
        </w:rPr>
        <w:t xml:space="preserve"> and divided into small fragments, and routines must be exercised to remember the work. Learning </w:t>
      </w:r>
      <w:r w:rsidR="00FA6320" w:rsidRPr="00486A52">
        <w:rPr>
          <w:rFonts w:cs="Times New Roman"/>
          <w:sz w:val="22"/>
        </w:rPr>
        <w:t xml:space="preserve">is </w:t>
      </w:r>
      <w:r w:rsidRPr="00486A52">
        <w:rPr>
          <w:rFonts w:cs="Times New Roman"/>
          <w:sz w:val="22"/>
        </w:rPr>
        <w:t>increased</w:t>
      </w:r>
      <w:r w:rsidR="00FA6320" w:rsidRPr="00486A52">
        <w:rPr>
          <w:rFonts w:cs="Times New Roman"/>
          <w:sz w:val="22"/>
        </w:rPr>
        <w:t>,</w:t>
      </w:r>
      <w:r w:rsidRPr="00486A52">
        <w:rPr>
          <w:rFonts w:cs="Times New Roman"/>
          <w:sz w:val="22"/>
        </w:rPr>
        <w:t xml:space="preserve"> and success is encouraged by the appeals to visual representation, repetition, urging to be gentle and stimulated and the encouragement of success</w:t>
      </w:r>
      <w:r w:rsidR="005A7741" w:rsidRPr="00486A52">
        <w:rPr>
          <w:rFonts w:cs="Times New Roman"/>
          <w:sz w:val="22"/>
        </w:rPr>
        <w:t xml:space="preserve"> (Kundu, 2020)</w:t>
      </w:r>
      <w:r w:rsidRPr="00486A52">
        <w:rPr>
          <w:rFonts w:cs="Times New Roman"/>
          <w:sz w:val="22"/>
        </w:rPr>
        <w:t xml:space="preserve">. Notably, employees are to concentrate on positive feedback that has to be empirical in the present moment, even on minor noted achievements, to affirm confidence. Familiar activities and family members can help to enhance engagement and emotional connection as well. The personnel will need to be educated in communication techniques and psychological approaches that will ensure that the self-efficacy principles are put into practice </w:t>
      </w:r>
      <w:r w:rsidR="00FA6320" w:rsidRPr="00486A52">
        <w:rPr>
          <w:rFonts w:cs="Times New Roman"/>
          <w:sz w:val="22"/>
        </w:rPr>
        <w:t>regularly</w:t>
      </w:r>
      <w:r w:rsidRPr="00486A52">
        <w:rPr>
          <w:rFonts w:cs="Times New Roman"/>
          <w:sz w:val="22"/>
        </w:rPr>
        <w:t>.</w:t>
      </w:r>
    </w:p>
    <w:p w14:paraId="3D2D6180" w14:textId="77777777" w:rsidR="00A23F4C" w:rsidRPr="00486A52" w:rsidRDefault="00A23F4C" w:rsidP="00A23F4C">
      <w:pPr>
        <w:pStyle w:val="Heading2"/>
        <w:rPr>
          <w:rFonts w:ascii="Times New Roman" w:hAnsi="Times New Roman" w:cs="Times New Roman"/>
        </w:rPr>
      </w:pPr>
      <w:bookmarkStart w:id="7" w:name="_Toc227453680"/>
      <w:r w:rsidRPr="00486A52">
        <w:rPr>
          <w:rFonts w:ascii="Times New Roman" w:hAnsi="Times New Roman" w:cs="Times New Roman"/>
        </w:rPr>
        <w:t>Conclusion</w:t>
      </w:r>
      <w:bookmarkEnd w:id="7"/>
    </w:p>
    <w:p w14:paraId="11023874" w14:textId="77777777" w:rsidR="009A37CE" w:rsidRPr="00486A52" w:rsidRDefault="00A23F4C" w:rsidP="00A23F4C">
      <w:pPr>
        <w:spacing w:line="360" w:lineRule="auto"/>
        <w:rPr>
          <w:rFonts w:cs="Times New Roman"/>
          <w:sz w:val="22"/>
        </w:rPr>
      </w:pPr>
      <w:r w:rsidRPr="00486A52">
        <w:rPr>
          <w:rFonts w:cs="Times New Roman"/>
          <w:sz w:val="22"/>
        </w:rPr>
        <w:t xml:space="preserve">A self-efficacy theory would be useful in enhancing the mental </w:t>
      </w:r>
      <w:r w:rsidR="00FA6320" w:rsidRPr="00486A52">
        <w:rPr>
          <w:rFonts w:cs="Times New Roman"/>
          <w:sz w:val="22"/>
        </w:rPr>
        <w:t>well-being</w:t>
      </w:r>
      <w:r w:rsidRPr="00486A52">
        <w:rPr>
          <w:rFonts w:cs="Times New Roman"/>
          <w:sz w:val="22"/>
        </w:rPr>
        <w:t xml:space="preserve"> of elderly individuals </w:t>
      </w:r>
      <w:r w:rsidR="00FA6320" w:rsidRPr="00486A52">
        <w:rPr>
          <w:rFonts w:cs="Times New Roman"/>
          <w:sz w:val="22"/>
        </w:rPr>
        <w:t>in</w:t>
      </w:r>
      <w:r w:rsidRPr="00486A52">
        <w:rPr>
          <w:rFonts w:cs="Times New Roman"/>
          <w:sz w:val="22"/>
        </w:rPr>
        <w:t xml:space="preserve"> residential care. By promoting confidence and independence and by participating in activities, mental health and quality of life can be enhanced by health and social care professionals. Nevertheless, with the help of the individualised and </w:t>
      </w:r>
      <w:r w:rsidR="00FA6320" w:rsidRPr="00486A52">
        <w:rPr>
          <w:rFonts w:cs="Times New Roman"/>
          <w:sz w:val="22"/>
        </w:rPr>
        <w:t>person-centred</w:t>
      </w:r>
      <w:r w:rsidRPr="00486A52">
        <w:rPr>
          <w:rFonts w:cs="Times New Roman"/>
          <w:sz w:val="22"/>
        </w:rPr>
        <w:t xml:space="preserve"> approaches, they can be managed despite the challenges associated with them, including cognitive deterioration. In summary, self-efficacy could be part of the daily routine of care, and </w:t>
      </w:r>
      <w:r w:rsidR="00FA6320" w:rsidRPr="00486A52">
        <w:rPr>
          <w:rFonts w:cs="Times New Roman"/>
          <w:sz w:val="22"/>
        </w:rPr>
        <w:t xml:space="preserve">a </w:t>
      </w:r>
      <w:r w:rsidRPr="00486A52">
        <w:rPr>
          <w:rFonts w:cs="Times New Roman"/>
          <w:sz w:val="22"/>
        </w:rPr>
        <w:t>more enriching and integrated experience of ageing is attained.</w:t>
      </w:r>
    </w:p>
    <w:p w14:paraId="1D3C8286" w14:textId="77777777" w:rsidR="00EF59F0" w:rsidRDefault="00EF59F0">
      <w:pPr>
        <w:jc w:val="left"/>
        <w:rPr>
          <w:rFonts w:eastAsiaTheme="majorEastAsia" w:cs="Times New Roman"/>
          <w:b/>
          <w:color w:val="2F5496" w:themeColor="accent1" w:themeShade="BF"/>
          <w:sz w:val="32"/>
          <w:szCs w:val="32"/>
        </w:rPr>
      </w:pPr>
      <w:r>
        <w:rPr>
          <w:rFonts w:cs="Times New Roman"/>
        </w:rPr>
        <w:br w:type="page"/>
      </w:r>
    </w:p>
    <w:p w14:paraId="356813FD" w14:textId="77777777" w:rsidR="005A7741" w:rsidRPr="00486A52" w:rsidRDefault="005A7741" w:rsidP="005A7741">
      <w:pPr>
        <w:pStyle w:val="Heading1"/>
        <w:rPr>
          <w:rFonts w:ascii="Times New Roman" w:hAnsi="Times New Roman" w:cs="Times New Roman"/>
        </w:rPr>
      </w:pPr>
      <w:bookmarkStart w:id="8" w:name="_Toc227453681"/>
      <w:r w:rsidRPr="00486A52">
        <w:rPr>
          <w:rFonts w:ascii="Times New Roman" w:hAnsi="Times New Roman" w:cs="Times New Roman"/>
        </w:rPr>
        <w:t>References</w:t>
      </w:r>
      <w:bookmarkEnd w:id="8"/>
    </w:p>
    <w:p w14:paraId="74D3AB6C" w14:textId="77777777" w:rsidR="005A7741" w:rsidRPr="00486A52" w:rsidRDefault="005A7741" w:rsidP="005A7741">
      <w:pPr>
        <w:spacing w:line="360" w:lineRule="auto"/>
        <w:rPr>
          <w:rFonts w:cs="Times New Roman"/>
          <w:sz w:val="22"/>
        </w:rPr>
      </w:pPr>
      <w:r w:rsidRPr="00486A52">
        <w:rPr>
          <w:rFonts w:cs="Times New Roman"/>
          <w:sz w:val="22"/>
        </w:rPr>
        <w:t>Das, K. (2025) </w:t>
      </w:r>
      <w:r w:rsidRPr="00486A52">
        <w:rPr>
          <w:rFonts w:cs="Times New Roman"/>
          <w:i/>
          <w:iCs/>
          <w:sz w:val="22"/>
        </w:rPr>
        <w:t>ALBERT BANDURA’S SELF-EFFICACY THEORY AND ITS IMPLICATIONS IN HUMAN LIFE</w:t>
      </w:r>
      <w:r w:rsidRPr="00486A52">
        <w:rPr>
          <w:rFonts w:cs="Times New Roman"/>
          <w:sz w:val="22"/>
        </w:rPr>
        <w:t>, </w:t>
      </w:r>
      <w:r w:rsidRPr="00486A52">
        <w:rPr>
          <w:rFonts w:cs="Times New Roman"/>
          <w:i/>
          <w:iCs/>
          <w:sz w:val="22"/>
        </w:rPr>
        <w:t>Researchgate.net</w:t>
      </w:r>
      <w:r w:rsidRPr="00486A52">
        <w:rPr>
          <w:rFonts w:cs="Times New Roman"/>
          <w:sz w:val="22"/>
        </w:rPr>
        <w:t>. Available at: https://www.researchgate.net/publication/395585207_ALBERT_BANDURA'S_SELF-EFFICACY_THEORY_AND_ITS_IMPLICATIONS_IN_HUMAN_LIFE (Accessed: April 18, 2026).</w:t>
      </w:r>
    </w:p>
    <w:p w14:paraId="77643841" w14:textId="77777777" w:rsidR="005A7741" w:rsidRPr="00486A52" w:rsidRDefault="005A7741" w:rsidP="005A7741">
      <w:pPr>
        <w:spacing w:line="360" w:lineRule="auto"/>
        <w:rPr>
          <w:rFonts w:cs="Times New Roman"/>
          <w:sz w:val="22"/>
        </w:rPr>
      </w:pPr>
      <w:r w:rsidRPr="00486A52">
        <w:rPr>
          <w:rFonts w:cs="Times New Roman"/>
          <w:sz w:val="22"/>
        </w:rPr>
        <w:t>Egele, V.S., Klopp, E. and Stark, R. (2025) “An empirical ranking of the importance of the sources of self-efficacy for physical activity,” </w:t>
      </w:r>
      <w:r w:rsidRPr="00486A52">
        <w:rPr>
          <w:rFonts w:cs="Times New Roman"/>
          <w:i/>
          <w:iCs/>
          <w:sz w:val="22"/>
        </w:rPr>
        <w:t>Health Psychology and Behavioral Medicine</w:t>
      </w:r>
      <w:r w:rsidRPr="00486A52">
        <w:rPr>
          <w:rFonts w:cs="Times New Roman"/>
          <w:sz w:val="22"/>
        </w:rPr>
        <w:t>, 13(1), p. 2567322. Available at: https://doi.org/10.1080/21642850.2025.2567322.</w:t>
      </w:r>
    </w:p>
    <w:p w14:paraId="5ACF16B7" w14:textId="77777777" w:rsidR="005A7741" w:rsidRPr="00486A52" w:rsidRDefault="005A7741" w:rsidP="005A7741">
      <w:pPr>
        <w:spacing w:line="360" w:lineRule="auto"/>
        <w:rPr>
          <w:rFonts w:cs="Times New Roman"/>
          <w:sz w:val="22"/>
        </w:rPr>
      </w:pPr>
      <w:r w:rsidRPr="00486A52">
        <w:rPr>
          <w:rFonts w:cs="Times New Roman"/>
          <w:sz w:val="22"/>
        </w:rPr>
        <w:t>Juul Darling, P., Bové Illum, D. and Storebø, O.J. (2024) “The critical role of attachment theory in child and adolescent mental health care,” </w:t>
      </w:r>
      <w:r w:rsidRPr="00486A52">
        <w:rPr>
          <w:rFonts w:cs="Times New Roman"/>
          <w:i/>
          <w:iCs/>
          <w:sz w:val="22"/>
        </w:rPr>
        <w:t>Scandinavian Journal of Child and Adolescent Psychiatry and Psychology</w:t>
      </w:r>
      <w:r w:rsidRPr="00486A52">
        <w:rPr>
          <w:rFonts w:cs="Times New Roman"/>
          <w:sz w:val="22"/>
        </w:rPr>
        <w:t>, 12(1), pp. 47–49. Available at: https://doi.org/10.2478/sjcapp-2024-0005.</w:t>
      </w:r>
    </w:p>
    <w:p w14:paraId="55A7431F" w14:textId="77777777" w:rsidR="005A7741" w:rsidRPr="00486A52" w:rsidRDefault="005A7741" w:rsidP="005A7741">
      <w:pPr>
        <w:spacing w:line="360" w:lineRule="auto"/>
        <w:rPr>
          <w:rFonts w:cs="Times New Roman"/>
          <w:sz w:val="22"/>
        </w:rPr>
      </w:pPr>
      <w:r w:rsidRPr="00486A52">
        <w:rPr>
          <w:rFonts w:cs="Times New Roman"/>
          <w:sz w:val="22"/>
        </w:rPr>
        <w:t>Kundu, A. (2020) “Toward a framework for strengthening participants’ self-efficacy in online education,” </w:t>
      </w:r>
      <w:r w:rsidRPr="00486A52">
        <w:rPr>
          <w:rFonts w:cs="Times New Roman"/>
          <w:i/>
          <w:iCs/>
          <w:sz w:val="22"/>
        </w:rPr>
        <w:t>Asian Association of Open Universities Journal</w:t>
      </w:r>
      <w:r w:rsidRPr="00486A52">
        <w:rPr>
          <w:rFonts w:cs="Times New Roman"/>
          <w:sz w:val="22"/>
        </w:rPr>
        <w:t>, 15(3), pp. 351–370. Available at: https://doi.org/10.1108/aaouj-06-2020-0039.</w:t>
      </w:r>
    </w:p>
    <w:p w14:paraId="0CC6D189" w14:textId="77777777" w:rsidR="005A7741" w:rsidRPr="00486A52" w:rsidRDefault="005A7741" w:rsidP="005A7741">
      <w:pPr>
        <w:spacing w:line="360" w:lineRule="auto"/>
        <w:rPr>
          <w:rFonts w:cs="Times New Roman"/>
          <w:sz w:val="22"/>
        </w:rPr>
      </w:pPr>
      <w:r w:rsidRPr="00486A52">
        <w:rPr>
          <w:rFonts w:cs="Times New Roman"/>
          <w:sz w:val="22"/>
        </w:rPr>
        <w:t>Meyer, K. </w:t>
      </w:r>
      <w:r w:rsidRPr="00486A52">
        <w:rPr>
          <w:rFonts w:cs="Times New Roman"/>
          <w:i/>
          <w:iCs/>
          <w:sz w:val="22"/>
        </w:rPr>
        <w:t>et al.</w:t>
      </w:r>
      <w:r w:rsidRPr="00486A52">
        <w:rPr>
          <w:rFonts w:cs="Times New Roman"/>
          <w:sz w:val="22"/>
        </w:rPr>
        <w:t> (2022) “Caregiver self-efficacy improves following complex care training: Results from the Learning Skills Together pilot study,” </w:t>
      </w:r>
      <w:r w:rsidRPr="00486A52">
        <w:rPr>
          <w:rFonts w:cs="Times New Roman"/>
          <w:i/>
          <w:iCs/>
          <w:sz w:val="22"/>
        </w:rPr>
        <w:t>Geriatric Nursing (New York, N.Y.)</w:t>
      </w:r>
      <w:r w:rsidRPr="00486A52">
        <w:rPr>
          <w:rFonts w:cs="Times New Roman"/>
          <w:sz w:val="22"/>
        </w:rPr>
        <w:t>, 45, pp. 147–152. Available at: https://doi.org/10.1016/j.gerinurse.2022.03.013.</w:t>
      </w:r>
    </w:p>
    <w:p w14:paraId="42611D02" w14:textId="77777777" w:rsidR="005A7741" w:rsidRPr="00486A52" w:rsidRDefault="005A7741" w:rsidP="005A7741">
      <w:pPr>
        <w:spacing w:line="360" w:lineRule="auto"/>
        <w:rPr>
          <w:rFonts w:cs="Times New Roman"/>
          <w:sz w:val="22"/>
        </w:rPr>
      </w:pPr>
      <w:r w:rsidRPr="00486A52">
        <w:rPr>
          <w:rFonts w:cs="Times New Roman"/>
          <w:sz w:val="22"/>
        </w:rPr>
        <w:t>Pakpahan, F.H. and Saragih, M. (2022) “Theory of cognitive development by jean Piaget,” </w:t>
      </w:r>
      <w:r w:rsidRPr="00486A52">
        <w:rPr>
          <w:rFonts w:cs="Times New Roman"/>
          <w:i/>
          <w:iCs/>
          <w:sz w:val="22"/>
        </w:rPr>
        <w:t>Journal of Applied Linguistics</w:t>
      </w:r>
      <w:r w:rsidRPr="00486A52">
        <w:rPr>
          <w:rFonts w:cs="Times New Roman"/>
          <w:sz w:val="22"/>
        </w:rPr>
        <w:t>, 2(2), pp. 55–60. Available at: https://doi.org/10.52622/joal.v2i2.79.</w:t>
      </w:r>
    </w:p>
    <w:p w14:paraId="22A29DF6" w14:textId="77777777" w:rsidR="005A7741" w:rsidRPr="00486A52" w:rsidRDefault="005A7741" w:rsidP="005A7741">
      <w:pPr>
        <w:spacing w:line="360" w:lineRule="auto"/>
        <w:rPr>
          <w:rFonts w:cs="Times New Roman"/>
          <w:sz w:val="22"/>
        </w:rPr>
      </w:pPr>
      <w:r w:rsidRPr="00486A52">
        <w:rPr>
          <w:rFonts w:cs="Times New Roman"/>
          <w:sz w:val="22"/>
        </w:rPr>
        <w:t>Perry, T.E. </w:t>
      </w:r>
      <w:r w:rsidRPr="00486A52">
        <w:rPr>
          <w:rFonts w:cs="Times New Roman"/>
          <w:i/>
          <w:iCs/>
          <w:sz w:val="22"/>
        </w:rPr>
        <w:t>et al.</w:t>
      </w:r>
      <w:r w:rsidRPr="00486A52">
        <w:rPr>
          <w:rFonts w:cs="Times New Roman"/>
          <w:sz w:val="22"/>
        </w:rPr>
        <w:t> (2015) “Applying Erikson’s wisdom to self-management practices of older adults: findings from two field studies: Findings from two field studies,” </w:t>
      </w:r>
      <w:r w:rsidRPr="00486A52">
        <w:rPr>
          <w:rFonts w:cs="Times New Roman"/>
          <w:i/>
          <w:iCs/>
          <w:sz w:val="22"/>
        </w:rPr>
        <w:t>Research on Aging</w:t>
      </w:r>
      <w:r w:rsidRPr="00486A52">
        <w:rPr>
          <w:rFonts w:cs="Times New Roman"/>
          <w:sz w:val="22"/>
        </w:rPr>
        <w:t>, 37(3), pp. 253–274. Available at: https://doi.org/10.1177/0164027514527974.</w:t>
      </w:r>
    </w:p>
    <w:sectPr w:rsidR="005A7741" w:rsidRPr="00486A52" w:rsidSect="00A23F4C">
      <w:pgSz w:w="11910" w:h="16840"/>
      <w:pgMar w:top="1440" w:right="1440" w:bottom="1440" w:left="1440" w:header="0" w:footer="105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74717C"/>
    <w:multiLevelType w:val="hybridMultilevel"/>
    <w:tmpl w:val="F20A1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250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rawingGridVerticalSpacing w:val="299"/>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F4C"/>
    <w:rsid w:val="000D3FEC"/>
    <w:rsid w:val="00206825"/>
    <w:rsid w:val="00252D6F"/>
    <w:rsid w:val="00290835"/>
    <w:rsid w:val="002C1BD2"/>
    <w:rsid w:val="002E294D"/>
    <w:rsid w:val="00403F9F"/>
    <w:rsid w:val="00486A52"/>
    <w:rsid w:val="005A7741"/>
    <w:rsid w:val="005C2429"/>
    <w:rsid w:val="00683946"/>
    <w:rsid w:val="00715190"/>
    <w:rsid w:val="00741A8D"/>
    <w:rsid w:val="00843E85"/>
    <w:rsid w:val="00895E0F"/>
    <w:rsid w:val="0089749A"/>
    <w:rsid w:val="00903365"/>
    <w:rsid w:val="009553E1"/>
    <w:rsid w:val="009A0DF5"/>
    <w:rsid w:val="009A37CE"/>
    <w:rsid w:val="00A23F4C"/>
    <w:rsid w:val="00B563B7"/>
    <w:rsid w:val="00C823E8"/>
    <w:rsid w:val="00D2517E"/>
    <w:rsid w:val="00D36D05"/>
    <w:rsid w:val="00DA4CDE"/>
    <w:rsid w:val="00E438CF"/>
    <w:rsid w:val="00EF59F0"/>
    <w:rsid w:val="00F55FF5"/>
    <w:rsid w:val="00F97808"/>
    <w:rsid w:val="00FA6320"/>
    <w:rsid w:val="00FF4C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3475E"/>
  <w15:chartTrackingRefBased/>
  <w15:docId w15:val="{E21FE6EA-3C97-4092-84ED-02431A0C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8CF"/>
    <w:pPr>
      <w:jc w:val="both"/>
    </w:pPr>
    <w:rPr>
      <w:rFonts w:ascii="Times New Roman" w:hAnsi="Times New Roman"/>
      <w:sz w:val="24"/>
    </w:rPr>
  </w:style>
  <w:style w:type="paragraph" w:styleId="Heading1">
    <w:name w:val="heading 1"/>
    <w:basedOn w:val="Normal"/>
    <w:next w:val="Normal"/>
    <w:link w:val="Heading1Char"/>
    <w:uiPriority w:val="9"/>
    <w:qFormat/>
    <w:rsid w:val="005A7741"/>
    <w:pPr>
      <w:keepNext/>
      <w:keepLines/>
      <w:spacing w:before="360" w:after="12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86A52"/>
    <w:pPr>
      <w:keepNext/>
      <w:keepLines/>
      <w:spacing w:before="160" w:after="120"/>
      <w:outlineLvl w:val="1"/>
    </w:pPr>
    <w:rPr>
      <w:rFonts w:ascii="Arial" w:eastAsiaTheme="majorEastAsia" w:hAnsi="Arial" w:cstheme="majorBidi"/>
      <w:b/>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741"/>
    <w:rPr>
      <w:rFonts w:ascii="Arial" w:eastAsiaTheme="majorEastAsia" w:hAnsi="Arial" w:cstheme="majorBidi"/>
      <w:b/>
      <w:color w:val="2F5496" w:themeColor="accent1" w:themeShade="BF"/>
      <w:sz w:val="32"/>
      <w:szCs w:val="32"/>
    </w:rPr>
  </w:style>
  <w:style w:type="paragraph" w:styleId="TOCHeading">
    <w:name w:val="TOC Heading"/>
    <w:basedOn w:val="Heading1"/>
    <w:next w:val="Normal"/>
    <w:uiPriority w:val="39"/>
    <w:unhideWhenUsed/>
    <w:qFormat/>
    <w:rsid w:val="00A23F4C"/>
    <w:pPr>
      <w:jc w:val="left"/>
      <w:outlineLvl w:val="9"/>
    </w:pPr>
    <w:rPr>
      <w:rFonts w:asciiTheme="majorHAnsi" w:hAnsiTheme="majorHAnsi"/>
      <w:b w:val="0"/>
      <w:lang w:val="en-US"/>
      <w14:ligatures w14:val="none"/>
    </w:rPr>
  </w:style>
  <w:style w:type="paragraph" w:styleId="TOC1">
    <w:name w:val="toc 1"/>
    <w:basedOn w:val="Normal"/>
    <w:next w:val="Normal"/>
    <w:autoRedefine/>
    <w:uiPriority w:val="39"/>
    <w:unhideWhenUsed/>
    <w:rsid w:val="00A23F4C"/>
    <w:pPr>
      <w:spacing w:after="100"/>
    </w:pPr>
  </w:style>
  <w:style w:type="character" w:styleId="Hyperlink">
    <w:name w:val="Hyperlink"/>
    <w:basedOn w:val="DefaultParagraphFont"/>
    <w:uiPriority w:val="99"/>
    <w:unhideWhenUsed/>
    <w:rsid w:val="00A23F4C"/>
    <w:rPr>
      <w:color w:val="0563C1" w:themeColor="hyperlink"/>
      <w:u w:val="single"/>
    </w:rPr>
  </w:style>
  <w:style w:type="character" w:customStyle="1" w:styleId="Heading2Char">
    <w:name w:val="Heading 2 Char"/>
    <w:basedOn w:val="DefaultParagraphFont"/>
    <w:link w:val="Heading2"/>
    <w:uiPriority w:val="9"/>
    <w:rsid w:val="00486A52"/>
    <w:rPr>
      <w:rFonts w:ascii="Arial" w:eastAsiaTheme="majorEastAsia" w:hAnsi="Arial" w:cstheme="majorBidi"/>
      <w:b/>
      <w:color w:val="2F5496" w:themeColor="accent1" w:themeShade="BF"/>
      <w:sz w:val="28"/>
      <w:szCs w:val="26"/>
    </w:rPr>
  </w:style>
  <w:style w:type="paragraph" w:styleId="ListParagraph">
    <w:name w:val="List Paragraph"/>
    <w:basedOn w:val="Normal"/>
    <w:uiPriority w:val="34"/>
    <w:qFormat/>
    <w:rsid w:val="00A23F4C"/>
    <w:pPr>
      <w:ind w:left="720"/>
      <w:contextualSpacing/>
    </w:pPr>
  </w:style>
  <w:style w:type="paragraph" w:styleId="TOC2">
    <w:name w:val="toc 2"/>
    <w:basedOn w:val="Normal"/>
    <w:next w:val="Normal"/>
    <w:autoRedefine/>
    <w:uiPriority w:val="39"/>
    <w:unhideWhenUsed/>
    <w:rsid w:val="005A774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6748527">
      <w:bodyDiv w:val="1"/>
      <w:marLeft w:val="0"/>
      <w:marRight w:val="0"/>
      <w:marTop w:val="0"/>
      <w:marBottom w:val="0"/>
      <w:divBdr>
        <w:top w:val="none" w:sz="0" w:space="0" w:color="auto"/>
        <w:left w:val="none" w:sz="0" w:space="0" w:color="auto"/>
        <w:bottom w:val="none" w:sz="0" w:space="0" w:color="auto"/>
        <w:right w:val="none" w:sz="0" w:space="0" w:color="auto"/>
      </w:divBdr>
    </w:div>
    <w:div w:id="1310280795">
      <w:bodyDiv w:val="1"/>
      <w:marLeft w:val="0"/>
      <w:marRight w:val="0"/>
      <w:marTop w:val="0"/>
      <w:marBottom w:val="0"/>
      <w:divBdr>
        <w:top w:val="none" w:sz="0" w:space="0" w:color="auto"/>
        <w:left w:val="none" w:sz="0" w:space="0" w:color="auto"/>
        <w:bottom w:val="none" w:sz="0" w:space="0" w:color="auto"/>
        <w:right w:val="none" w:sz="0" w:space="0" w:color="auto"/>
      </w:divBdr>
      <w:divsChild>
        <w:div w:id="295532671">
          <w:marLeft w:val="0"/>
          <w:marRight w:val="0"/>
          <w:marTop w:val="0"/>
          <w:marBottom w:val="0"/>
          <w:divBdr>
            <w:top w:val="none" w:sz="0" w:space="0" w:color="auto"/>
            <w:left w:val="none" w:sz="0" w:space="0" w:color="auto"/>
            <w:bottom w:val="none" w:sz="0" w:space="0" w:color="auto"/>
            <w:right w:val="none" w:sz="0" w:space="0" w:color="auto"/>
          </w:divBdr>
          <w:divsChild>
            <w:div w:id="1596985498">
              <w:marLeft w:val="0"/>
              <w:marRight w:val="0"/>
              <w:marTop w:val="0"/>
              <w:marBottom w:val="0"/>
              <w:divBdr>
                <w:top w:val="none" w:sz="0" w:space="0" w:color="auto"/>
                <w:left w:val="none" w:sz="0" w:space="0" w:color="auto"/>
                <w:bottom w:val="none" w:sz="0" w:space="0" w:color="auto"/>
                <w:right w:val="none" w:sz="0" w:space="0" w:color="auto"/>
              </w:divBdr>
            </w:div>
            <w:div w:id="2002350848">
              <w:marLeft w:val="0"/>
              <w:marRight w:val="0"/>
              <w:marTop w:val="0"/>
              <w:marBottom w:val="0"/>
              <w:divBdr>
                <w:top w:val="none" w:sz="0" w:space="0" w:color="auto"/>
                <w:left w:val="none" w:sz="0" w:space="0" w:color="auto"/>
                <w:bottom w:val="none" w:sz="0" w:space="0" w:color="auto"/>
                <w:right w:val="none" w:sz="0" w:space="0" w:color="auto"/>
              </w:divBdr>
            </w:div>
            <w:div w:id="1683315358">
              <w:marLeft w:val="0"/>
              <w:marRight w:val="0"/>
              <w:marTop w:val="0"/>
              <w:marBottom w:val="0"/>
              <w:divBdr>
                <w:top w:val="none" w:sz="0" w:space="0" w:color="auto"/>
                <w:left w:val="none" w:sz="0" w:space="0" w:color="auto"/>
                <w:bottom w:val="none" w:sz="0" w:space="0" w:color="auto"/>
                <w:right w:val="none" w:sz="0" w:space="0" w:color="auto"/>
              </w:divBdr>
            </w:div>
            <w:div w:id="87966045">
              <w:marLeft w:val="0"/>
              <w:marRight w:val="0"/>
              <w:marTop w:val="0"/>
              <w:marBottom w:val="0"/>
              <w:divBdr>
                <w:top w:val="none" w:sz="0" w:space="0" w:color="auto"/>
                <w:left w:val="none" w:sz="0" w:space="0" w:color="auto"/>
                <w:bottom w:val="none" w:sz="0" w:space="0" w:color="auto"/>
                <w:right w:val="none" w:sz="0" w:space="0" w:color="auto"/>
              </w:divBdr>
            </w:div>
            <w:div w:id="718096035">
              <w:marLeft w:val="0"/>
              <w:marRight w:val="0"/>
              <w:marTop w:val="0"/>
              <w:marBottom w:val="0"/>
              <w:divBdr>
                <w:top w:val="none" w:sz="0" w:space="0" w:color="auto"/>
                <w:left w:val="none" w:sz="0" w:space="0" w:color="auto"/>
                <w:bottom w:val="none" w:sz="0" w:space="0" w:color="auto"/>
                <w:right w:val="none" w:sz="0" w:space="0" w:color="auto"/>
              </w:divBdr>
            </w:div>
            <w:div w:id="1982688810">
              <w:marLeft w:val="0"/>
              <w:marRight w:val="0"/>
              <w:marTop w:val="0"/>
              <w:marBottom w:val="0"/>
              <w:divBdr>
                <w:top w:val="none" w:sz="0" w:space="0" w:color="auto"/>
                <w:left w:val="none" w:sz="0" w:space="0" w:color="auto"/>
                <w:bottom w:val="none" w:sz="0" w:space="0" w:color="auto"/>
                <w:right w:val="none" w:sz="0" w:space="0" w:color="auto"/>
              </w:divBdr>
            </w:div>
            <w:div w:id="169137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16328">
      <w:bodyDiv w:val="1"/>
      <w:marLeft w:val="0"/>
      <w:marRight w:val="0"/>
      <w:marTop w:val="0"/>
      <w:marBottom w:val="0"/>
      <w:divBdr>
        <w:top w:val="none" w:sz="0" w:space="0" w:color="auto"/>
        <w:left w:val="none" w:sz="0" w:space="0" w:color="auto"/>
        <w:bottom w:val="none" w:sz="0" w:space="0" w:color="auto"/>
        <w:right w:val="none" w:sz="0" w:space="0" w:color="auto"/>
      </w:divBdr>
      <w:divsChild>
        <w:div w:id="702705431">
          <w:marLeft w:val="0"/>
          <w:marRight w:val="0"/>
          <w:marTop w:val="0"/>
          <w:marBottom w:val="0"/>
          <w:divBdr>
            <w:top w:val="none" w:sz="0" w:space="0" w:color="auto"/>
            <w:left w:val="none" w:sz="0" w:space="0" w:color="auto"/>
            <w:bottom w:val="none" w:sz="0" w:space="0" w:color="auto"/>
            <w:right w:val="none" w:sz="0" w:space="0" w:color="auto"/>
          </w:divBdr>
          <w:divsChild>
            <w:div w:id="1773739950">
              <w:marLeft w:val="0"/>
              <w:marRight w:val="0"/>
              <w:marTop w:val="0"/>
              <w:marBottom w:val="0"/>
              <w:divBdr>
                <w:top w:val="none" w:sz="0" w:space="0" w:color="auto"/>
                <w:left w:val="none" w:sz="0" w:space="0" w:color="auto"/>
                <w:bottom w:val="none" w:sz="0" w:space="0" w:color="auto"/>
                <w:right w:val="none" w:sz="0" w:space="0" w:color="auto"/>
              </w:divBdr>
            </w:div>
            <w:div w:id="1870682135">
              <w:marLeft w:val="0"/>
              <w:marRight w:val="0"/>
              <w:marTop w:val="0"/>
              <w:marBottom w:val="0"/>
              <w:divBdr>
                <w:top w:val="none" w:sz="0" w:space="0" w:color="auto"/>
                <w:left w:val="none" w:sz="0" w:space="0" w:color="auto"/>
                <w:bottom w:val="none" w:sz="0" w:space="0" w:color="auto"/>
                <w:right w:val="none" w:sz="0" w:space="0" w:color="auto"/>
              </w:divBdr>
            </w:div>
            <w:div w:id="2066299361">
              <w:marLeft w:val="0"/>
              <w:marRight w:val="0"/>
              <w:marTop w:val="0"/>
              <w:marBottom w:val="0"/>
              <w:divBdr>
                <w:top w:val="none" w:sz="0" w:space="0" w:color="auto"/>
                <w:left w:val="none" w:sz="0" w:space="0" w:color="auto"/>
                <w:bottom w:val="none" w:sz="0" w:space="0" w:color="auto"/>
                <w:right w:val="none" w:sz="0" w:space="0" w:color="auto"/>
              </w:divBdr>
            </w:div>
            <w:div w:id="1973900303">
              <w:marLeft w:val="0"/>
              <w:marRight w:val="0"/>
              <w:marTop w:val="0"/>
              <w:marBottom w:val="0"/>
              <w:divBdr>
                <w:top w:val="none" w:sz="0" w:space="0" w:color="auto"/>
                <w:left w:val="none" w:sz="0" w:space="0" w:color="auto"/>
                <w:bottom w:val="none" w:sz="0" w:space="0" w:color="auto"/>
                <w:right w:val="none" w:sz="0" w:space="0" w:color="auto"/>
              </w:divBdr>
            </w:div>
            <w:div w:id="1385447915">
              <w:marLeft w:val="0"/>
              <w:marRight w:val="0"/>
              <w:marTop w:val="0"/>
              <w:marBottom w:val="0"/>
              <w:divBdr>
                <w:top w:val="none" w:sz="0" w:space="0" w:color="auto"/>
                <w:left w:val="none" w:sz="0" w:space="0" w:color="auto"/>
                <w:bottom w:val="none" w:sz="0" w:space="0" w:color="auto"/>
                <w:right w:val="none" w:sz="0" w:space="0" w:color="auto"/>
              </w:divBdr>
            </w:div>
            <w:div w:id="2018194650">
              <w:marLeft w:val="0"/>
              <w:marRight w:val="0"/>
              <w:marTop w:val="0"/>
              <w:marBottom w:val="0"/>
              <w:divBdr>
                <w:top w:val="none" w:sz="0" w:space="0" w:color="auto"/>
                <w:left w:val="none" w:sz="0" w:space="0" w:color="auto"/>
                <w:bottom w:val="none" w:sz="0" w:space="0" w:color="auto"/>
                <w:right w:val="none" w:sz="0" w:space="0" w:color="auto"/>
              </w:divBdr>
            </w:div>
            <w:div w:id="41478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5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59945-86D8-43C3-B6B0-80FFF4A7F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anisuzzaman</cp:lastModifiedBy>
  <cp:revision>9</cp:revision>
  <dcterms:created xsi:type="dcterms:W3CDTF">2026-04-18T08:28:00Z</dcterms:created>
  <dcterms:modified xsi:type="dcterms:W3CDTF">2026-04-20T19:17:00Z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b1830975-560d-42b0-b089-9a7a8ac5ef81</vt:lpwstr>
  </property>
</Properties>
</file>