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738DA7" w14:textId="77777777" w:rsidR="001A1F2D" w:rsidRDefault="001A1F2D" w:rsidP="001A1F2D">
      <w:pPr>
        <w:jc w:val="center"/>
        <w:rPr>
          <w:b/>
          <w:sz w:val="32"/>
        </w:rPr>
      </w:pPr>
      <w:r w:rsidRPr="001A1F2D">
        <w:rPr>
          <w:b/>
          <w:sz w:val="32"/>
        </w:rPr>
        <w:t xml:space="preserve">HPHI6009 </w:t>
      </w:r>
    </w:p>
    <w:p w14:paraId="660E11CA" w14:textId="77777777" w:rsidR="00963C7E" w:rsidRDefault="001A1F2D" w:rsidP="001A1F2D">
      <w:pPr>
        <w:jc w:val="center"/>
        <w:rPr>
          <w:b/>
          <w:sz w:val="32"/>
        </w:rPr>
      </w:pPr>
      <w:r w:rsidRPr="001A1F2D">
        <w:rPr>
          <w:b/>
          <w:sz w:val="32"/>
        </w:rPr>
        <w:t>Identity and Myth: The Normans and Their World</w:t>
      </w:r>
    </w:p>
    <w:p w14:paraId="44CD4F38" w14:textId="77777777" w:rsidR="001A1F2D" w:rsidRPr="001A1F2D" w:rsidRDefault="001A1F2D" w:rsidP="001A1F2D">
      <w:pPr>
        <w:jc w:val="center"/>
        <w:rPr>
          <w:sz w:val="28"/>
          <w:szCs w:val="28"/>
        </w:rPr>
      </w:pPr>
      <w:r w:rsidRPr="001A1F2D">
        <w:rPr>
          <w:sz w:val="28"/>
          <w:szCs w:val="28"/>
        </w:rPr>
        <w:t>Portfolio Part 1</w:t>
      </w:r>
    </w:p>
    <w:p w14:paraId="1364F335" w14:textId="77777777" w:rsidR="00097BCB" w:rsidRDefault="001A1F2D" w:rsidP="001A1F2D">
      <w:pPr>
        <w:jc w:val="center"/>
        <w:rPr>
          <w:sz w:val="28"/>
          <w:szCs w:val="28"/>
        </w:rPr>
      </w:pPr>
      <w:r w:rsidRPr="001A1F2D">
        <w:rPr>
          <w:sz w:val="28"/>
          <w:szCs w:val="28"/>
        </w:rPr>
        <w:t>Image Commentary</w:t>
      </w:r>
    </w:p>
    <w:p w14:paraId="22D30642" w14:textId="77777777" w:rsidR="00097BCB" w:rsidRDefault="00097BCB" w:rsidP="001A1F2D">
      <w:pPr>
        <w:jc w:val="center"/>
        <w:rPr>
          <w:sz w:val="28"/>
          <w:szCs w:val="28"/>
        </w:rPr>
      </w:pPr>
    </w:p>
    <w:p w14:paraId="14A3C8D4" w14:textId="77777777" w:rsidR="001A1F2D" w:rsidRDefault="00097BCB" w:rsidP="001A1F2D">
      <w:pPr>
        <w:jc w:val="center"/>
        <w:rPr>
          <w:sz w:val="28"/>
          <w:szCs w:val="28"/>
        </w:rPr>
      </w:pPr>
      <w:r>
        <w:rPr>
          <w:noProof/>
          <w:sz w:val="28"/>
          <w:szCs w:val="28"/>
        </w:rPr>
        <w:drawing>
          <wp:inline distT="0" distB="0" distL="0" distR="0" wp14:anchorId="05EE8459" wp14:editId="2A580D8B">
            <wp:extent cx="6175615" cy="260032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179320" cy="2601885"/>
                    </a:xfrm>
                    <a:prstGeom prst="rect">
                      <a:avLst/>
                    </a:prstGeom>
                    <a:noFill/>
                  </pic:spPr>
                </pic:pic>
              </a:graphicData>
            </a:graphic>
          </wp:inline>
        </w:drawing>
      </w:r>
    </w:p>
    <w:p w14:paraId="6A5C1EFE" w14:textId="77777777" w:rsidR="000A2978" w:rsidRDefault="008D1917" w:rsidP="00097BCB">
      <w:pPr>
        <w:rPr>
          <w:sz w:val="24"/>
          <w:szCs w:val="28"/>
        </w:rPr>
      </w:pPr>
      <w:r>
        <w:rPr>
          <w:sz w:val="24"/>
          <w:szCs w:val="28"/>
        </w:rPr>
        <w:t>The image above is from the Bayeux Tapestry, which is over 70 m long</w:t>
      </w:r>
      <w:r w:rsidR="005A6B5B">
        <w:rPr>
          <w:sz w:val="24"/>
          <w:szCs w:val="28"/>
        </w:rPr>
        <w:t xml:space="preserve"> and 50cm tall. It is </w:t>
      </w:r>
      <w:r>
        <w:rPr>
          <w:sz w:val="24"/>
          <w:szCs w:val="28"/>
        </w:rPr>
        <w:t xml:space="preserve">believed to have been commissioned by </w:t>
      </w:r>
      <w:r w:rsidR="0039410E">
        <w:rPr>
          <w:sz w:val="24"/>
          <w:szCs w:val="28"/>
        </w:rPr>
        <w:t xml:space="preserve">Bishop </w:t>
      </w:r>
      <w:r>
        <w:rPr>
          <w:sz w:val="24"/>
          <w:szCs w:val="28"/>
        </w:rPr>
        <w:t>Odo of Bayeux,</w:t>
      </w:r>
      <w:r w:rsidR="005A6B5B">
        <w:rPr>
          <w:sz w:val="24"/>
          <w:szCs w:val="28"/>
        </w:rPr>
        <w:t xml:space="preserve"> the </w:t>
      </w:r>
      <w:r w:rsidR="0039410E">
        <w:rPr>
          <w:sz w:val="24"/>
          <w:szCs w:val="28"/>
        </w:rPr>
        <w:t>half-brother</w:t>
      </w:r>
      <w:r>
        <w:rPr>
          <w:sz w:val="24"/>
          <w:szCs w:val="28"/>
        </w:rPr>
        <w:t xml:space="preserve"> William the Conquer</w:t>
      </w:r>
      <w:r w:rsidR="0096442A">
        <w:rPr>
          <w:rStyle w:val="FootnoteReference"/>
          <w:sz w:val="24"/>
          <w:szCs w:val="28"/>
        </w:rPr>
        <w:footnoteReference w:id="1"/>
      </w:r>
      <w:r w:rsidR="005A6B5B">
        <w:rPr>
          <w:sz w:val="24"/>
          <w:szCs w:val="28"/>
        </w:rPr>
        <w:t xml:space="preserve"> but in French legend it was created by William’s wife, Queen Matilda and her ladies in waiting</w:t>
      </w:r>
      <w:r w:rsidR="0096442A">
        <w:rPr>
          <w:rStyle w:val="FootnoteReference"/>
          <w:sz w:val="24"/>
          <w:szCs w:val="28"/>
        </w:rPr>
        <w:footnoteReference w:id="2"/>
      </w:r>
      <w:r w:rsidR="005A6B5B">
        <w:rPr>
          <w:sz w:val="24"/>
          <w:szCs w:val="28"/>
        </w:rPr>
        <w:t xml:space="preserve">.  In France, it is sometimes referred to as </w:t>
      </w:r>
      <w:r w:rsidR="005A6B5B" w:rsidRPr="005A6B5B">
        <w:rPr>
          <w:sz w:val="24"/>
          <w:szCs w:val="28"/>
        </w:rPr>
        <w:t>"La Tapisserie de la Reine Mathilde"</w:t>
      </w:r>
      <w:r w:rsidR="005A6B5B">
        <w:rPr>
          <w:sz w:val="24"/>
          <w:szCs w:val="28"/>
        </w:rPr>
        <w:t xml:space="preserve"> which translates into the Tapestry of Queen Matilda</w:t>
      </w:r>
      <w:r w:rsidR="0096442A">
        <w:rPr>
          <w:rStyle w:val="FootnoteReference"/>
          <w:sz w:val="24"/>
          <w:szCs w:val="28"/>
        </w:rPr>
        <w:footnoteReference w:id="3"/>
      </w:r>
      <w:r w:rsidR="005A6B5B">
        <w:rPr>
          <w:sz w:val="24"/>
          <w:szCs w:val="28"/>
        </w:rPr>
        <w:t>.</w:t>
      </w:r>
      <w:r w:rsidR="000A2978">
        <w:rPr>
          <w:sz w:val="24"/>
          <w:szCs w:val="28"/>
        </w:rPr>
        <w:t xml:space="preserve"> Hicks has argued that it was possibly commissioned by Edith of Wessex</w:t>
      </w:r>
      <w:r w:rsidR="0096442A">
        <w:rPr>
          <w:sz w:val="24"/>
          <w:szCs w:val="28"/>
        </w:rPr>
        <w:t>, the sister of Harold Godwinson and widow of Edward the Confessor to gain favour in the new Norman court</w:t>
      </w:r>
      <w:r w:rsidR="0096442A">
        <w:rPr>
          <w:rStyle w:val="FootnoteReference"/>
          <w:sz w:val="24"/>
          <w:szCs w:val="28"/>
        </w:rPr>
        <w:footnoteReference w:id="4"/>
      </w:r>
      <w:r w:rsidR="000A2978">
        <w:rPr>
          <w:sz w:val="24"/>
          <w:szCs w:val="28"/>
        </w:rPr>
        <w:t>.</w:t>
      </w:r>
      <w:r w:rsidR="005A6B5B">
        <w:rPr>
          <w:sz w:val="24"/>
          <w:szCs w:val="28"/>
        </w:rPr>
        <w:t xml:space="preserve"> Due to analysis by historians</w:t>
      </w:r>
      <w:r w:rsidR="0039410E">
        <w:rPr>
          <w:sz w:val="24"/>
          <w:szCs w:val="28"/>
        </w:rPr>
        <w:t>, it is believed that the Tapestry was most likely commissioned by Odo.</w:t>
      </w:r>
      <w:r w:rsidR="00505E7F">
        <w:rPr>
          <w:sz w:val="24"/>
          <w:szCs w:val="28"/>
        </w:rPr>
        <w:t xml:space="preserve"> This is due to three of Odo’s followers within the Doomsday book appearing on the tapestry. Another reason is due to the tapestry being discovered in Bayeux Cathedral, which was built by Bishop Odo, therefore it can be believed that it was commissioned in 1070s at the same time as the Cathedral’s construction and completed by 1077 allowing it to be ready for the cathedral’s dedication</w:t>
      </w:r>
      <w:r w:rsidR="0096442A">
        <w:rPr>
          <w:rStyle w:val="FootnoteReference"/>
          <w:sz w:val="24"/>
          <w:szCs w:val="28"/>
        </w:rPr>
        <w:footnoteReference w:id="5"/>
      </w:r>
      <w:r w:rsidR="00505E7F">
        <w:rPr>
          <w:sz w:val="24"/>
          <w:szCs w:val="28"/>
        </w:rPr>
        <w:t>.</w:t>
      </w:r>
      <w:r w:rsidR="0039410E">
        <w:rPr>
          <w:sz w:val="24"/>
          <w:szCs w:val="28"/>
        </w:rPr>
        <w:t xml:space="preserve"> </w:t>
      </w:r>
    </w:p>
    <w:p w14:paraId="6B1DD608" w14:textId="77777777" w:rsidR="00097BCB" w:rsidRDefault="000A2978" w:rsidP="00097BCB">
      <w:pPr>
        <w:rPr>
          <w:sz w:val="24"/>
          <w:szCs w:val="28"/>
        </w:rPr>
      </w:pPr>
      <w:r w:rsidRPr="000A2978">
        <w:rPr>
          <w:sz w:val="24"/>
          <w:szCs w:val="28"/>
        </w:rPr>
        <w:t>The location of its creation is something that it is widely</w:t>
      </w:r>
      <w:r>
        <w:rPr>
          <w:sz w:val="24"/>
          <w:szCs w:val="28"/>
        </w:rPr>
        <w:t xml:space="preserve"> debated between historians.</w:t>
      </w:r>
      <w:r w:rsidRPr="000A2978">
        <w:rPr>
          <w:sz w:val="24"/>
          <w:szCs w:val="28"/>
        </w:rPr>
        <w:t xml:space="preserve"> </w:t>
      </w:r>
      <w:r w:rsidR="005A6B5B">
        <w:rPr>
          <w:sz w:val="24"/>
          <w:szCs w:val="28"/>
        </w:rPr>
        <w:t xml:space="preserve">Some historians argue that the tapestry was created </w:t>
      </w:r>
      <w:r w:rsidR="0039410E">
        <w:rPr>
          <w:sz w:val="24"/>
          <w:szCs w:val="28"/>
        </w:rPr>
        <w:t xml:space="preserve">in Kent due to a famous tapestry school who created tapestries with a similar design as well as that Odo after the conquest became the </w:t>
      </w:r>
      <w:r w:rsidR="0039410E">
        <w:rPr>
          <w:sz w:val="24"/>
          <w:szCs w:val="28"/>
        </w:rPr>
        <w:lastRenderedPageBreak/>
        <w:t>Earl of Kent</w:t>
      </w:r>
      <w:r w:rsidR="0096442A">
        <w:rPr>
          <w:rStyle w:val="FootnoteReference"/>
          <w:sz w:val="24"/>
          <w:szCs w:val="28"/>
        </w:rPr>
        <w:footnoteReference w:id="6"/>
      </w:r>
      <w:r w:rsidR="0039410E">
        <w:rPr>
          <w:sz w:val="24"/>
          <w:szCs w:val="28"/>
        </w:rPr>
        <w:t>.</w:t>
      </w:r>
      <w:r>
        <w:rPr>
          <w:sz w:val="24"/>
          <w:szCs w:val="28"/>
        </w:rPr>
        <w:t xml:space="preserve"> Due to the text being in Latin it also conforms to the belief of an Anglo-Saxon creation compared to a French or Normandy one</w:t>
      </w:r>
      <w:r w:rsidR="0096442A">
        <w:rPr>
          <w:rStyle w:val="FootnoteReference"/>
          <w:sz w:val="24"/>
          <w:szCs w:val="28"/>
        </w:rPr>
        <w:footnoteReference w:id="7"/>
      </w:r>
      <w:r>
        <w:rPr>
          <w:sz w:val="24"/>
          <w:szCs w:val="28"/>
        </w:rPr>
        <w:t>.</w:t>
      </w:r>
      <w:r w:rsidR="0039410E">
        <w:rPr>
          <w:sz w:val="24"/>
          <w:szCs w:val="28"/>
        </w:rPr>
        <w:t xml:space="preserve"> </w:t>
      </w:r>
      <w:r>
        <w:rPr>
          <w:sz w:val="24"/>
          <w:szCs w:val="28"/>
        </w:rPr>
        <w:t xml:space="preserve"> Grape argues that it was in fact the tapestry was created in </w:t>
      </w:r>
      <w:r w:rsidR="00571089">
        <w:rPr>
          <w:sz w:val="24"/>
          <w:szCs w:val="28"/>
        </w:rPr>
        <w:t>Bayeux due to it being a depiction of Norman Triumph</w:t>
      </w:r>
      <w:r w:rsidR="0096442A">
        <w:rPr>
          <w:rStyle w:val="FootnoteReference"/>
          <w:sz w:val="24"/>
          <w:szCs w:val="28"/>
        </w:rPr>
        <w:footnoteReference w:id="8"/>
      </w:r>
      <w:r w:rsidR="00571089">
        <w:rPr>
          <w:sz w:val="24"/>
          <w:szCs w:val="28"/>
        </w:rPr>
        <w:t xml:space="preserve">. However, Coatsworth opposes this:  </w:t>
      </w:r>
      <w:r w:rsidR="00571089" w:rsidRPr="00571089">
        <w:rPr>
          <w:sz w:val="24"/>
          <w:szCs w:val="28"/>
        </w:rPr>
        <w:t>"The attempt to distinguish Anglo-Saxon from other Northern European embroideries before 1100 on the grounds of technique cannot be upheld on the basis of present knowledge."</w:t>
      </w:r>
      <w:r w:rsidR="00571089">
        <w:rPr>
          <w:sz w:val="24"/>
          <w:szCs w:val="28"/>
        </w:rPr>
        <w:t xml:space="preserve"> Arguing that the tapestry should not be viewed with present day knowledge due to techniques as the origins of all of these techniques cannot be fully known</w:t>
      </w:r>
      <w:r w:rsidR="0096442A">
        <w:rPr>
          <w:rStyle w:val="FootnoteReference"/>
          <w:sz w:val="24"/>
          <w:szCs w:val="28"/>
        </w:rPr>
        <w:footnoteReference w:id="9"/>
      </w:r>
      <w:r w:rsidR="00571089">
        <w:rPr>
          <w:sz w:val="24"/>
          <w:szCs w:val="28"/>
        </w:rPr>
        <w:t xml:space="preserve">. Beech suggests another place of origin for the tapestry, being the Abbey of St. Florent located in the Loire Valley due to the detail within the depiction of the Breton campaign, allowing the argument for additional sources located within </w:t>
      </w:r>
      <w:r w:rsidR="0096442A">
        <w:rPr>
          <w:sz w:val="24"/>
          <w:szCs w:val="28"/>
        </w:rPr>
        <w:t>France</w:t>
      </w:r>
      <w:r w:rsidR="0096442A">
        <w:rPr>
          <w:rStyle w:val="FootnoteReference"/>
          <w:sz w:val="24"/>
          <w:szCs w:val="28"/>
        </w:rPr>
        <w:footnoteReference w:id="10"/>
      </w:r>
      <w:r w:rsidR="0096442A">
        <w:rPr>
          <w:sz w:val="24"/>
          <w:szCs w:val="28"/>
        </w:rPr>
        <w:t>. Also</w:t>
      </w:r>
      <w:r w:rsidR="0039410E">
        <w:rPr>
          <w:sz w:val="24"/>
          <w:szCs w:val="28"/>
        </w:rPr>
        <w:t>, the Tapestry itself can not be considered as a tapestry as it was embroidered rather than being woven</w:t>
      </w:r>
      <w:r w:rsidR="00676D36">
        <w:rPr>
          <w:rStyle w:val="FootnoteReference"/>
          <w:sz w:val="24"/>
          <w:szCs w:val="28"/>
        </w:rPr>
        <w:footnoteReference w:id="11"/>
      </w:r>
      <w:r w:rsidR="0039410E">
        <w:rPr>
          <w:sz w:val="24"/>
          <w:szCs w:val="28"/>
        </w:rPr>
        <w:t>.</w:t>
      </w:r>
    </w:p>
    <w:p w14:paraId="72A8CFFD" w14:textId="77777777" w:rsidR="001A1F2D" w:rsidRPr="00432A84" w:rsidRDefault="0096442A">
      <w:pPr>
        <w:rPr>
          <w:sz w:val="24"/>
        </w:rPr>
      </w:pPr>
      <w:r w:rsidRPr="00432A84">
        <w:rPr>
          <w:sz w:val="24"/>
        </w:rPr>
        <w:t>Another aspect of the tapestry that historians have debated over is the purpose of the Tapestry itself. Most historians agree that the Bayeux Tapestry was created to show William’s victory at the Battle of Hastings resulting in him gaining the throne of England. However, some historians such as Bridgeford have suggested that the tapestry was in fact was of an English design and was filled with coded messages as an attempt to undermine the Norman rule of England</w:t>
      </w:r>
      <w:r w:rsidRPr="00432A84">
        <w:rPr>
          <w:rStyle w:val="FootnoteReference"/>
          <w:sz w:val="24"/>
        </w:rPr>
        <w:footnoteReference w:id="12"/>
      </w:r>
      <w:r w:rsidRPr="00432A84">
        <w:rPr>
          <w:sz w:val="24"/>
        </w:rPr>
        <w:t>.</w:t>
      </w:r>
    </w:p>
    <w:p w14:paraId="51400A14" w14:textId="1B79CCBC" w:rsidR="00E2402E" w:rsidRPr="00432A84" w:rsidRDefault="002F11B4">
      <w:pPr>
        <w:rPr>
          <w:sz w:val="24"/>
        </w:rPr>
      </w:pPr>
      <w:r w:rsidRPr="00432A84">
        <w:rPr>
          <w:sz w:val="24"/>
        </w:rPr>
        <w:t xml:space="preserve">The image depicts Harold Godwinson swearing an oath to William of Normandy later William the Conquer to support him in his right to the throne of England in 1064. William had Harold swear upon holy relics, </w:t>
      </w:r>
      <w:r w:rsidR="0080471F" w:rsidRPr="00432A84">
        <w:rPr>
          <w:sz w:val="24"/>
        </w:rPr>
        <w:t>to uphold William’s claim</w:t>
      </w:r>
      <w:r w:rsidRPr="00432A84">
        <w:rPr>
          <w:rStyle w:val="FootnoteReference"/>
          <w:sz w:val="24"/>
        </w:rPr>
        <w:footnoteReference w:id="13"/>
      </w:r>
      <w:r w:rsidRPr="00432A84">
        <w:rPr>
          <w:sz w:val="24"/>
        </w:rPr>
        <w:t>. This act was used by William to justify invading England and convincing the Pope Alexander II, thus convincing the rest of the Norman barons to wage war on Harold who was declared king in the eyes of God</w:t>
      </w:r>
      <w:r w:rsidRPr="00432A84">
        <w:rPr>
          <w:rStyle w:val="FootnoteReference"/>
          <w:sz w:val="24"/>
        </w:rPr>
        <w:footnoteReference w:id="14"/>
      </w:r>
      <w:r w:rsidRPr="00432A84">
        <w:rPr>
          <w:sz w:val="24"/>
        </w:rPr>
        <w:t xml:space="preserve">. However, the reason for Harold travelling to Normandy </w:t>
      </w:r>
      <w:r w:rsidR="0080471F" w:rsidRPr="00432A84">
        <w:rPr>
          <w:sz w:val="24"/>
        </w:rPr>
        <w:t>allowing this supposed event to occur, shows the manipulative nature of William. William fifteen years earlier took two members of Harold’s family captive, his brother and nephew, keeping them imprisoned. William promised to return Harold’s nephew if he swore the oath, and upon William becoming king that he would release Harold’s brother, therefore forcing Harold’s co-operation</w:t>
      </w:r>
      <w:r w:rsidR="005D301C" w:rsidRPr="00432A84">
        <w:rPr>
          <w:rStyle w:val="FootnoteReference"/>
          <w:sz w:val="24"/>
        </w:rPr>
        <w:footnoteReference w:id="15"/>
      </w:r>
      <w:r w:rsidR="0080471F" w:rsidRPr="00432A84">
        <w:rPr>
          <w:sz w:val="24"/>
        </w:rPr>
        <w:t>. Upon Harold’s arrival on French</w:t>
      </w:r>
      <w:r w:rsidR="00EB5C7E">
        <w:rPr>
          <w:sz w:val="24"/>
        </w:rPr>
        <w:t xml:space="preserve"> soil</w:t>
      </w:r>
      <w:r w:rsidR="0080471F" w:rsidRPr="00432A84">
        <w:rPr>
          <w:sz w:val="24"/>
        </w:rPr>
        <w:t xml:space="preserve">, due to storms, he was </w:t>
      </w:r>
      <w:r w:rsidR="00405762" w:rsidRPr="00432A84">
        <w:rPr>
          <w:sz w:val="24"/>
        </w:rPr>
        <w:t>arrested,</w:t>
      </w:r>
      <w:r w:rsidR="0080471F" w:rsidRPr="00432A84">
        <w:rPr>
          <w:sz w:val="24"/>
        </w:rPr>
        <w:t xml:space="preserve"> and William pressed for his release. Harold was supposed to have presented William with a sword and a ring, which is two of the items presented to the king upon their coronation</w:t>
      </w:r>
      <w:r w:rsidR="00405762" w:rsidRPr="00432A84">
        <w:rPr>
          <w:sz w:val="24"/>
        </w:rPr>
        <w:t xml:space="preserve"> as told in </w:t>
      </w:r>
      <w:bookmarkStart w:id="1" w:name="_Hlk528783016"/>
      <w:r w:rsidR="00405762" w:rsidRPr="00432A84">
        <w:rPr>
          <w:i/>
          <w:sz w:val="24"/>
        </w:rPr>
        <w:t>Carmen de Normannicum Conquestum</w:t>
      </w:r>
      <w:r w:rsidR="00405762" w:rsidRPr="00432A84">
        <w:rPr>
          <w:sz w:val="24"/>
        </w:rPr>
        <w:t xml:space="preserve">, </w:t>
      </w:r>
      <w:bookmarkEnd w:id="1"/>
      <w:r w:rsidR="00405762" w:rsidRPr="00432A84">
        <w:rPr>
          <w:sz w:val="24"/>
        </w:rPr>
        <w:t xml:space="preserve">this suggests that Harold was perhaps sent to Normandy by Edward the Confessor to confirm William as his heir to the throne of </w:t>
      </w:r>
      <w:r w:rsidR="00405762" w:rsidRPr="00432A84">
        <w:rPr>
          <w:sz w:val="24"/>
        </w:rPr>
        <w:lastRenderedPageBreak/>
        <w:t>England</w:t>
      </w:r>
      <w:r w:rsidR="005D301C" w:rsidRPr="00432A84">
        <w:rPr>
          <w:rStyle w:val="FootnoteReference"/>
          <w:sz w:val="24"/>
        </w:rPr>
        <w:footnoteReference w:id="16"/>
      </w:r>
      <w:r w:rsidR="0080471F" w:rsidRPr="00432A84">
        <w:rPr>
          <w:sz w:val="24"/>
        </w:rPr>
        <w:t>. However, this supposed meeting between the two leader</w:t>
      </w:r>
      <w:r w:rsidR="00EB5C7E">
        <w:rPr>
          <w:sz w:val="24"/>
        </w:rPr>
        <w:t>s</w:t>
      </w:r>
      <w:r w:rsidR="0080471F" w:rsidRPr="00432A84">
        <w:rPr>
          <w:sz w:val="24"/>
        </w:rPr>
        <w:t xml:space="preserve"> is </w:t>
      </w:r>
      <w:r w:rsidR="00405762" w:rsidRPr="00432A84">
        <w:rPr>
          <w:sz w:val="24"/>
        </w:rPr>
        <w:t xml:space="preserve">another cause for problems due to conflicting sources on the reason for Harold being in Normandy, as one medieval author argues with the Carmen and the reason for Harold being in Normandy is never presented or depicted upon the Bayeux Tapestry. </w:t>
      </w:r>
    </w:p>
    <w:p w14:paraId="20CF9422" w14:textId="77777777" w:rsidR="00405762" w:rsidRPr="00432A84" w:rsidRDefault="00405762">
      <w:pPr>
        <w:rPr>
          <w:sz w:val="24"/>
        </w:rPr>
      </w:pPr>
      <w:r w:rsidRPr="00432A84">
        <w:rPr>
          <w:sz w:val="24"/>
        </w:rPr>
        <w:t xml:space="preserve">Using the belief that William imprisoned Harold’s family members to gain his support shows how William conforms to the idea of Normanitas and the Norman Myth. He does this by using what could be considered to be underhand tactics to place him in a position of power over the two other claimants to the throne of England, mainly Harold Godwinson as well as the </w:t>
      </w:r>
      <w:r w:rsidR="00287B3B" w:rsidRPr="00432A84">
        <w:rPr>
          <w:sz w:val="24"/>
        </w:rPr>
        <w:t>Viking king Harald Hardrada who was defeated by Harold, removing him from William’s obstacles from gaining the English throne. Another way in which William conforms to Normanitas is by using the Pope and religion to justify his actions. William uses religion to gain the support of his men who do not wish to attack a man who is adorned by God as king of England</w:t>
      </w:r>
      <w:r w:rsidR="005D301C" w:rsidRPr="00432A84">
        <w:rPr>
          <w:rStyle w:val="FootnoteReference"/>
          <w:sz w:val="24"/>
        </w:rPr>
        <w:footnoteReference w:id="17"/>
      </w:r>
      <w:r w:rsidR="00287B3B" w:rsidRPr="00432A84">
        <w:rPr>
          <w:sz w:val="24"/>
        </w:rPr>
        <w:t>. By gaining the favour of the Pope, William sets himself to be seen as the only true contender for the throne and those who are opposed to him as usurpers</w:t>
      </w:r>
      <w:r w:rsidR="005D301C" w:rsidRPr="00432A84">
        <w:rPr>
          <w:rStyle w:val="FootnoteReference"/>
          <w:sz w:val="24"/>
        </w:rPr>
        <w:footnoteReference w:id="18"/>
      </w:r>
      <w:r w:rsidR="008C7538" w:rsidRPr="00432A84">
        <w:rPr>
          <w:sz w:val="24"/>
        </w:rPr>
        <w:t>. It is also argued that William connects strongly with his Viking ancestry from him being a descendant of Rollo who settled in Normandy around Rouen after receiving the land from Charles the Simple of France to dissuade Viking invasions from getting to Paris</w:t>
      </w:r>
      <w:r w:rsidR="005D301C" w:rsidRPr="00432A84">
        <w:rPr>
          <w:rStyle w:val="FootnoteReference"/>
          <w:sz w:val="24"/>
        </w:rPr>
        <w:footnoteReference w:id="19"/>
      </w:r>
      <w:r w:rsidR="008C7538" w:rsidRPr="00432A84">
        <w:rPr>
          <w:sz w:val="24"/>
        </w:rPr>
        <w:t>.</w:t>
      </w:r>
    </w:p>
    <w:p w14:paraId="5672A149" w14:textId="77777777" w:rsidR="008C7538" w:rsidRPr="00432A84" w:rsidRDefault="008C7538">
      <w:pPr>
        <w:rPr>
          <w:sz w:val="24"/>
        </w:rPr>
      </w:pPr>
      <w:r w:rsidRPr="00432A84">
        <w:rPr>
          <w:sz w:val="24"/>
        </w:rPr>
        <w:t xml:space="preserve">In the section of the image itself, William is positioned higher than Harold. This shows that William is of higher importance than Harold, but this could be simply due to who commissioned the Bayeux Tapestry rather than subtext of William having more of a direct claim to the throne than Harold. However, Harold is depicted as unarmed compared to </w:t>
      </w:r>
      <w:r w:rsidR="00DA087D" w:rsidRPr="00432A84">
        <w:rPr>
          <w:sz w:val="24"/>
        </w:rPr>
        <w:t>William who is holding a sword, this would tie into the belief that Harold’s support was forced due to William holding his family against him so that William is in the position of power.</w:t>
      </w:r>
    </w:p>
    <w:p w14:paraId="06A24B8F" w14:textId="71CD700D" w:rsidR="005D301C" w:rsidRPr="00432A84" w:rsidRDefault="00DA087D">
      <w:pPr>
        <w:rPr>
          <w:sz w:val="24"/>
        </w:rPr>
      </w:pPr>
      <w:r w:rsidRPr="00432A84">
        <w:rPr>
          <w:sz w:val="24"/>
        </w:rPr>
        <w:t>Using just the Bayeux Tapestry as evidence on the Battle of Hastings and the events preluding that, it proves that history is written by the victors. As Harold is presented as the villain, using other sources from the time state the same but they are also problematic due to some being wr</w:t>
      </w:r>
      <w:r w:rsidR="00EB5C7E">
        <w:rPr>
          <w:sz w:val="24"/>
        </w:rPr>
        <w:t>itten</w:t>
      </w:r>
      <w:r w:rsidRPr="00432A84">
        <w:rPr>
          <w:sz w:val="24"/>
        </w:rPr>
        <w:t xml:space="preserve"> many years after the events of the battle therefore they are not first-hand accounts and are biased due to wanting to</w:t>
      </w:r>
      <w:r w:rsidR="00EB5C7E">
        <w:rPr>
          <w:sz w:val="24"/>
        </w:rPr>
        <w:t xml:space="preserve"> gain the favour of</w:t>
      </w:r>
      <w:r w:rsidRPr="00432A84">
        <w:rPr>
          <w:sz w:val="24"/>
        </w:rPr>
        <w:t xml:space="preserve"> the audience of </w:t>
      </w:r>
      <w:r w:rsidR="00EB5C7E">
        <w:rPr>
          <w:sz w:val="24"/>
        </w:rPr>
        <w:t>which could</w:t>
      </w:r>
      <w:r w:rsidRPr="00432A84">
        <w:rPr>
          <w:sz w:val="24"/>
        </w:rPr>
        <w:t xml:space="preserve"> have possibly been William himself as well as his court. While the</w:t>
      </w:r>
      <w:r w:rsidRPr="00EB5C7E">
        <w:rPr>
          <w:i/>
          <w:sz w:val="24"/>
        </w:rPr>
        <w:t xml:space="preserve"> Carmen</w:t>
      </w:r>
      <w:r w:rsidRPr="00432A84">
        <w:rPr>
          <w:sz w:val="24"/>
        </w:rPr>
        <w:t xml:space="preserve"> is believed to have been written just months after the events i</w:t>
      </w:r>
      <w:r w:rsidR="00EB5C7E">
        <w:rPr>
          <w:sz w:val="24"/>
        </w:rPr>
        <w:t>t</w:t>
      </w:r>
      <w:r w:rsidRPr="00432A84">
        <w:rPr>
          <w:sz w:val="24"/>
        </w:rPr>
        <w:t xml:space="preserve"> describes Harold as villainous, and paint</w:t>
      </w:r>
      <w:r w:rsidR="00EB5C7E">
        <w:rPr>
          <w:sz w:val="24"/>
        </w:rPr>
        <w:t>s</w:t>
      </w:r>
      <w:r w:rsidRPr="00432A84">
        <w:rPr>
          <w:sz w:val="24"/>
        </w:rPr>
        <w:t xml:space="preserve"> William in a positive light. Which is understandable due to William having </w:t>
      </w:r>
      <w:r w:rsidR="00EB5C7E">
        <w:rPr>
          <w:sz w:val="24"/>
        </w:rPr>
        <w:t>the</w:t>
      </w:r>
      <w:r w:rsidRPr="00432A84">
        <w:rPr>
          <w:sz w:val="24"/>
        </w:rPr>
        <w:t xml:space="preserve"> reputation of being cruel, as proven by the punishment William enacted after a rebellion </w:t>
      </w:r>
      <w:r w:rsidR="00EB5C7E">
        <w:rPr>
          <w:sz w:val="24"/>
        </w:rPr>
        <w:t>where</w:t>
      </w:r>
      <w:r w:rsidRPr="00432A84">
        <w:rPr>
          <w:sz w:val="24"/>
        </w:rPr>
        <w:t xml:space="preserve"> they mocked him for being the son of a tanner’s daughter. He took thirty-two men and cut off both their hands and feet</w:t>
      </w:r>
      <w:r w:rsidR="004F02D1" w:rsidRPr="00432A84">
        <w:rPr>
          <w:rStyle w:val="FootnoteReference"/>
          <w:sz w:val="24"/>
        </w:rPr>
        <w:footnoteReference w:id="20"/>
      </w:r>
      <w:r w:rsidRPr="00432A84">
        <w:rPr>
          <w:sz w:val="24"/>
        </w:rPr>
        <w:t xml:space="preserve">. While the Bayeux tapestry is useful to provide an insight into the event of 1066 it ultimately should be viewed as </w:t>
      </w:r>
      <w:r w:rsidR="00853237" w:rsidRPr="00432A84">
        <w:rPr>
          <w:sz w:val="24"/>
        </w:rPr>
        <w:t>a bias</w:t>
      </w:r>
      <w:r w:rsidR="00EB5C7E">
        <w:rPr>
          <w:sz w:val="24"/>
        </w:rPr>
        <w:t>ed</w:t>
      </w:r>
      <w:r w:rsidR="00853237" w:rsidRPr="00432A84">
        <w:rPr>
          <w:sz w:val="24"/>
        </w:rPr>
        <w:t xml:space="preserve"> account of the events.</w:t>
      </w:r>
    </w:p>
    <w:p w14:paraId="1B395EDB" w14:textId="77777777" w:rsidR="005D301C" w:rsidRDefault="005D301C" w:rsidP="000C69F8">
      <w:pPr>
        <w:jc w:val="center"/>
        <w:rPr>
          <w:b/>
          <w:sz w:val="28"/>
        </w:rPr>
      </w:pPr>
      <w:r>
        <w:rPr>
          <w:b/>
          <w:sz w:val="28"/>
        </w:rPr>
        <w:lastRenderedPageBreak/>
        <w:t>Bibliography</w:t>
      </w:r>
    </w:p>
    <w:p w14:paraId="02F8A9FD" w14:textId="77777777" w:rsidR="005D301C" w:rsidRDefault="005D301C">
      <w:pPr>
        <w:rPr>
          <w:sz w:val="24"/>
        </w:rPr>
      </w:pPr>
      <w:r w:rsidRPr="005D301C">
        <w:rPr>
          <w:sz w:val="24"/>
          <w:u w:val="single"/>
        </w:rPr>
        <w:t>Primary</w:t>
      </w:r>
      <w:r>
        <w:rPr>
          <w:sz w:val="24"/>
          <w:u w:val="single"/>
        </w:rPr>
        <w:t xml:space="preserve"> Sources</w:t>
      </w:r>
    </w:p>
    <w:p w14:paraId="189E0BC1" w14:textId="77777777" w:rsidR="005D301C" w:rsidRDefault="00853237">
      <w:pPr>
        <w:rPr>
          <w:sz w:val="24"/>
        </w:rPr>
      </w:pPr>
      <w:r>
        <w:rPr>
          <w:sz w:val="24"/>
        </w:rPr>
        <w:t>Bayeux Tapestry</w:t>
      </w:r>
    </w:p>
    <w:p w14:paraId="0235B17A" w14:textId="77777777" w:rsidR="00853237" w:rsidRDefault="0077145D">
      <w:pPr>
        <w:rPr>
          <w:sz w:val="24"/>
        </w:rPr>
      </w:pPr>
      <w:r w:rsidRPr="0077145D">
        <w:rPr>
          <w:sz w:val="24"/>
        </w:rPr>
        <w:t>Carmen de Normannicum Conquestum</w:t>
      </w:r>
    </w:p>
    <w:p w14:paraId="60E64EF0" w14:textId="77777777" w:rsidR="005D301C" w:rsidRDefault="00853237">
      <w:pPr>
        <w:rPr>
          <w:sz w:val="24"/>
          <w:u w:val="single"/>
        </w:rPr>
      </w:pPr>
      <w:r>
        <w:rPr>
          <w:sz w:val="24"/>
          <w:u w:val="single"/>
        </w:rPr>
        <w:t>Secondary Sources</w:t>
      </w:r>
    </w:p>
    <w:p w14:paraId="7E6F412D" w14:textId="77777777" w:rsidR="00853237" w:rsidRDefault="00853237" w:rsidP="00853237">
      <w:pPr>
        <w:rPr>
          <w:sz w:val="24"/>
        </w:rPr>
      </w:pPr>
      <w:r w:rsidRPr="00853237">
        <w:rPr>
          <w:sz w:val="24"/>
        </w:rPr>
        <w:t>Beech, George,</w:t>
      </w:r>
      <w:r>
        <w:rPr>
          <w:sz w:val="24"/>
        </w:rPr>
        <w:t xml:space="preserve"> ed.</w:t>
      </w:r>
      <w:r w:rsidRPr="00853237">
        <w:rPr>
          <w:sz w:val="24"/>
        </w:rPr>
        <w:t xml:space="preserve"> </w:t>
      </w:r>
      <w:r w:rsidRPr="00853237">
        <w:rPr>
          <w:i/>
          <w:sz w:val="24"/>
        </w:rPr>
        <w:t xml:space="preserve">Was the Bayeux Tapestry made in </w:t>
      </w:r>
      <w:r w:rsidR="00432A84" w:rsidRPr="00853237">
        <w:rPr>
          <w:i/>
          <w:sz w:val="24"/>
        </w:rPr>
        <w:t>France?</w:t>
      </w:r>
      <w:r w:rsidRPr="00853237">
        <w:rPr>
          <w:i/>
          <w:sz w:val="24"/>
        </w:rPr>
        <w:t xml:space="preserve"> The Case for St. Florent of Saumur</w:t>
      </w:r>
      <w:r w:rsidRPr="00853237">
        <w:rPr>
          <w:sz w:val="24"/>
        </w:rPr>
        <w:t xml:space="preserve">. </w:t>
      </w:r>
      <w:r>
        <w:rPr>
          <w:sz w:val="24"/>
        </w:rPr>
        <w:t xml:space="preserve">Medieval Clothing and Textiles </w:t>
      </w:r>
      <w:r w:rsidRPr="00853237">
        <w:rPr>
          <w:sz w:val="24"/>
        </w:rPr>
        <w:t>Vol.</w:t>
      </w:r>
      <w:r>
        <w:rPr>
          <w:sz w:val="24"/>
        </w:rPr>
        <w:t>2</w:t>
      </w:r>
      <w:r w:rsidRPr="00853237">
        <w:rPr>
          <w:sz w:val="24"/>
        </w:rPr>
        <w:t xml:space="preserve"> </w:t>
      </w:r>
      <w:r>
        <w:rPr>
          <w:sz w:val="24"/>
        </w:rPr>
        <w:t>(</w:t>
      </w:r>
      <w:r w:rsidRPr="00853237">
        <w:rPr>
          <w:sz w:val="24"/>
        </w:rPr>
        <w:t>Boydell Press,</w:t>
      </w:r>
      <w:r>
        <w:rPr>
          <w:sz w:val="24"/>
        </w:rPr>
        <w:t xml:space="preserve"> Suffolk, UK</w:t>
      </w:r>
      <w:r w:rsidRPr="00853237">
        <w:rPr>
          <w:sz w:val="24"/>
        </w:rPr>
        <w:t xml:space="preserve"> 2006</w:t>
      </w:r>
      <w:r>
        <w:rPr>
          <w:sz w:val="24"/>
        </w:rPr>
        <w:t>)</w:t>
      </w:r>
    </w:p>
    <w:p w14:paraId="0D245316" w14:textId="77777777" w:rsidR="00853237" w:rsidRPr="00853237" w:rsidRDefault="00853237" w:rsidP="00853237">
      <w:pPr>
        <w:rPr>
          <w:sz w:val="24"/>
        </w:rPr>
      </w:pPr>
    </w:p>
    <w:p w14:paraId="459430A8" w14:textId="77777777" w:rsidR="00853237" w:rsidRPr="00853237" w:rsidRDefault="00853237" w:rsidP="00853237">
      <w:pPr>
        <w:rPr>
          <w:sz w:val="24"/>
        </w:rPr>
      </w:pPr>
      <w:r w:rsidRPr="00853237">
        <w:rPr>
          <w:sz w:val="24"/>
        </w:rPr>
        <w:t xml:space="preserve">Bridgeford, Andrew. 1066: The Hidden History in the Bayeux Tapestry. </w:t>
      </w:r>
      <w:r>
        <w:rPr>
          <w:sz w:val="24"/>
        </w:rPr>
        <w:t>(</w:t>
      </w:r>
      <w:r w:rsidRPr="00853237">
        <w:rPr>
          <w:sz w:val="24"/>
        </w:rPr>
        <w:t>Walker &amp; Company,</w:t>
      </w:r>
      <w:r>
        <w:rPr>
          <w:sz w:val="24"/>
        </w:rPr>
        <w:t xml:space="preserve"> London,</w:t>
      </w:r>
      <w:r w:rsidRPr="00853237">
        <w:rPr>
          <w:sz w:val="24"/>
        </w:rPr>
        <w:t xml:space="preserve"> 2005</w:t>
      </w:r>
      <w:r>
        <w:rPr>
          <w:sz w:val="24"/>
        </w:rPr>
        <w:t>)</w:t>
      </w:r>
    </w:p>
    <w:p w14:paraId="611B89AD" w14:textId="77777777" w:rsidR="00853237" w:rsidRPr="00853237" w:rsidRDefault="00853237" w:rsidP="00853237">
      <w:pPr>
        <w:rPr>
          <w:sz w:val="24"/>
        </w:rPr>
      </w:pPr>
    </w:p>
    <w:p w14:paraId="787D9A38" w14:textId="77777777" w:rsidR="00853237" w:rsidRPr="00853237" w:rsidRDefault="00853237" w:rsidP="00853237">
      <w:pPr>
        <w:rPr>
          <w:sz w:val="24"/>
        </w:rPr>
      </w:pPr>
      <w:r w:rsidRPr="00853237">
        <w:rPr>
          <w:sz w:val="24"/>
        </w:rPr>
        <w:t xml:space="preserve">Coatsworth, Elizabeth, ed. </w:t>
      </w:r>
      <w:r w:rsidRPr="00853237">
        <w:rPr>
          <w:i/>
          <w:sz w:val="24"/>
        </w:rPr>
        <w:t>Stitches in Time: Establishing a History of Anglo-Saxon Embroidery</w:t>
      </w:r>
      <w:r w:rsidRPr="00853237">
        <w:rPr>
          <w:sz w:val="24"/>
        </w:rPr>
        <w:t>. Medieval Clothing and Textiles Vol.</w:t>
      </w:r>
      <w:r>
        <w:rPr>
          <w:sz w:val="24"/>
        </w:rPr>
        <w:t xml:space="preserve"> 1</w:t>
      </w:r>
      <w:r w:rsidRPr="00853237">
        <w:rPr>
          <w:sz w:val="24"/>
        </w:rPr>
        <w:t xml:space="preserve"> </w:t>
      </w:r>
      <w:r>
        <w:rPr>
          <w:sz w:val="24"/>
        </w:rPr>
        <w:t>(</w:t>
      </w:r>
      <w:r w:rsidRPr="00853237">
        <w:rPr>
          <w:sz w:val="24"/>
        </w:rPr>
        <w:t>Boydell &amp; Brewer,</w:t>
      </w:r>
      <w:r>
        <w:rPr>
          <w:sz w:val="24"/>
        </w:rPr>
        <w:t xml:space="preserve"> Suffolk, UK</w:t>
      </w:r>
      <w:r w:rsidRPr="00853237">
        <w:rPr>
          <w:sz w:val="24"/>
        </w:rPr>
        <w:t xml:space="preserve"> 2005</w:t>
      </w:r>
      <w:r>
        <w:rPr>
          <w:sz w:val="24"/>
        </w:rPr>
        <w:t>)</w:t>
      </w:r>
      <w:r w:rsidRPr="00853237">
        <w:rPr>
          <w:sz w:val="24"/>
        </w:rPr>
        <w:t>.</w:t>
      </w:r>
    </w:p>
    <w:p w14:paraId="05925786" w14:textId="77777777" w:rsidR="00853237" w:rsidRPr="00853237" w:rsidRDefault="00853237" w:rsidP="00853237">
      <w:pPr>
        <w:rPr>
          <w:sz w:val="24"/>
        </w:rPr>
      </w:pPr>
    </w:p>
    <w:p w14:paraId="5A3468D9" w14:textId="77777777" w:rsidR="00853237" w:rsidRPr="00853237" w:rsidRDefault="00853237" w:rsidP="00853237">
      <w:pPr>
        <w:rPr>
          <w:sz w:val="24"/>
        </w:rPr>
      </w:pPr>
      <w:r w:rsidRPr="004F02D1">
        <w:rPr>
          <w:i/>
          <w:sz w:val="24"/>
        </w:rPr>
        <w:t>1066: A Year to Conquer England</w:t>
      </w:r>
      <w:r w:rsidRPr="00853237">
        <w:rPr>
          <w:sz w:val="24"/>
        </w:rPr>
        <w:t xml:space="preserve">. </w:t>
      </w:r>
      <w:r w:rsidR="004F02D1">
        <w:rPr>
          <w:sz w:val="24"/>
        </w:rPr>
        <w:t>Episode 2</w:t>
      </w:r>
      <w:r w:rsidRPr="00853237">
        <w:rPr>
          <w:sz w:val="24"/>
        </w:rPr>
        <w:t>. BBC</w:t>
      </w:r>
      <w:r w:rsidR="004F02D1">
        <w:rPr>
          <w:sz w:val="24"/>
        </w:rPr>
        <w:t xml:space="preserve"> 2. 2</w:t>
      </w:r>
      <w:r w:rsidR="004F02D1" w:rsidRPr="004F02D1">
        <w:rPr>
          <w:sz w:val="24"/>
          <w:vertAlign w:val="superscript"/>
        </w:rPr>
        <w:t>nd</w:t>
      </w:r>
      <w:r w:rsidR="004F02D1">
        <w:rPr>
          <w:sz w:val="24"/>
        </w:rPr>
        <w:t xml:space="preserve"> August 2018.</w:t>
      </w:r>
      <w:r w:rsidR="00676D36">
        <w:rPr>
          <w:sz w:val="24"/>
        </w:rPr>
        <w:t xml:space="preserve"> (0230-0330).</w:t>
      </w:r>
    </w:p>
    <w:p w14:paraId="27A73D60" w14:textId="77777777" w:rsidR="00853237" w:rsidRPr="00853237" w:rsidRDefault="00853237" w:rsidP="00853237">
      <w:pPr>
        <w:rPr>
          <w:sz w:val="24"/>
        </w:rPr>
      </w:pPr>
    </w:p>
    <w:p w14:paraId="55EA5EF8" w14:textId="77777777" w:rsidR="00853237" w:rsidRPr="00853237" w:rsidRDefault="00853237" w:rsidP="00853237">
      <w:pPr>
        <w:rPr>
          <w:sz w:val="24"/>
        </w:rPr>
      </w:pPr>
      <w:r w:rsidRPr="00853237">
        <w:rPr>
          <w:sz w:val="24"/>
        </w:rPr>
        <w:t xml:space="preserve">Grape, Wolfgang. The Bayeux Tapestry: Monument to a Norman Triumph. </w:t>
      </w:r>
      <w:r>
        <w:rPr>
          <w:sz w:val="24"/>
        </w:rPr>
        <w:t>(</w:t>
      </w:r>
      <w:r w:rsidRPr="00853237">
        <w:rPr>
          <w:sz w:val="24"/>
        </w:rPr>
        <w:t>Prestel Publishing</w:t>
      </w:r>
      <w:r>
        <w:rPr>
          <w:sz w:val="24"/>
        </w:rPr>
        <w:t>,</w:t>
      </w:r>
      <w:r w:rsidRPr="00853237">
        <w:t xml:space="preserve"> </w:t>
      </w:r>
      <w:r w:rsidRPr="00853237">
        <w:rPr>
          <w:sz w:val="24"/>
        </w:rPr>
        <w:t>Munich, 1994</w:t>
      </w:r>
      <w:r>
        <w:rPr>
          <w:sz w:val="24"/>
        </w:rPr>
        <w:t>)</w:t>
      </w:r>
    </w:p>
    <w:p w14:paraId="1B4A3ACB" w14:textId="77777777" w:rsidR="00853237" w:rsidRPr="00853237" w:rsidRDefault="00853237" w:rsidP="00853237">
      <w:pPr>
        <w:rPr>
          <w:sz w:val="24"/>
        </w:rPr>
      </w:pPr>
    </w:p>
    <w:p w14:paraId="09BE4A67" w14:textId="77777777" w:rsidR="00853237" w:rsidRPr="00853237" w:rsidRDefault="00853237" w:rsidP="00853237">
      <w:pPr>
        <w:rPr>
          <w:sz w:val="24"/>
        </w:rPr>
      </w:pPr>
      <w:r w:rsidRPr="00853237">
        <w:rPr>
          <w:sz w:val="24"/>
        </w:rPr>
        <w:t>Saul, N</w:t>
      </w:r>
      <w:r w:rsidR="00676D36">
        <w:rPr>
          <w:sz w:val="24"/>
        </w:rPr>
        <w:t>i</w:t>
      </w:r>
      <w:r w:rsidRPr="00853237">
        <w:rPr>
          <w:sz w:val="24"/>
        </w:rPr>
        <w:t xml:space="preserve">gel. Bayeux Tapestry. </w:t>
      </w:r>
      <w:r>
        <w:rPr>
          <w:sz w:val="24"/>
        </w:rPr>
        <w:t>(</w:t>
      </w:r>
      <w:r w:rsidRPr="00853237">
        <w:rPr>
          <w:sz w:val="24"/>
        </w:rPr>
        <w:t>Tempus,</w:t>
      </w:r>
      <w:r>
        <w:rPr>
          <w:sz w:val="24"/>
        </w:rPr>
        <w:t xml:space="preserve"> Stroud, UK,</w:t>
      </w:r>
      <w:r w:rsidRPr="00853237">
        <w:rPr>
          <w:sz w:val="24"/>
        </w:rPr>
        <w:t xml:space="preserve"> 2005</w:t>
      </w:r>
      <w:r>
        <w:rPr>
          <w:sz w:val="24"/>
        </w:rPr>
        <w:t>)</w:t>
      </w:r>
      <w:r w:rsidRPr="00853237">
        <w:rPr>
          <w:sz w:val="24"/>
        </w:rPr>
        <w:t>. A Companion to Medieval England.</w:t>
      </w:r>
    </w:p>
    <w:p w14:paraId="6438FDEC" w14:textId="77777777" w:rsidR="00853237" w:rsidRPr="00853237" w:rsidRDefault="00853237" w:rsidP="00853237">
      <w:pPr>
        <w:rPr>
          <w:sz w:val="24"/>
        </w:rPr>
      </w:pPr>
    </w:p>
    <w:p w14:paraId="797242E3" w14:textId="77777777" w:rsidR="00853237" w:rsidRPr="00853237" w:rsidRDefault="00853237" w:rsidP="00853237">
      <w:pPr>
        <w:rPr>
          <w:sz w:val="24"/>
        </w:rPr>
      </w:pPr>
      <w:r w:rsidRPr="00853237">
        <w:rPr>
          <w:sz w:val="24"/>
        </w:rPr>
        <w:t xml:space="preserve">Stenton, Sir Frank, ed. The Bayeux Tapestry. A Comprehensive Survey. </w:t>
      </w:r>
      <w:r>
        <w:rPr>
          <w:sz w:val="24"/>
        </w:rPr>
        <w:t>(</w:t>
      </w:r>
      <w:r w:rsidRPr="00853237">
        <w:rPr>
          <w:sz w:val="24"/>
        </w:rPr>
        <w:t>Phaidon,</w:t>
      </w:r>
      <w:r>
        <w:rPr>
          <w:sz w:val="24"/>
        </w:rPr>
        <w:t xml:space="preserve"> London</w:t>
      </w:r>
      <w:r w:rsidRPr="00853237">
        <w:rPr>
          <w:sz w:val="24"/>
        </w:rPr>
        <w:t xml:space="preserve"> 1957</w:t>
      </w:r>
      <w:r>
        <w:rPr>
          <w:sz w:val="24"/>
        </w:rPr>
        <w:t>)</w:t>
      </w:r>
    </w:p>
    <w:p w14:paraId="2F7CFDD8" w14:textId="77777777" w:rsidR="00853237" w:rsidRPr="00853237" w:rsidRDefault="00853237" w:rsidP="00853237">
      <w:pPr>
        <w:rPr>
          <w:sz w:val="24"/>
        </w:rPr>
      </w:pPr>
    </w:p>
    <w:p w14:paraId="69231937" w14:textId="77777777" w:rsidR="00853237" w:rsidRPr="00853237" w:rsidRDefault="00853237" w:rsidP="00853237">
      <w:pPr>
        <w:rPr>
          <w:sz w:val="24"/>
        </w:rPr>
      </w:pPr>
      <w:r w:rsidRPr="00853237">
        <w:rPr>
          <w:sz w:val="24"/>
        </w:rPr>
        <w:t xml:space="preserve">Wilson, David M. The Bayeux Tapestry. </w:t>
      </w:r>
      <w:r>
        <w:rPr>
          <w:sz w:val="24"/>
        </w:rPr>
        <w:t>(</w:t>
      </w:r>
      <w:r w:rsidRPr="00853237">
        <w:rPr>
          <w:sz w:val="24"/>
        </w:rPr>
        <w:t>Thames and Hudson,</w:t>
      </w:r>
      <w:r>
        <w:rPr>
          <w:sz w:val="24"/>
        </w:rPr>
        <w:t xml:space="preserve"> London,</w:t>
      </w:r>
      <w:r w:rsidRPr="00853237">
        <w:rPr>
          <w:sz w:val="24"/>
        </w:rPr>
        <w:t xml:space="preserve"> 1985</w:t>
      </w:r>
      <w:r>
        <w:rPr>
          <w:sz w:val="24"/>
        </w:rPr>
        <w:t>)</w:t>
      </w:r>
    </w:p>
    <w:p w14:paraId="028B3358" w14:textId="77777777" w:rsidR="00853237" w:rsidRDefault="00853237">
      <w:pPr>
        <w:rPr>
          <w:sz w:val="24"/>
          <w:u w:val="single"/>
        </w:rPr>
      </w:pPr>
    </w:p>
    <w:p w14:paraId="313D5AB6" w14:textId="77777777" w:rsidR="00676D36" w:rsidRPr="00676D36" w:rsidRDefault="00676D36">
      <w:pPr>
        <w:rPr>
          <w:sz w:val="24"/>
        </w:rPr>
      </w:pPr>
      <w:r w:rsidRPr="00676D36">
        <w:rPr>
          <w:i/>
          <w:sz w:val="24"/>
        </w:rPr>
        <w:t>Women’s Hour</w:t>
      </w:r>
      <w:r>
        <w:rPr>
          <w:i/>
          <w:sz w:val="24"/>
        </w:rPr>
        <w:t xml:space="preserve">, </w:t>
      </w:r>
      <w:r>
        <w:rPr>
          <w:sz w:val="24"/>
        </w:rPr>
        <w:t>New Contender for The Bayeux Tapestry? BBC Radio 4, 22 May 2006, 1600-1700.</w:t>
      </w:r>
    </w:p>
    <w:p w14:paraId="19CDC440" w14:textId="77777777" w:rsidR="005D301C" w:rsidRDefault="005D301C"/>
    <w:sectPr w:rsidR="005D301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AD119E" w14:textId="77777777" w:rsidR="009428BF" w:rsidRDefault="009428BF" w:rsidP="0096442A">
      <w:pPr>
        <w:spacing w:after="0" w:line="240" w:lineRule="auto"/>
      </w:pPr>
      <w:r>
        <w:separator/>
      </w:r>
    </w:p>
  </w:endnote>
  <w:endnote w:type="continuationSeparator" w:id="0">
    <w:p w14:paraId="1C46A6B2" w14:textId="77777777" w:rsidR="009428BF" w:rsidRDefault="009428BF" w:rsidP="009644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AD6026" w14:textId="77777777" w:rsidR="009428BF" w:rsidRDefault="009428BF" w:rsidP="0096442A">
      <w:pPr>
        <w:spacing w:after="0" w:line="240" w:lineRule="auto"/>
      </w:pPr>
      <w:r>
        <w:separator/>
      </w:r>
    </w:p>
  </w:footnote>
  <w:footnote w:type="continuationSeparator" w:id="0">
    <w:p w14:paraId="3E475F4A" w14:textId="77777777" w:rsidR="009428BF" w:rsidRDefault="009428BF" w:rsidP="0096442A">
      <w:pPr>
        <w:spacing w:after="0" w:line="240" w:lineRule="auto"/>
      </w:pPr>
      <w:r>
        <w:continuationSeparator/>
      </w:r>
    </w:p>
  </w:footnote>
  <w:footnote w:id="1">
    <w:p w14:paraId="078F2B50" w14:textId="77777777" w:rsidR="0096442A" w:rsidRDefault="0096442A">
      <w:pPr>
        <w:pStyle w:val="FootnoteText"/>
      </w:pPr>
      <w:r>
        <w:rPr>
          <w:rStyle w:val="FootnoteReference"/>
        </w:rPr>
        <w:footnoteRef/>
      </w:r>
      <w:r>
        <w:t xml:space="preserve"> </w:t>
      </w:r>
      <w:r w:rsidR="0077145D">
        <w:t>Sir F. Stenton</w:t>
      </w:r>
      <w:r w:rsidR="00432A84">
        <w:t>, The Bayeux Tapestry. A Comprehensive survey</w:t>
      </w:r>
    </w:p>
  </w:footnote>
  <w:footnote w:id="2">
    <w:p w14:paraId="1A7D602D" w14:textId="77777777" w:rsidR="0096442A" w:rsidRDefault="0096442A">
      <w:pPr>
        <w:pStyle w:val="FootnoteText"/>
      </w:pPr>
      <w:r>
        <w:rPr>
          <w:rStyle w:val="FootnoteReference"/>
        </w:rPr>
        <w:footnoteRef/>
      </w:r>
      <w:r>
        <w:t xml:space="preserve"> </w:t>
      </w:r>
      <w:r w:rsidR="0077145D">
        <w:t>D.</w:t>
      </w:r>
      <w:r w:rsidR="00432A84">
        <w:t xml:space="preserve"> </w:t>
      </w:r>
      <w:r w:rsidR="0077145D">
        <w:t>Wilson</w:t>
      </w:r>
      <w:r w:rsidR="00432A84">
        <w:t>, The Bayeux Tapestry pg. 201-27</w:t>
      </w:r>
    </w:p>
  </w:footnote>
  <w:footnote w:id="3">
    <w:p w14:paraId="56DF5618" w14:textId="77777777" w:rsidR="0096442A" w:rsidRDefault="0096442A">
      <w:pPr>
        <w:pStyle w:val="FootnoteText"/>
      </w:pPr>
      <w:r>
        <w:rPr>
          <w:rStyle w:val="FootnoteReference"/>
        </w:rPr>
        <w:footnoteRef/>
      </w:r>
      <w:r w:rsidR="00432A84">
        <w:t xml:space="preserve"> </w:t>
      </w:r>
      <w:r w:rsidR="0077145D">
        <w:t>E.</w:t>
      </w:r>
      <w:r w:rsidR="00432A84">
        <w:t xml:space="preserve"> </w:t>
      </w:r>
      <w:r w:rsidR="0077145D">
        <w:t>Coatsworth</w:t>
      </w:r>
      <w:r w:rsidR="00432A84">
        <w:t>, Stitches in time: Establishing a History of Anglo-Saxon Embroidery pg.1-27</w:t>
      </w:r>
    </w:p>
  </w:footnote>
  <w:footnote w:id="4">
    <w:p w14:paraId="50F6B5F4" w14:textId="77777777" w:rsidR="0096442A" w:rsidRDefault="0096442A">
      <w:pPr>
        <w:pStyle w:val="FootnoteText"/>
      </w:pPr>
      <w:r>
        <w:rPr>
          <w:rStyle w:val="FootnoteReference"/>
        </w:rPr>
        <w:footnoteRef/>
      </w:r>
      <w:r>
        <w:t xml:space="preserve"> </w:t>
      </w:r>
      <w:r w:rsidR="00676D36">
        <w:t>‘</w:t>
      </w:r>
      <w:r w:rsidR="00676D36" w:rsidRPr="00676D36">
        <w:t>New Contender for The Bayeux Tapestry?</w:t>
      </w:r>
      <w:r w:rsidR="00676D36">
        <w:t xml:space="preserve">’, </w:t>
      </w:r>
      <w:r w:rsidR="00676D36">
        <w:rPr>
          <w:i/>
        </w:rPr>
        <w:t>Women’s Hour</w:t>
      </w:r>
      <w:r w:rsidR="00676D36" w:rsidRPr="00676D36">
        <w:t xml:space="preserve"> BBC Radio 4, </w:t>
      </w:r>
      <w:r w:rsidR="00676D36">
        <w:t>(</w:t>
      </w:r>
      <w:r w:rsidR="00676D36" w:rsidRPr="00676D36">
        <w:t>22 May 2006</w:t>
      </w:r>
      <w:r w:rsidR="00676D36">
        <w:t>)</w:t>
      </w:r>
      <w:r w:rsidR="00676D36" w:rsidRPr="00676D36">
        <w:t>, 1600-1700.</w:t>
      </w:r>
    </w:p>
  </w:footnote>
  <w:footnote w:id="5">
    <w:p w14:paraId="23AF2650" w14:textId="77777777" w:rsidR="0096442A" w:rsidRDefault="0096442A">
      <w:pPr>
        <w:pStyle w:val="FootnoteText"/>
      </w:pPr>
      <w:r>
        <w:rPr>
          <w:rStyle w:val="FootnoteReference"/>
        </w:rPr>
        <w:footnoteRef/>
      </w:r>
      <w:r>
        <w:t xml:space="preserve"> </w:t>
      </w:r>
      <w:bookmarkStart w:id="0" w:name="_Hlk528784261"/>
      <w:r w:rsidR="0077145D">
        <w:t>Wilson</w:t>
      </w:r>
      <w:r w:rsidR="00432A84">
        <w:t>, The Bayeux Tapestry pg. 201-27</w:t>
      </w:r>
      <w:bookmarkEnd w:id="0"/>
    </w:p>
  </w:footnote>
  <w:footnote w:id="6">
    <w:p w14:paraId="115D8848" w14:textId="77777777" w:rsidR="0096442A" w:rsidRDefault="0096442A">
      <w:pPr>
        <w:pStyle w:val="FootnoteText"/>
      </w:pPr>
      <w:r>
        <w:rPr>
          <w:rStyle w:val="FootnoteReference"/>
        </w:rPr>
        <w:footnoteRef/>
      </w:r>
      <w:r>
        <w:t xml:space="preserve"> </w:t>
      </w:r>
      <w:r w:rsidR="0077145D">
        <w:t>Coatsworth</w:t>
      </w:r>
      <w:r w:rsidR="00432A84">
        <w:t>, Stitches in Time pg. 1-27</w:t>
      </w:r>
    </w:p>
  </w:footnote>
  <w:footnote w:id="7">
    <w:p w14:paraId="4C41F4FE" w14:textId="77777777" w:rsidR="0096442A" w:rsidRDefault="0096442A">
      <w:pPr>
        <w:pStyle w:val="FootnoteText"/>
      </w:pPr>
      <w:r>
        <w:rPr>
          <w:rStyle w:val="FootnoteReference"/>
        </w:rPr>
        <w:footnoteRef/>
      </w:r>
      <w:r>
        <w:t xml:space="preserve"> </w:t>
      </w:r>
      <w:r w:rsidR="00432A84" w:rsidRPr="00432A84">
        <w:t>Wilson, The Bayeux Tapestry pg. 201-27</w:t>
      </w:r>
    </w:p>
  </w:footnote>
  <w:footnote w:id="8">
    <w:p w14:paraId="19608F04" w14:textId="77777777" w:rsidR="0096442A" w:rsidRDefault="0096442A">
      <w:pPr>
        <w:pStyle w:val="FootnoteText"/>
      </w:pPr>
      <w:r>
        <w:rPr>
          <w:rStyle w:val="FootnoteReference"/>
        </w:rPr>
        <w:footnoteRef/>
      </w:r>
      <w:r>
        <w:t xml:space="preserve"> </w:t>
      </w:r>
      <w:r w:rsidR="0077145D">
        <w:t>W. Grape</w:t>
      </w:r>
      <w:r w:rsidR="00432A84">
        <w:t>, The Bayeux Tapestry: Monument to a Norman Triumph</w:t>
      </w:r>
    </w:p>
  </w:footnote>
  <w:footnote w:id="9">
    <w:p w14:paraId="285B3EA8" w14:textId="77777777" w:rsidR="0096442A" w:rsidRDefault="0096442A">
      <w:pPr>
        <w:pStyle w:val="FootnoteText"/>
      </w:pPr>
      <w:r>
        <w:rPr>
          <w:rStyle w:val="FootnoteReference"/>
        </w:rPr>
        <w:footnoteRef/>
      </w:r>
      <w:r>
        <w:t xml:space="preserve"> </w:t>
      </w:r>
      <w:r w:rsidR="0077145D">
        <w:t>Coatsworth</w:t>
      </w:r>
      <w:r w:rsidR="00432A84">
        <w:t>, Stitches in Time pg. 1-27</w:t>
      </w:r>
    </w:p>
  </w:footnote>
  <w:footnote w:id="10">
    <w:p w14:paraId="4F7F8155" w14:textId="77777777" w:rsidR="0096442A" w:rsidRDefault="0096442A">
      <w:pPr>
        <w:pStyle w:val="FootnoteText"/>
      </w:pPr>
      <w:r>
        <w:rPr>
          <w:rStyle w:val="FootnoteReference"/>
        </w:rPr>
        <w:footnoteRef/>
      </w:r>
      <w:r>
        <w:t xml:space="preserve"> </w:t>
      </w:r>
      <w:r w:rsidR="004F02D1">
        <w:t>G. Beech</w:t>
      </w:r>
      <w:r w:rsidR="00432A84">
        <w:t>,</w:t>
      </w:r>
      <w:r w:rsidR="00432A84" w:rsidRPr="00432A84">
        <w:t xml:space="preserve"> Was the Bayeux Tapestry Made in France? The Case for St. Florent of Saumur.</w:t>
      </w:r>
    </w:p>
  </w:footnote>
  <w:footnote w:id="11">
    <w:p w14:paraId="69916C99" w14:textId="77777777" w:rsidR="00676D36" w:rsidRDefault="00676D36">
      <w:pPr>
        <w:pStyle w:val="FootnoteText"/>
      </w:pPr>
      <w:r>
        <w:rPr>
          <w:rStyle w:val="FootnoteReference"/>
        </w:rPr>
        <w:footnoteRef/>
      </w:r>
      <w:r>
        <w:t xml:space="preserve"> N. Saul</w:t>
      </w:r>
      <w:r w:rsidR="00432A84">
        <w:t>, Bayeux Tapestry pg. 32-33</w:t>
      </w:r>
    </w:p>
  </w:footnote>
  <w:footnote w:id="12">
    <w:p w14:paraId="0B0017CE" w14:textId="77777777" w:rsidR="0096442A" w:rsidRDefault="0096442A">
      <w:pPr>
        <w:pStyle w:val="FootnoteText"/>
      </w:pPr>
      <w:r>
        <w:rPr>
          <w:rStyle w:val="FootnoteReference"/>
        </w:rPr>
        <w:footnoteRef/>
      </w:r>
      <w:r>
        <w:t xml:space="preserve"> </w:t>
      </w:r>
      <w:r w:rsidR="004F02D1">
        <w:t>A. Bridgeford</w:t>
      </w:r>
      <w:r w:rsidR="00432A84">
        <w:t xml:space="preserve">, </w:t>
      </w:r>
      <w:r w:rsidR="00432A84" w:rsidRPr="00432A84">
        <w:t>1066: The Hidden History in the Bayeux Tapestry</w:t>
      </w:r>
    </w:p>
  </w:footnote>
  <w:footnote w:id="13">
    <w:p w14:paraId="1D9DF4BB" w14:textId="77777777" w:rsidR="002F11B4" w:rsidRDefault="002F11B4">
      <w:pPr>
        <w:pStyle w:val="FootnoteText"/>
      </w:pPr>
      <w:r>
        <w:rPr>
          <w:rStyle w:val="FootnoteReference"/>
        </w:rPr>
        <w:footnoteRef/>
      </w:r>
      <w:r>
        <w:t xml:space="preserve"> </w:t>
      </w:r>
      <w:r w:rsidR="00676D36" w:rsidRPr="00432A84">
        <w:rPr>
          <w:i/>
        </w:rPr>
        <w:t>‘</w:t>
      </w:r>
      <w:r w:rsidR="004F02D1" w:rsidRPr="00432A84">
        <w:rPr>
          <w:i/>
        </w:rPr>
        <w:t>1066</w:t>
      </w:r>
      <w:r w:rsidR="00676D36" w:rsidRPr="00432A84">
        <w:rPr>
          <w:i/>
        </w:rPr>
        <w:t>: A Year to Conquer England’</w:t>
      </w:r>
      <w:r w:rsidR="00676D36">
        <w:t xml:space="preserve"> Episode 2, BBC2, (2 Aug 2018), 0230-0330</w:t>
      </w:r>
    </w:p>
  </w:footnote>
  <w:footnote w:id="14">
    <w:p w14:paraId="4FC27AEE" w14:textId="77777777" w:rsidR="002F11B4" w:rsidRPr="00432A84" w:rsidRDefault="002F11B4">
      <w:pPr>
        <w:pStyle w:val="FootnoteText"/>
        <w:rPr>
          <w:i/>
        </w:rPr>
      </w:pPr>
      <w:r>
        <w:rPr>
          <w:rStyle w:val="FootnoteReference"/>
        </w:rPr>
        <w:footnoteRef/>
      </w:r>
      <w:r w:rsidRPr="00432A84">
        <w:rPr>
          <w:i/>
        </w:rPr>
        <w:t xml:space="preserve"> </w:t>
      </w:r>
      <w:r w:rsidR="004F02D1" w:rsidRPr="00432A84">
        <w:rPr>
          <w:i/>
        </w:rPr>
        <w:t>Ibid</w:t>
      </w:r>
    </w:p>
  </w:footnote>
  <w:footnote w:id="15">
    <w:p w14:paraId="72F2E3DC" w14:textId="77777777" w:rsidR="005D301C" w:rsidRDefault="005D301C">
      <w:pPr>
        <w:pStyle w:val="FootnoteText"/>
      </w:pPr>
      <w:r w:rsidRPr="00432A84">
        <w:rPr>
          <w:rStyle w:val="FootnoteReference"/>
          <w:i/>
        </w:rPr>
        <w:footnoteRef/>
      </w:r>
      <w:r w:rsidRPr="00432A84">
        <w:rPr>
          <w:i/>
        </w:rPr>
        <w:t xml:space="preserve"> </w:t>
      </w:r>
      <w:r w:rsidR="004F02D1" w:rsidRPr="00432A84">
        <w:rPr>
          <w:i/>
        </w:rPr>
        <w:t>Ibid</w:t>
      </w:r>
    </w:p>
  </w:footnote>
  <w:footnote w:id="16">
    <w:p w14:paraId="6B1C623C" w14:textId="77777777" w:rsidR="005D301C" w:rsidRDefault="005D301C">
      <w:pPr>
        <w:pStyle w:val="FootnoteText"/>
      </w:pPr>
      <w:r>
        <w:rPr>
          <w:rStyle w:val="FootnoteReference"/>
        </w:rPr>
        <w:footnoteRef/>
      </w:r>
      <w:r>
        <w:t xml:space="preserve"> </w:t>
      </w:r>
      <w:r w:rsidR="004F02D1" w:rsidRPr="00EB5C7E">
        <w:rPr>
          <w:i/>
        </w:rPr>
        <w:t>Carmen de Normannicum Conquestum</w:t>
      </w:r>
    </w:p>
  </w:footnote>
  <w:footnote w:id="17">
    <w:p w14:paraId="3AF1869E" w14:textId="77777777" w:rsidR="005D301C" w:rsidRPr="00676D36" w:rsidRDefault="005D301C">
      <w:pPr>
        <w:pStyle w:val="FootnoteText"/>
        <w:rPr>
          <w:i/>
        </w:rPr>
      </w:pPr>
      <w:r w:rsidRPr="00676D36">
        <w:rPr>
          <w:rStyle w:val="FootnoteReference"/>
          <w:i/>
        </w:rPr>
        <w:footnoteRef/>
      </w:r>
      <w:r w:rsidRPr="00676D36">
        <w:rPr>
          <w:i/>
        </w:rPr>
        <w:t xml:space="preserve"> </w:t>
      </w:r>
      <w:r w:rsidR="00676D36" w:rsidRPr="00676D36">
        <w:rPr>
          <w:i/>
        </w:rPr>
        <w:t>‘</w:t>
      </w:r>
      <w:r w:rsidR="004F02D1" w:rsidRPr="00676D36">
        <w:rPr>
          <w:i/>
        </w:rPr>
        <w:t>1066</w:t>
      </w:r>
      <w:r w:rsidR="00676D36" w:rsidRPr="00676D36">
        <w:rPr>
          <w:i/>
        </w:rPr>
        <w:t>: A year to Conquer England’</w:t>
      </w:r>
    </w:p>
  </w:footnote>
  <w:footnote w:id="18">
    <w:p w14:paraId="5EC627C0" w14:textId="77777777" w:rsidR="005D301C" w:rsidRPr="00676D36" w:rsidRDefault="005D301C">
      <w:pPr>
        <w:pStyle w:val="FootnoteText"/>
        <w:rPr>
          <w:i/>
        </w:rPr>
      </w:pPr>
      <w:r w:rsidRPr="00676D36">
        <w:rPr>
          <w:rStyle w:val="FootnoteReference"/>
          <w:i/>
        </w:rPr>
        <w:footnoteRef/>
      </w:r>
      <w:r w:rsidRPr="00676D36">
        <w:rPr>
          <w:i/>
        </w:rPr>
        <w:t xml:space="preserve"> </w:t>
      </w:r>
      <w:r w:rsidR="004F02D1" w:rsidRPr="00676D36">
        <w:rPr>
          <w:i/>
        </w:rPr>
        <w:t>Ibid</w:t>
      </w:r>
    </w:p>
  </w:footnote>
  <w:footnote w:id="19">
    <w:p w14:paraId="72EFCE1C" w14:textId="77777777" w:rsidR="005D301C" w:rsidRPr="00676D36" w:rsidRDefault="005D301C">
      <w:pPr>
        <w:pStyle w:val="FootnoteText"/>
        <w:rPr>
          <w:i/>
        </w:rPr>
      </w:pPr>
      <w:r w:rsidRPr="00676D36">
        <w:rPr>
          <w:rStyle w:val="FootnoteReference"/>
          <w:i/>
        </w:rPr>
        <w:footnoteRef/>
      </w:r>
      <w:r w:rsidRPr="00676D36">
        <w:rPr>
          <w:i/>
        </w:rPr>
        <w:t xml:space="preserve"> </w:t>
      </w:r>
      <w:r w:rsidR="004F02D1" w:rsidRPr="00676D36">
        <w:rPr>
          <w:i/>
        </w:rPr>
        <w:t>Ibid</w:t>
      </w:r>
    </w:p>
  </w:footnote>
  <w:footnote w:id="20">
    <w:p w14:paraId="74C2EE72" w14:textId="77777777" w:rsidR="004F02D1" w:rsidRPr="00676D36" w:rsidRDefault="004F02D1">
      <w:pPr>
        <w:pStyle w:val="FootnoteText"/>
        <w:rPr>
          <w:i/>
        </w:rPr>
      </w:pPr>
      <w:r w:rsidRPr="00676D36">
        <w:rPr>
          <w:rStyle w:val="FootnoteReference"/>
          <w:i/>
        </w:rPr>
        <w:footnoteRef/>
      </w:r>
      <w:r w:rsidRPr="00676D36">
        <w:rPr>
          <w:i/>
        </w:rPr>
        <w:t xml:space="preserve"> Ibid</w:t>
      </w:r>
      <w:bookmarkStart w:id="2" w:name="_GoBack"/>
      <w:bookmarkEnd w:id="2"/>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1F2D"/>
    <w:rsid w:val="00097BCB"/>
    <w:rsid w:val="000A2978"/>
    <w:rsid w:val="000C69F8"/>
    <w:rsid w:val="001A1F2D"/>
    <w:rsid w:val="00287B3B"/>
    <w:rsid w:val="002F11B4"/>
    <w:rsid w:val="0039410E"/>
    <w:rsid w:val="00405762"/>
    <w:rsid w:val="00432A84"/>
    <w:rsid w:val="00433136"/>
    <w:rsid w:val="004F02D1"/>
    <w:rsid w:val="00505E7F"/>
    <w:rsid w:val="00571089"/>
    <w:rsid w:val="005A6B5B"/>
    <w:rsid w:val="005D301C"/>
    <w:rsid w:val="00676D36"/>
    <w:rsid w:val="0077145D"/>
    <w:rsid w:val="0080471F"/>
    <w:rsid w:val="00853237"/>
    <w:rsid w:val="008C7538"/>
    <w:rsid w:val="008D1917"/>
    <w:rsid w:val="009428BF"/>
    <w:rsid w:val="00963C7E"/>
    <w:rsid w:val="0096442A"/>
    <w:rsid w:val="00DA087D"/>
    <w:rsid w:val="00E2402E"/>
    <w:rsid w:val="00E43D4E"/>
    <w:rsid w:val="00EB5C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CC4927"/>
  <w15:chartTrackingRefBased/>
  <w15:docId w15:val="{B707BF32-D8C8-43F9-9B38-8570823008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6442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6442A"/>
    <w:rPr>
      <w:sz w:val="20"/>
      <w:szCs w:val="20"/>
    </w:rPr>
  </w:style>
  <w:style w:type="character" w:styleId="FootnoteReference">
    <w:name w:val="footnote reference"/>
    <w:basedOn w:val="DefaultParagraphFont"/>
    <w:uiPriority w:val="99"/>
    <w:semiHidden/>
    <w:unhideWhenUsed/>
    <w:rsid w:val="0096442A"/>
    <w:rPr>
      <w:vertAlign w:val="superscript"/>
    </w:rPr>
  </w:style>
  <w:style w:type="paragraph" w:styleId="Header">
    <w:name w:val="header"/>
    <w:basedOn w:val="Normal"/>
    <w:link w:val="HeaderChar"/>
    <w:uiPriority w:val="99"/>
    <w:unhideWhenUsed/>
    <w:rsid w:val="00432A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2A84"/>
  </w:style>
  <w:style w:type="paragraph" w:styleId="Footer">
    <w:name w:val="footer"/>
    <w:basedOn w:val="Normal"/>
    <w:link w:val="FooterChar"/>
    <w:uiPriority w:val="99"/>
    <w:unhideWhenUsed/>
    <w:rsid w:val="00432A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2A84"/>
  </w:style>
  <w:style w:type="paragraph" w:styleId="BalloonText">
    <w:name w:val="Balloon Text"/>
    <w:basedOn w:val="Normal"/>
    <w:link w:val="BalloonTextChar"/>
    <w:uiPriority w:val="99"/>
    <w:semiHidden/>
    <w:unhideWhenUsed/>
    <w:rsid w:val="000C69F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C69F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E650B3-F2C1-465D-A207-1BC9EF013F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1604</TotalTime>
  <Pages>4</Pages>
  <Words>1246</Words>
  <Characters>7107</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Beckett</dc:creator>
  <cp:keywords/>
  <dc:description/>
  <cp:lastModifiedBy>Amy Beckett</cp:lastModifiedBy>
  <cp:revision>3</cp:revision>
  <cp:lastPrinted>2018-10-31T21:31:00Z</cp:lastPrinted>
  <dcterms:created xsi:type="dcterms:W3CDTF">2018-10-30T18:44:00Z</dcterms:created>
  <dcterms:modified xsi:type="dcterms:W3CDTF">2018-11-01T14:59:00Z</dcterms:modified>
</cp:coreProperties>
</file>