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9EE9C" w14:textId="12CACF9B" w:rsidR="003D183E" w:rsidRDefault="003D183E"/>
    <w:p w14:paraId="2582BBF9" w14:textId="77777777" w:rsidR="00255FCE" w:rsidRDefault="00255FCE" w:rsidP="00255FCE">
      <w:pPr>
        <w:jc w:val="center"/>
        <w:rPr>
          <w:rFonts w:ascii="Times New Roman" w:hAnsi="Times New Roman" w:cs="Times New Roman"/>
          <w:sz w:val="28"/>
          <w:szCs w:val="28"/>
        </w:rPr>
      </w:pPr>
      <w:r>
        <w:rPr>
          <w:noProof/>
        </w:rPr>
        <w:drawing>
          <wp:inline distT="0" distB="0" distL="0" distR="0" wp14:anchorId="47C480F2" wp14:editId="58939416">
            <wp:extent cx="3448050" cy="1323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48050" cy="1323975"/>
                    </a:xfrm>
                    <a:prstGeom prst="rect">
                      <a:avLst/>
                    </a:prstGeom>
                    <a:noFill/>
                    <a:ln>
                      <a:noFill/>
                    </a:ln>
                  </pic:spPr>
                </pic:pic>
              </a:graphicData>
            </a:graphic>
          </wp:inline>
        </w:drawing>
      </w:r>
    </w:p>
    <w:p w14:paraId="23720571" w14:textId="77777777" w:rsidR="00255FCE" w:rsidRDefault="00255FCE" w:rsidP="00255FCE">
      <w:pPr>
        <w:rPr>
          <w:rFonts w:ascii="Times New Roman" w:hAnsi="Times New Roman" w:cs="Times New Roman"/>
          <w:sz w:val="28"/>
          <w:szCs w:val="28"/>
        </w:rPr>
      </w:pPr>
    </w:p>
    <w:p w14:paraId="68478C8D"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Programme: BA Business Management</w:t>
      </w:r>
    </w:p>
    <w:p w14:paraId="1BE7E886"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 xml:space="preserve">Management Accounting </w:t>
      </w:r>
    </w:p>
    <w:p w14:paraId="2AD0145A"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Module code: LCBB5002</w:t>
      </w:r>
    </w:p>
    <w:p w14:paraId="0BA998F7" w14:textId="77777777" w:rsidR="00255FCE" w:rsidRDefault="00255FCE" w:rsidP="00255FCE">
      <w:pPr>
        <w:jc w:val="center"/>
        <w:rPr>
          <w:rFonts w:ascii="Times New Roman" w:hAnsi="Times New Roman" w:cs="Times New Roman"/>
          <w:sz w:val="40"/>
          <w:szCs w:val="40"/>
        </w:rPr>
      </w:pPr>
    </w:p>
    <w:p w14:paraId="045DEE29"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 xml:space="preserve">Lecturer/Tutor: Widin Bongasu Sha’ven </w:t>
      </w:r>
    </w:p>
    <w:p w14:paraId="228657BD" w14:textId="77777777" w:rsidR="00255FCE" w:rsidRDefault="00255FCE" w:rsidP="00255FCE">
      <w:pPr>
        <w:jc w:val="center"/>
        <w:rPr>
          <w:rFonts w:ascii="Times New Roman" w:hAnsi="Times New Roman" w:cs="Times New Roman"/>
          <w:sz w:val="40"/>
          <w:szCs w:val="40"/>
        </w:rPr>
      </w:pPr>
    </w:p>
    <w:p w14:paraId="16E0B405"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Student: Teodor Angelov</w:t>
      </w:r>
    </w:p>
    <w:p w14:paraId="4566ECCC" w14:textId="77777777"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Student ID: 1917363</w:t>
      </w:r>
    </w:p>
    <w:p w14:paraId="189724CE" w14:textId="77777777" w:rsidR="00255FCE" w:rsidRDefault="00255FCE" w:rsidP="00255FCE">
      <w:pPr>
        <w:jc w:val="center"/>
        <w:rPr>
          <w:rFonts w:ascii="Times New Roman" w:hAnsi="Times New Roman" w:cs="Times New Roman"/>
          <w:sz w:val="40"/>
          <w:szCs w:val="40"/>
        </w:rPr>
      </w:pPr>
    </w:p>
    <w:p w14:paraId="796BAC61" w14:textId="0FA7D3F2" w:rsidR="00255FCE" w:rsidRDefault="00255FCE" w:rsidP="00255FCE">
      <w:pPr>
        <w:jc w:val="center"/>
        <w:rPr>
          <w:rFonts w:ascii="Times New Roman" w:hAnsi="Times New Roman" w:cs="Times New Roman"/>
          <w:sz w:val="40"/>
          <w:szCs w:val="40"/>
        </w:rPr>
      </w:pPr>
      <w:r>
        <w:rPr>
          <w:rFonts w:ascii="Times New Roman" w:hAnsi="Times New Roman" w:cs="Times New Roman"/>
          <w:sz w:val="40"/>
          <w:szCs w:val="40"/>
        </w:rPr>
        <w:t xml:space="preserve">Date: </w:t>
      </w:r>
      <w:r w:rsidR="004D33C3">
        <w:rPr>
          <w:rFonts w:ascii="Times New Roman" w:hAnsi="Times New Roman" w:cs="Times New Roman"/>
          <w:sz w:val="40"/>
          <w:szCs w:val="40"/>
        </w:rPr>
        <w:t>0</w:t>
      </w:r>
      <w:r w:rsidR="007A6BC8">
        <w:rPr>
          <w:rFonts w:ascii="Times New Roman" w:hAnsi="Times New Roman" w:cs="Times New Roman"/>
          <w:sz w:val="40"/>
          <w:szCs w:val="40"/>
        </w:rPr>
        <w:t>4</w:t>
      </w:r>
      <w:r>
        <w:rPr>
          <w:rFonts w:ascii="Times New Roman" w:hAnsi="Times New Roman" w:cs="Times New Roman"/>
          <w:sz w:val="40"/>
          <w:szCs w:val="40"/>
        </w:rPr>
        <w:t>/0</w:t>
      </w:r>
      <w:r w:rsidR="007A6BC8">
        <w:rPr>
          <w:rFonts w:ascii="Times New Roman" w:hAnsi="Times New Roman" w:cs="Times New Roman"/>
          <w:sz w:val="40"/>
          <w:szCs w:val="40"/>
        </w:rPr>
        <w:t>5</w:t>
      </w:r>
      <w:r>
        <w:rPr>
          <w:rFonts w:ascii="Times New Roman" w:hAnsi="Times New Roman" w:cs="Times New Roman"/>
          <w:sz w:val="40"/>
          <w:szCs w:val="40"/>
        </w:rPr>
        <w:t>/2021</w:t>
      </w:r>
    </w:p>
    <w:p w14:paraId="32C0F243" w14:textId="77777777" w:rsidR="00255FCE" w:rsidRDefault="00255FCE" w:rsidP="00255FCE"/>
    <w:p w14:paraId="2F1AB2E8" w14:textId="77777777" w:rsidR="00255FCE" w:rsidRDefault="00255FCE" w:rsidP="00255FCE"/>
    <w:p w14:paraId="49DB1948" w14:textId="77777777" w:rsidR="001B43B0" w:rsidRPr="003D6601" w:rsidRDefault="001B43B0" w:rsidP="001B43B0">
      <w:pPr>
        <w:spacing w:line="480" w:lineRule="auto"/>
        <w:jc w:val="center"/>
        <w:rPr>
          <w:rFonts w:ascii="Times New Roman" w:hAnsi="Times New Roman" w:cs="Times New Roman"/>
          <w:sz w:val="32"/>
          <w:szCs w:val="32"/>
        </w:rPr>
      </w:pPr>
    </w:p>
    <w:p w14:paraId="7565CAAD" w14:textId="77777777" w:rsidR="001B43B0" w:rsidRPr="003D6601" w:rsidRDefault="001B43B0" w:rsidP="001B43B0">
      <w:pPr>
        <w:spacing w:line="480" w:lineRule="auto"/>
        <w:jc w:val="center"/>
        <w:rPr>
          <w:rFonts w:ascii="Times New Roman" w:hAnsi="Times New Roman" w:cs="Times New Roman"/>
          <w:sz w:val="32"/>
          <w:szCs w:val="32"/>
        </w:rPr>
      </w:pPr>
      <w:r w:rsidRPr="003D6601">
        <w:rPr>
          <w:rFonts w:ascii="Times New Roman" w:hAnsi="Times New Roman" w:cs="Times New Roman"/>
          <w:sz w:val="32"/>
          <w:szCs w:val="32"/>
        </w:rPr>
        <w:t>Management Accounting: Impact of Covid-19 on the Tourism Industry</w:t>
      </w:r>
    </w:p>
    <w:p w14:paraId="2E4E3B75" w14:textId="77777777" w:rsidR="00255FCE" w:rsidRDefault="00255FCE" w:rsidP="00255FCE"/>
    <w:p w14:paraId="0A4BD4CB" w14:textId="77777777" w:rsidR="00255FCE" w:rsidRDefault="00255FCE" w:rsidP="00255FCE"/>
    <w:p w14:paraId="06985EB0" w14:textId="7DD40545" w:rsidR="008241A8" w:rsidRPr="00663339" w:rsidRDefault="008241A8" w:rsidP="008241A8">
      <w:pPr>
        <w:spacing w:line="480" w:lineRule="auto"/>
        <w:rPr>
          <w:rFonts w:ascii="Times New Roman" w:hAnsi="Times New Roman" w:cs="Times New Roman"/>
          <w:b/>
          <w:bCs/>
          <w:sz w:val="24"/>
          <w:szCs w:val="24"/>
        </w:rPr>
      </w:pPr>
      <w:r w:rsidRPr="00663339">
        <w:rPr>
          <w:rFonts w:ascii="Times New Roman" w:hAnsi="Times New Roman" w:cs="Times New Roman"/>
          <w:b/>
          <w:bCs/>
          <w:sz w:val="24"/>
          <w:szCs w:val="24"/>
        </w:rPr>
        <w:br w:type="page"/>
      </w:r>
      <w:r w:rsidRPr="00663339">
        <w:rPr>
          <w:rFonts w:ascii="Times New Roman" w:hAnsi="Times New Roman" w:cs="Times New Roman"/>
          <w:b/>
          <w:bCs/>
          <w:sz w:val="24"/>
          <w:szCs w:val="24"/>
        </w:rPr>
        <w:lastRenderedPageBreak/>
        <w:t>Part A</w:t>
      </w:r>
    </w:p>
    <w:p w14:paraId="1E7528C8" w14:textId="77777777" w:rsidR="008241A8" w:rsidRPr="00663339" w:rsidRDefault="008241A8" w:rsidP="008241A8">
      <w:pPr>
        <w:spacing w:line="480" w:lineRule="auto"/>
        <w:rPr>
          <w:rFonts w:ascii="Times New Roman" w:hAnsi="Times New Roman" w:cs="Times New Roman"/>
          <w:b/>
          <w:bCs/>
          <w:sz w:val="24"/>
          <w:szCs w:val="24"/>
        </w:rPr>
      </w:pPr>
      <w:r w:rsidRPr="00663339">
        <w:rPr>
          <w:rFonts w:ascii="Times New Roman" w:hAnsi="Times New Roman" w:cs="Times New Roman"/>
          <w:b/>
          <w:bCs/>
          <w:sz w:val="24"/>
          <w:szCs w:val="24"/>
        </w:rPr>
        <w:t>Introduction</w:t>
      </w:r>
    </w:p>
    <w:p w14:paraId="0FAA45E5" w14:textId="77777777" w:rsidR="008241A8" w:rsidRPr="00663339" w:rsidRDefault="008241A8" w:rsidP="008241A8">
      <w:pPr>
        <w:spacing w:line="480" w:lineRule="auto"/>
        <w:ind w:firstLine="720"/>
        <w:rPr>
          <w:rFonts w:ascii="Times New Roman" w:hAnsi="Times New Roman" w:cs="Times New Roman"/>
          <w:sz w:val="24"/>
          <w:szCs w:val="24"/>
        </w:rPr>
      </w:pPr>
      <w:r w:rsidRPr="00663339">
        <w:rPr>
          <w:rFonts w:ascii="Times New Roman" w:hAnsi="Times New Roman" w:cs="Times New Roman"/>
          <w:sz w:val="24"/>
          <w:szCs w:val="24"/>
        </w:rPr>
        <w:t>As everyone in the world has come to experience, the economic environment has not been any good since the pandemic reached the UK early in 2020. The situation has been the same in most parts of the world and despite such countries as China having bounced back and working hard to regain normalcy, many others in the world remain in the struggle to recover from the effects of the pandemic (</w:t>
      </w:r>
      <w:r w:rsidRPr="00B37240">
        <w:rPr>
          <w:rFonts w:ascii="Times New Roman" w:eastAsia="Times New Roman" w:hAnsi="Times New Roman" w:cs="Times New Roman"/>
          <w:sz w:val="24"/>
          <w:szCs w:val="24"/>
        </w:rPr>
        <w:t>Yeh,</w:t>
      </w:r>
      <w:r w:rsidRPr="00663339">
        <w:rPr>
          <w:rFonts w:ascii="Times New Roman" w:eastAsia="Times New Roman" w:hAnsi="Times New Roman" w:cs="Times New Roman"/>
          <w:sz w:val="24"/>
          <w:szCs w:val="24"/>
        </w:rPr>
        <w:t xml:space="preserve"> </w:t>
      </w:r>
      <w:r w:rsidRPr="00B37240">
        <w:rPr>
          <w:rFonts w:ascii="Times New Roman" w:eastAsia="Times New Roman" w:hAnsi="Times New Roman" w:cs="Times New Roman"/>
          <w:sz w:val="24"/>
          <w:szCs w:val="24"/>
        </w:rPr>
        <w:t>2020)</w:t>
      </w:r>
      <w:r w:rsidRPr="00663339">
        <w:rPr>
          <w:rFonts w:ascii="Times New Roman" w:hAnsi="Times New Roman" w:cs="Times New Roman"/>
          <w:sz w:val="24"/>
          <w:szCs w:val="24"/>
        </w:rPr>
        <w:t>. One of the worst affected sectors of the economy in the UK and all over the world is tourism. Due to the pandemic, tourists cannot leave their countries as that would put them and the populations of the host countries at a higher risk of contracting the virus. As a result of that, many companies have fared badly throughout that year. This document assesses how Amana Ltd, a tourist company in the UK, performed in 2020 (</w:t>
      </w:r>
      <w:r w:rsidRPr="00B37240">
        <w:rPr>
          <w:rFonts w:ascii="Times New Roman" w:eastAsia="Times New Roman" w:hAnsi="Times New Roman" w:cs="Times New Roman"/>
          <w:sz w:val="24"/>
          <w:szCs w:val="24"/>
        </w:rPr>
        <w:t>Prideaux,</w:t>
      </w:r>
      <w:r w:rsidRPr="00663339">
        <w:rPr>
          <w:rFonts w:ascii="Times New Roman" w:eastAsia="Times New Roman" w:hAnsi="Times New Roman" w:cs="Times New Roman"/>
          <w:sz w:val="24"/>
          <w:szCs w:val="24"/>
        </w:rPr>
        <w:t xml:space="preserve"> </w:t>
      </w:r>
      <w:r w:rsidRPr="00B37240">
        <w:rPr>
          <w:rFonts w:ascii="Times New Roman" w:eastAsia="Times New Roman" w:hAnsi="Times New Roman" w:cs="Times New Roman"/>
          <w:sz w:val="24"/>
          <w:szCs w:val="24"/>
        </w:rPr>
        <w:t>Thompson</w:t>
      </w:r>
      <w:r w:rsidRPr="00663339">
        <w:rPr>
          <w:rFonts w:ascii="Times New Roman" w:eastAsia="Times New Roman" w:hAnsi="Times New Roman" w:cs="Times New Roman"/>
          <w:sz w:val="24"/>
          <w:szCs w:val="24"/>
        </w:rPr>
        <w:t xml:space="preserve"> </w:t>
      </w:r>
      <w:r w:rsidRPr="00B37240">
        <w:rPr>
          <w:rFonts w:ascii="Times New Roman" w:eastAsia="Times New Roman" w:hAnsi="Times New Roman" w:cs="Times New Roman"/>
          <w:sz w:val="24"/>
          <w:szCs w:val="24"/>
        </w:rPr>
        <w:t>&amp; Pabel, 2020)</w:t>
      </w:r>
      <w:r w:rsidRPr="00663339">
        <w:rPr>
          <w:rFonts w:ascii="Times New Roman" w:hAnsi="Times New Roman" w:cs="Times New Roman"/>
          <w:sz w:val="24"/>
          <w:szCs w:val="24"/>
        </w:rPr>
        <w:t>.</w:t>
      </w:r>
    </w:p>
    <w:p w14:paraId="12480F60" w14:textId="77777777" w:rsidR="008241A8" w:rsidRPr="00663339" w:rsidRDefault="008241A8" w:rsidP="008241A8">
      <w:pPr>
        <w:pStyle w:val="Default"/>
        <w:numPr>
          <w:ilvl w:val="1"/>
          <w:numId w:val="1"/>
        </w:numPr>
        <w:spacing w:after="128" w:line="480" w:lineRule="auto"/>
        <w:rPr>
          <w:rFonts w:ascii="Times New Roman" w:hAnsi="Times New Roman" w:cs="Times New Roman"/>
          <w:b/>
          <w:bCs/>
        </w:rPr>
      </w:pPr>
      <w:r w:rsidRPr="00663339">
        <w:rPr>
          <w:rFonts w:ascii="Times New Roman" w:hAnsi="Times New Roman" w:cs="Times New Roman"/>
          <w:b/>
          <w:bCs/>
        </w:rPr>
        <w:t xml:space="preserve">Prepare the monthly control report showing original budget, flexed budget, and variances. </w:t>
      </w:r>
    </w:p>
    <w:p w14:paraId="71829DA7" w14:textId="77777777" w:rsidR="008241A8" w:rsidRPr="00663339" w:rsidRDefault="008241A8" w:rsidP="008241A8">
      <w:pPr>
        <w:pStyle w:val="Default"/>
        <w:spacing w:after="128" w:line="480" w:lineRule="auto"/>
        <w:rPr>
          <w:rFonts w:ascii="Times New Roman" w:hAnsi="Times New Roman" w:cs="Times New Roman"/>
          <w:b/>
          <w:bCs/>
          <w:u w:val="single"/>
        </w:rPr>
      </w:pPr>
      <w:r w:rsidRPr="00663339">
        <w:rPr>
          <w:rFonts w:ascii="Times New Roman" w:hAnsi="Times New Roman" w:cs="Times New Roman"/>
          <w:b/>
          <w:bCs/>
          <w:u w:val="single"/>
        </w:rPr>
        <w:t>Original Budget</w:t>
      </w:r>
    </w:p>
    <w:tbl>
      <w:tblPr>
        <w:tblStyle w:val="PlainTable2"/>
        <w:tblW w:w="0" w:type="auto"/>
        <w:tblLook w:val="04A0" w:firstRow="1" w:lastRow="0" w:firstColumn="1" w:lastColumn="0" w:noHBand="0" w:noVBand="1"/>
      </w:tblPr>
      <w:tblGrid>
        <w:gridCol w:w="4522"/>
        <w:gridCol w:w="4504"/>
      </w:tblGrid>
      <w:tr w:rsidR="008241A8" w:rsidRPr="00663339" w14:paraId="7402012D" w14:textId="77777777" w:rsidTr="00E265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AE71052" w14:textId="77777777" w:rsidR="008241A8" w:rsidRPr="00663339" w:rsidRDefault="008241A8" w:rsidP="00E26522">
            <w:pPr>
              <w:pStyle w:val="Default"/>
              <w:spacing w:after="128" w:line="480" w:lineRule="auto"/>
              <w:rPr>
                <w:rFonts w:ascii="Times New Roman" w:hAnsi="Times New Roman" w:cs="Times New Roman"/>
                <w:b w:val="0"/>
                <w:bCs w:val="0"/>
              </w:rPr>
            </w:pPr>
          </w:p>
        </w:tc>
        <w:tc>
          <w:tcPr>
            <w:tcW w:w="4675" w:type="dxa"/>
          </w:tcPr>
          <w:p w14:paraId="4D69EEFB"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63339">
              <w:rPr>
                <w:rFonts w:ascii="Times New Roman" w:hAnsi="Times New Roman" w:cs="Times New Roman"/>
                <w:b w:val="0"/>
                <w:bCs w:val="0"/>
              </w:rPr>
              <w:t>Original Budget</w:t>
            </w:r>
          </w:p>
        </w:tc>
      </w:tr>
      <w:tr w:rsidR="008241A8" w:rsidRPr="00663339" w14:paraId="3688B322"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BF40E11"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Units</w:t>
            </w:r>
          </w:p>
        </w:tc>
        <w:tc>
          <w:tcPr>
            <w:tcW w:w="4675" w:type="dxa"/>
          </w:tcPr>
          <w:p w14:paraId="2CCC5940"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r>
      <w:tr w:rsidR="008241A8" w:rsidRPr="00663339" w14:paraId="5824CEC0"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354CF2B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Selling Price</w:t>
            </w:r>
          </w:p>
        </w:tc>
        <w:tc>
          <w:tcPr>
            <w:tcW w:w="4675" w:type="dxa"/>
          </w:tcPr>
          <w:p w14:paraId="64096998"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w:t>
            </w:r>
          </w:p>
        </w:tc>
      </w:tr>
      <w:tr w:rsidR="008241A8" w:rsidRPr="00663339" w14:paraId="3A92296A"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71C701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Variable Costs:</w:t>
            </w:r>
          </w:p>
        </w:tc>
        <w:tc>
          <w:tcPr>
            <w:tcW w:w="4675" w:type="dxa"/>
          </w:tcPr>
          <w:p w14:paraId="39061CF8"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8241A8" w:rsidRPr="00663339" w14:paraId="4788A1A1"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144BA0C0"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Materials</w:t>
            </w:r>
          </w:p>
        </w:tc>
        <w:tc>
          <w:tcPr>
            <w:tcW w:w="4675" w:type="dxa"/>
          </w:tcPr>
          <w:p w14:paraId="3462A60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w:t>
            </w:r>
          </w:p>
        </w:tc>
      </w:tr>
      <w:tr w:rsidR="008241A8" w:rsidRPr="00663339" w14:paraId="32299926"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FAD68B7"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Labour</w:t>
            </w:r>
          </w:p>
        </w:tc>
        <w:tc>
          <w:tcPr>
            <w:tcW w:w="4675" w:type="dxa"/>
          </w:tcPr>
          <w:p w14:paraId="1A971C69"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400,000</w:t>
            </w:r>
          </w:p>
        </w:tc>
      </w:tr>
      <w:tr w:rsidR="008241A8" w:rsidRPr="00663339" w14:paraId="1DC82705"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00E518B5"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Overhead</w:t>
            </w:r>
          </w:p>
        </w:tc>
        <w:tc>
          <w:tcPr>
            <w:tcW w:w="4675" w:type="dxa"/>
          </w:tcPr>
          <w:p w14:paraId="6FF1795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150,000</w:t>
            </w:r>
          </w:p>
        </w:tc>
      </w:tr>
      <w:tr w:rsidR="008241A8" w:rsidRPr="00663339" w14:paraId="54E4C2BA"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28D9CF2"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lastRenderedPageBreak/>
              <w:t>Contribution</w:t>
            </w:r>
          </w:p>
        </w:tc>
        <w:tc>
          <w:tcPr>
            <w:tcW w:w="4675" w:type="dxa"/>
          </w:tcPr>
          <w:p w14:paraId="2DCAB73F"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1,700,000</w:t>
            </w:r>
          </w:p>
        </w:tc>
      </w:tr>
      <w:tr w:rsidR="008241A8" w:rsidRPr="00663339" w14:paraId="657FE01F"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670F476A"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Fixed Overheads:</w:t>
            </w:r>
          </w:p>
        </w:tc>
        <w:tc>
          <w:tcPr>
            <w:tcW w:w="4675" w:type="dxa"/>
          </w:tcPr>
          <w:p w14:paraId="5033924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8241A8" w:rsidRPr="00663339" w14:paraId="0D357162"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C5EAC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Warehouse rentals</w:t>
            </w:r>
          </w:p>
        </w:tc>
        <w:tc>
          <w:tcPr>
            <w:tcW w:w="4675" w:type="dxa"/>
          </w:tcPr>
          <w:p w14:paraId="44CD25F1"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200,000</w:t>
            </w:r>
          </w:p>
        </w:tc>
      </w:tr>
      <w:tr w:rsidR="008241A8" w:rsidRPr="00663339" w14:paraId="17F7FDE3"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564B867B"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Insurance</w:t>
            </w:r>
          </w:p>
        </w:tc>
        <w:tc>
          <w:tcPr>
            <w:tcW w:w="4675" w:type="dxa"/>
          </w:tcPr>
          <w:p w14:paraId="2A72FA45"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r>
      <w:tr w:rsidR="008241A8" w:rsidRPr="00663339" w14:paraId="78898C8B"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FD3B89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Fulltime warehouse supervisor salary</w:t>
            </w:r>
          </w:p>
        </w:tc>
        <w:tc>
          <w:tcPr>
            <w:tcW w:w="4675" w:type="dxa"/>
          </w:tcPr>
          <w:p w14:paraId="185E665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50,000</w:t>
            </w:r>
          </w:p>
        </w:tc>
      </w:tr>
      <w:tr w:rsidR="008241A8" w:rsidRPr="00663339" w14:paraId="3181868E"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4FE1A861"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Total Sales</w:t>
            </w:r>
          </w:p>
        </w:tc>
        <w:tc>
          <w:tcPr>
            <w:tcW w:w="4675" w:type="dxa"/>
          </w:tcPr>
          <w:p w14:paraId="1F05830F"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2,500,000</w:t>
            </w:r>
          </w:p>
        </w:tc>
      </w:tr>
      <w:tr w:rsidR="008241A8" w:rsidRPr="00663339" w14:paraId="3762FC1B"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113C097"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Total Costs</w:t>
            </w:r>
          </w:p>
        </w:tc>
        <w:tc>
          <w:tcPr>
            <w:tcW w:w="4675" w:type="dxa"/>
          </w:tcPr>
          <w:p w14:paraId="7DD033DF"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2,850,000</w:t>
            </w:r>
          </w:p>
        </w:tc>
      </w:tr>
      <w:tr w:rsidR="008241A8" w:rsidRPr="00663339" w14:paraId="114BB37C" w14:textId="77777777" w:rsidTr="00E26522">
        <w:tc>
          <w:tcPr>
            <w:cnfStyle w:val="001000000000" w:firstRow="0" w:lastRow="0" w:firstColumn="1" w:lastColumn="0" w:oddVBand="0" w:evenVBand="0" w:oddHBand="0" w:evenHBand="0" w:firstRowFirstColumn="0" w:firstRowLastColumn="0" w:lastRowFirstColumn="0" w:lastRowLastColumn="0"/>
            <w:tcW w:w="4675" w:type="dxa"/>
          </w:tcPr>
          <w:p w14:paraId="6B6E68A7"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Profit</w:t>
            </w:r>
          </w:p>
        </w:tc>
        <w:tc>
          <w:tcPr>
            <w:tcW w:w="4675" w:type="dxa"/>
          </w:tcPr>
          <w:p w14:paraId="05B1CE80"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(350,000)</w:t>
            </w:r>
          </w:p>
        </w:tc>
      </w:tr>
    </w:tbl>
    <w:p w14:paraId="20314B41" w14:textId="77777777" w:rsidR="008241A8" w:rsidRPr="00663339" w:rsidRDefault="008241A8" w:rsidP="008241A8">
      <w:pPr>
        <w:pStyle w:val="Default"/>
        <w:spacing w:after="128" w:line="480" w:lineRule="auto"/>
        <w:rPr>
          <w:rFonts w:ascii="Times New Roman" w:hAnsi="Times New Roman" w:cs="Times New Roman"/>
          <w:b/>
          <w:bCs/>
          <w:u w:val="single"/>
        </w:rPr>
      </w:pPr>
      <w:r w:rsidRPr="00663339">
        <w:rPr>
          <w:rFonts w:ascii="Times New Roman" w:hAnsi="Times New Roman" w:cs="Times New Roman"/>
          <w:b/>
          <w:bCs/>
          <w:u w:val="single"/>
        </w:rPr>
        <w:t>Flexed Budget</w:t>
      </w:r>
    </w:p>
    <w:tbl>
      <w:tblPr>
        <w:tblStyle w:val="GridTable2-Accent3"/>
        <w:tblW w:w="0" w:type="auto"/>
        <w:tblLook w:val="04A0" w:firstRow="1" w:lastRow="0" w:firstColumn="1" w:lastColumn="0" w:noHBand="0" w:noVBand="1"/>
      </w:tblPr>
      <w:tblGrid>
        <w:gridCol w:w="2122"/>
        <w:gridCol w:w="1962"/>
        <w:gridCol w:w="2471"/>
        <w:gridCol w:w="2471"/>
      </w:tblGrid>
      <w:tr w:rsidR="008241A8" w:rsidRPr="00663339" w14:paraId="698E5751" w14:textId="77777777" w:rsidTr="00E265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14:paraId="1E20C0BA" w14:textId="77777777" w:rsidR="008241A8" w:rsidRPr="00663339" w:rsidRDefault="008241A8" w:rsidP="00E26522">
            <w:pPr>
              <w:pStyle w:val="Default"/>
              <w:spacing w:after="128" w:line="480" w:lineRule="auto"/>
              <w:jc w:val="center"/>
              <w:rPr>
                <w:rFonts w:ascii="Times New Roman" w:hAnsi="Times New Roman" w:cs="Times New Roman"/>
                <w:b w:val="0"/>
                <w:bCs w:val="0"/>
              </w:rPr>
            </w:pPr>
            <w:r w:rsidRPr="00663339">
              <w:rPr>
                <w:rFonts w:ascii="Times New Roman" w:hAnsi="Times New Roman" w:cs="Times New Roman"/>
              </w:rPr>
              <w:t>Flexible Budget</w:t>
            </w:r>
          </w:p>
        </w:tc>
      </w:tr>
      <w:tr w:rsidR="008241A8" w:rsidRPr="00663339" w14:paraId="38088CC8"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14B89DAA" w14:textId="77777777" w:rsidR="008241A8" w:rsidRPr="00663339" w:rsidRDefault="008241A8" w:rsidP="00E26522">
            <w:pPr>
              <w:pStyle w:val="Default"/>
              <w:spacing w:after="128" w:line="480" w:lineRule="auto"/>
              <w:rPr>
                <w:rFonts w:ascii="Times New Roman" w:hAnsi="Times New Roman" w:cs="Times New Roman"/>
                <w:b w:val="0"/>
                <w:bCs w:val="0"/>
              </w:rPr>
            </w:pPr>
          </w:p>
        </w:tc>
        <w:tc>
          <w:tcPr>
            <w:tcW w:w="2027" w:type="dxa"/>
          </w:tcPr>
          <w:p w14:paraId="09853111"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b/>
                <w:bCs/>
              </w:rPr>
              <w:t>50%</w:t>
            </w:r>
          </w:p>
        </w:tc>
        <w:tc>
          <w:tcPr>
            <w:tcW w:w="2578" w:type="dxa"/>
          </w:tcPr>
          <w:p w14:paraId="55B81664"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b/>
                <w:bCs/>
              </w:rPr>
              <w:t>75%</w:t>
            </w:r>
          </w:p>
        </w:tc>
        <w:tc>
          <w:tcPr>
            <w:tcW w:w="2578" w:type="dxa"/>
          </w:tcPr>
          <w:p w14:paraId="123FE388"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b/>
                <w:bCs/>
              </w:rPr>
              <w:t>100%</w:t>
            </w:r>
          </w:p>
        </w:tc>
      </w:tr>
      <w:tr w:rsidR="008241A8" w:rsidRPr="00663339" w14:paraId="5E66901B"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3B0DAD3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Units</w:t>
            </w:r>
          </w:p>
        </w:tc>
        <w:tc>
          <w:tcPr>
            <w:tcW w:w="2027" w:type="dxa"/>
          </w:tcPr>
          <w:p w14:paraId="16BB320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w:t>
            </w:r>
          </w:p>
        </w:tc>
        <w:tc>
          <w:tcPr>
            <w:tcW w:w="2578" w:type="dxa"/>
          </w:tcPr>
          <w:p w14:paraId="267A497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60,000</w:t>
            </w:r>
          </w:p>
        </w:tc>
        <w:tc>
          <w:tcPr>
            <w:tcW w:w="2578" w:type="dxa"/>
          </w:tcPr>
          <w:p w14:paraId="3C6088A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80,000</w:t>
            </w:r>
          </w:p>
        </w:tc>
      </w:tr>
      <w:tr w:rsidR="008241A8" w:rsidRPr="00663339" w14:paraId="67845C9A"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1FB3532C"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Selling Price</w:t>
            </w:r>
          </w:p>
        </w:tc>
        <w:tc>
          <w:tcPr>
            <w:tcW w:w="2027" w:type="dxa"/>
          </w:tcPr>
          <w:p w14:paraId="3D8A8006"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w:t>
            </w:r>
          </w:p>
        </w:tc>
        <w:tc>
          <w:tcPr>
            <w:tcW w:w="2578" w:type="dxa"/>
          </w:tcPr>
          <w:p w14:paraId="055E3323"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w:t>
            </w:r>
          </w:p>
        </w:tc>
        <w:tc>
          <w:tcPr>
            <w:tcW w:w="2578" w:type="dxa"/>
          </w:tcPr>
          <w:p w14:paraId="09DC67B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 xml:space="preserve">20  </w:t>
            </w:r>
          </w:p>
        </w:tc>
      </w:tr>
      <w:tr w:rsidR="008241A8" w:rsidRPr="00663339" w14:paraId="416A89C9"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5BE180D2" w14:textId="77777777" w:rsidR="008241A8" w:rsidRPr="00663339" w:rsidRDefault="008241A8" w:rsidP="00E26522">
            <w:pPr>
              <w:pStyle w:val="Default"/>
              <w:spacing w:after="128" w:line="480" w:lineRule="auto"/>
              <w:rPr>
                <w:rFonts w:ascii="Times New Roman" w:hAnsi="Times New Roman" w:cs="Times New Roman"/>
              </w:rPr>
            </w:pPr>
          </w:p>
        </w:tc>
        <w:tc>
          <w:tcPr>
            <w:tcW w:w="2027" w:type="dxa"/>
          </w:tcPr>
          <w:p w14:paraId="7517E24F"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w:t>
            </w:r>
          </w:p>
        </w:tc>
        <w:tc>
          <w:tcPr>
            <w:tcW w:w="2578" w:type="dxa"/>
          </w:tcPr>
          <w:p w14:paraId="3051F1B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w:t>
            </w:r>
          </w:p>
        </w:tc>
        <w:tc>
          <w:tcPr>
            <w:tcW w:w="2578" w:type="dxa"/>
          </w:tcPr>
          <w:p w14:paraId="52B33E51"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w:t>
            </w:r>
          </w:p>
        </w:tc>
      </w:tr>
      <w:tr w:rsidR="008241A8" w:rsidRPr="00663339" w14:paraId="3C5627D2"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2F34AE20"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rPr>
              <w:t>Variable Costs:</w:t>
            </w:r>
          </w:p>
        </w:tc>
        <w:tc>
          <w:tcPr>
            <w:tcW w:w="2027" w:type="dxa"/>
          </w:tcPr>
          <w:p w14:paraId="1308CDC1"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578" w:type="dxa"/>
          </w:tcPr>
          <w:p w14:paraId="53CA2D91"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578" w:type="dxa"/>
          </w:tcPr>
          <w:p w14:paraId="0E430652"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r>
      <w:tr w:rsidR="008241A8" w:rsidRPr="00663339" w14:paraId="2ABFED43"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50426753"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Materials</w:t>
            </w:r>
          </w:p>
        </w:tc>
        <w:tc>
          <w:tcPr>
            <w:tcW w:w="2027" w:type="dxa"/>
          </w:tcPr>
          <w:p w14:paraId="1E82B24C"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140,000</w:t>
            </w:r>
          </w:p>
        </w:tc>
        <w:tc>
          <w:tcPr>
            <w:tcW w:w="2578" w:type="dxa"/>
          </w:tcPr>
          <w:p w14:paraId="16FECA9B"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210,000</w:t>
            </w:r>
          </w:p>
        </w:tc>
        <w:tc>
          <w:tcPr>
            <w:tcW w:w="2578" w:type="dxa"/>
          </w:tcPr>
          <w:p w14:paraId="47AF4A3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280,000</w:t>
            </w:r>
          </w:p>
        </w:tc>
      </w:tr>
      <w:tr w:rsidR="008241A8" w:rsidRPr="00663339" w14:paraId="28357764"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1FFDFAC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Labour</w:t>
            </w:r>
          </w:p>
        </w:tc>
        <w:tc>
          <w:tcPr>
            <w:tcW w:w="2027" w:type="dxa"/>
          </w:tcPr>
          <w:p w14:paraId="6D8AA385"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220,000</w:t>
            </w:r>
          </w:p>
        </w:tc>
        <w:tc>
          <w:tcPr>
            <w:tcW w:w="2578" w:type="dxa"/>
          </w:tcPr>
          <w:p w14:paraId="7AB00F7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330,000</w:t>
            </w:r>
          </w:p>
        </w:tc>
        <w:tc>
          <w:tcPr>
            <w:tcW w:w="2578" w:type="dxa"/>
          </w:tcPr>
          <w:p w14:paraId="4F4F1716"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440,000</w:t>
            </w:r>
          </w:p>
        </w:tc>
      </w:tr>
      <w:tr w:rsidR="008241A8" w:rsidRPr="00663339" w14:paraId="64F1B80F"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26320D5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Overhead</w:t>
            </w:r>
          </w:p>
        </w:tc>
        <w:tc>
          <w:tcPr>
            <w:tcW w:w="2027" w:type="dxa"/>
          </w:tcPr>
          <w:p w14:paraId="6936D6E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60,000</w:t>
            </w:r>
          </w:p>
        </w:tc>
        <w:tc>
          <w:tcPr>
            <w:tcW w:w="2578" w:type="dxa"/>
          </w:tcPr>
          <w:p w14:paraId="77DEAE35"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90,000</w:t>
            </w:r>
          </w:p>
        </w:tc>
        <w:tc>
          <w:tcPr>
            <w:tcW w:w="2578" w:type="dxa"/>
          </w:tcPr>
          <w:p w14:paraId="34CE2F1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120,000</w:t>
            </w:r>
          </w:p>
        </w:tc>
      </w:tr>
      <w:tr w:rsidR="008241A8" w:rsidRPr="00663339" w14:paraId="6277C568"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282EF975"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Contribution</w:t>
            </w:r>
          </w:p>
        </w:tc>
        <w:tc>
          <w:tcPr>
            <w:tcW w:w="2027" w:type="dxa"/>
          </w:tcPr>
          <w:p w14:paraId="2D24C776"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580,000</w:t>
            </w:r>
          </w:p>
        </w:tc>
        <w:tc>
          <w:tcPr>
            <w:tcW w:w="2578" w:type="dxa"/>
          </w:tcPr>
          <w:p w14:paraId="7704B80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870,000</w:t>
            </w:r>
          </w:p>
        </w:tc>
        <w:tc>
          <w:tcPr>
            <w:tcW w:w="2578" w:type="dxa"/>
          </w:tcPr>
          <w:p w14:paraId="0B15E827"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1,160,000</w:t>
            </w:r>
          </w:p>
        </w:tc>
      </w:tr>
      <w:tr w:rsidR="008241A8" w:rsidRPr="00663339" w14:paraId="08F8688A"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27DD0B30"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rPr>
              <w:t>Fixed Overheads:</w:t>
            </w:r>
          </w:p>
        </w:tc>
        <w:tc>
          <w:tcPr>
            <w:tcW w:w="2027" w:type="dxa"/>
          </w:tcPr>
          <w:p w14:paraId="6602F33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8" w:type="dxa"/>
          </w:tcPr>
          <w:p w14:paraId="1A38BF4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8" w:type="dxa"/>
          </w:tcPr>
          <w:p w14:paraId="0E0FA34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8241A8" w:rsidRPr="00663339" w14:paraId="028D894C"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3CCF2603"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lastRenderedPageBreak/>
              <w:t>Warehouse rentals</w:t>
            </w:r>
          </w:p>
        </w:tc>
        <w:tc>
          <w:tcPr>
            <w:tcW w:w="2027" w:type="dxa"/>
          </w:tcPr>
          <w:p w14:paraId="71F21D8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w:t>
            </w:r>
          </w:p>
        </w:tc>
        <w:tc>
          <w:tcPr>
            <w:tcW w:w="2578" w:type="dxa"/>
          </w:tcPr>
          <w:p w14:paraId="7064899B"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w:t>
            </w:r>
          </w:p>
        </w:tc>
        <w:tc>
          <w:tcPr>
            <w:tcW w:w="2578" w:type="dxa"/>
          </w:tcPr>
          <w:p w14:paraId="5BFFE1F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w:t>
            </w:r>
          </w:p>
        </w:tc>
      </w:tr>
      <w:tr w:rsidR="008241A8" w:rsidRPr="00663339" w14:paraId="559A0D55"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0AD8C8A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Insurance</w:t>
            </w:r>
          </w:p>
        </w:tc>
        <w:tc>
          <w:tcPr>
            <w:tcW w:w="2027" w:type="dxa"/>
          </w:tcPr>
          <w:p w14:paraId="39978B2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2578" w:type="dxa"/>
          </w:tcPr>
          <w:p w14:paraId="05C28D77"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2578" w:type="dxa"/>
          </w:tcPr>
          <w:p w14:paraId="13B9AFC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r>
      <w:tr w:rsidR="008241A8" w:rsidRPr="00663339" w14:paraId="7D039E01"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11FE691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Fulltime warehouse supervisor salary</w:t>
            </w:r>
          </w:p>
        </w:tc>
        <w:tc>
          <w:tcPr>
            <w:tcW w:w="2027" w:type="dxa"/>
          </w:tcPr>
          <w:p w14:paraId="68138BA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w:t>
            </w:r>
          </w:p>
        </w:tc>
        <w:tc>
          <w:tcPr>
            <w:tcW w:w="2578" w:type="dxa"/>
          </w:tcPr>
          <w:p w14:paraId="50E23547"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w:t>
            </w:r>
          </w:p>
        </w:tc>
        <w:tc>
          <w:tcPr>
            <w:tcW w:w="2578" w:type="dxa"/>
          </w:tcPr>
          <w:p w14:paraId="1122BEEF"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w:t>
            </w:r>
          </w:p>
        </w:tc>
      </w:tr>
      <w:tr w:rsidR="008241A8" w:rsidRPr="00663339" w14:paraId="24E496E3"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0ED17BA3"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Total Costs (A)</w:t>
            </w:r>
          </w:p>
        </w:tc>
        <w:tc>
          <w:tcPr>
            <w:tcW w:w="2027" w:type="dxa"/>
          </w:tcPr>
          <w:p w14:paraId="1580C5A7"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1,305,000</w:t>
            </w:r>
          </w:p>
        </w:tc>
        <w:tc>
          <w:tcPr>
            <w:tcW w:w="2578" w:type="dxa"/>
          </w:tcPr>
          <w:p w14:paraId="082B5C4E"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1,805,000</w:t>
            </w:r>
          </w:p>
        </w:tc>
        <w:tc>
          <w:tcPr>
            <w:tcW w:w="2578" w:type="dxa"/>
          </w:tcPr>
          <w:p w14:paraId="0280DE80"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2,305,000</w:t>
            </w:r>
          </w:p>
        </w:tc>
      </w:tr>
      <w:tr w:rsidR="008241A8" w:rsidRPr="00663339" w14:paraId="68FE0A1F"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707D59C2"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Total Sales (B)</w:t>
            </w:r>
          </w:p>
        </w:tc>
        <w:tc>
          <w:tcPr>
            <w:tcW w:w="2027" w:type="dxa"/>
          </w:tcPr>
          <w:p w14:paraId="13E94969"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800,000</w:t>
            </w:r>
          </w:p>
        </w:tc>
        <w:tc>
          <w:tcPr>
            <w:tcW w:w="2578" w:type="dxa"/>
          </w:tcPr>
          <w:p w14:paraId="77B20434"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1,200,000</w:t>
            </w:r>
          </w:p>
        </w:tc>
        <w:tc>
          <w:tcPr>
            <w:tcW w:w="2578" w:type="dxa"/>
          </w:tcPr>
          <w:p w14:paraId="03582E8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1,600,000</w:t>
            </w:r>
          </w:p>
        </w:tc>
      </w:tr>
      <w:tr w:rsidR="008241A8" w:rsidRPr="00663339" w14:paraId="58589F07" w14:textId="77777777" w:rsidTr="00E26522">
        <w:tc>
          <w:tcPr>
            <w:cnfStyle w:val="001000000000" w:firstRow="0" w:lastRow="0" w:firstColumn="1" w:lastColumn="0" w:oddVBand="0" w:evenVBand="0" w:oddHBand="0" w:evenHBand="0" w:firstRowFirstColumn="0" w:firstRowLastColumn="0" w:lastRowFirstColumn="0" w:lastRowLastColumn="0"/>
            <w:tcW w:w="2167" w:type="dxa"/>
          </w:tcPr>
          <w:p w14:paraId="74D7249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Profit (A-B)</w:t>
            </w:r>
          </w:p>
        </w:tc>
        <w:tc>
          <w:tcPr>
            <w:tcW w:w="2027" w:type="dxa"/>
          </w:tcPr>
          <w:p w14:paraId="7CA4CE0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(505,000)</w:t>
            </w:r>
          </w:p>
        </w:tc>
        <w:tc>
          <w:tcPr>
            <w:tcW w:w="2578" w:type="dxa"/>
          </w:tcPr>
          <w:p w14:paraId="59812D3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(605,000)</w:t>
            </w:r>
          </w:p>
        </w:tc>
        <w:tc>
          <w:tcPr>
            <w:tcW w:w="2578" w:type="dxa"/>
          </w:tcPr>
          <w:p w14:paraId="4BB0CA95"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(705,000)</w:t>
            </w:r>
          </w:p>
        </w:tc>
      </w:tr>
    </w:tbl>
    <w:p w14:paraId="5AD9B4C5" w14:textId="77777777" w:rsidR="008241A8" w:rsidRPr="00663339" w:rsidRDefault="008241A8" w:rsidP="008241A8">
      <w:pPr>
        <w:pStyle w:val="Default"/>
        <w:spacing w:after="128" w:line="480" w:lineRule="auto"/>
        <w:rPr>
          <w:rFonts w:ascii="Times New Roman" w:hAnsi="Times New Roman" w:cs="Times New Roman"/>
        </w:rPr>
      </w:pPr>
    </w:p>
    <w:p w14:paraId="6CF8D29D" w14:textId="77777777" w:rsidR="008241A8" w:rsidRPr="00663339" w:rsidRDefault="008241A8" w:rsidP="008241A8">
      <w:pPr>
        <w:pStyle w:val="Default"/>
        <w:spacing w:after="128" w:line="480" w:lineRule="auto"/>
        <w:rPr>
          <w:rFonts w:ascii="Times New Roman" w:hAnsi="Times New Roman" w:cs="Times New Roman"/>
          <w:b/>
          <w:bCs/>
          <w:u w:val="single"/>
        </w:rPr>
      </w:pPr>
      <w:r w:rsidRPr="00663339">
        <w:rPr>
          <w:rFonts w:ascii="Times New Roman" w:hAnsi="Times New Roman" w:cs="Times New Roman"/>
          <w:b/>
          <w:bCs/>
          <w:u w:val="single"/>
        </w:rPr>
        <w:t>Variance</w:t>
      </w:r>
    </w:p>
    <w:tbl>
      <w:tblPr>
        <w:tblStyle w:val="ListTable1Light-Accent3"/>
        <w:tblW w:w="0" w:type="auto"/>
        <w:tblLook w:val="04A0" w:firstRow="1" w:lastRow="0" w:firstColumn="1" w:lastColumn="0" w:noHBand="0" w:noVBand="1"/>
      </w:tblPr>
      <w:tblGrid>
        <w:gridCol w:w="2591"/>
        <w:gridCol w:w="1988"/>
        <w:gridCol w:w="1988"/>
        <w:gridCol w:w="2459"/>
      </w:tblGrid>
      <w:tr w:rsidR="008241A8" w:rsidRPr="00663339" w14:paraId="73FFD41F" w14:textId="77777777" w:rsidTr="00E265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20B4C434" w14:textId="77777777" w:rsidR="008241A8" w:rsidRPr="00663339" w:rsidRDefault="008241A8" w:rsidP="00E26522">
            <w:pPr>
              <w:pStyle w:val="Default"/>
              <w:spacing w:after="128" w:line="480" w:lineRule="auto"/>
              <w:rPr>
                <w:rFonts w:ascii="Times New Roman" w:hAnsi="Times New Roman" w:cs="Times New Roman"/>
              </w:rPr>
            </w:pPr>
          </w:p>
        </w:tc>
        <w:tc>
          <w:tcPr>
            <w:tcW w:w="2049" w:type="dxa"/>
          </w:tcPr>
          <w:p w14:paraId="51D7B969"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Actual Budget</w:t>
            </w:r>
          </w:p>
        </w:tc>
        <w:tc>
          <w:tcPr>
            <w:tcW w:w="2049" w:type="dxa"/>
          </w:tcPr>
          <w:p w14:paraId="5BF0C5AA"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Flexible Budget</w:t>
            </w:r>
          </w:p>
        </w:tc>
        <w:tc>
          <w:tcPr>
            <w:tcW w:w="2571" w:type="dxa"/>
          </w:tcPr>
          <w:p w14:paraId="3EDBE067"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 xml:space="preserve">Budget Variance </w:t>
            </w:r>
          </w:p>
          <w:p w14:paraId="143C9A80"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(Negative variance)</w:t>
            </w:r>
          </w:p>
        </w:tc>
      </w:tr>
      <w:tr w:rsidR="008241A8" w:rsidRPr="00663339" w14:paraId="3F975157"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3879AF3C"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Units</w:t>
            </w:r>
          </w:p>
        </w:tc>
        <w:tc>
          <w:tcPr>
            <w:tcW w:w="2049" w:type="dxa"/>
          </w:tcPr>
          <w:p w14:paraId="2F4461F2"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2049" w:type="dxa"/>
          </w:tcPr>
          <w:p w14:paraId="6D6E4FE3"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80,000</w:t>
            </w:r>
          </w:p>
        </w:tc>
        <w:tc>
          <w:tcPr>
            <w:tcW w:w="2571" w:type="dxa"/>
          </w:tcPr>
          <w:p w14:paraId="3BFBA28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20,000</w:t>
            </w:r>
          </w:p>
        </w:tc>
      </w:tr>
      <w:tr w:rsidR="008241A8" w:rsidRPr="00663339" w14:paraId="70047F4B"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2B183BD7"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Selling Price</w:t>
            </w:r>
          </w:p>
        </w:tc>
        <w:tc>
          <w:tcPr>
            <w:tcW w:w="2049" w:type="dxa"/>
          </w:tcPr>
          <w:p w14:paraId="5BBC7AA6"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w:t>
            </w:r>
          </w:p>
        </w:tc>
        <w:tc>
          <w:tcPr>
            <w:tcW w:w="2049" w:type="dxa"/>
          </w:tcPr>
          <w:p w14:paraId="68BA207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w:t>
            </w:r>
          </w:p>
        </w:tc>
        <w:tc>
          <w:tcPr>
            <w:tcW w:w="2571" w:type="dxa"/>
          </w:tcPr>
          <w:p w14:paraId="477BB611"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w:t>
            </w:r>
          </w:p>
        </w:tc>
      </w:tr>
      <w:tr w:rsidR="008241A8" w:rsidRPr="00663339" w14:paraId="419D5FB2"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77944745"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b w:val="0"/>
                <w:bCs w:val="0"/>
              </w:rPr>
              <w:t>Variable Costs:</w:t>
            </w:r>
          </w:p>
        </w:tc>
        <w:tc>
          <w:tcPr>
            <w:tcW w:w="2049" w:type="dxa"/>
          </w:tcPr>
          <w:p w14:paraId="0E7F18FB"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c>
          <w:tcPr>
            <w:tcW w:w="2049" w:type="dxa"/>
          </w:tcPr>
          <w:p w14:paraId="3CEE12D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c>
          <w:tcPr>
            <w:tcW w:w="2571" w:type="dxa"/>
          </w:tcPr>
          <w:p w14:paraId="1455FB7B"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r>
      <w:tr w:rsidR="008241A8" w:rsidRPr="00663339" w14:paraId="13FCA78E"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4D6D0A7A"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Materials</w:t>
            </w:r>
          </w:p>
        </w:tc>
        <w:tc>
          <w:tcPr>
            <w:tcW w:w="2049" w:type="dxa"/>
          </w:tcPr>
          <w:p w14:paraId="6B37C9D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w:t>
            </w:r>
          </w:p>
        </w:tc>
        <w:tc>
          <w:tcPr>
            <w:tcW w:w="2049" w:type="dxa"/>
          </w:tcPr>
          <w:p w14:paraId="5647A0B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280,000</w:t>
            </w:r>
          </w:p>
        </w:tc>
        <w:tc>
          <w:tcPr>
            <w:tcW w:w="2571" w:type="dxa"/>
          </w:tcPr>
          <w:p w14:paraId="14EE45E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449E7327"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5EB4B6FE"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Labour</w:t>
            </w:r>
          </w:p>
        </w:tc>
        <w:tc>
          <w:tcPr>
            <w:tcW w:w="2049" w:type="dxa"/>
          </w:tcPr>
          <w:p w14:paraId="55DD2841"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400,000</w:t>
            </w:r>
          </w:p>
        </w:tc>
        <w:tc>
          <w:tcPr>
            <w:tcW w:w="2049" w:type="dxa"/>
          </w:tcPr>
          <w:p w14:paraId="205E3AB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440,000</w:t>
            </w:r>
          </w:p>
        </w:tc>
        <w:tc>
          <w:tcPr>
            <w:tcW w:w="2571" w:type="dxa"/>
          </w:tcPr>
          <w:p w14:paraId="59FFC7B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w:t>
            </w:r>
          </w:p>
        </w:tc>
      </w:tr>
      <w:tr w:rsidR="008241A8" w:rsidRPr="00663339" w14:paraId="15A76DEF"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0DB482AD"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Overhead</w:t>
            </w:r>
          </w:p>
        </w:tc>
        <w:tc>
          <w:tcPr>
            <w:tcW w:w="2049" w:type="dxa"/>
          </w:tcPr>
          <w:p w14:paraId="6105E2B7"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150,000</w:t>
            </w:r>
          </w:p>
        </w:tc>
        <w:tc>
          <w:tcPr>
            <w:tcW w:w="2049" w:type="dxa"/>
          </w:tcPr>
          <w:p w14:paraId="39D76557"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120,000</w:t>
            </w:r>
          </w:p>
        </w:tc>
        <w:tc>
          <w:tcPr>
            <w:tcW w:w="2571" w:type="dxa"/>
          </w:tcPr>
          <w:p w14:paraId="175792C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7F6EA3FA"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53312AC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Contribution</w:t>
            </w:r>
          </w:p>
        </w:tc>
        <w:tc>
          <w:tcPr>
            <w:tcW w:w="2049" w:type="dxa"/>
          </w:tcPr>
          <w:p w14:paraId="20434D5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1,700,000</w:t>
            </w:r>
          </w:p>
        </w:tc>
        <w:tc>
          <w:tcPr>
            <w:tcW w:w="2049" w:type="dxa"/>
          </w:tcPr>
          <w:p w14:paraId="50FBDBA6"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1,160,000</w:t>
            </w:r>
          </w:p>
        </w:tc>
        <w:tc>
          <w:tcPr>
            <w:tcW w:w="2571" w:type="dxa"/>
          </w:tcPr>
          <w:p w14:paraId="69265A9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540,000</w:t>
            </w:r>
          </w:p>
        </w:tc>
      </w:tr>
      <w:tr w:rsidR="008241A8" w:rsidRPr="00663339" w14:paraId="14B2C141"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5295AC73"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b w:val="0"/>
                <w:bCs w:val="0"/>
              </w:rPr>
              <w:t>Fixed Overheads:</w:t>
            </w:r>
          </w:p>
        </w:tc>
        <w:tc>
          <w:tcPr>
            <w:tcW w:w="2049" w:type="dxa"/>
          </w:tcPr>
          <w:p w14:paraId="530590B7"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049" w:type="dxa"/>
          </w:tcPr>
          <w:p w14:paraId="178DADA0"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1" w:type="dxa"/>
          </w:tcPr>
          <w:p w14:paraId="314A913E"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8241A8" w:rsidRPr="00663339" w14:paraId="74FBFA38"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28ACAA44"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lastRenderedPageBreak/>
              <w:t>Warehouse rentals</w:t>
            </w:r>
          </w:p>
        </w:tc>
        <w:tc>
          <w:tcPr>
            <w:tcW w:w="2049" w:type="dxa"/>
          </w:tcPr>
          <w:p w14:paraId="030CA968"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200,000</w:t>
            </w:r>
          </w:p>
        </w:tc>
        <w:tc>
          <w:tcPr>
            <w:tcW w:w="2049" w:type="dxa"/>
          </w:tcPr>
          <w:p w14:paraId="17CB9ED3"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w:t>
            </w:r>
          </w:p>
        </w:tc>
        <w:tc>
          <w:tcPr>
            <w:tcW w:w="2571" w:type="dxa"/>
          </w:tcPr>
          <w:p w14:paraId="7998C64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5B71362B"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01BB2192"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Insurance</w:t>
            </w:r>
          </w:p>
        </w:tc>
        <w:tc>
          <w:tcPr>
            <w:tcW w:w="2049" w:type="dxa"/>
          </w:tcPr>
          <w:p w14:paraId="03038ED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2049" w:type="dxa"/>
          </w:tcPr>
          <w:p w14:paraId="3A8ACB4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2571" w:type="dxa"/>
          </w:tcPr>
          <w:p w14:paraId="79A57472"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-0-</w:t>
            </w:r>
          </w:p>
        </w:tc>
      </w:tr>
      <w:tr w:rsidR="008241A8" w:rsidRPr="00663339" w14:paraId="772605D2"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2137FA1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Fulltime warehouse supervisor salary</w:t>
            </w:r>
          </w:p>
        </w:tc>
        <w:tc>
          <w:tcPr>
            <w:tcW w:w="2049" w:type="dxa"/>
          </w:tcPr>
          <w:p w14:paraId="7B8248D3"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50,000</w:t>
            </w:r>
          </w:p>
        </w:tc>
        <w:tc>
          <w:tcPr>
            <w:tcW w:w="2049" w:type="dxa"/>
          </w:tcPr>
          <w:p w14:paraId="5030CC40"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w:t>
            </w:r>
          </w:p>
        </w:tc>
        <w:tc>
          <w:tcPr>
            <w:tcW w:w="2571" w:type="dxa"/>
          </w:tcPr>
          <w:p w14:paraId="7B1887F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15,000</w:t>
            </w:r>
          </w:p>
        </w:tc>
      </w:tr>
      <w:tr w:rsidR="008241A8" w:rsidRPr="00663339" w14:paraId="23D97402"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08BA2E85"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Total Sales</w:t>
            </w:r>
          </w:p>
        </w:tc>
        <w:tc>
          <w:tcPr>
            <w:tcW w:w="2049" w:type="dxa"/>
          </w:tcPr>
          <w:p w14:paraId="6997671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£2,500,000</w:t>
            </w:r>
          </w:p>
        </w:tc>
        <w:tc>
          <w:tcPr>
            <w:tcW w:w="2049" w:type="dxa"/>
          </w:tcPr>
          <w:p w14:paraId="705A3E08"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£2,305,000</w:t>
            </w:r>
          </w:p>
        </w:tc>
        <w:tc>
          <w:tcPr>
            <w:tcW w:w="2571" w:type="dxa"/>
          </w:tcPr>
          <w:p w14:paraId="510ABBF5"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r>
      <w:tr w:rsidR="008241A8" w:rsidRPr="00663339" w14:paraId="554CA4D4"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68442792"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Total Costs</w:t>
            </w:r>
          </w:p>
        </w:tc>
        <w:tc>
          <w:tcPr>
            <w:tcW w:w="2049" w:type="dxa"/>
          </w:tcPr>
          <w:p w14:paraId="19AF0ABF"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£2,850,000</w:t>
            </w:r>
          </w:p>
        </w:tc>
        <w:tc>
          <w:tcPr>
            <w:tcW w:w="2049" w:type="dxa"/>
          </w:tcPr>
          <w:p w14:paraId="6B3BFAC8"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£1,600,000</w:t>
            </w:r>
          </w:p>
        </w:tc>
        <w:tc>
          <w:tcPr>
            <w:tcW w:w="2571" w:type="dxa"/>
          </w:tcPr>
          <w:p w14:paraId="7710A9B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£625,000</w:t>
            </w:r>
          </w:p>
        </w:tc>
      </w:tr>
      <w:tr w:rsidR="008241A8" w:rsidRPr="00663339" w14:paraId="72C8EDBC" w14:textId="77777777" w:rsidTr="00E26522">
        <w:tc>
          <w:tcPr>
            <w:cnfStyle w:val="001000000000" w:firstRow="0" w:lastRow="0" w:firstColumn="1" w:lastColumn="0" w:oddVBand="0" w:evenVBand="0" w:oddHBand="0" w:evenHBand="0" w:firstRowFirstColumn="0" w:firstRowLastColumn="0" w:lastRowFirstColumn="0" w:lastRowLastColumn="0"/>
            <w:tcW w:w="2681" w:type="dxa"/>
          </w:tcPr>
          <w:p w14:paraId="785C4BE1"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Profit</w:t>
            </w:r>
          </w:p>
        </w:tc>
        <w:tc>
          <w:tcPr>
            <w:tcW w:w="2049" w:type="dxa"/>
          </w:tcPr>
          <w:p w14:paraId="07D7E20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(350,000)</w:t>
            </w:r>
          </w:p>
        </w:tc>
        <w:tc>
          <w:tcPr>
            <w:tcW w:w="2049" w:type="dxa"/>
          </w:tcPr>
          <w:p w14:paraId="0007514F"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(705,000)</w:t>
            </w:r>
          </w:p>
        </w:tc>
        <w:tc>
          <w:tcPr>
            <w:tcW w:w="2571" w:type="dxa"/>
          </w:tcPr>
          <w:p w14:paraId="33C6F59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(525,000)</w:t>
            </w:r>
          </w:p>
        </w:tc>
      </w:tr>
    </w:tbl>
    <w:p w14:paraId="21553624" w14:textId="77777777" w:rsidR="008241A8" w:rsidRPr="00663339" w:rsidRDefault="008241A8" w:rsidP="008241A8">
      <w:pPr>
        <w:pStyle w:val="Default"/>
        <w:numPr>
          <w:ilvl w:val="1"/>
          <w:numId w:val="1"/>
        </w:numPr>
        <w:spacing w:after="128" w:line="480" w:lineRule="auto"/>
        <w:rPr>
          <w:rFonts w:ascii="Times New Roman" w:hAnsi="Times New Roman" w:cs="Times New Roman"/>
          <w:b/>
          <w:bCs/>
        </w:rPr>
      </w:pPr>
      <w:r w:rsidRPr="00663339">
        <w:rPr>
          <w:rFonts w:ascii="Times New Roman" w:hAnsi="Times New Roman" w:cs="Times New Roman"/>
          <w:b/>
          <w:bCs/>
        </w:rPr>
        <w:t xml:space="preserve">Using your control report prepared in (1.1) above, prepare a report on Amana’s performance during the year 2020. </w:t>
      </w:r>
    </w:p>
    <w:p w14:paraId="5D0ACBD5" w14:textId="77777777" w:rsidR="008241A8" w:rsidRPr="00663339" w:rsidRDefault="008241A8" w:rsidP="008241A8">
      <w:pPr>
        <w:pStyle w:val="Default"/>
        <w:spacing w:after="128" w:line="480" w:lineRule="auto"/>
        <w:rPr>
          <w:rFonts w:ascii="Times New Roman" w:hAnsi="Times New Roman" w:cs="Times New Roman"/>
        </w:rPr>
      </w:pPr>
      <w:r w:rsidRPr="00663339">
        <w:rPr>
          <w:rFonts w:ascii="Times New Roman" w:hAnsi="Times New Roman" w:cs="Times New Roman"/>
        </w:rPr>
        <w:t xml:space="preserve">The company’s sales reduced significantly over the period, noting that the number of units sold reduced by 20,000 units from what the company had planned in the original budget. The price per unit decreased by £5, largely due to the reduction of demand as the company could not serve international visitors to the UK after the travel restrictions set up by the government to control Covid-19 infections. Inefficiency in the company’s production is a significant issue given that the company’s production system used 30,000 more materials to produce 20,000 souvenir units than what the original budget had indicated. According to the initial budget, the company had projected to use 250,000 material units to produce 100,000 souvenir units but eventually used 280,000 units of material to produce 80,000 souvenir units. Also, the company used 40,000 more units of labor to produce 80,000 souvenir units than the it had planned to use to manufacture 100,000 souvenir units. </w:t>
      </w:r>
    </w:p>
    <w:p w14:paraId="023A9289" w14:textId="77777777" w:rsidR="008241A8" w:rsidRPr="00663339" w:rsidRDefault="008241A8" w:rsidP="008241A8">
      <w:pPr>
        <w:pStyle w:val="Default"/>
        <w:spacing w:after="128" w:line="480" w:lineRule="auto"/>
        <w:rPr>
          <w:rFonts w:ascii="Times New Roman" w:hAnsi="Times New Roman" w:cs="Times New Roman"/>
        </w:rPr>
      </w:pPr>
      <w:r w:rsidRPr="00663339">
        <w:rPr>
          <w:rFonts w:ascii="Times New Roman" w:hAnsi="Times New Roman" w:cs="Times New Roman"/>
        </w:rPr>
        <w:t xml:space="preserve">The company had a £540,000 reduction of its contributions from the company’s initially planned £1,700,000 to £1,160,000. The overhead projections reduced by 30,000 while rental costs for warehousing reduced by 30,000, which can be attributed to the company not being </w:t>
      </w:r>
      <w:r w:rsidRPr="00663339">
        <w:rPr>
          <w:rFonts w:ascii="Times New Roman" w:hAnsi="Times New Roman" w:cs="Times New Roman"/>
        </w:rPr>
        <w:lastRenderedPageBreak/>
        <w:t>able to operate all its branches to anywhere near their capacity. Fixed overhead costs like insurance costs remained constant throughout the financial year. In total, the company spent £2,305,000 to produce 80,000 souvenir units in contrast to £2,500,000 for 100,000 souvenir units that had been projected. The company’s sales also reduced from a projected £2,850,000 to £1,600,000. The company made a loss of £705,000 in 2020. The company’s salary for the fulltime warehouse supervisor reduced by £15,000. The reduced salary cost for warehouse supervisor can be attributed to general inactivity and lack of business requiring the supervisor to report to work every day, thus eliminating some additional earnings on top of the salary such as overtime compensation and paid leaves.</w:t>
      </w:r>
    </w:p>
    <w:p w14:paraId="1C143151" w14:textId="77777777" w:rsidR="008241A8" w:rsidRPr="00663339" w:rsidRDefault="008241A8" w:rsidP="008241A8">
      <w:pPr>
        <w:pStyle w:val="Default"/>
        <w:spacing w:after="128" w:line="480" w:lineRule="auto"/>
        <w:rPr>
          <w:rFonts w:ascii="Times New Roman" w:hAnsi="Times New Roman" w:cs="Times New Roman"/>
        </w:rPr>
      </w:pPr>
    </w:p>
    <w:tbl>
      <w:tblPr>
        <w:tblStyle w:val="GridTable2"/>
        <w:tblW w:w="0" w:type="auto"/>
        <w:tblLook w:val="04A0" w:firstRow="1" w:lastRow="0" w:firstColumn="1" w:lastColumn="0" w:noHBand="0" w:noVBand="1"/>
      </w:tblPr>
      <w:tblGrid>
        <w:gridCol w:w="3515"/>
        <w:gridCol w:w="2067"/>
        <w:gridCol w:w="1869"/>
        <w:gridCol w:w="1575"/>
      </w:tblGrid>
      <w:tr w:rsidR="008241A8" w:rsidRPr="00663339" w14:paraId="090EFD78" w14:textId="77777777" w:rsidTr="00E265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4DB4B5F6" w14:textId="77777777" w:rsidR="008241A8" w:rsidRPr="00663339" w:rsidRDefault="008241A8" w:rsidP="00E26522">
            <w:pPr>
              <w:pStyle w:val="Default"/>
              <w:spacing w:after="128" w:line="480" w:lineRule="auto"/>
              <w:rPr>
                <w:rFonts w:ascii="Times New Roman" w:hAnsi="Times New Roman" w:cs="Times New Roman"/>
                <w:b w:val="0"/>
                <w:bCs w:val="0"/>
              </w:rPr>
            </w:pPr>
          </w:p>
        </w:tc>
        <w:tc>
          <w:tcPr>
            <w:tcW w:w="2139" w:type="dxa"/>
          </w:tcPr>
          <w:p w14:paraId="28B57E6D"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63339">
              <w:rPr>
                <w:rFonts w:ascii="Times New Roman" w:hAnsi="Times New Roman" w:cs="Times New Roman"/>
                <w:b w:val="0"/>
                <w:bCs w:val="0"/>
              </w:rPr>
              <w:t>Actual Budget</w:t>
            </w:r>
          </w:p>
        </w:tc>
        <w:tc>
          <w:tcPr>
            <w:tcW w:w="1925" w:type="dxa"/>
          </w:tcPr>
          <w:p w14:paraId="55BFF031"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63339">
              <w:rPr>
                <w:rFonts w:ascii="Times New Roman" w:hAnsi="Times New Roman" w:cs="Times New Roman"/>
                <w:b w:val="0"/>
                <w:bCs w:val="0"/>
              </w:rPr>
              <w:t>Flexible Budget</w:t>
            </w:r>
          </w:p>
        </w:tc>
        <w:tc>
          <w:tcPr>
            <w:tcW w:w="1615" w:type="dxa"/>
          </w:tcPr>
          <w:p w14:paraId="3F6E646A" w14:textId="77777777" w:rsidR="008241A8" w:rsidRPr="00663339" w:rsidRDefault="008241A8" w:rsidP="00E26522">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63339">
              <w:rPr>
                <w:rFonts w:ascii="Times New Roman" w:hAnsi="Times New Roman" w:cs="Times New Roman"/>
                <w:b w:val="0"/>
                <w:bCs w:val="0"/>
              </w:rPr>
              <w:t xml:space="preserve">Budget Variance </w:t>
            </w:r>
          </w:p>
        </w:tc>
      </w:tr>
      <w:tr w:rsidR="008241A8" w:rsidRPr="00663339" w14:paraId="412396FA"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1F1E9899"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Units</w:t>
            </w:r>
          </w:p>
        </w:tc>
        <w:tc>
          <w:tcPr>
            <w:tcW w:w="2139" w:type="dxa"/>
          </w:tcPr>
          <w:p w14:paraId="73D0DB4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1925" w:type="dxa"/>
          </w:tcPr>
          <w:p w14:paraId="2E7A223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80,000</w:t>
            </w:r>
          </w:p>
        </w:tc>
        <w:tc>
          <w:tcPr>
            <w:tcW w:w="1615" w:type="dxa"/>
          </w:tcPr>
          <w:p w14:paraId="1E807560"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20,000</w:t>
            </w:r>
          </w:p>
        </w:tc>
      </w:tr>
      <w:tr w:rsidR="008241A8" w:rsidRPr="00663339" w14:paraId="1DA1DCCC"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0D63CA04"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Selling Price</w:t>
            </w:r>
          </w:p>
        </w:tc>
        <w:tc>
          <w:tcPr>
            <w:tcW w:w="2139" w:type="dxa"/>
          </w:tcPr>
          <w:p w14:paraId="4849C316"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w:t>
            </w:r>
          </w:p>
        </w:tc>
        <w:tc>
          <w:tcPr>
            <w:tcW w:w="1925" w:type="dxa"/>
          </w:tcPr>
          <w:p w14:paraId="50CDEF58"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w:t>
            </w:r>
          </w:p>
        </w:tc>
        <w:tc>
          <w:tcPr>
            <w:tcW w:w="1615" w:type="dxa"/>
          </w:tcPr>
          <w:p w14:paraId="0763E055"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w:t>
            </w:r>
          </w:p>
        </w:tc>
      </w:tr>
      <w:tr w:rsidR="008241A8" w:rsidRPr="00663339" w14:paraId="4C560FCB"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65A02F43"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b w:val="0"/>
                <w:bCs w:val="0"/>
              </w:rPr>
              <w:t>Variable Costs:</w:t>
            </w:r>
          </w:p>
        </w:tc>
        <w:tc>
          <w:tcPr>
            <w:tcW w:w="2139" w:type="dxa"/>
          </w:tcPr>
          <w:p w14:paraId="4D41FD2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c>
          <w:tcPr>
            <w:tcW w:w="1925" w:type="dxa"/>
          </w:tcPr>
          <w:p w14:paraId="779A6709"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c>
          <w:tcPr>
            <w:tcW w:w="1615" w:type="dxa"/>
          </w:tcPr>
          <w:p w14:paraId="796FAD3E"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663339">
              <w:rPr>
                <w:rFonts w:ascii="Times New Roman" w:hAnsi="Times New Roman" w:cs="Times New Roman"/>
              </w:rPr>
              <w:t>£</w:t>
            </w:r>
          </w:p>
        </w:tc>
      </w:tr>
      <w:tr w:rsidR="008241A8" w:rsidRPr="00663339" w14:paraId="1A22F275"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1CA8CAB8"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Materials</w:t>
            </w:r>
          </w:p>
        </w:tc>
        <w:tc>
          <w:tcPr>
            <w:tcW w:w="2139" w:type="dxa"/>
          </w:tcPr>
          <w:p w14:paraId="1275C4DF"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w:t>
            </w:r>
          </w:p>
        </w:tc>
        <w:tc>
          <w:tcPr>
            <w:tcW w:w="1925" w:type="dxa"/>
          </w:tcPr>
          <w:p w14:paraId="4B0E5230"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280,000</w:t>
            </w:r>
          </w:p>
        </w:tc>
        <w:tc>
          <w:tcPr>
            <w:tcW w:w="1615" w:type="dxa"/>
          </w:tcPr>
          <w:p w14:paraId="7F73D79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0B73A87D"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49BC3F4E"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Labour</w:t>
            </w:r>
          </w:p>
        </w:tc>
        <w:tc>
          <w:tcPr>
            <w:tcW w:w="2139" w:type="dxa"/>
          </w:tcPr>
          <w:p w14:paraId="55D57424"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400,000</w:t>
            </w:r>
          </w:p>
        </w:tc>
        <w:tc>
          <w:tcPr>
            <w:tcW w:w="1925" w:type="dxa"/>
          </w:tcPr>
          <w:p w14:paraId="78D57CF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440,000</w:t>
            </w:r>
          </w:p>
        </w:tc>
        <w:tc>
          <w:tcPr>
            <w:tcW w:w="1615" w:type="dxa"/>
          </w:tcPr>
          <w:p w14:paraId="3128F60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(40,000)</w:t>
            </w:r>
          </w:p>
        </w:tc>
      </w:tr>
      <w:tr w:rsidR="008241A8" w:rsidRPr="00663339" w14:paraId="3DD9D0A1"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6F13887E"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Overhead</w:t>
            </w:r>
          </w:p>
        </w:tc>
        <w:tc>
          <w:tcPr>
            <w:tcW w:w="2139" w:type="dxa"/>
          </w:tcPr>
          <w:p w14:paraId="5B6835BE"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150,000</w:t>
            </w:r>
          </w:p>
        </w:tc>
        <w:tc>
          <w:tcPr>
            <w:tcW w:w="1925" w:type="dxa"/>
          </w:tcPr>
          <w:p w14:paraId="47E2B07C"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120,000</w:t>
            </w:r>
          </w:p>
        </w:tc>
        <w:tc>
          <w:tcPr>
            <w:tcW w:w="1615" w:type="dxa"/>
          </w:tcPr>
          <w:p w14:paraId="5E99658E"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000B8A3D"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6825745F"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Contribution</w:t>
            </w:r>
          </w:p>
        </w:tc>
        <w:tc>
          <w:tcPr>
            <w:tcW w:w="2139" w:type="dxa"/>
          </w:tcPr>
          <w:p w14:paraId="7FEE5014"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1,700,000</w:t>
            </w:r>
          </w:p>
        </w:tc>
        <w:tc>
          <w:tcPr>
            <w:tcW w:w="1925" w:type="dxa"/>
          </w:tcPr>
          <w:p w14:paraId="7482FAD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1,160,000</w:t>
            </w:r>
          </w:p>
        </w:tc>
        <w:tc>
          <w:tcPr>
            <w:tcW w:w="1615" w:type="dxa"/>
          </w:tcPr>
          <w:p w14:paraId="5FDEC3D4"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540,000</w:t>
            </w:r>
          </w:p>
        </w:tc>
      </w:tr>
      <w:tr w:rsidR="008241A8" w:rsidRPr="00663339" w14:paraId="5B154367"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55C3010E" w14:textId="77777777" w:rsidR="008241A8" w:rsidRPr="00663339" w:rsidRDefault="008241A8" w:rsidP="00E26522">
            <w:pPr>
              <w:pStyle w:val="Default"/>
              <w:spacing w:after="128" w:line="480" w:lineRule="auto"/>
              <w:rPr>
                <w:rFonts w:ascii="Times New Roman" w:hAnsi="Times New Roman" w:cs="Times New Roman"/>
                <w:b w:val="0"/>
                <w:bCs w:val="0"/>
              </w:rPr>
            </w:pPr>
            <w:r w:rsidRPr="00663339">
              <w:rPr>
                <w:rFonts w:ascii="Times New Roman" w:hAnsi="Times New Roman" w:cs="Times New Roman"/>
                <w:b w:val="0"/>
                <w:bCs w:val="0"/>
              </w:rPr>
              <w:t>Fixed Overheads:</w:t>
            </w:r>
          </w:p>
        </w:tc>
        <w:tc>
          <w:tcPr>
            <w:tcW w:w="2139" w:type="dxa"/>
          </w:tcPr>
          <w:p w14:paraId="350C4716"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1925" w:type="dxa"/>
          </w:tcPr>
          <w:p w14:paraId="330FE5AB"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1615" w:type="dxa"/>
          </w:tcPr>
          <w:p w14:paraId="03EAA05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8241A8" w:rsidRPr="00663339" w14:paraId="4CF10456"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59C7A98C"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Warehouse rentals</w:t>
            </w:r>
          </w:p>
        </w:tc>
        <w:tc>
          <w:tcPr>
            <w:tcW w:w="2139" w:type="dxa"/>
          </w:tcPr>
          <w:p w14:paraId="5BC0459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200,000</w:t>
            </w:r>
          </w:p>
        </w:tc>
        <w:tc>
          <w:tcPr>
            <w:tcW w:w="1925" w:type="dxa"/>
          </w:tcPr>
          <w:p w14:paraId="7A3B6522"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170,000</w:t>
            </w:r>
          </w:p>
        </w:tc>
        <w:tc>
          <w:tcPr>
            <w:tcW w:w="1615" w:type="dxa"/>
          </w:tcPr>
          <w:p w14:paraId="53A3C608"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30,000</w:t>
            </w:r>
          </w:p>
        </w:tc>
      </w:tr>
      <w:tr w:rsidR="008241A8" w:rsidRPr="00663339" w14:paraId="308BCFDB"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55403281"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t>Insurance</w:t>
            </w:r>
          </w:p>
        </w:tc>
        <w:tc>
          <w:tcPr>
            <w:tcW w:w="2139" w:type="dxa"/>
          </w:tcPr>
          <w:p w14:paraId="1ADE61D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1925" w:type="dxa"/>
          </w:tcPr>
          <w:p w14:paraId="605C7348"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c>
          <w:tcPr>
            <w:tcW w:w="1615" w:type="dxa"/>
          </w:tcPr>
          <w:p w14:paraId="55BF8CDD"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0</w:t>
            </w:r>
          </w:p>
        </w:tc>
      </w:tr>
      <w:tr w:rsidR="008241A8" w:rsidRPr="00663339" w14:paraId="2D91F0F7"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7EB1C8AA" w14:textId="77777777" w:rsidR="008241A8" w:rsidRPr="00663339" w:rsidRDefault="008241A8" w:rsidP="00E26522">
            <w:pPr>
              <w:pStyle w:val="Default"/>
              <w:spacing w:after="128" w:line="480" w:lineRule="auto"/>
              <w:rPr>
                <w:rFonts w:ascii="Times New Roman" w:hAnsi="Times New Roman" w:cs="Times New Roman"/>
              </w:rPr>
            </w:pPr>
            <w:r w:rsidRPr="00663339">
              <w:rPr>
                <w:rFonts w:ascii="Times New Roman" w:hAnsi="Times New Roman" w:cs="Times New Roman"/>
              </w:rPr>
              <w:lastRenderedPageBreak/>
              <w:t>Fulltime warehouse supervisor salary</w:t>
            </w:r>
          </w:p>
        </w:tc>
        <w:tc>
          <w:tcPr>
            <w:tcW w:w="2139" w:type="dxa"/>
          </w:tcPr>
          <w:p w14:paraId="056C263C"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50,000</w:t>
            </w:r>
          </w:p>
        </w:tc>
        <w:tc>
          <w:tcPr>
            <w:tcW w:w="1925" w:type="dxa"/>
          </w:tcPr>
          <w:p w14:paraId="210384AB"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w:t>
            </w:r>
          </w:p>
        </w:tc>
        <w:tc>
          <w:tcPr>
            <w:tcW w:w="1615" w:type="dxa"/>
          </w:tcPr>
          <w:p w14:paraId="1F0568CB"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15,000</w:t>
            </w:r>
          </w:p>
        </w:tc>
      </w:tr>
      <w:tr w:rsidR="008241A8" w:rsidRPr="00663339" w14:paraId="18EE9A5B"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52D5F691"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Total Costs</w:t>
            </w:r>
          </w:p>
        </w:tc>
        <w:tc>
          <w:tcPr>
            <w:tcW w:w="2139" w:type="dxa"/>
          </w:tcPr>
          <w:p w14:paraId="7560F369"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2,500,000</w:t>
            </w:r>
          </w:p>
        </w:tc>
        <w:tc>
          <w:tcPr>
            <w:tcW w:w="1925" w:type="dxa"/>
          </w:tcPr>
          <w:p w14:paraId="2367021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2,305,000</w:t>
            </w:r>
          </w:p>
        </w:tc>
        <w:tc>
          <w:tcPr>
            <w:tcW w:w="1615" w:type="dxa"/>
          </w:tcPr>
          <w:p w14:paraId="41C7615A"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100,000</w:t>
            </w:r>
          </w:p>
        </w:tc>
      </w:tr>
      <w:tr w:rsidR="008241A8" w:rsidRPr="00663339" w14:paraId="730DCF31" w14:textId="77777777" w:rsidTr="00E26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71" w:type="dxa"/>
          </w:tcPr>
          <w:p w14:paraId="14A454AD"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Total Sale</w:t>
            </w:r>
          </w:p>
        </w:tc>
        <w:tc>
          <w:tcPr>
            <w:tcW w:w="2139" w:type="dxa"/>
          </w:tcPr>
          <w:p w14:paraId="7F512C7D"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2,850,000</w:t>
            </w:r>
          </w:p>
        </w:tc>
        <w:tc>
          <w:tcPr>
            <w:tcW w:w="1925" w:type="dxa"/>
          </w:tcPr>
          <w:p w14:paraId="6824A7BA"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1,600,000</w:t>
            </w:r>
          </w:p>
        </w:tc>
        <w:tc>
          <w:tcPr>
            <w:tcW w:w="1615" w:type="dxa"/>
          </w:tcPr>
          <w:p w14:paraId="61436F33" w14:textId="77777777" w:rsidR="008241A8" w:rsidRPr="00663339" w:rsidRDefault="008241A8" w:rsidP="00E26522">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625,000</w:t>
            </w:r>
          </w:p>
        </w:tc>
      </w:tr>
      <w:tr w:rsidR="008241A8" w:rsidRPr="00663339" w14:paraId="70CBD6C7" w14:textId="77777777" w:rsidTr="00E26522">
        <w:tc>
          <w:tcPr>
            <w:cnfStyle w:val="001000000000" w:firstRow="0" w:lastRow="0" w:firstColumn="1" w:lastColumn="0" w:oddVBand="0" w:evenVBand="0" w:oddHBand="0" w:evenHBand="0" w:firstRowFirstColumn="0" w:firstRowLastColumn="0" w:lastRowFirstColumn="0" w:lastRowLastColumn="0"/>
            <w:tcW w:w="3671" w:type="dxa"/>
          </w:tcPr>
          <w:p w14:paraId="73D27891" w14:textId="77777777" w:rsidR="008241A8" w:rsidRPr="00663339" w:rsidRDefault="008241A8" w:rsidP="00E26522">
            <w:pPr>
              <w:pStyle w:val="Default"/>
              <w:spacing w:after="128" w:line="480" w:lineRule="auto"/>
              <w:jc w:val="right"/>
              <w:rPr>
                <w:rFonts w:ascii="Times New Roman" w:hAnsi="Times New Roman" w:cs="Times New Roman"/>
              </w:rPr>
            </w:pPr>
            <w:r w:rsidRPr="00663339">
              <w:rPr>
                <w:rFonts w:ascii="Times New Roman" w:hAnsi="Times New Roman" w:cs="Times New Roman"/>
              </w:rPr>
              <w:t>Profit</w:t>
            </w:r>
          </w:p>
        </w:tc>
        <w:tc>
          <w:tcPr>
            <w:tcW w:w="2139" w:type="dxa"/>
          </w:tcPr>
          <w:p w14:paraId="6C6856EC"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350,000</w:t>
            </w:r>
          </w:p>
        </w:tc>
        <w:tc>
          <w:tcPr>
            <w:tcW w:w="1925" w:type="dxa"/>
          </w:tcPr>
          <w:p w14:paraId="79DB8C80"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(705,000)</w:t>
            </w:r>
          </w:p>
        </w:tc>
        <w:tc>
          <w:tcPr>
            <w:tcW w:w="1615" w:type="dxa"/>
          </w:tcPr>
          <w:p w14:paraId="76A9F293" w14:textId="77777777" w:rsidR="008241A8" w:rsidRPr="00663339" w:rsidRDefault="008241A8" w:rsidP="00E26522">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63339">
              <w:rPr>
                <w:rFonts w:ascii="Times New Roman" w:hAnsi="Times New Roman" w:cs="Times New Roman"/>
              </w:rPr>
              <w:t>525,000</w:t>
            </w:r>
          </w:p>
        </w:tc>
      </w:tr>
    </w:tbl>
    <w:p w14:paraId="56FB875A" w14:textId="77777777" w:rsidR="008241A8" w:rsidRPr="00663339" w:rsidRDefault="008241A8" w:rsidP="008241A8">
      <w:pPr>
        <w:pStyle w:val="Default"/>
        <w:spacing w:after="128" w:line="480" w:lineRule="auto"/>
        <w:rPr>
          <w:rFonts w:ascii="Times New Roman" w:hAnsi="Times New Roman" w:cs="Times New Roman"/>
        </w:rPr>
      </w:pPr>
      <w:r w:rsidRPr="00663339">
        <w:rPr>
          <w:rFonts w:ascii="Times New Roman" w:hAnsi="Times New Roman" w:cs="Times New Roman"/>
        </w:rPr>
        <w:t xml:space="preserve">The company made a loss of £705,000 at the close of financial year 2020. </w:t>
      </w:r>
    </w:p>
    <w:p w14:paraId="0A8479AA" w14:textId="77777777" w:rsidR="008241A8" w:rsidRPr="00663339" w:rsidRDefault="008241A8" w:rsidP="008241A8">
      <w:pPr>
        <w:pStyle w:val="Default"/>
        <w:numPr>
          <w:ilvl w:val="1"/>
          <w:numId w:val="1"/>
        </w:numPr>
        <w:spacing w:line="480" w:lineRule="auto"/>
        <w:rPr>
          <w:rFonts w:ascii="Times New Roman" w:hAnsi="Times New Roman" w:cs="Times New Roman"/>
          <w:b/>
          <w:bCs/>
        </w:rPr>
      </w:pPr>
      <w:r w:rsidRPr="00663339">
        <w:rPr>
          <w:rFonts w:ascii="Times New Roman" w:hAnsi="Times New Roman" w:cs="Times New Roman"/>
          <w:b/>
          <w:bCs/>
        </w:rPr>
        <w:t xml:space="preserve">Provide recommendations to Amana’s CEO on areas of improvement. </w:t>
      </w:r>
    </w:p>
    <w:p w14:paraId="173C2CCD"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The company has fared in ways that can be comparable to others in the market. However, there are some areas that need to be improved if the company wants to avoid being in a similar situation in the future (</w:t>
      </w:r>
      <w:r w:rsidRPr="00B37240">
        <w:rPr>
          <w:rFonts w:ascii="Times New Roman" w:eastAsia="Times New Roman" w:hAnsi="Times New Roman" w:cs="Times New Roman"/>
        </w:rPr>
        <w:t>Gössling, Scott</w:t>
      </w:r>
      <w:r w:rsidRPr="00663339">
        <w:rPr>
          <w:rFonts w:ascii="Times New Roman" w:eastAsia="Times New Roman" w:hAnsi="Times New Roman" w:cs="Times New Roman"/>
        </w:rPr>
        <w:t xml:space="preserve"> </w:t>
      </w:r>
      <w:r w:rsidRPr="00B37240">
        <w:rPr>
          <w:rFonts w:ascii="Times New Roman" w:eastAsia="Times New Roman" w:hAnsi="Times New Roman" w:cs="Times New Roman"/>
        </w:rPr>
        <w:t>&amp; Hall, 2020)</w:t>
      </w:r>
      <w:r w:rsidRPr="00663339">
        <w:rPr>
          <w:rFonts w:ascii="Times New Roman" w:hAnsi="Times New Roman" w:cs="Times New Roman"/>
        </w:rPr>
        <w:t>. For instance, the company used more labor to produce less units of its souvenirs than it had initially planned. Labor costs are some of the factors that determine how successful a company becomes in business. With an initial plan being to use 400,000 units of labor to manufacture 100,000 units of souvenirs, the company had a 4:1 ratio of units of labor to units of souvenir. In the end, the company was using 440,000 units of labor to manufacture 80,000 souvenir units, which was a ratio of 5.5:1 for labor used to manufacture the products and the products that the company actually sold. This makes it inefficient for the company because increasing labor costs without a similar increase in the sales or price of the product means that the company’s net profit is reduced so that the company can cover the extra units of labor (</w:t>
      </w:r>
      <w:r w:rsidRPr="00B37240">
        <w:rPr>
          <w:rFonts w:ascii="Times New Roman" w:eastAsia="Times New Roman" w:hAnsi="Times New Roman" w:cs="Times New Roman"/>
        </w:rPr>
        <w:t>Gössling, Scott</w:t>
      </w:r>
      <w:r w:rsidRPr="00663339">
        <w:rPr>
          <w:rFonts w:ascii="Times New Roman" w:eastAsia="Times New Roman" w:hAnsi="Times New Roman" w:cs="Times New Roman"/>
        </w:rPr>
        <w:t xml:space="preserve"> </w:t>
      </w:r>
      <w:r w:rsidRPr="00B37240">
        <w:rPr>
          <w:rFonts w:ascii="Times New Roman" w:eastAsia="Times New Roman" w:hAnsi="Times New Roman" w:cs="Times New Roman"/>
        </w:rPr>
        <w:t>&amp; Hall, 2020)</w:t>
      </w:r>
      <w:r w:rsidRPr="00663339">
        <w:rPr>
          <w:rFonts w:ascii="Times New Roman" w:hAnsi="Times New Roman" w:cs="Times New Roman"/>
        </w:rPr>
        <w:t>.</w:t>
      </w:r>
    </w:p>
    <w:p w14:paraId="7A8F773B"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At times when the company’s products have a severely limited demand because they are n</w:t>
      </w:r>
      <w:r>
        <w:rPr>
          <w:rFonts w:ascii="Times New Roman" w:hAnsi="Times New Roman" w:cs="Times New Roman"/>
        </w:rPr>
        <w:t>o</w:t>
      </w:r>
      <w:r w:rsidRPr="00663339">
        <w:rPr>
          <w:rFonts w:ascii="Times New Roman" w:hAnsi="Times New Roman" w:cs="Times New Roman"/>
        </w:rPr>
        <w:t xml:space="preserve">t available to customers outside the UK, and since consumers in the UK cannot purchase the company’s services in large numbers in part due to the dire economic circumstances created by the pandemic and also because social events are not recommended </w:t>
      </w:r>
      <w:r w:rsidRPr="00663339">
        <w:rPr>
          <w:rFonts w:ascii="Times New Roman" w:hAnsi="Times New Roman" w:cs="Times New Roman"/>
        </w:rPr>
        <w:lastRenderedPageBreak/>
        <w:t xml:space="preserve">in the country for health conditions, the price of the souvenirs has also declined. Reducing demand and price means that the company requires to reduce its supply of souvenirs in the market. An oversupply of souvenirs would lead to the company flooding its own market, and according to the law of demand and supply, that would lead to further lowering of the prices. For this reason, the company requires to reduce some of its variable expenses in order to remain productive and profitable. </w:t>
      </w:r>
    </w:p>
    <w:p w14:paraId="6CDE0C90"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 xml:space="preserve">The circumstances in the market mean that the company is not only using more units of labor to manufacture less products. Instead, the company is also using more materials to manufacture fewer units of the product. The company requires to streamline its production to make it efficient such that the highest amount of the product is manufactured from the least possible number of materials and labor. This means the company may need to revamp its manufacturing processes as well as its systems. One of the effects that strategy this would have is that some of the company’s employees would be considered surplus to requirement and, therefore, the ratio of labor units to souvenir units would be reduced. This strategy has the potential to make the company profitable, and then once the situation in the market improves, or when the company establishes its business through an online platform, the employees that have been laid off would be re-hired and the company can resume production as planned before the pandemic. </w:t>
      </w:r>
    </w:p>
    <w:p w14:paraId="1D94F384" w14:textId="77777777" w:rsidR="008241A8" w:rsidRPr="00663339" w:rsidRDefault="008241A8" w:rsidP="008241A8">
      <w:pPr>
        <w:pStyle w:val="Default"/>
        <w:spacing w:line="480" w:lineRule="auto"/>
        <w:rPr>
          <w:rFonts w:ascii="Times New Roman" w:hAnsi="Times New Roman" w:cs="Times New Roman"/>
          <w:b/>
          <w:bCs/>
        </w:rPr>
      </w:pPr>
      <w:r w:rsidRPr="00663339">
        <w:rPr>
          <w:rFonts w:ascii="Times New Roman" w:hAnsi="Times New Roman" w:cs="Times New Roman"/>
          <w:b/>
          <w:bCs/>
        </w:rPr>
        <w:t>Part B</w:t>
      </w:r>
    </w:p>
    <w:p w14:paraId="764EC486"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For companies like Amana Ltd and all others in the travel and tourism sectors, Covid-19 pandemic and its consequential devastation of trade and commerce has come as a warning that the industry could be disrupted in a major way without warning. This is one of the worst hit economic sectors all over the world by the pandemic and the World Travel and Tourism Council (WTTC) warns that the pandemic could lead to more than 50 million jobs being lost globally in this industry alone (</w:t>
      </w:r>
      <w:r w:rsidRPr="003A7B10">
        <w:rPr>
          <w:rFonts w:ascii="Times New Roman" w:eastAsia="Times New Roman" w:hAnsi="Times New Roman" w:cs="Times New Roman"/>
        </w:rPr>
        <w:t>Uğur</w:t>
      </w:r>
      <w:r w:rsidRPr="00663339">
        <w:rPr>
          <w:rFonts w:ascii="Times New Roman" w:eastAsia="Times New Roman" w:hAnsi="Times New Roman" w:cs="Times New Roman"/>
        </w:rPr>
        <w:t xml:space="preserve"> </w:t>
      </w:r>
      <w:r w:rsidRPr="003A7B10">
        <w:rPr>
          <w:rFonts w:ascii="Times New Roman" w:eastAsia="Times New Roman" w:hAnsi="Times New Roman" w:cs="Times New Roman"/>
        </w:rPr>
        <w:t>&amp; Akbıyık, 2020)</w:t>
      </w:r>
      <w:r w:rsidRPr="00663339">
        <w:rPr>
          <w:rFonts w:ascii="Times New Roman" w:hAnsi="Times New Roman" w:cs="Times New Roman"/>
        </w:rPr>
        <w:t xml:space="preserve">. The ripple effect of those job losses </w:t>
      </w:r>
      <w:r w:rsidRPr="00663339">
        <w:rPr>
          <w:rFonts w:ascii="Times New Roman" w:hAnsi="Times New Roman" w:cs="Times New Roman"/>
        </w:rPr>
        <w:lastRenderedPageBreak/>
        <w:t>may be more significant than the 50 million jobs because the industry reaches out to other sectors of the market which will also be affected. This means that the industry collectively, and the individual members in the industry, have to come with solutions to the current problem for the sake of the survival of the industry.</w:t>
      </w:r>
    </w:p>
    <w:p w14:paraId="46D64403"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The industry had been on a positive trajectory before the pandemic hit and for this reason, it is conceivable to think that what was driving the growth of the sector can be salvaged. This means that companies had an existing and expanding customer base across the world, and the industry was employing more people every year (</w:t>
      </w:r>
      <w:r w:rsidRPr="003A7B10">
        <w:rPr>
          <w:rFonts w:ascii="Times New Roman" w:eastAsia="Times New Roman" w:hAnsi="Times New Roman" w:cs="Times New Roman"/>
        </w:rPr>
        <w:t>Baum</w:t>
      </w:r>
      <w:r w:rsidRPr="00663339">
        <w:rPr>
          <w:rFonts w:ascii="Times New Roman" w:eastAsia="Times New Roman" w:hAnsi="Times New Roman" w:cs="Times New Roman"/>
        </w:rPr>
        <w:t xml:space="preserve"> </w:t>
      </w:r>
      <w:r w:rsidRPr="003A7B10">
        <w:rPr>
          <w:rFonts w:ascii="Times New Roman" w:eastAsia="Times New Roman" w:hAnsi="Times New Roman" w:cs="Times New Roman"/>
        </w:rPr>
        <w:t>&amp; Hai, 2020)</w:t>
      </w:r>
      <w:r w:rsidRPr="00663339">
        <w:rPr>
          <w:rFonts w:ascii="Times New Roman" w:hAnsi="Times New Roman" w:cs="Times New Roman"/>
        </w:rPr>
        <w:t xml:space="preserve">. According to WTTC, this sector accounts for a tenth of global GDP and a tenth of all jobs globally. Further, the sector was responsible for about 25% of all new jobs globally between 2015 and 2020. Covid-19 introduced challenges that found the sector to be uniquely exposed, which included handling cancellation, refunds, re-bookings, and sometimes companies were required to pay compensations to their customers (Nicola et al., 2020). </w:t>
      </w:r>
    </w:p>
    <w:p w14:paraId="24FC0055"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Amana Ltd has to set itself on a course that is different from what the market needed before the pandemic hit. In this regard, my recommendation to the company management is to adopt product differentiation strategies. This means that the company’s move to take its trade online is highly recommended, and the only way out for the company during the current times. However, there are different factors that the management of the company has to put into consideration when deciding how to go about it. The first of these considerations has to be the expected financial input that the company requires to invest into the venture and the expected ROI on that capital (</w:t>
      </w:r>
      <w:r w:rsidRPr="00782087">
        <w:rPr>
          <w:rFonts w:ascii="Times New Roman" w:eastAsia="Times New Roman" w:hAnsi="Times New Roman" w:cs="Times New Roman"/>
        </w:rPr>
        <w:t>Park</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&amp; Kim, 2006)</w:t>
      </w:r>
      <w:r w:rsidRPr="00663339">
        <w:rPr>
          <w:rFonts w:ascii="Times New Roman" w:hAnsi="Times New Roman" w:cs="Times New Roman"/>
        </w:rPr>
        <w:t xml:space="preserve">. </w:t>
      </w:r>
    </w:p>
    <w:p w14:paraId="72A57D2A"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Amana Ltd.’s management has to choose between two options which include going online through its own website, and selling its products through Amazon. The goal of the company is the same for both options, and that is to provide a way to reach its customers from all over the world through an easy and accessible platform (</w:t>
      </w:r>
      <w:r w:rsidRPr="00782087">
        <w:rPr>
          <w:rFonts w:ascii="Times New Roman" w:eastAsia="Times New Roman" w:hAnsi="Times New Roman" w:cs="Times New Roman"/>
        </w:rPr>
        <w:t>Ettis, 2017)</w:t>
      </w:r>
      <w:r w:rsidRPr="00663339">
        <w:rPr>
          <w:rFonts w:ascii="Times New Roman" w:hAnsi="Times New Roman" w:cs="Times New Roman"/>
        </w:rPr>
        <w:t xml:space="preserve">. Comparatively, </w:t>
      </w:r>
      <w:r w:rsidRPr="00663339">
        <w:rPr>
          <w:rFonts w:ascii="Times New Roman" w:hAnsi="Times New Roman" w:cs="Times New Roman"/>
        </w:rPr>
        <w:lastRenderedPageBreak/>
        <w:t>developing its own online platform will cost the company more than selling its products through Amazon. The cost of developing Amana’s own website includes £150,000 that is needed first and foremost for the establishment of a delivery network for the company. This is one of the most essential elements of a company’s online trading platform, and the company cannot meet its goals if it does not have a well-developed delivery system. The company targets online customers from all parts of the world and for this reason, it needs a well-established global delivery system that incorporates different shipping methods such as air mail, road, and sea shipping (</w:t>
      </w:r>
      <w:r w:rsidRPr="00782087">
        <w:rPr>
          <w:rFonts w:ascii="Times New Roman" w:eastAsia="Times New Roman" w:hAnsi="Times New Roman" w:cs="Times New Roman"/>
        </w:rPr>
        <w:t>Permana</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&amp; Albar,</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2019</w:t>
      </w:r>
      <w:r w:rsidRPr="00663339">
        <w:rPr>
          <w:rFonts w:ascii="Times New Roman" w:eastAsia="Times New Roman" w:hAnsi="Times New Roman" w:cs="Times New Roman"/>
        </w:rPr>
        <w:t>)</w:t>
      </w:r>
      <w:r w:rsidRPr="00663339">
        <w:rPr>
          <w:rFonts w:ascii="Times New Roman" w:hAnsi="Times New Roman" w:cs="Times New Roman"/>
        </w:rPr>
        <w:t xml:space="preserve">. </w:t>
      </w:r>
    </w:p>
    <w:p w14:paraId="51BFAE9D"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Amana will also be required to invest £50,000 on an upgrade of the current website. The current website is operational but does not have the capacity to handle large volumes of sales. Like it is usually the case with many businesses, the venture would be likely to attract fewer customers from the initial stages, but the company should expect grow the number of customers and sales volumes with time. therefore, it is a planning requirement that they need to have a website that can handle the growth in platforms. This option will also have the company employing a fulltime IT programmer, for who the company will spend £35,000 on remuneration. Therefore, the company will be spending a total of £235,000 if it chooses to develop its own website.</w:t>
      </w:r>
    </w:p>
    <w:p w14:paraId="419AAEB4"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 xml:space="preserve">Trading on Amazon comes with a significant difference in the initial costs. The company will only be required to invest </w:t>
      </w:r>
      <w:bookmarkStart w:id="0" w:name="_Hlk69992751"/>
      <w:r w:rsidRPr="00663339">
        <w:rPr>
          <w:rFonts w:ascii="Times New Roman" w:hAnsi="Times New Roman" w:cs="Times New Roman"/>
        </w:rPr>
        <w:t>£</w:t>
      </w:r>
      <w:bookmarkEnd w:id="0"/>
      <w:r w:rsidRPr="00663339">
        <w:rPr>
          <w:rFonts w:ascii="Times New Roman" w:hAnsi="Times New Roman" w:cs="Times New Roman"/>
        </w:rPr>
        <w:t xml:space="preserve">50,000 on Amazon fulfilment fees. This is considerably less than the £235,000 it would invest on a fully operational website. However, the initial costs of both options are not the only considerations that Amana Ltd.’s management has to consider. Other factors include the company’s ability to control what business is carried out on the platform, and how the trading is conducted. With this in mind, the company should consider the return policy of either option and how that will potentially impact its relationship with customers. This factor means that the company, favoring the </w:t>
      </w:r>
      <w:r w:rsidRPr="00663339">
        <w:rPr>
          <w:rFonts w:ascii="Times New Roman" w:hAnsi="Times New Roman" w:cs="Times New Roman"/>
        </w:rPr>
        <w:lastRenderedPageBreak/>
        <w:t>option that will maintain or help develop good relationship with customers, should decide in favor of developing the company’s website because that will give the company complete control over its sales and return policies (</w:t>
      </w:r>
      <w:r w:rsidRPr="00B37240">
        <w:rPr>
          <w:rFonts w:ascii="Times New Roman" w:eastAsia="Times New Roman" w:hAnsi="Times New Roman" w:cs="Times New Roman"/>
        </w:rPr>
        <w:t>Erevelles,</w:t>
      </w:r>
      <w:r w:rsidRPr="00663339">
        <w:rPr>
          <w:rFonts w:ascii="Times New Roman" w:eastAsia="Times New Roman" w:hAnsi="Times New Roman" w:cs="Times New Roman"/>
        </w:rPr>
        <w:t xml:space="preserve"> </w:t>
      </w:r>
      <w:r w:rsidRPr="00B37240">
        <w:rPr>
          <w:rFonts w:ascii="Times New Roman" w:eastAsia="Times New Roman" w:hAnsi="Times New Roman" w:cs="Times New Roman"/>
        </w:rPr>
        <w:t>Fukawa</w:t>
      </w:r>
      <w:r w:rsidRPr="00663339">
        <w:rPr>
          <w:rFonts w:ascii="Times New Roman" w:eastAsia="Times New Roman" w:hAnsi="Times New Roman" w:cs="Times New Roman"/>
        </w:rPr>
        <w:t xml:space="preserve"> </w:t>
      </w:r>
      <w:r w:rsidRPr="00B37240">
        <w:rPr>
          <w:rFonts w:ascii="Times New Roman" w:eastAsia="Times New Roman" w:hAnsi="Times New Roman" w:cs="Times New Roman"/>
        </w:rPr>
        <w:t>&amp; Swayne, 2016)</w:t>
      </w:r>
      <w:r w:rsidRPr="00663339">
        <w:rPr>
          <w:rFonts w:ascii="Times New Roman" w:hAnsi="Times New Roman" w:cs="Times New Roman"/>
        </w:rPr>
        <w:t xml:space="preserve">. </w:t>
      </w:r>
    </w:p>
    <w:p w14:paraId="662CF7EB"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Since a favorable return policy helps instill confidence and trust in the company, this is the best chance the company has to build a strong customer base from the beginning of the venture, therefore increasing potential sales and even though this option costs almost five times more than the Amazon platform option, it has a higher chance of returning on the investment in the long run (</w:t>
      </w:r>
      <w:r w:rsidRPr="00782087">
        <w:rPr>
          <w:rFonts w:ascii="Times New Roman" w:eastAsia="Times New Roman" w:hAnsi="Times New Roman" w:cs="Times New Roman"/>
        </w:rPr>
        <w:t>Tonidandel</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King</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&amp; Cortina, 2018)</w:t>
      </w:r>
      <w:r w:rsidRPr="00663339">
        <w:rPr>
          <w:rFonts w:ascii="Times New Roman" w:hAnsi="Times New Roman" w:cs="Times New Roman"/>
        </w:rPr>
        <w:t>. It is also worth considering that the company will be developing its own niche, which it can customize in any way it feels will be the best to attract and serve its customers. This will also be a chance for the company to set itself aside from the competition that it would otherwise have to experience when selling its products on Amazon, given that it will be targeting the same pool of customers as the other vendors on the same platform (</w:t>
      </w:r>
      <w:r w:rsidRPr="00782087">
        <w:rPr>
          <w:rFonts w:ascii="Times New Roman" w:eastAsia="Times New Roman" w:hAnsi="Times New Roman" w:cs="Times New Roman"/>
        </w:rPr>
        <w:t>Comuzzi</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&amp; Patel,</w:t>
      </w:r>
      <w:r w:rsidRPr="00663339">
        <w:rPr>
          <w:rFonts w:ascii="Times New Roman" w:eastAsia="Times New Roman" w:hAnsi="Times New Roman" w:cs="Times New Roman"/>
        </w:rPr>
        <w:t xml:space="preserve"> </w:t>
      </w:r>
      <w:r w:rsidRPr="00782087">
        <w:rPr>
          <w:rFonts w:ascii="Times New Roman" w:eastAsia="Times New Roman" w:hAnsi="Times New Roman" w:cs="Times New Roman"/>
        </w:rPr>
        <w:t>2016)</w:t>
      </w:r>
      <w:r w:rsidRPr="00663339">
        <w:rPr>
          <w:rFonts w:ascii="Times New Roman" w:hAnsi="Times New Roman" w:cs="Times New Roman"/>
        </w:rPr>
        <w:t xml:space="preserve">. </w:t>
      </w:r>
    </w:p>
    <w:p w14:paraId="662FEBFA" w14:textId="77777777" w:rsidR="008241A8" w:rsidRPr="00663339" w:rsidRDefault="008241A8" w:rsidP="008241A8">
      <w:pPr>
        <w:pStyle w:val="Default"/>
        <w:spacing w:line="480" w:lineRule="auto"/>
        <w:rPr>
          <w:rFonts w:ascii="Times New Roman" w:hAnsi="Times New Roman" w:cs="Times New Roman"/>
          <w:b/>
          <w:bCs/>
        </w:rPr>
      </w:pPr>
      <w:r w:rsidRPr="00663339">
        <w:rPr>
          <w:rFonts w:ascii="Times New Roman" w:hAnsi="Times New Roman" w:cs="Times New Roman"/>
          <w:b/>
          <w:bCs/>
        </w:rPr>
        <w:t>Conclusion</w:t>
      </w:r>
    </w:p>
    <w:p w14:paraId="577CCE74" w14:textId="77777777" w:rsidR="008241A8" w:rsidRPr="00663339" w:rsidRDefault="008241A8" w:rsidP="008241A8">
      <w:pPr>
        <w:pStyle w:val="Default"/>
        <w:spacing w:line="480" w:lineRule="auto"/>
        <w:ind w:firstLine="720"/>
        <w:rPr>
          <w:rFonts w:ascii="Times New Roman" w:hAnsi="Times New Roman" w:cs="Times New Roman"/>
        </w:rPr>
      </w:pPr>
      <w:r w:rsidRPr="00663339">
        <w:rPr>
          <w:rFonts w:ascii="Times New Roman" w:hAnsi="Times New Roman" w:cs="Times New Roman"/>
        </w:rPr>
        <w:t>In conclusion, Amana Ltd should choose to develop its own website for online trading with its customers. Given the factors at hand, the company will spend more money developing this option, and the sales of its products would be expected to be slow at the first stages of the website’s existence. On one hand, having its own website will help the company serve its own customers, and also to grow its sales by establishing new customer segments. This means that the company will benefit more from this option in the long-term than if it chooses to sell its souvenirs on Amazon.</w:t>
      </w:r>
    </w:p>
    <w:p w14:paraId="6A0922E9" w14:textId="77777777" w:rsidR="008241A8" w:rsidRPr="00663339" w:rsidRDefault="008241A8" w:rsidP="008241A8">
      <w:pPr>
        <w:spacing w:line="480" w:lineRule="auto"/>
        <w:rPr>
          <w:rFonts w:ascii="Times New Roman" w:hAnsi="Times New Roman" w:cs="Times New Roman"/>
          <w:color w:val="000000"/>
          <w:sz w:val="24"/>
          <w:szCs w:val="24"/>
        </w:rPr>
      </w:pPr>
      <w:r w:rsidRPr="00663339">
        <w:rPr>
          <w:rFonts w:ascii="Times New Roman" w:hAnsi="Times New Roman" w:cs="Times New Roman"/>
          <w:sz w:val="24"/>
          <w:szCs w:val="24"/>
        </w:rPr>
        <w:br w:type="page"/>
      </w:r>
    </w:p>
    <w:p w14:paraId="7B8D3EA0" w14:textId="77777777" w:rsidR="008241A8" w:rsidRPr="00B114DA" w:rsidRDefault="008241A8" w:rsidP="008241A8">
      <w:pPr>
        <w:pStyle w:val="Default"/>
        <w:spacing w:line="480" w:lineRule="auto"/>
        <w:rPr>
          <w:rFonts w:ascii="Times New Roman" w:hAnsi="Times New Roman" w:cs="Times New Roman"/>
          <w:b/>
          <w:bCs/>
        </w:rPr>
      </w:pPr>
      <w:r w:rsidRPr="00B114DA">
        <w:rPr>
          <w:rFonts w:ascii="Times New Roman" w:hAnsi="Times New Roman" w:cs="Times New Roman"/>
          <w:b/>
          <w:bCs/>
        </w:rPr>
        <w:lastRenderedPageBreak/>
        <w:t>References</w:t>
      </w:r>
    </w:p>
    <w:p w14:paraId="74A8753C" w14:textId="77777777" w:rsidR="008241A8" w:rsidRPr="003A7B10" w:rsidRDefault="008241A8" w:rsidP="008241A8">
      <w:pPr>
        <w:spacing w:after="0" w:line="480" w:lineRule="auto"/>
        <w:ind w:left="720" w:hanging="720"/>
        <w:rPr>
          <w:rFonts w:ascii="Times New Roman" w:eastAsia="Times New Roman" w:hAnsi="Times New Roman" w:cs="Times New Roman"/>
          <w:sz w:val="24"/>
          <w:szCs w:val="24"/>
        </w:rPr>
      </w:pPr>
      <w:r w:rsidRPr="003A7B10">
        <w:rPr>
          <w:rFonts w:ascii="Times New Roman" w:eastAsia="Times New Roman" w:hAnsi="Times New Roman" w:cs="Times New Roman"/>
          <w:sz w:val="24"/>
          <w:szCs w:val="24"/>
        </w:rPr>
        <w:t xml:space="preserve">Baum, T., &amp; Hai, N. T. T. (2020). Hospitality, tourism, human rights and the impact of COVID-19. </w:t>
      </w:r>
      <w:r w:rsidRPr="003A7B10">
        <w:rPr>
          <w:rFonts w:ascii="Times New Roman" w:eastAsia="Times New Roman" w:hAnsi="Times New Roman" w:cs="Times New Roman"/>
          <w:i/>
          <w:iCs/>
          <w:sz w:val="24"/>
          <w:szCs w:val="24"/>
        </w:rPr>
        <w:t>International Journal of Contemporary Hospitality Management</w:t>
      </w:r>
      <w:r w:rsidRPr="003A7B10">
        <w:rPr>
          <w:rFonts w:ascii="Times New Roman" w:eastAsia="Times New Roman" w:hAnsi="Times New Roman" w:cs="Times New Roman"/>
          <w:sz w:val="24"/>
          <w:szCs w:val="24"/>
        </w:rPr>
        <w:t>.</w:t>
      </w:r>
    </w:p>
    <w:p w14:paraId="7DA67B66" w14:textId="77777777" w:rsidR="008241A8" w:rsidRPr="00782087" w:rsidRDefault="008241A8" w:rsidP="008241A8">
      <w:pPr>
        <w:spacing w:after="0" w:line="480" w:lineRule="auto"/>
        <w:ind w:left="720" w:hanging="720"/>
        <w:rPr>
          <w:rFonts w:ascii="Times New Roman" w:eastAsia="Times New Roman" w:hAnsi="Times New Roman" w:cs="Times New Roman"/>
          <w:sz w:val="24"/>
          <w:szCs w:val="24"/>
        </w:rPr>
      </w:pPr>
      <w:r w:rsidRPr="00782087">
        <w:rPr>
          <w:rFonts w:ascii="Times New Roman" w:eastAsia="Times New Roman" w:hAnsi="Times New Roman" w:cs="Times New Roman"/>
          <w:sz w:val="24"/>
          <w:szCs w:val="24"/>
        </w:rPr>
        <w:t xml:space="preserve">Comuzzi, M., &amp; Patel, A. (2016). How organisations leverage big data: A maturity model. </w:t>
      </w:r>
      <w:r w:rsidRPr="00782087">
        <w:rPr>
          <w:rFonts w:ascii="Times New Roman" w:eastAsia="Times New Roman" w:hAnsi="Times New Roman" w:cs="Times New Roman"/>
          <w:i/>
          <w:iCs/>
          <w:sz w:val="24"/>
          <w:szCs w:val="24"/>
        </w:rPr>
        <w:t>Industrial Management &amp; Data Systems</w:t>
      </w:r>
      <w:r w:rsidRPr="00782087">
        <w:rPr>
          <w:rFonts w:ascii="Times New Roman" w:eastAsia="Times New Roman" w:hAnsi="Times New Roman" w:cs="Times New Roman"/>
          <w:sz w:val="24"/>
          <w:szCs w:val="24"/>
        </w:rPr>
        <w:t>.</w:t>
      </w:r>
    </w:p>
    <w:p w14:paraId="76D8FAF4" w14:textId="77777777" w:rsidR="008241A8" w:rsidRPr="00B37240" w:rsidRDefault="008241A8" w:rsidP="008241A8">
      <w:pPr>
        <w:spacing w:after="0" w:line="480" w:lineRule="auto"/>
        <w:ind w:left="720" w:hanging="720"/>
        <w:rPr>
          <w:rFonts w:ascii="Times New Roman" w:eastAsia="Times New Roman" w:hAnsi="Times New Roman" w:cs="Times New Roman"/>
          <w:sz w:val="24"/>
          <w:szCs w:val="24"/>
        </w:rPr>
      </w:pPr>
      <w:r w:rsidRPr="00B37240">
        <w:rPr>
          <w:rFonts w:ascii="Times New Roman" w:eastAsia="Times New Roman" w:hAnsi="Times New Roman" w:cs="Times New Roman"/>
          <w:sz w:val="24"/>
          <w:szCs w:val="24"/>
        </w:rPr>
        <w:t xml:space="preserve">Erevelles, S., Fukawa, N., &amp; Swayne, L. (2016). Big Data consumer analytics and the transformation of marketing. </w:t>
      </w:r>
      <w:r w:rsidRPr="00B37240">
        <w:rPr>
          <w:rFonts w:ascii="Times New Roman" w:eastAsia="Times New Roman" w:hAnsi="Times New Roman" w:cs="Times New Roman"/>
          <w:i/>
          <w:iCs/>
          <w:sz w:val="24"/>
          <w:szCs w:val="24"/>
        </w:rPr>
        <w:t>Journal of business research</w:t>
      </w:r>
      <w:r w:rsidRPr="00B37240">
        <w:rPr>
          <w:rFonts w:ascii="Times New Roman" w:eastAsia="Times New Roman" w:hAnsi="Times New Roman" w:cs="Times New Roman"/>
          <w:sz w:val="24"/>
          <w:szCs w:val="24"/>
        </w:rPr>
        <w:t xml:space="preserve">, </w:t>
      </w:r>
      <w:r w:rsidRPr="00B37240">
        <w:rPr>
          <w:rFonts w:ascii="Times New Roman" w:eastAsia="Times New Roman" w:hAnsi="Times New Roman" w:cs="Times New Roman"/>
          <w:i/>
          <w:iCs/>
          <w:sz w:val="24"/>
          <w:szCs w:val="24"/>
        </w:rPr>
        <w:t>69</w:t>
      </w:r>
      <w:r w:rsidRPr="00B37240">
        <w:rPr>
          <w:rFonts w:ascii="Times New Roman" w:eastAsia="Times New Roman" w:hAnsi="Times New Roman" w:cs="Times New Roman"/>
          <w:sz w:val="24"/>
          <w:szCs w:val="24"/>
        </w:rPr>
        <w:t>(2), 897-904.</w:t>
      </w:r>
    </w:p>
    <w:p w14:paraId="7D204910" w14:textId="77777777" w:rsidR="008241A8" w:rsidRPr="00782087" w:rsidRDefault="008241A8" w:rsidP="008241A8">
      <w:pPr>
        <w:spacing w:after="0" w:line="480" w:lineRule="auto"/>
        <w:ind w:left="720" w:hanging="720"/>
        <w:rPr>
          <w:rFonts w:ascii="Times New Roman" w:eastAsia="Times New Roman" w:hAnsi="Times New Roman" w:cs="Times New Roman"/>
          <w:sz w:val="24"/>
          <w:szCs w:val="24"/>
        </w:rPr>
      </w:pPr>
      <w:r w:rsidRPr="00782087">
        <w:rPr>
          <w:rFonts w:ascii="Times New Roman" w:eastAsia="Times New Roman" w:hAnsi="Times New Roman" w:cs="Times New Roman"/>
          <w:sz w:val="24"/>
          <w:szCs w:val="24"/>
        </w:rPr>
        <w:t xml:space="preserve">Ettis, S. A. (2017). Examining the relationships between online store atmospheric color, flow experience and consumer behavior. </w:t>
      </w:r>
      <w:r w:rsidRPr="00782087">
        <w:rPr>
          <w:rFonts w:ascii="Times New Roman" w:eastAsia="Times New Roman" w:hAnsi="Times New Roman" w:cs="Times New Roman"/>
          <w:i/>
          <w:iCs/>
          <w:sz w:val="24"/>
          <w:szCs w:val="24"/>
        </w:rPr>
        <w:t>Journal of Retailing and Consumer Services</w:t>
      </w:r>
      <w:r w:rsidRPr="00782087">
        <w:rPr>
          <w:rFonts w:ascii="Times New Roman" w:eastAsia="Times New Roman" w:hAnsi="Times New Roman" w:cs="Times New Roman"/>
          <w:sz w:val="24"/>
          <w:szCs w:val="24"/>
        </w:rPr>
        <w:t xml:space="preserve">, </w:t>
      </w:r>
      <w:r w:rsidRPr="00782087">
        <w:rPr>
          <w:rFonts w:ascii="Times New Roman" w:eastAsia="Times New Roman" w:hAnsi="Times New Roman" w:cs="Times New Roman"/>
          <w:i/>
          <w:iCs/>
          <w:sz w:val="24"/>
          <w:szCs w:val="24"/>
        </w:rPr>
        <w:t>37</w:t>
      </w:r>
      <w:r w:rsidRPr="00782087">
        <w:rPr>
          <w:rFonts w:ascii="Times New Roman" w:eastAsia="Times New Roman" w:hAnsi="Times New Roman" w:cs="Times New Roman"/>
          <w:sz w:val="24"/>
          <w:szCs w:val="24"/>
        </w:rPr>
        <w:t>, 43-55.</w:t>
      </w:r>
    </w:p>
    <w:p w14:paraId="5A9FF6B4" w14:textId="77777777" w:rsidR="008241A8" w:rsidRPr="00B37240" w:rsidRDefault="008241A8" w:rsidP="008241A8">
      <w:pPr>
        <w:spacing w:after="0" w:line="480" w:lineRule="auto"/>
        <w:ind w:left="720" w:hanging="720"/>
        <w:rPr>
          <w:rFonts w:ascii="Times New Roman" w:eastAsia="Times New Roman" w:hAnsi="Times New Roman" w:cs="Times New Roman"/>
          <w:sz w:val="24"/>
          <w:szCs w:val="24"/>
        </w:rPr>
      </w:pPr>
      <w:r w:rsidRPr="00B37240">
        <w:rPr>
          <w:rFonts w:ascii="Times New Roman" w:eastAsia="Times New Roman" w:hAnsi="Times New Roman" w:cs="Times New Roman"/>
          <w:sz w:val="24"/>
          <w:szCs w:val="24"/>
        </w:rPr>
        <w:t xml:space="preserve">Gössling, S., Scott, D., &amp; Hall, C. M. (2020). Pandemics, tourism and global change: a rapid assessment of COVID-19. </w:t>
      </w:r>
      <w:r w:rsidRPr="00B37240">
        <w:rPr>
          <w:rFonts w:ascii="Times New Roman" w:eastAsia="Times New Roman" w:hAnsi="Times New Roman" w:cs="Times New Roman"/>
          <w:i/>
          <w:iCs/>
          <w:sz w:val="24"/>
          <w:szCs w:val="24"/>
        </w:rPr>
        <w:t>Journal of Sustainable Tourism</w:t>
      </w:r>
      <w:r w:rsidRPr="00B37240">
        <w:rPr>
          <w:rFonts w:ascii="Times New Roman" w:eastAsia="Times New Roman" w:hAnsi="Times New Roman" w:cs="Times New Roman"/>
          <w:sz w:val="24"/>
          <w:szCs w:val="24"/>
        </w:rPr>
        <w:t xml:space="preserve">, </w:t>
      </w:r>
      <w:r w:rsidRPr="00B37240">
        <w:rPr>
          <w:rFonts w:ascii="Times New Roman" w:eastAsia="Times New Roman" w:hAnsi="Times New Roman" w:cs="Times New Roman"/>
          <w:i/>
          <w:iCs/>
          <w:sz w:val="24"/>
          <w:szCs w:val="24"/>
        </w:rPr>
        <w:t>29</w:t>
      </w:r>
      <w:r w:rsidRPr="00B37240">
        <w:rPr>
          <w:rFonts w:ascii="Times New Roman" w:eastAsia="Times New Roman" w:hAnsi="Times New Roman" w:cs="Times New Roman"/>
          <w:sz w:val="24"/>
          <w:szCs w:val="24"/>
        </w:rPr>
        <w:t>(1), 1-20.</w:t>
      </w:r>
    </w:p>
    <w:p w14:paraId="45C83606" w14:textId="77777777" w:rsidR="008241A8" w:rsidRPr="003A7B10" w:rsidRDefault="008241A8" w:rsidP="008241A8">
      <w:pPr>
        <w:spacing w:after="0" w:line="480" w:lineRule="auto"/>
        <w:ind w:left="720" w:hanging="720"/>
        <w:rPr>
          <w:rFonts w:ascii="Times New Roman" w:eastAsia="Times New Roman" w:hAnsi="Times New Roman" w:cs="Times New Roman"/>
          <w:sz w:val="24"/>
          <w:szCs w:val="24"/>
        </w:rPr>
      </w:pPr>
      <w:r w:rsidRPr="003A7B10">
        <w:rPr>
          <w:rFonts w:ascii="Times New Roman" w:eastAsia="Times New Roman" w:hAnsi="Times New Roman" w:cs="Times New Roman"/>
          <w:sz w:val="24"/>
          <w:szCs w:val="24"/>
        </w:rPr>
        <w:t xml:space="preserve">Nicola, M., Alsafi, Z., Sohrabi, C., Kerwan, A., Al-Jabir, A., Iosifidis, C., ... &amp; Agha, R. (2020). The socio-economic implications of the coronavirus and COVID-19 pandemic: a review. </w:t>
      </w:r>
      <w:r w:rsidRPr="003A7B10">
        <w:rPr>
          <w:rFonts w:ascii="Times New Roman" w:eastAsia="Times New Roman" w:hAnsi="Times New Roman" w:cs="Times New Roman"/>
          <w:i/>
          <w:iCs/>
          <w:sz w:val="24"/>
          <w:szCs w:val="24"/>
        </w:rPr>
        <w:t>International journal of surgery</w:t>
      </w:r>
      <w:r w:rsidRPr="003A7B10">
        <w:rPr>
          <w:rFonts w:ascii="Times New Roman" w:eastAsia="Times New Roman" w:hAnsi="Times New Roman" w:cs="Times New Roman"/>
          <w:sz w:val="24"/>
          <w:szCs w:val="24"/>
        </w:rPr>
        <w:t>.</w:t>
      </w:r>
    </w:p>
    <w:p w14:paraId="2CCD6DD4" w14:textId="77777777" w:rsidR="008241A8" w:rsidRPr="00782087" w:rsidRDefault="008241A8" w:rsidP="008241A8">
      <w:pPr>
        <w:spacing w:after="0" w:line="480" w:lineRule="auto"/>
        <w:ind w:left="720" w:hanging="720"/>
        <w:rPr>
          <w:rFonts w:ascii="Times New Roman" w:eastAsia="Times New Roman" w:hAnsi="Times New Roman" w:cs="Times New Roman"/>
          <w:sz w:val="24"/>
          <w:szCs w:val="24"/>
        </w:rPr>
      </w:pPr>
      <w:r w:rsidRPr="00782087">
        <w:rPr>
          <w:rFonts w:ascii="Times New Roman" w:eastAsia="Times New Roman" w:hAnsi="Times New Roman" w:cs="Times New Roman"/>
          <w:sz w:val="24"/>
          <w:szCs w:val="24"/>
        </w:rPr>
        <w:t xml:space="preserve">Park, C. H., &amp; Kim, Y. G. (2006). The effect of information satisfaction and relational benefit on consumers' online shopping site commitments. </w:t>
      </w:r>
      <w:r w:rsidRPr="00782087">
        <w:rPr>
          <w:rFonts w:ascii="Times New Roman" w:eastAsia="Times New Roman" w:hAnsi="Times New Roman" w:cs="Times New Roman"/>
          <w:i/>
          <w:iCs/>
          <w:sz w:val="24"/>
          <w:szCs w:val="24"/>
        </w:rPr>
        <w:t>Journal of Electronic Commerce in Organizations (JECO)</w:t>
      </w:r>
      <w:r w:rsidRPr="00782087">
        <w:rPr>
          <w:rFonts w:ascii="Times New Roman" w:eastAsia="Times New Roman" w:hAnsi="Times New Roman" w:cs="Times New Roman"/>
          <w:sz w:val="24"/>
          <w:szCs w:val="24"/>
        </w:rPr>
        <w:t xml:space="preserve">, </w:t>
      </w:r>
      <w:r w:rsidRPr="00782087">
        <w:rPr>
          <w:rFonts w:ascii="Times New Roman" w:eastAsia="Times New Roman" w:hAnsi="Times New Roman" w:cs="Times New Roman"/>
          <w:i/>
          <w:iCs/>
          <w:sz w:val="24"/>
          <w:szCs w:val="24"/>
        </w:rPr>
        <w:t>4</w:t>
      </w:r>
      <w:r w:rsidRPr="00782087">
        <w:rPr>
          <w:rFonts w:ascii="Times New Roman" w:eastAsia="Times New Roman" w:hAnsi="Times New Roman" w:cs="Times New Roman"/>
          <w:sz w:val="24"/>
          <w:szCs w:val="24"/>
        </w:rPr>
        <w:t>(1), 70-90.</w:t>
      </w:r>
    </w:p>
    <w:p w14:paraId="5FFB3C33" w14:textId="77777777" w:rsidR="008241A8" w:rsidRPr="00782087" w:rsidRDefault="008241A8" w:rsidP="008241A8">
      <w:pPr>
        <w:spacing w:after="0" w:line="480" w:lineRule="auto"/>
        <w:ind w:left="720" w:hanging="720"/>
        <w:rPr>
          <w:rFonts w:ascii="Times New Roman" w:eastAsia="Times New Roman" w:hAnsi="Times New Roman" w:cs="Times New Roman"/>
          <w:sz w:val="24"/>
          <w:szCs w:val="24"/>
        </w:rPr>
      </w:pPr>
      <w:r w:rsidRPr="00782087">
        <w:rPr>
          <w:rFonts w:ascii="Times New Roman" w:eastAsia="Times New Roman" w:hAnsi="Times New Roman" w:cs="Times New Roman"/>
          <w:sz w:val="24"/>
          <w:szCs w:val="24"/>
        </w:rPr>
        <w:t xml:space="preserve">Permana, R., &amp; Albar, D. (2019, November). Building an Online Store for Students. In </w:t>
      </w:r>
      <w:r w:rsidRPr="00782087">
        <w:rPr>
          <w:rFonts w:ascii="Times New Roman" w:eastAsia="Times New Roman" w:hAnsi="Times New Roman" w:cs="Times New Roman"/>
          <w:i/>
          <w:iCs/>
          <w:sz w:val="24"/>
          <w:szCs w:val="24"/>
        </w:rPr>
        <w:t>IOP Conference Series: Materials Science and Engineering</w:t>
      </w:r>
      <w:r w:rsidRPr="00782087">
        <w:rPr>
          <w:rFonts w:ascii="Times New Roman" w:eastAsia="Times New Roman" w:hAnsi="Times New Roman" w:cs="Times New Roman"/>
          <w:sz w:val="24"/>
          <w:szCs w:val="24"/>
        </w:rPr>
        <w:t xml:space="preserve"> (Vol. 662, No. 3, p. 032033). IOP Publishing.</w:t>
      </w:r>
    </w:p>
    <w:p w14:paraId="444156BB" w14:textId="77777777" w:rsidR="008241A8" w:rsidRPr="00663339" w:rsidRDefault="008241A8" w:rsidP="008241A8">
      <w:pPr>
        <w:pStyle w:val="Default"/>
        <w:spacing w:line="480" w:lineRule="auto"/>
        <w:ind w:left="720" w:hanging="720"/>
        <w:rPr>
          <w:rFonts w:ascii="Times New Roman" w:hAnsi="Times New Roman" w:cs="Times New Roman"/>
        </w:rPr>
      </w:pPr>
      <w:r w:rsidRPr="00B37240">
        <w:rPr>
          <w:rFonts w:ascii="Times New Roman" w:eastAsia="Times New Roman" w:hAnsi="Times New Roman" w:cs="Times New Roman"/>
        </w:rPr>
        <w:t xml:space="preserve">Prideaux, B., Thompson, M., &amp; Pabel, A. (2020). Lessons from COVID-19 can prepare global tourism for the economic transformation needed to combat climate change. </w:t>
      </w:r>
      <w:r w:rsidRPr="00B37240">
        <w:rPr>
          <w:rFonts w:ascii="Times New Roman" w:eastAsia="Times New Roman" w:hAnsi="Times New Roman" w:cs="Times New Roman"/>
          <w:i/>
          <w:iCs/>
        </w:rPr>
        <w:t>Tourism Geographies</w:t>
      </w:r>
      <w:r w:rsidRPr="00B37240">
        <w:rPr>
          <w:rFonts w:ascii="Times New Roman" w:eastAsia="Times New Roman" w:hAnsi="Times New Roman" w:cs="Times New Roman"/>
        </w:rPr>
        <w:t xml:space="preserve">, </w:t>
      </w:r>
      <w:r w:rsidRPr="00B37240">
        <w:rPr>
          <w:rFonts w:ascii="Times New Roman" w:eastAsia="Times New Roman" w:hAnsi="Times New Roman" w:cs="Times New Roman"/>
          <w:i/>
          <w:iCs/>
        </w:rPr>
        <w:t>22</w:t>
      </w:r>
      <w:r w:rsidRPr="00B37240">
        <w:rPr>
          <w:rFonts w:ascii="Times New Roman" w:eastAsia="Times New Roman" w:hAnsi="Times New Roman" w:cs="Times New Roman"/>
        </w:rPr>
        <w:t>(3), 667-678.</w:t>
      </w:r>
    </w:p>
    <w:p w14:paraId="19A9147C" w14:textId="77777777" w:rsidR="008241A8" w:rsidRPr="00782087" w:rsidRDefault="008241A8" w:rsidP="008241A8">
      <w:pPr>
        <w:spacing w:after="0" w:line="480" w:lineRule="auto"/>
        <w:ind w:left="720" w:hanging="720"/>
        <w:rPr>
          <w:rFonts w:ascii="Times New Roman" w:eastAsia="Times New Roman" w:hAnsi="Times New Roman" w:cs="Times New Roman"/>
          <w:sz w:val="24"/>
          <w:szCs w:val="24"/>
        </w:rPr>
      </w:pPr>
      <w:r w:rsidRPr="00782087">
        <w:rPr>
          <w:rFonts w:ascii="Times New Roman" w:eastAsia="Times New Roman" w:hAnsi="Times New Roman" w:cs="Times New Roman"/>
          <w:sz w:val="24"/>
          <w:szCs w:val="24"/>
        </w:rPr>
        <w:lastRenderedPageBreak/>
        <w:t xml:space="preserve">Tonidandel, S., King, E. B., &amp; Cortina, J. M. (2018). Big data methods: Leveraging modern data analytic techniques to build organizational science. </w:t>
      </w:r>
      <w:r w:rsidRPr="00782087">
        <w:rPr>
          <w:rFonts w:ascii="Times New Roman" w:eastAsia="Times New Roman" w:hAnsi="Times New Roman" w:cs="Times New Roman"/>
          <w:i/>
          <w:iCs/>
          <w:sz w:val="24"/>
          <w:szCs w:val="24"/>
        </w:rPr>
        <w:t>Organizational Research Methods</w:t>
      </w:r>
      <w:r w:rsidRPr="00782087">
        <w:rPr>
          <w:rFonts w:ascii="Times New Roman" w:eastAsia="Times New Roman" w:hAnsi="Times New Roman" w:cs="Times New Roman"/>
          <w:sz w:val="24"/>
          <w:szCs w:val="24"/>
        </w:rPr>
        <w:t xml:space="preserve">, </w:t>
      </w:r>
      <w:r w:rsidRPr="00782087">
        <w:rPr>
          <w:rFonts w:ascii="Times New Roman" w:eastAsia="Times New Roman" w:hAnsi="Times New Roman" w:cs="Times New Roman"/>
          <w:i/>
          <w:iCs/>
          <w:sz w:val="24"/>
          <w:szCs w:val="24"/>
        </w:rPr>
        <w:t>21</w:t>
      </w:r>
      <w:r w:rsidRPr="00782087">
        <w:rPr>
          <w:rFonts w:ascii="Times New Roman" w:eastAsia="Times New Roman" w:hAnsi="Times New Roman" w:cs="Times New Roman"/>
          <w:sz w:val="24"/>
          <w:szCs w:val="24"/>
        </w:rPr>
        <w:t>(3), 525-547.</w:t>
      </w:r>
    </w:p>
    <w:p w14:paraId="068396A4" w14:textId="77777777" w:rsidR="008241A8" w:rsidRPr="003A7B10" w:rsidRDefault="008241A8" w:rsidP="008241A8">
      <w:pPr>
        <w:spacing w:after="0" w:line="480" w:lineRule="auto"/>
        <w:ind w:left="720" w:hanging="720"/>
        <w:rPr>
          <w:rFonts w:ascii="Times New Roman" w:eastAsia="Times New Roman" w:hAnsi="Times New Roman" w:cs="Times New Roman"/>
          <w:sz w:val="24"/>
          <w:szCs w:val="24"/>
        </w:rPr>
      </w:pPr>
      <w:r w:rsidRPr="003A7B10">
        <w:rPr>
          <w:rFonts w:ascii="Times New Roman" w:eastAsia="Times New Roman" w:hAnsi="Times New Roman" w:cs="Times New Roman"/>
          <w:sz w:val="24"/>
          <w:szCs w:val="24"/>
        </w:rPr>
        <w:t xml:space="preserve">Uğur, N. G., &amp; Akbıyık, A. (2020). Impacts of COVID-19 on global tourism industry: A cross-regional comparison. </w:t>
      </w:r>
      <w:r w:rsidRPr="003A7B10">
        <w:rPr>
          <w:rFonts w:ascii="Times New Roman" w:eastAsia="Times New Roman" w:hAnsi="Times New Roman" w:cs="Times New Roman"/>
          <w:i/>
          <w:iCs/>
          <w:sz w:val="24"/>
          <w:szCs w:val="24"/>
        </w:rPr>
        <w:t>Tourism Management Perspectives</w:t>
      </w:r>
      <w:r w:rsidRPr="003A7B10">
        <w:rPr>
          <w:rFonts w:ascii="Times New Roman" w:eastAsia="Times New Roman" w:hAnsi="Times New Roman" w:cs="Times New Roman"/>
          <w:sz w:val="24"/>
          <w:szCs w:val="24"/>
        </w:rPr>
        <w:t xml:space="preserve">, </w:t>
      </w:r>
      <w:r w:rsidRPr="003A7B10">
        <w:rPr>
          <w:rFonts w:ascii="Times New Roman" w:eastAsia="Times New Roman" w:hAnsi="Times New Roman" w:cs="Times New Roman"/>
          <w:i/>
          <w:iCs/>
          <w:sz w:val="24"/>
          <w:szCs w:val="24"/>
        </w:rPr>
        <w:t>36</w:t>
      </w:r>
      <w:r w:rsidRPr="003A7B10">
        <w:rPr>
          <w:rFonts w:ascii="Times New Roman" w:eastAsia="Times New Roman" w:hAnsi="Times New Roman" w:cs="Times New Roman"/>
          <w:sz w:val="24"/>
          <w:szCs w:val="24"/>
        </w:rPr>
        <w:t>, 100744.</w:t>
      </w:r>
    </w:p>
    <w:p w14:paraId="0136D0E6" w14:textId="77777777" w:rsidR="008241A8" w:rsidRPr="00B37240" w:rsidRDefault="008241A8" w:rsidP="008241A8">
      <w:pPr>
        <w:spacing w:after="0" w:line="480" w:lineRule="auto"/>
        <w:ind w:left="720" w:hanging="720"/>
        <w:rPr>
          <w:rFonts w:ascii="Times New Roman" w:eastAsia="Times New Roman" w:hAnsi="Times New Roman" w:cs="Times New Roman"/>
          <w:sz w:val="24"/>
          <w:szCs w:val="24"/>
        </w:rPr>
      </w:pPr>
      <w:r w:rsidRPr="00B37240">
        <w:rPr>
          <w:rFonts w:ascii="Times New Roman" w:eastAsia="Times New Roman" w:hAnsi="Times New Roman" w:cs="Times New Roman"/>
          <w:sz w:val="24"/>
          <w:szCs w:val="24"/>
        </w:rPr>
        <w:t xml:space="preserve">Yeh, S. S. (2020). Tourism recovery strategy against COVID-19 pandemic. </w:t>
      </w:r>
      <w:r w:rsidRPr="00B37240">
        <w:rPr>
          <w:rFonts w:ascii="Times New Roman" w:eastAsia="Times New Roman" w:hAnsi="Times New Roman" w:cs="Times New Roman"/>
          <w:i/>
          <w:iCs/>
          <w:sz w:val="24"/>
          <w:szCs w:val="24"/>
        </w:rPr>
        <w:t>Tourism Recreation Research</w:t>
      </w:r>
      <w:r w:rsidRPr="00B37240">
        <w:rPr>
          <w:rFonts w:ascii="Times New Roman" w:eastAsia="Times New Roman" w:hAnsi="Times New Roman" w:cs="Times New Roman"/>
          <w:sz w:val="24"/>
          <w:szCs w:val="24"/>
        </w:rPr>
        <w:t>, 1-7.</w:t>
      </w:r>
    </w:p>
    <w:p w14:paraId="098B2B94" w14:textId="77777777" w:rsidR="006855D2" w:rsidRDefault="006855D2"/>
    <w:sectPr w:rsidR="00685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4156A2"/>
    <w:multiLevelType w:val="multilevel"/>
    <w:tmpl w:val="77768C5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19F"/>
    <w:rsid w:val="001B43B0"/>
    <w:rsid w:val="0022219F"/>
    <w:rsid w:val="00255FCE"/>
    <w:rsid w:val="003D183E"/>
    <w:rsid w:val="003D6601"/>
    <w:rsid w:val="004D33C3"/>
    <w:rsid w:val="006855D2"/>
    <w:rsid w:val="007A6BC8"/>
    <w:rsid w:val="008241A8"/>
    <w:rsid w:val="00A00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408BB"/>
  <w15:chartTrackingRefBased/>
  <w15:docId w15:val="{E7B869AD-A65C-4A34-8650-53F7904CB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FC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241A8"/>
    <w:pPr>
      <w:autoSpaceDE w:val="0"/>
      <w:autoSpaceDN w:val="0"/>
      <w:adjustRightInd w:val="0"/>
      <w:spacing w:after="0" w:line="240" w:lineRule="auto"/>
    </w:pPr>
    <w:rPr>
      <w:rFonts w:ascii="Arial" w:hAnsi="Arial" w:cs="Arial"/>
      <w:color w:val="000000"/>
      <w:sz w:val="24"/>
      <w:szCs w:val="24"/>
      <w:lang w:val="en-US"/>
    </w:rPr>
  </w:style>
  <w:style w:type="table" w:styleId="GridTable2">
    <w:name w:val="Grid Table 2"/>
    <w:basedOn w:val="TableNormal"/>
    <w:uiPriority w:val="47"/>
    <w:rsid w:val="008241A8"/>
    <w:pPr>
      <w:spacing w:after="0" w:line="240" w:lineRule="auto"/>
    </w:pPr>
    <w:rPr>
      <w:lang w:val="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8241A8"/>
    <w:pPr>
      <w:spacing w:after="0" w:line="240" w:lineRule="auto"/>
    </w:pPr>
    <w:rPr>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1Light-Accent3">
    <w:name w:val="List Table 1 Light Accent 3"/>
    <w:basedOn w:val="TableNormal"/>
    <w:uiPriority w:val="46"/>
    <w:rsid w:val="008241A8"/>
    <w:pPr>
      <w:spacing w:after="0" w:line="240" w:lineRule="auto"/>
    </w:pPr>
    <w:rPr>
      <w:lang w:val="en-US"/>
    </w:r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3">
    <w:name w:val="Grid Table 2 Accent 3"/>
    <w:basedOn w:val="TableNormal"/>
    <w:uiPriority w:val="47"/>
    <w:rsid w:val="008241A8"/>
    <w:pPr>
      <w:spacing w:after="0" w:line="240" w:lineRule="auto"/>
    </w:pPr>
    <w:rPr>
      <w:lang w:val="en-US"/>
    </w:r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2553</Words>
  <Characters>14558</Characters>
  <Application>Microsoft Office Word</Application>
  <DocSecurity>0</DocSecurity>
  <Lines>121</Lines>
  <Paragraphs>34</Paragraphs>
  <ScaleCrop>false</ScaleCrop>
  <Company/>
  <LinksUpToDate>false</LinksUpToDate>
  <CharactersWithSpaces>17077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 (1917363)</dc:creator>
  <cp:keywords/>
  <dc:description/>
  <cp:lastModifiedBy>Teodor Angelov (1917363)</cp:lastModifiedBy>
  <cp:revision>9</cp:revision>
  <dcterms:created xsi:type="dcterms:W3CDTF">2021-05-03T13:06:00Z</dcterms:created>
  <dcterms:modified xsi:type="dcterms:W3CDTF">2021-05-04T19:01:00Z</dcterms:modified>
</cp:coreProperties>
</file>