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789906565"/>
        <w:docPartObj>
          <w:docPartGallery w:val="Cover Pages"/>
          <w:docPartUnique/>
        </w:docPartObj>
      </w:sdtPr>
      <w:sdtEndPr>
        <w:rPr>
          <w:rFonts w:ascii="Times New Roman" w:hAnsi="Times New Roman" w:cs="Times New Roman"/>
          <w:color w:val="FFFFFF" w:themeColor="background1"/>
          <w:sz w:val="20"/>
          <w:szCs w:val="20"/>
          <w:lang w:eastAsia="en-GB"/>
        </w:rPr>
      </w:sdtEndPr>
      <w:sdtContent>
        <w:p w14:paraId="36666F20" w14:textId="2B4471E4" w:rsidR="001F093C" w:rsidRDefault="001F093C">
          <w:pPr>
            <w:pStyle w:val="NoSpacing"/>
            <w:spacing w:before="1540" w:after="240"/>
            <w:jc w:val="center"/>
            <w:rPr>
              <w:color w:val="156082" w:themeColor="accent1"/>
            </w:rPr>
          </w:pPr>
          <w:r>
            <w:rPr>
              <w:noProof/>
              <w:color w:val="156082" w:themeColor="accent1"/>
            </w:rPr>
            <w:drawing>
              <wp:inline distT="0" distB="0" distL="0" distR="0" wp14:anchorId="6944B267" wp14:editId="7BD1FE5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A3E7DFE9A438447C90F966C8E8D91FA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C20009" w14:textId="75766718" w:rsidR="001F093C" w:rsidRDefault="001F093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The Impact of Corporate Governance and CSR on Firm Performance:                                         </w:t>
              </w:r>
            </w:p>
          </w:sdtContent>
        </w:sdt>
        <w:sdt>
          <w:sdtPr>
            <w:rPr>
              <w:rFonts w:asciiTheme="majorHAnsi" w:eastAsiaTheme="majorEastAsia" w:hAnsiTheme="majorHAnsi" w:cstheme="majorBidi"/>
              <w:caps/>
              <w:color w:val="156082" w:themeColor="accent1"/>
              <w:sz w:val="72"/>
              <w:szCs w:val="72"/>
            </w:rPr>
            <w:alias w:val="Subtitle"/>
            <w:tag w:val=""/>
            <w:id w:val="328029620"/>
            <w:placeholder>
              <w:docPart w:val="540DDCA943974F5D90C183AB89B91073"/>
            </w:placeholder>
            <w:dataBinding w:prefixMappings="xmlns:ns0='http://purl.org/dc/elements/1.1/' xmlns:ns1='http://schemas.openxmlformats.org/package/2006/metadata/core-properties' " w:xpath="/ns1:coreProperties[1]/ns0:subject[1]" w:storeItemID="{6C3C8BC8-F283-45AE-878A-BAB7291924A1}"/>
            <w:text/>
          </w:sdtPr>
          <w:sdtContent>
            <w:p w14:paraId="378811D7" w14:textId="58A5BBEF" w:rsidR="001F093C" w:rsidRDefault="001F093C">
              <w:pPr>
                <w:pStyle w:val="NoSpacing"/>
                <w:jc w:val="center"/>
                <w:rPr>
                  <w:color w:val="156082" w:themeColor="accent1"/>
                  <w:sz w:val="28"/>
                  <w:szCs w:val="28"/>
                </w:rPr>
              </w:pPr>
              <w:r w:rsidRPr="001F093C">
                <w:rPr>
                  <w:rFonts w:asciiTheme="majorHAnsi" w:eastAsiaTheme="majorEastAsia" w:hAnsiTheme="majorHAnsi" w:cstheme="majorBidi"/>
                  <w:caps/>
                  <w:color w:val="156082" w:themeColor="accent1"/>
                  <w:sz w:val="72"/>
                  <w:szCs w:val="72"/>
                </w:rPr>
                <w:t>A CASE STUDY OF UNILEVER PLC</w:t>
              </w:r>
            </w:p>
          </w:sdtContent>
        </w:sdt>
        <w:p w14:paraId="7A214443" w14:textId="57C2CFF4" w:rsidR="001F093C" w:rsidRDefault="001F093C">
          <w:pPr>
            <w:pStyle w:val="NoSpacing"/>
            <w:spacing w:before="480"/>
            <w:jc w:val="center"/>
            <w:rPr>
              <w:color w:val="156082" w:themeColor="accent1"/>
            </w:rPr>
          </w:pPr>
          <w:r>
            <w:rPr>
              <w:noProof/>
              <w:color w:val="156082" w:themeColor="accent1"/>
            </w:rPr>
            <w:drawing>
              <wp:inline distT="0" distB="0" distL="0" distR="0" wp14:anchorId="2A81D19B" wp14:editId="0D9BE4B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928C36" w14:textId="67B0A412" w:rsidR="001F093C" w:rsidRDefault="001F093C">
          <w:pPr>
            <w:rPr>
              <w:rFonts w:eastAsiaTheme="minorEastAsia"/>
              <w:color w:val="FFFFFF" w:themeColor="background1"/>
              <w:lang w:val="en-US"/>
            </w:rPr>
          </w:pPr>
          <w:r>
            <w:rPr>
              <w:noProof/>
              <w:color w:val="156082" w:themeColor="accent1"/>
            </w:rPr>
            <mc:AlternateContent>
              <mc:Choice Requires="wps">
                <w:drawing>
                  <wp:anchor distT="0" distB="0" distL="114300" distR="114300" simplePos="0" relativeHeight="251659264" behindDoc="0" locked="0" layoutInCell="1" allowOverlap="1" wp14:anchorId="55A3A498" wp14:editId="26EDAFCD">
                    <wp:simplePos x="0" y="0"/>
                    <wp:positionH relativeFrom="margin">
                      <wp:posOffset>-152400</wp:posOffset>
                    </wp:positionH>
                    <wp:positionV relativeFrom="page">
                      <wp:posOffset>9129683</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9F9E4" w14:textId="3E632155" w:rsidR="001F093C" w:rsidRDefault="001F093C">
                                <w:pPr>
                                  <w:pStyle w:val="NoSpacing"/>
                                  <w:spacing w:after="40"/>
                                  <w:jc w:val="center"/>
                                  <w:rPr>
                                    <w:caps/>
                                    <w:color w:val="156082" w:themeColor="accent1"/>
                                    <w:sz w:val="28"/>
                                    <w:szCs w:val="28"/>
                                  </w:rPr>
                                </w:pPr>
                              </w:p>
                              <w:p w14:paraId="10075AC1" w14:textId="77777777" w:rsidR="001F093C" w:rsidRPr="001F093C" w:rsidRDefault="001F093C" w:rsidP="001F093C">
                                <w:pPr>
                                  <w:spacing w:before="120" w:after="120"/>
                                  <w:jc w:val="center"/>
                                  <w:rPr>
                                    <w:caps/>
                                    <w:color w:val="156082" w:themeColor="accent1"/>
                                  </w:rPr>
                                </w:pPr>
                                <w:r w:rsidRPr="001F093C">
                                  <w:rPr>
                                    <w:caps/>
                                    <w:color w:val="156082" w:themeColor="accent1"/>
                                  </w:rPr>
                                  <w:t>Author:   Elena Turcanu, Student nr 2127547</w:t>
                                </w:r>
                              </w:p>
                              <w:p w14:paraId="63955B0D" w14:textId="36EF2912" w:rsidR="001F093C" w:rsidRPr="007B48CC" w:rsidRDefault="001F093C" w:rsidP="001F093C">
                                <w:pPr>
                                  <w:spacing w:before="120" w:after="120"/>
                                  <w:jc w:val="center"/>
                                  <w:rPr>
                                    <w:rFonts w:asciiTheme="minorBidi" w:hAnsiTheme="minorBidi" w:cstheme="minorBidi"/>
                                    <w:b/>
                                    <w:sz w:val="22"/>
                                    <w:szCs w:val="22"/>
                                  </w:rPr>
                                </w:pPr>
                                <w:r>
                                  <w:rPr>
                                    <w:caps/>
                                    <w:color w:val="156082" w:themeColor="accent1"/>
                                  </w:rPr>
                                  <w:t>lecturer:</w:t>
                                </w:r>
                                <w:r w:rsidRPr="001F093C">
                                  <w:rPr>
                                    <w:rFonts w:asciiTheme="minorBidi" w:hAnsiTheme="minorBidi"/>
                                    <w:b/>
                                    <w:bCs/>
                                  </w:rPr>
                                  <w:t xml:space="preserve"> </w:t>
                                </w:r>
                                <w:r w:rsidRPr="001F093C">
                                  <w:rPr>
                                    <w:caps/>
                                    <w:color w:val="156082" w:themeColor="accent1"/>
                                  </w:rPr>
                                  <w:t>Dr Yousuf Kamal</w:t>
                                </w:r>
                              </w:p>
                              <w:p w14:paraId="3F94667C" w14:textId="35B6FC15" w:rsidR="001F093C" w:rsidRPr="001F093C" w:rsidRDefault="001F093C">
                                <w:pPr>
                                  <w:pStyle w:val="NoSpacing"/>
                                  <w:jc w:val="center"/>
                                  <w:rPr>
                                    <w:color w:val="156082" w:themeColor="accent1"/>
                                    <w:lang w:val="en-GB"/>
                                  </w:rPr>
                                </w:pPr>
                              </w:p>
                              <w:p w14:paraId="3B2C87E7" w14:textId="08DAFD73" w:rsidR="001F093C" w:rsidRDefault="001F093C" w:rsidP="001F093C">
                                <w:pPr>
                                  <w:pStyle w:val="NoSpacing"/>
                                  <w:rPr>
                                    <w:color w:val="156082" w:themeColor="accent1"/>
                                  </w:rPr>
                                </w:pPr>
                                <w:sdt>
                                  <w:sdtPr>
                                    <w:rPr>
                                      <w:rFonts w:asciiTheme="minorBidi" w:eastAsia="Times New Roman" w:hAnsiTheme="minorBidi"/>
                                      <w:b/>
                                      <w:bCs/>
                                      <w:sz w:val="20"/>
                                      <w:szCs w:val="20"/>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rFonts w:asciiTheme="minorBidi" w:eastAsia="Times New Roman" w:hAnsiTheme="minorBidi"/>
                                        <w:b/>
                                        <w:bCs/>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5A3A498" id="_x0000_t202" coordsize="21600,21600" o:spt="202" path="m,l,21600r21600,l21600,xe">
                    <v:stroke joinstyle="miter"/>
                    <v:path gradientshapeok="t" o:connecttype="rect"/>
                  </v:shapetype>
                  <v:shape id="Text Box 146" o:spid="_x0000_s1026" type="#_x0000_t202" style="position:absolute;margin-left:-12pt;margin-top:718.8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" filled="f" stroked="f" strokeweight=".5pt">
                    <v:textbox style="mso-fit-shape-to-text:t" inset="0,0,0,0">
                      <w:txbxContent>
                        <w:p w14:paraId="4019F9E4" w14:textId="3E632155" w:rsidR="001F093C" w:rsidRDefault="001F093C">
                          <w:pPr>
                            <w:pStyle w:val="NoSpacing"/>
                            <w:spacing w:after="40"/>
                            <w:jc w:val="center"/>
                            <w:rPr>
                              <w:caps/>
                              <w:color w:val="156082" w:themeColor="accent1"/>
                              <w:sz w:val="28"/>
                              <w:szCs w:val="28"/>
                            </w:rPr>
                          </w:pPr>
                        </w:p>
                        <w:p w14:paraId="10075AC1" w14:textId="77777777" w:rsidR="001F093C" w:rsidRPr="001F093C" w:rsidRDefault="001F093C" w:rsidP="001F093C">
                          <w:pPr>
                            <w:spacing w:before="120" w:after="120"/>
                            <w:jc w:val="center"/>
                            <w:rPr>
                              <w:caps/>
                              <w:color w:val="156082" w:themeColor="accent1"/>
                            </w:rPr>
                          </w:pPr>
                          <w:r w:rsidRPr="001F093C">
                            <w:rPr>
                              <w:caps/>
                              <w:color w:val="156082" w:themeColor="accent1"/>
                            </w:rPr>
                            <w:t>Author:   Elena Turcanu, Student nr 2127547</w:t>
                          </w:r>
                        </w:p>
                        <w:p w14:paraId="63955B0D" w14:textId="36EF2912" w:rsidR="001F093C" w:rsidRPr="007B48CC" w:rsidRDefault="001F093C" w:rsidP="001F093C">
                          <w:pPr>
                            <w:spacing w:before="120" w:after="120"/>
                            <w:jc w:val="center"/>
                            <w:rPr>
                              <w:rFonts w:asciiTheme="minorBidi" w:hAnsiTheme="minorBidi" w:cstheme="minorBidi"/>
                              <w:b/>
                              <w:sz w:val="22"/>
                              <w:szCs w:val="22"/>
                            </w:rPr>
                          </w:pPr>
                          <w:r>
                            <w:rPr>
                              <w:caps/>
                              <w:color w:val="156082" w:themeColor="accent1"/>
                            </w:rPr>
                            <w:t>lecturer:</w:t>
                          </w:r>
                          <w:r w:rsidRPr="001F093C">
                            <w:rPr>
                              <w:rFonts w:asciiTheme="minorBidi" w:hAnsiTheme="minorBidi"/>
                              <w:b/>
                              <w:bCs/>
                            </w:rPr>
                            <w:t xml:space="preserve"> </w:t>
                          </w:r>
                          <w:r w:rsidRPr="001F093C">
                            <w:rPr>
                              <w:caps/>
                              <w:color w:val="156082" w:themeColor="accent1"/>
                            </w:rPr>
                            <w:t>Dr Yousuf Kamal</w:t>
                          </w:r>
                        </w:p>
                        <w:p w14:paraId="3F94667C" w14:textId="35B6FC15" w:rsidR="001F093C" w:rsidRPr="001F093C" w:rsidRDefault="001F093C">
                          <w:pPr>
                            <w:pStyle w:val="NoSpacing"/>
                            <w:jc w:val="center"/>
                            <w:rPr>
                              <w:color w:val="156082" w:themeColor="accent1"/>
                              <w:lang w:val="en-GB"/>
                            </w:rPr>
                          </w:pPr>
                        </w:p>
                        <w:p w14:paraId="3B2C87E7" w14:textId="08DAFD73" w:rsidR="001F093C" w:rsidRDefault="001F093C" w:rsidP="001F093C">
                          <w:pPr>
                            <w:pStyle w:val="NoSpacing"/>
                            <w:rPr>
                              <w:color w:val="156082" w:themeColor="accent1"/>
                            </w:rPr>
                          </w:pPr>
                          <w:sdt>
                            <w:sdtPr>
                              <w:rPr>
                                <w:rFonts w:asciiTheme="minorBidi" w:eastAsia="Times New Roman" w:hAnsiTheme="minorBidi"/>
                                <w:b/>
                                <w:bCs/>
                                <w:sz w:val="20"/>
                                <w:szCs w:val="20"/>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rFonts w:asciiTheme="minorBidi" w:eastAsia="Times New Roman" w:hAnsiTheme="minorBidi"/>
                                  <w:b/>
                                  <w:bCs/>
                                  <w:sz w:val="20"/>
                                  <w:szCs w:val="20"/>
                                </w:rPr>
                                <w:t xml:space="preserve">     </w:t>
                              </w:r>
                            </w:sdtContent>
                          </w:sdt>
                        </w:p>
                      </w:txbxContent>
                    </v:textbox>
                    <w10:wrap anchorx="margin" anchory="page"/>
                  </v:shape>
                </w:pict>
              </mc:Fallback>
            </mc:AlternateContent>
          </w:r>
          <w:r>
            <w:rPr>
              <w:rFonts w:eastAsiaTheme="minorEastAsia"/>
              <w:color w:val="FFFFFF" w:themeColor="background1"/>
              <w:lang w:val="en-US"/>
            </w:rPr>
            <w:br w:type="page"/>
          </w:r>
        </w:p>
      </w:sdtContent>
    </w:sdt>
    <w:sdt>
      <w:sdtPr>
        <w:id w:val="-1301065900"/>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527EA154" w14:textId="66766FC3" w:rsidR="001F093C" w:rsidRPr="001F093C" w:rsidRDefault="001F093C">
          <w:pPr>
            <w:pStyle w:val="TOCHeading"/>
            <w:rPr>
              <w:color w:val="auto"/>
            </w:rPr>
          </w:pPr>
          <w:r w:rsidRPr="001F093C">
            <w:rPr>
              <w:color w:val="auto"/>
            </w:rPr>
            <w:t>Table of Contents</w:t>
          </w:r>
        </w:p>
        <w:p w14:paraId="2999CB07" w14:textId="1B7B14AB" w:rsidR="001F093C" w:rsidRDefault="001F093C">
          <w:pPr>
            <w:pStyle w:val="TOC1"/>
            <w:tabs>
              <w:tab w:val="left" w:pos="440"/>
              <w:tab w:val="right" w:leader="dot" w:pos="9465"/>
            </w:tabs>
            <w:rPr>
              <w:rFonts w:eastAsiaTheme="minorEastAsia"/>
              <w:noProof/>
              <w:sz w:val="24"/>
              <w:szCs w:val="24"/>
              <w:lang w:eastAsia="en-GB"/>
            </w:rPr>
          </w:pPr>
          <w:r>
            <w:fldChar w:fldCharType="begin"/>
          </w:r>
          <w:r>
            <w:instrText xml:space="preserve"> TOC \o "1-3" \h \z \u </w:instrText>
          </w:r>
          <w:r>
            <w:fldChar w:fldCharType="separate"/>
          </w:r>
          <w:hyperlink w:anchor="_Toc170563448" w:history="1">
            <w:r w:rsidRPr="00D9601E">
              <w:rPr>
                <w:rStyle w:val="Hyperlink"/>
                <w:noProof/>
              </w:rPr>
              <w:t>I)</w:t>
            </w:r>
            <w:r>
              <w:rPr>
                <w:rFonts w:eastAsiaTheme="minorEastAsia"/>
                <w:noProof/>
                <w:sz w:val="24"/>
                <w:szCs w:val="24"/>
                <w:lang w:eastAsia="en-GB"/>
              </w:rPr>
              <w:tab/>
            </w:r>
            <w:r w:rsidRPr="00D9601E">
              <w:rPr>
                <w:rStyle w:val="Hyperlink"/>
                <w:noProof/>
              </w:rPr>
              <w:t>Introduction</w:t>
            </w:r>
            <w:r>
              <w:rPr>
                <w:noProof/>
                <w:webHidden/>
              </w:rPr>
              <w:tab/>
            </w:r>
            <w:r>
              <w:rPr>
                <w:noProof/>
                <w:webHidden/>
              </w:rPr>
              <w:fldChar w:fldCharType="begin"/>
            </w:r>
            <w:r>
              <w:rPr>
                <w:noProof/>
                <w:webHidden/>
              </w:rPr>
              <w:instrText xml:space="preserve"> PAGEREF _Toc170563448 \h </w:instrText>
            </w:r>
            <w:r>
              <w:rPr>
                <w:noProof/>
                <w:webHidden/>
              </w:rPr>
            </w:r>
            <w:r>
              <w:rPr>
                <w:noProof/>
                <w:webHidden/>
              </w:rPr>
              <w:fldChar w:fldCharType="separate"/>
            </w:r>
            <w:r>
              <w:rPr>
                <w:noProof/>
                <w:webHidden/>
              </w:rPr>
              <w:t>2</w:t>
            </w:r>
            <w:r>
              <w:rPr>
                <w:noProof/>
                <w:webHidden/>
              </w:rPr>
              <w:fldChar w:fldCharType="end"/>
            </w:r>
          </w:hyperlink>
        </w:p>
        <w:p w14:paraId="0C0EA443" w14:textId="6E24F53C" w:rsidR="001F093C" w:rsidRDefault="001F093C">
          <w:pPr>
            <w:pStyle w:val="TOC1"/>
            <w:tabs>
              <w:tab w:val="left" w:pos="440"/>
              <w:tab w:val="right" w:leader="dot" w:pos="9465"/>
            </w:tabs>
            <w:rPr>
              <w:rFonts w:eastAsiaTheme="minorEastAsia"/>
              <w:noProof/>
              <w:sz w:val="24"/>
              <w:szCs w:val="24"/>
              <w:lang w:eastAsia="en-GB"/>
            </w:rPr>
          </w:pPr>
          <w:hyperlink w:anchor="_Toc170563449" w:history="1">
            <w:r w:rsidRPr="00D9601E">
              <w:rPr>
                <w:rStyle w:val="Hyperlink"/>
                <w:noProof/>
              </w:rPr>
              <w:t>II)</w:t>
            </w:r>
            <w:r>
              <w:rPr>
                <w:rFonts w:eastAsiaTheme="minorEastAsia"/>
                <w:noProof/>
                <w:sz w:val="24"/>
                <w:szCs w:val="24"/>
                <w:lang w:eastAsia="en-GB"/>
              </w:rPr>
              <w:tab/>
            </w:r>
            <w:r w:rsidRPr="00D9601E">
              <w:rPr>
                <w:rStyle w:val="Hyperlink"/>
                <w:noProof/>
              </w:rPr>
              <w:t>Metrics for Corporate Governance and Corporate Social Responsibility (CSR)</w:t>
            </w:r>
            <w:r>
              <w:rPr>
                <w:noProof/>
                <w:webHidden/>
              </w:rPr>
              <w:tab/>
            </w:r>
            <w:r>
              <w:rPr>
                <w:noProof/>
                <w:webHidden/>
              </w:rPr>
              <w:fldChar w:fldCharType="begin"/>
            </w:r>
            <w:r>
              <w:rPr>
                <w:noProof/>
                <w:webHidden/>
              </w:rPr>
              <w:instrText xml:space="preserve"> PAGEREF _Toc170563449 \h </w:instrText>
            </w:r>
            <w:r>
              <w:rPr>
                <w:noProof/>
                <w:webHidden/>
              </w:rPr>
            </w:r>
            <w:r>
              <w:rPr>
                <w:noProof/>
                <w:webHidden/>
              </w:rPr>
              <w:fldChar w:fldCharType="separate"/>
            </w:r>
            <w:r>
              <w:rPr>
                <w:noProof/>
                <w:webHidden/>
              </w:rPr>
              <w:t>2</w:t>
            </w:r>
            <w:r>
              <w:rPr>
                <w:noProof/>
                <w:webHidden/>
              </w:rPr>
              <w:fldChar w:fldCharType="end"/>
            </w:r>
          </w:hyperlink>
        </w:p>
        <w:p w14:paraId="28C05437" w14:textId="44BCA3DA" w:rsidR="001F093C" w:rsidRDefault="001F093C">
          <w:pPr>
            <w:pStyle w:val="TOC2"/>
            <w:tabs>
              <w:tab w:val="left" w:pos="960"/>
              <w:tab w:val="right" w:leader="dot" w:pos="9465"/>
            </w:tabs>
            <w:rPr>
              <w:rFonts w:eastAsiaTheme="minorEastAsia"/>
              <w:noProof/>
              <w:sz w:val="24"/>
              <w:szCs w:val="24"/>
              <w:lang w:eastAsia="en-GB"/>
            </w:rPr>
          </w:pPr>
          <w:hyperlink w:anchor="_Toc170563450" w:history="1">
            <w:r w:rsidRPr="00D9601E">
              <w:rPr>
                <w:rStyle w:val="Hyperlink"/>
                <w:noProof/>
              </w:rPr>
              <w:t>II. 1.</w:t>
            </w:r>
            <w:r>
              <w:rPr>
                <w:rFonts w:eastAsiaTheme="minorEastAsia"/>
                <w:noProof/>
                <w:sz w:val="24"/>
                <w:szCs w:val="24"/>
                <w:lang w:eastAsia="en-GB"/>
              </w:rPr>
              <w:tab/>
            </w:r>
            <w:r w:rsidRPr="00D9601E">
              <w:rPr>
                <w:rStyle w:val="Hyperlink"/>
                <w:noProof/>
              </w:rPr>
              <w:t>Metrics for Corporate Governance</w:t>
            </w:r>
            <w:r>
              <w:rPr>
                <w:noProof/>
                <w:webHidden/>
              </w:rPr>
              <w:tab/>
            </w:r>
            <w:r>
              <w:rPr>
                <w:noProof/>
                <w:webHidden/>
              </w:rPr>
              <w:fldChar w:fldCharType="begin"/>
            </w:r>
            <w:r>
              <w:rPr>
                <w:noProof/>
                <w:webHidden/>
              </w:rPr>
              <w:instrText xml:space="preserve"> PAGEREF _Toc170563450 \h </w:instrText>
            </w:r>
            <w:r>
              <w:rPr>
                <w:noProof/>
                <w:webHidden/>
              </w:rPr>
            </w:r>
            <w:r>
              <w:rPr>
                <w:noProof/>
                <w:webHidden/>
              </w:rPr>
              <w:fldChar w:fldCharType="separate"/>
            </w:r>
            <w:r>
              <w:rPr>
                <w:noProof/>
                <w:webHidden/>
              </w:rPr>
              <w:t>2</w:t>
            </w:r>
            <w:r>
              <w:rPr>
                <w:noProof/>
                <w:webHidden/>
              </w:rPr>
              <w:fldChar w:fldCharType="end"/>
            </w:r>
          </w:hyperlink>
        </w:p>
        <w:p w14:paraId="756B8C75" w14:textId="63C9E08A" w:rsidR="001F093C" w:rsidRDefault="001F093C">
          <w:pPr>
            <w:pStyle w:val="TOC3"/>
            <w:tabs>
              <w:tab w:val="left" w:pos="1440"/>
              <w:tab w:val="right" w:leader="dot" w:pos="9465"/>
            </w:tabs>
            <w:rPr>
              <w:rFonts w:eastAsiaTheme="minorEastAsia"/>
              <w:noProof/>
              <w:sz w:val="24"/>
              <w:szCs w:val="24"/>
              <w:lang w:eastAsia="en-GB"/>
            </w:rPr>
          </w:pPr>
          <w:hyperlink w:anchor="_Toc170563451" w:history="1">
            <w:r w:rsidRPr="00D9601E">
              <w:rPr>
                <w:rStyle w:val="Hyperlink"/>
                <w:noProof/>
              </w:rPr>
              <w:t>II. 1. a)</w:t>
            </w:r>
            <w:r>
              <w:rPr>
                <w:rFonts w:eastAsiaTheme="minorEastAsia"/>
                <w:noProof/>
                <w:sz w:val="24"/>
                <w:szCs w:val="24"/>
                <w:lang w:eastAsia="en-GB"/>
              </w:rPr>
              <w:tab/>
            </w:r>
            <w:r w:rsidRPr="00D9601E">
              <w:rPr>
                <w:rStyle w:val="Hyperlink"/>
                <w:noProof/>
              </w:rPr>
              <w:t xml:space="preserve">Board </w:t>
            </w:r>
            <w:r w:rsidRPr="00D9601E">
              <w:rPr>
                <w:rStyle w:val="Hyperlink"/>
                <w:rFonts w:eastAsiaTheme="majorEastAsia"/>
                <w:noProof/>
              </w:rPr>
              <w:t>Composition</w:t>
            </w:r>
            <w:r w:rsidRPr="00D9601E">
              <w:rPr>
                <w:rStyle w:val="Hyperlink"/>
                <w:noProof/>
              </w:rPr>
              <w:t xml:space="preserve"> and Diversity:</w:t>
            </w:r>
            <w:r>
              <w:rPr>
                <w:noProof/>
                <w:webHidden/>
              </w:rPr>
              <w:tab/>
            </w:r>
            <w:r>
              <w:rPr>
                <w:noProof/>
                <w:webHidden/>
              </w:rPr>
              <w:fldChar w:fldCharType="begin"/>
            </w:r>
            <w:r>
              <w:rPr>
                <w:noProof/>
                <w:webHidden/>
              </w:rPr>
              <w:instrText xml:space="preserve"> PAGEREF _Toc170563451 \h </w:instrText>
            </w:r>
            <w:r>
              <w:rPr>
                <w:noProof/>
                <w:webHidden/>
              </w:rPr>
            </w:r>
            <w:r>
              <w:rPr>
                <w:noProof/>
                <w:webHidden/>
              </w:rPr>
              <w:fldChar w:fldCharType="separate"/>
            </w:r>
            <w:r>
              <w:rPr>
                <w:noProof/>
                <w:webHidden/>
              </w:rPr>
              <w:t>2</w:t>
            </w:r>
            <w:r>
              <w:rPr>
                <w:noProof/>
                <w:webHidden/>
              </w:rPr>
              <w:fldChar w:fldCharType="end"/>
            </w:r>
          </w:hyperlink>
        </w:p>
        <w:p w14:paraId="39F85379" w14:textId="3F17D94E" w:rsidR="001F093C" w:rsidRDefault="001F093C">
          <w:pPr>
            <w:pStyle w:val="TOC3"/>
            <w:tabs>
              <w:tab w:val="left" w:pos="1440"/>
              <w:tab w:val="right" w:leader="dot" w:pos="9465"/>
            </w:tabs>
            <w:rPr>
              <w:rFonts w:eastAsiaTheme="minorEastAsia"/>
              <w:noProof/>
              <w:sz w:val="24"/>
              <w:szCs w:val="24"/>
              <w:lang w:eastAsia="en-GB"/>
            </w:rPr>
          </w:pPr>
          <w:hyperlink w:anchor="_Toc170563452" w:history="1">
            <w:r w:rsidRPr="00D9601E">
              <w:rPr>
                <w:rStyle w:val="Hyperlink"/>
                <w:noProof/>
              </w:rPr>
              <w:t>II. 1. b)</w:t>
            </w:r>
            <w:r>
              <w:rPr>
                <w:rFonts w:eastAsiaTheme="minorEastAsia"/>
                <w:noProof/>
                <w:sz w:val="24"/>
                <w:szCs w:val="24"/>
                <w:lang w:eastAsia="en-GB"/>
              </w:rPr>
              <w:tab/>
            </w:r>
            <w:r w:rsidRPr="00D9601E">
              <w:rPr>
                <w:rStyle w:val="Hyperlink"/>
                <w:noProof/>
              </w:rPr>
              <w:t>Ethical Guidelines and Compliance:</w:t>
            </w:r>
            <w:r>
              <w:rPr>
                <w:noProof/>
                <w:webHidden/>
              </w:rPr>
              <w:tab/>
            </w:r>
            <w:r>
              <w:rPr>
                <w:noProof/>
                <w:webHidden/>
              </w:rPr>
              <w:fldChar w:fldCharType="begin"/>
            </w:r>
            <w:r>
              <w:rPr>
                <w:noProof/>
                <w:webHidden/>
              </w:rPr>
              <w:instrText xml:space="preserve"> PAGEREF _Toc170563452 \h </w:instrText>
            </w:r>
            <w:r>
              <w:rPr>
                <w:noProof/>
                <w:webHidden/>
              </w:rPr>
            </w:r>
            <w:r>
              <w:rPr>
                <w:noProof/>
                <w:webHidden/>
              </w:rPr>
              <w:fldChar w:fldCharType="separate"/>
            </w:r>
            <w:r>
              <w:rPr>
                <w:noProof/>
                <w:webHidden/>
              </w:rPr>
              <w:t>2</w:t>
            </w:r>
            <w:r>
              <w:rPr>
                <w:noProof/>
                <w:webHidden/>
              </w:rPr>
              <w:fldChar w:fldCharType="end"/>
            </w:r>
          </w:hyperlink>
        </w:p>
        <w:p w14:paraId="06A72340" w14:textId="5D5E43C2" w:rsidR="001F093C" w:rsidRDefault="001F093C">
          <w:pPr>
            <w:pStyle w:val="TOC3"/>
            <w:tabs>
              <w:tab w:val="left" w:pos="1440"/>
              <w:tab w:val="right" w:leader="dot" w:pos="9465"/>
            </w:tabs>
            <w:rPr>
              <w:rFonts w:eastAsiaTheme="minorEastAsia"/>
              <w:noProof/>
              <w:sz w:val="24"/>
              <w:szCs w:val="24"/>
              <w:lang w:eastAsia="en-GB"/>
            </w:rPr>
          </w:pPr>
          <w:hyperlink w:anchor="_Toc170563453" w:history="1">
            <w:r w:rsidRPr="00D9601E">
              <w:rPr>
                <w:rStyle w:val="Hyperlink"/>
                <w:noProof/>
              </w:rPr>
              <w:t>II. 1. c)</w:t>
            </w:r>
            <w:r>
              <w:rPr>
                <w:rFonts w:eastAsiaTheme="minorEastAsia"/>
                <w:noProof/>
                <w:sz w:val="24"/>
                <w:szCs w:val="24"/>
                <w:lang w:eastAsia="en-GB"/>
              </w:rPr>
              <w:tab/>
            </w:r>
            <w:r w:rsidRPr="00D9601E">
              <w:rPr>
                <w:rStyle w:val="Hyperlink"/>
                <w:noProof/>
              </w:rPr>
              <w:t>Transparency and Disclosure:</w:t>
            </w:r>
            <w:r>
              <w:rPr>
                <w:noProof/>
                <w:webHidden/>
              </w:rPr>
              <w:tab/>
            </w:r>
            <w:r>
              <w:rPr>
                <w:noProof/>
                <w:webHidden/>
              </w:rPr>
              <w:fldChar w:fldCharType="begin"/>
            </w:r>
            <w:r>
              <w:rPr>
                <w:noProof/>
                <w:webHidden/>
              </w:rPr>
              <w:instrText xml:space="preserve"> PAGEREF _Toc170563453 \h </w:instrText>
            </w:r>
            <w:r>
              <w:rPr>
                <w:noProof/>
                <w:webHidden/>
              </w:rPr>
            </w:r>
            <w:r>
              <w:rPr>
                <w:noProof/>
                <w:webHidden/>
              </w:rPr>
              <w:fldChar w:fldCharType="separate"/>
            </w:r>
            <w:r>
              <w:rPr>
                <w:noProof/>
                <w:webHidden/>
              </w:rPr>
              <w:t>2</w:t>
            </w:r>
            <w:r>
              <w:rPr>
                <w:noProof/>
                <w:webHidden/>
              </w:rPr>
              <w:fldChar w:fldCharType="end"/>
            </w:r>
          </w:hyperlink>
        </w:p>
        <w:p w14:paraId="54FFFD01" w14:textId="521D413E" w:rsidR="001F093C" w:rsidRDefault="001F093C">
          <w:pPr>
            <w:pStyle w:val="TOC2"/>
            <w:tabs>
              <w:tab w:val="left" w:pos="960"/>
              <w:tab w:val="right" w:leader="dot" w:pos="9465"/>
            </w:tabs>
            <w:rPr>
              <w:rFonts w:eastAsiaTheme="minorEastAsia"/>
              <w:noProof/>
              <w:sz w:val="24"/>
              <w:szCs w:val="24"/>
              <w:lang w:eastAsia="en-GB"/>
            </w:rPr>
          </w:pPr>
          <w:hyperlink w:anchor="_Toc170563454" w:history="1">
            <w:r w:rsidRPr="00D9601E">
              <w:rPr>
                <w:rStyle w:val="Hyperlink"/>
                <w:noProof/>
              </w:rPr>
              <w:t>II. 2.</w:t>
            </w:r>
            <w:r>
              <w:rPr>
                <w:rFonts w:eastAsiaTheme="minorEastAsia"/>
                <w:noProof/>
                <w:sz w:val="24"/>
                <w:szCs w:val="24"/>
                <w:lang w:eastAsia="en-GB"/>
              </w:rPr>
              <w:tab/>
            </w:r>
            <w:r w:rsidRPr="00D9601E">
              <w:rPr>
                <w:rStyle w:val="Hyperlink"/>
                <w:noProof/>
              </w:rPr>
              <w:t>Metrics for Corporate Social Responsibility (CSR)</w:t>
            </w:r>
            <w:r>
              <w:rPr>
                <w:noProof/>
                <w:webHidden/>
              </w:rPr>
              <w:tab/>
            </w:r>
            <w:r>
              <w:rPr>
                <w:noProof/>
                <w:webHidden/>
              </w:rPr>
              <w:fldChar w:fldCharType="begin"/>
            </w:r>
            <w:r>
              <w:rPr>
                <w:noProof/>
                <w:webHidden/>
              </w:rPr>
              <w:instrText xml:space="preserve"> PAGEREF _Toc170563454 \h </w:instrText>
            </w:r>
            <w:r>
              <w:rPr>
                <w:noProof/>
                <w:webHidden/>
              </w:rPr>
            </w:r>
            <w:r>
              <w:rPr>
                <w:noProof/>
                <w:webHidden/>
              </w:rPr>
              <w:fldChar w:fldCharType="separate"/>
            </w:r>
            <w:r>
              <w:rPr>
                <w:noProof/>
                <w:webHidden/>
              </w:rPr>
              <w:t>2</w:t>
            </w:r>
            <w:r>
              <w:rPr>
                <w:noProof/>
                <w:webHidden/>
              </w:rPr>
              <w:fldChar w:fldCharType="end"/>
            </w:r>
          </w:hyperlink>
        </w:p>
        <w:p w14:paraId="7B99F663" w14:textId="38BF62AC" w:rsidR="001F093C" w:rsidRDefault="001F093C">
          <w:pPr>
            <w:pStyle w:val="TOC3"/>
            <w:tabs>
              <w:tab w:val="left" w:pos="1440"/>
              <w:tab w:val="right" w:leader="dot" w:pos="9465"/>
            </w:tabs>
            <w:rPr>
              <w:rFonts w:eastAsiaTheme="minorEastAsia"/>
              <w:noProof/>
              <w:sz w:val="24"/>
              <w:szCs w:val="24"/>
              <w:lang w:eastAsia="en-GB"/>
            </w:rPr>
          </w:pPr>
          <w:hyperlink w:anchor="_Toc170563455" w:history="1">
            <w:r w:rsidRPr="00D9601E">
              <w:rPr>
                <w:rStyle w:val="Hyperlink"/>
                <w:noProof/>
              </w:rPr>
              <w:t>II. 2. d)</w:t>
            </w:r>
            <w:r>
              <w:rPr>
                <w:rFonts w:eastAsiaTheme="minorEastAsia"/>
                <w:noProof/>
                <w:sz w:val="24"/>
                <w:szCs w:val="24"/>
                <w:lang w:eastAsia="en-GB"/>
              </w:rPr>
              <w:tab/>
            </w:r>
            <w:r w:rsidRPr="00D9601E">
              <w:rPr>
                <w:rStyle w:val="Hyperlink"/>
                <w:noProof/>
              </w:rPr>
              <w:t>CSR Spending and Impact:</w:t>
            </w:r>
            <w:r>
              <w:rPr>
                <w:noProof/>
                <w:webHidden/>
              </w:rPr>
              <w:tab/>
            </w:r>
            <w:r>
              <w:rPr>
                <w:noProof/>
                <w:webHidden/>
              </w:rPr>
              <w:fldChar w:fldCharType="begin"/>
            </w:r>
            <w:r>
              <w:rPr>
                <w:noProof/>
                <w:webHidden/>
              </w:rPr>
              <w:instrText xml:space="preserve"> PAGEREF _Toc170563455 \h </w:instrText>
            </w:r>
            <w:r>
              <w:rPr>
                <w:noProof/>
                <w:webHidden/>
              </w:rPr>
            </w:r>
            <w:r>
              <w:rPr>
                <w:noProof/>
                <w:webHidden/>
              </w:rPr>
              <w:fldChar w:fldCharType="separate"/>
            </w:r>
            <w:r>
              <w:rPr>
                <w:noProof/>
                <w:webHidden/>
              </w:rPr>
              <w:t>3</w:t>
            </w:r>
            <w:r>
              <w:rPr>
                <w:noProof/>
                <w:webHidden/>
              </w:rPr>
              <w:fldChar w:fldCharType="end"/>
            </w:r>
          </w:hyperlink>
        </w:p>
        <w:p w14:paraId="5C8E2ACD" w14:textId="0DAD0FE8" w:rsidR="001F093C" w:rsidRDefault="001F093C">
          <w:pPr>
            <w:pStyle w:val="TOC3"/>
            <w:tabs>
              <w:tab w:val="left" w:pos="1440"/>
              <w:tab w:val="right" w:leader="dot" w:pos="9465"/>
            </w:tabs>
            <w:rPr>
              <w:rFonts w:eastAsiaTheme="minorEastAsia"/>
              <w:noProof/>
              <w:sz w:val="24"/>
              <w:szCs w:val="24"/>
              <w:lang w:eastAsia="en-GB"/>
            </w:rPr>
          </w:pPr>
          <w:hyperlink w:anchor="_Toc170563456" w:history="1">
            <w:r w:rsidRPr="00D9601E">
              <w:rPr>
                <w:rStyle w:val="Hyperlink"/>
                <w:noProof/>
              </w:rPr>
              <w:t>II. 2. e)</w:t>
            </w:r>
            <w:r>
              <w:rPr>
                <w:rFonts w:eastAsiaTheme="minorEastAsia"/>
                <w:noProof/>
                <w:sz w:val="24"/>
                <w:szCs w:val="24"/>
                <w:lang w:eastAsia="en-GB"/>
              </w:rPr>
              <w:tab/>
            </w:r>
            <w:r w:rsidRPr="00D9601E">
              <w:rPr>
                <w:rStyle w:val="Hyperlink"/>
                <w:noProof/>
              </w:rPr>
              <w:t>Stakeholder Engagement:</w:t>
            </w:r>
            <w:r>
              <w:rPr>
                <w:noProof/>
                <w:webHidden/>
              </w:rPr>
              <w:tab/>
            </w:r>
            <w:r>
              <w:rPr>
                <w:noProof/>
                <w:webHidden/>
              </w:rPr>
              <w:fldChar w:fldCharType="begin"/>
            </w:r>
            <w:r>
              <w:rPr>
                <w:noProof/>
                <w:webHidden/>
              </w:rPr>
              <w:instrText xml:space="preserve"> PAGEREF _Toc170563456 \h </w:instrText>
            </w:r>
            <w:r>
              <w:rPr>
                <w:noProof/>
                <w:webHidden/>
              </w:rPr>
            </w:r>
            <w:r>
              <w:rPr>
                <w:noProof/>
                <w:webHidden/>
              </w:rPr>
              <w:fldChar w:fldCharType="separate"/>
            </w:r>
            <w:r>
              <w:rPr>
                <w:noProof/>
                <w:webHidden/>
              </w:rPr>
              <w:t>3</w:t>
            </w:r>
            <w:r>
              <w:rPr>
                <w:noProof/>
                <w:webHidden/>
              </w:rPr>
              <w:fldChar w:fldCharType="end"/>
            </w:r>
          </w:hyperlink>
        </w:p>
        <w:p w14:paraId="550CD79C" w14:textId="285C3073" w:rsidR="001F093C" w:rsidRDefault="001F093C">
          <w:pPr>
            <w:pStyle w:val="TOC1"/>
            <w:tabs>
              <w:tab w:val="left" w:pos="720"/>
              <w:tab w:val="right" w:leader="dot" w:pos="9465"/>
            </w:tabs>
            <w:rPr>
              <w:rFonts w:eastAsiaTheme="minorEastAsia"/>
              <w:noProof/>
              <w:sz w:val="24"/>
              <w:szCs w:val="24"/>
              <w:lang w:eastAsia="en-GB"/>
            </w:rPr>
          </w:pPr>
          <w:hyperlink w:anchor="_Toc170563457" w:history="1">
            <w:r w:rsidRPr="00D9601E">
              <w:rPr>
                <w:rStyle w:val="Hyperlink"/>
                <w:noProof/>
              </w:rPr>
              <w:t>III)</w:t>
            </w:r>
            <w:r>
              <w:rPr>
                <w:rFonts w:eastAsiaTheme="minorEastAsia"/>
                <w:noProof/>
                <w:sz w:val="24"/>
                <w:szCs w:val="24"/>
                <w:lang w:eastAsia="en-GB"/>
              </w:rPr>
              <w:tab/>
            </w:r>
            <w:r w:rsidRPr="00D9601E">
              <w:rPr>
                <w:rStyle w:val="Hyperlink"/>
                <w:noProof/>
              </w:rPr>
              <w:t>Unilever PLC and Their Corporate Governance</w:t>
            </w:r>
            <w:r>
              <w:rPr>
                <w:noProof/>
                <w:webHidden/>
              </w:rPr>
              <w:tab/>
            </w:r>
            <w:r>
              <w:rPr>
                <w:noProof/>
                <w:webHidden/>
              </w:rPr>
              <w:fldChar w:fldCharType="begin"/>
            </w:r>
            <w:r>
              <w:rPr>
                <w:noProof/>
                <w:webHidden/>
              </w:rPr>
              <w:instrText xml:space="preserve"> PAGEREF _Toc170563457 \h </w:instrText>
            </w:r>
            <w:r>
              <w:rPr>
                <w:noProof/>
                <w:webHidden/>
              </w:rPr>
            </w:r>
            <w:r>
              <w:rPr>
                <w:noProof/>
                <w:webHidden/>
              </w:rPr>
              <w:fldChar w:fldCharType="separate"/>
            </w:r>
            <w:r>
              <w:rPr>
                <w:noProof/>
                <w:webHidden/>
              </w:rPr>
              <w:t>3</w:t>
            </w:r>
            <w:r>
              <w:rPr>
                <w:noProof/>
                <w:webHidden/>
              </w:rPr>
              <w:fldChar w:fldCharType="end"/>
            </w:r>
          </w:hyperlink>
        </w:p>
        <w:p w14:paraId="68B84D0B" w14:textId="6927AB32" w:rsidR="001F093C" w:rsidRDefault="001F093C">
          <w:pPr>
            <w:pStyle w:val="TOC2"/>
            <w:tabs>
              <w:tab w:val="left" w:pos="960"/>
              <w:tab w:val="right" w:leader="dot" w:pos="9465"/>
            </w:tabs>
            <w:rPr>
              <w:rFonts w:eastAsiaTheme="minorEastAsia"/>
              <w:noProof/>
              <w:sz w:val="24"/>
              <w:szCs w:val="24"/>
              <w:lang w:eastAsia="en-GB"/>
            </w:rPr>
          </w:pPr>
          <w:hyperlink w:anchor="_Toc170563458" w:history="1">
            <w:r w:rsidRPr="00D9601E">
              <w:rPr>
                <w:rStyle w:val="Hyperlink"/>
                <w:noProof/>
              </w:rPr>
              <w:t>III. 1.</w:t>
            </w:r>
            <w:r>
              <w:rPr>
                <w:rFonts w:eastAsiaTheme="minorEastAsia"/>
                <w:noProof/>
                <w:sz w:val="24"/>
                <w:szCs w:val="24"/>
                <w:lang w:eastAsia="en-GB"/>
              </w:rPr>
              <w:tab/>
            </w:r>
            <w:r w:rsidRPr="00D9601E">
              <w:rPr>
                <w:rStyle w:val="Hyperlink"/>
                <w:noProof/>
              </w:rPr>
              <w:t>Key Elements of Unilever's Corporate Governance</w:t>
            </w:r>
            <w:r>
              <w:rPr>
                <w:noProof/>
                <w:webHidden/>
              </w:rPr>
              <w:tab/>
            </w:r>
            <w:r>
              <w:rPr>
                <w:noProof/>
                <w:webHidden/>
              </w:rPr>
              <w:fldChar w:fldCharType="begin"/>
            </w:r>
            <w:r>
              <w:rPr>
                <w:noProof/>
                <w:webHidden/>
              </w:rPr>
              <w:instrText xml:space="preserve"> PAGEREF _Toc170563458 \h </w:instrText>
            </w:r>
            <w:r>
              <w:rPr>
                <w:noProof/>
                <w:webHidden/>
              </w:rPr>
            </w:r>
            <w:r>
              <w:rPr>
                <w:noProof/>
                <w:webHidden/>
              </w:rPr>
              <w:fldChar w:fldCharType="separate"/>
            </w:r>
            <w:r>
              <w:rPr>
                <w:noProof/>
                <w:webHidden/>
              </w:rPr>
              <w:t>3</w:t>
            </w:r>
            <w:r>
              <w:rPr>
                <w:noProof/>
                <w:webHidden/>
              </w:rPr>
              <w:fldChar w:fldCharType="end"/>
            </w:r>
          </w:hyperlink>
        </w:p>
        <w:p w14:paraId="017082E1" w14:textId="1665A25B" w:rsidR="001F093C" w:rsidRDefault="001F093C">
          <w:pPr>
            <w:pStyle w:val="TOC2"/>
            <w:tabs>
              <w:tab w:val="left" w:pos="960"/>
              <w:tab w:val="right" w:leader="dot" w:pos="9465"/>
            </w:tabs>
            <w:rPr>
              <w:rFonts w:eastAsiaTheme="minorEastAsia"/>
              <w:noProof/>
              <w:sz w:val="24"/>
              <w:szCs w:val="24"/>
              <w:lang w:eastAsia="en-GB"/>
            </w:rPr>
          </w:pPr>
          <w:hyperlink w:anchor="_Toc170563459" w:history="1">
            <w:r w:rsidRPr="00D9601E">
              <w:rPr>
                <w:rStyle w:val="Hyperlink"/>
                <w:noProof/>
              </w:rPr>
              <w:t>III. 2.</w:t>
            </w:r>
            <w:r>
              <w:rPr>
                <w:rFonts w:eastAsiaTheme="minorEastAsia"/>
                <w:noProof/>
                <w:sz w:val="24"/>
                <w:szCs w:val="24"/>
                <w:lang w:eastAsia="en-GB"/>
              </w:rPr>
              <w:tab/>
            </w:r>
            <w:r w:rsidRPr="00D9601E">
              <w:rPr>
                <w:rStyle w:val="Hyperlink"/>
                <w:noProof/>
              </w:rPr>
              <w:t>Unilever PLC and Their Corporate Social Responsibility</w:t>
            </w:r>
            <w:r>
              <w:rPr>
                <w:noProof/>
                <w:webHidden/>
              </w:rPr>
              <w:tab/>
            </w:r>
            <w:r>
              <w:rPr>
                <w:noProof/>
                <w:webHidden/>
              </w:rPr>
              <w:fldChar w:fldCharType="begin"/>
            </w:r>
            <w:r>
              <w:rPr>
                <w:noProof/>
                <w:webHidden/>
              </w:rPr>
              <w:instrText xml:space="preserve"> PAGEREF _Toc170563459 \h </w:instrText>
            </w:r>
            <w:r>
              <w:rPr>
                <w:noProof/>
                <w:webHidden/>
              </w:rPr>
            </w:r>
            <w:r>
              <w:rPr>
                <w:noProof/>
                <w:webHidden/>
              </w:rPr>
              <w:fldChar w:fldCharType="separate"/>
            </w:r>
            <w:r>
              <w:rPr>
                <w:noProof/>
                <w:webHidden/>
              </w:rPr>
              <w:t>3</w:t>
            </w:r>
            <w:r>
              <w:rPr>
                <w:noProof/>
                <w:webHidden/>
              </w:rPr>
              <w:fldChar w:fldCharType="end"/>
            </w:r>
          </w:hyperlink>
        </w:p>
        <w:p w14:paraId="5459AA15" w14:textId="603C73D5" w:rsidR="001F093C" w:rsidRDefault="001F093C">
          <w:pPr>
            <w:pStyle w:val="TOC1"/>
            <w:tabs>
              <w:tab w:val="left" w:pos="720"/>
              <w:tab w:val="right" w:leader="dot" w:pos="9465"/>
            </w:tabs>
            <w:rPr>
              <w:rFonts w:eastAsiaTheme="minorEastAsia"/>
              <w:noProof/>
              <w:sz w:val="24"/>
              <w:szCs w:val="24"/>
              <w:lang w:eastAsia="en-GB"/>
            </w:rPr>
          </w:pPr>
          <w:hyperlink w:anchor="_Toc170563460" w:history="1">
            <w:r w:rsidRPr="00D9601E">
              <w:rPr>
                <w:rStyle w:val="Hyperlink"/>
                <w:noProof/>
              </w:rPr>
              <w:t>IV)</w:t>
            </w:r>
            <w:r>
              <w:rPr>
                <w:rFonts w:eastAsiaTheme="minorEastAsia"/>
                <w:noProof/>
                <w:sz w:val="24"/>
                <w:szCs w:val="24"/>
                <w:lang w:eastAsia="en-GB"/>
              </w:rPr>
              <w:tab/>
            </w:r>
            <w:r w:rsidRPr="00D9601E">
              <w:rPr>
                <w:rStyle w:val="Hyperlink"/>
                <w:noProof/>
              </w:rPr>
              <w:t>Discussion and Analysis</w:t>
            </w:r>
            <w:r>
              <w:rPr>
                <w:noProof/>
                <w:webHidden/>
              </w:rPr>
              <w:tab/>
            </w:r>
            <w:r>
              <w:rPr>
                <w:noProof/>
                <w:webHidden/>
              </w:rPr>
              <w:fldChar w:fldCharType="begin"/>
            </w:r>
            <w:r>
              <w:rPr>
                <w:noProof/>
                <w:webHidden/>
              </w:rPr>
              <w:instrText xml:space="preserve"> PAGEREF _Toc170563460 \h </w:instrText>
            </w:r>
            <w:r>
              <w:rPr>
                <w:noProof/>
                <w:webHidden/>
              </w:rPr>
            </w:r>
            <w:r>
              <w:rPr>
                <w:noProof/>
                <w:webHidden/>
              </w:rPr>
              <w:fldChar w:fldCharType="separate"/>
            </w:r>
            <w:r>
              <w:rPr>
                <w:noProof/>
                <w:webHidden/>
              </w:rPr>
              <w:t>4</w:t>
            </w:r>
            <w:r>
              <w:rPr>
                <w:noProof/>
                <w:webHidden/>
              </w:rPr>
              <w:fldChar w:fldCharType="end"/>
            </w:r>
          </w:hyperlink>
        </w:p>
        <w:p w14:paraId="0EDED840" w14:textId="29241FC0" w:rsidR="001F093C" w:rsidRDefault="001F093C">
          <w:pPr>
            <w:pStyle w:val="TOC2"/>
            <w:tabs>
              <w:tab w:val="left" w:pos="960"/>
              <w:tab w:val="right" w:leader="dot" w:pos="9465"/>
            </w:tabs>
            <w:rPr>
              <w:rFonts w:eastAsiaTheme="minorEastAsia"/>
              <w:noProof/>
              <w:sz w:val="24"/>
              <w:szCs w:val="24"/>
              <w:lang w:eastAsia="en-GB"/>
            </w:rPr>
          </w:pPr>
          <w:hyperlink w:anchor="_Toc170563461" w:history="1">
            <w:r w:rsidRPr="00D9601E">
              <w:rPr>
                <w:rStyle w:val="Hyperlink"/>
                <w:noProof/>
              </w:rPr>
              <w:t>IV. 1.</w:t>
            </w:r>
            <w:r>
              <w:rPr>
                <w:rFonts w:eastAsiaTheme="minorEastAsia"/>
                <w:noProof/>
                <w:sz w:val="24"/>
                <w:szCs w:val="24"/>
                <w:lang w:eastAsia="en-GB"/>
              </w:rPr>
              <w:tab/>
            </w:r>
            <w:r w:rsidRPr="00D9601E">
              <w:rPr>
                <w:rStyle w:val="Hyperlink"/>
                <w:noProof/>
              </w:rPr>
              <w:t>The Impact of Corporate Governance on Firm Performance</w:t>
            </w:r>
            <w:r>
              <w:rPr>
                <w:noProof/>
                <w:webHidden/>
              </w:rPr>
              <w:tab/>
            </w:r>
            <w:r>
              <w:rPr>
                <w:noProof/>
                <w:webHidden/>
              </w:rPr>
              <w:fldChar w:fldCharType="begin"/>
            </w:r>
            <w:r>
              <w:rPr>
                <w:noProof/>
                <w:webHidden/>
              </w:rPr>
              <w:instrText xml:space="preserve"> PAGEREF _Toc170563461 \h </w:instrText>
            </w:r>
            <w:r>
              <w:rPr>
                <w:noProof/>
                <w:webHidden/>
              </w:rPr>
            </w:r>
            <w:r>
              <w:rPr>
                <w:noProof/>
                <w:webHidden/>
              </w:rPr>
              <w:fldChar w:fldCharType="separate"/>
            </w:r>
            <w:r>
              <w:rPr>
                <w:noProof/>
                <w:webHidden/>
              </w:rPr>
              <w:t>4</w:t>
            </w:r>
            <w:r>
              <w:rPr>
                <w:noProof/>
                <w:webHidden/>
              </w:rPr>
              <w:fldChar w:fldCharType="end"/>
            </w:r>
          </w:hyperlink>
        </w:p>
        <w:p w14:paraId="161ACE6B" w14:textId="410981EA" w:rsidR="001F093C" w:rsidRDefault="001F093C">
          <w:pPr>
            <w:pStyle w:val="TOC2"/>
            <w:tabs>
              <w:tab w:val="left" w:pos="960"/>
              <w:tab w:val="right" w:leader="dot" w:pos="9465"/>
            </w:tabs>
            <w:rPr>
              <w:rFonts w:eastAsiaTheme="minorEastAsia"/>
              <w:noProof/>
              <w:sz w:val="24"/>
              <w:szCs w:val="24"/>
              <w:lang w:eastAsia="en-GB"/>
            </w:rPr>
          </w:pPr>
          <w:hyperlink w:anchor="_Toc170563462" w:history="1">
            <w:r w:rsidRPr="00D9601E">
              <w:rPr>
                <w:rStyle w:val="Hyperlink"/>
                <w:noProof/>
              </w:rPr>
              <w:t>IV. 2.</w:t>
            </w:r>
            <w:r>
              <w:rPr>
                <w:rFonts w:eastAsiaTheme="minorEastAsia"/>
                <w:noProof/>
                <w:sz w:val="24"/>
                <w:szCs w:val="24"/>
                <w:lang w:eastAsia="en-GB"/>
              </w:rPr>
              <w:tab/>
            </w:r>
            <w:r w:rsidRPr="00D9601E">
              <w:rPr>
                <w:rStyle w:val="Hyperlink"/>
                <w:noProof/>
              </w:rPr>
              <w:t>The Impact of CSR on Firm Performance</w:t>
            </w:r>
            <w:r>
              <w:rPr>
                <w:noProof/>
                <w:webHidden/>
              </w:rPr>
              <w:tab/>
            </w:r>
            <w:r>
              <w:rPr>
                <w:noProof/>
                <w:webHidden/>
              </w:rPr>
              <w:fldChar w:fldCharType="begin"/>
            </w:r>
            <w:r>
              <w:rPr>
                <w:noProof/>
                <w:webHidden/>
              </w:rPr>
              <w:instrText xml:space="preserve"> PAGEREF _Toc170563462 \h </w:instrText>
            </w:r>
            <w:r>
              <w:rPr>
                <w:noProof/>
                <w:webHidden/>
              </w:rPr>
            </w:r>
            <w:r>
              <w:rPr>
                <w:noProof/>
                <w:webHidden/>
              </w:rPr>
              <w:fldChar w:fldCharType="separate"/>
            </w:r>
            <w:r>
              <w:rPr>
                <w:noProof/>
                <w:webHidden/>
              </w:rPr>
              <w:t>4</w:t>
            </w:r>
            <w:r>
              <w:rPr>
                <w:noProof/>
                <w:webHidden/>
              </w:rPr>
              <w:fldChar w:fldCharType="end"/>
            </w:r>
          </w:hyperlink>
        </w:p>
        <w:p w14:paraId="1D6D9712" w14:textId="2A7F2D9F" w:rsidR="001F093C" w:rsidRDefault="001F093C">
          <w:pPr>
            <w:pStyle w:val="TOC2"/>
            <w:tabs>
              <w:tab w:val="left" w:pos="960"/>
              <w:tab w:val="right" w:leader="dot" w:pos="9465"/>
            </w:tabs>
            <w:rPr>
              <w:rFonts w:eastAsiaTheme="minorEastAsia"/>
              <w:noProof/>
              <w:sz w:val="24"/>
              <w:szCs w:val="24"/>
              <w:lang w:eastAsia="en-GB"/>
            </w:rPr>
          </w:pPr>
          <w:hyperlink w:anchor="_Toc170563463" w:history="1">
            <w:r w:rsidRPr="00D9601E">
              <w:rPr>
                <w:rStyle w:val="Hyperlink"/>
                <w:noProof/>
              </w:rPr>
              <w:t>IV. 3.</w:t>
            </w:r>
            <w:r>
              <w:rPr>
                <w:rFonts w:eastAsiaTheme="minorEastAsia"/>
                <w:noProof/>
                <w:sz w:val="24"/>
                <w:szCs w:val="24"/>
                <w:lang w:eastAsia="en-GB"/>
              </w:rPr>
              <w:tab/>
            </w:r>
            <w:r w:rsidRPr="00D9601E">
              <w:rPr>
                <w:rStyle w:val="Hyperlink"/>
                <w:noProof/>
              </w:rPr>
              <w:t>Empirical Data Analysis</w:t>
            </w:r>
            <w:r>
              <w:rPr>
                <w:noProof/>
                <w:webHidden/>
              </w:rPr>
              <w:tab/>
            </w:r>
            <w:r>
              <w:rPr>
                <w:noProof/>
                <w:webHidden/>
              </w:rPr>
              <w:fldChar w:fldCharType="begin"/>
            </w:r>
            <w:r>
              <w:rPr>
                <w:noProof/>
                <w:webHidden/>
              </w:rPr>
              <w:instrText xml:space="preserve"> PAGEREF _Toc170563463 \h </w:instrText>
            </w:r>
            <w:r>
              <w:rPr>
                <w:noProof/>
                <w:webHidden/>
              </w:rPr>
            </w:r>
            <w:r>
              <w:rPr>
                <w:noProof/>
                <w:webHidden/>
              </w:rPr>
              <w:fldChar w:fldCharType="separate"/>
            </w:r>
            <w:r>
              <w:rPr>
                <w:noProof/>
                <w:webHidden/>
              </w:rPr>
              <w:t>5</w:t>
            </w:r>
            <w:r>
              <w:rPr>
                <w:noProof/>
                <w:webHidden/>
              </w:rPr>
              <w:fldChar w:fldCharType="end"/>
            </w:r>
          </w:hyperlink>
        </w:p>
        <w:p w14:paraId="104949DC" w14:textId="064F6CB2" w:rsidR="001F093C" w:rsidRDefault="001F093C">
          <w:pPr>
            <w:pStyle w:val="TOC1"/>
            <w:tabs>
              <w:tab w:val="left" w:pos="440"/>
              <w:tab w:val="right" w:leader="dot" w:pos="9465"/>
            </w:tabs>
            <w:rPr>
              <w:rFonts w:eastAsiaTheme="minorEastAsia"/>
              <w:noProof/>
              <w:sz w:val="24"/>
              <w:szCs w:val="24"/>
              <w:lang w:eastAsia="en-GB"/>
            </w:rPr>
          </w:pPr>
          <w:hyperlink w:anchor="_Toc170563464" w:history="1">
            <w:r w:rsidRPr="00D9601E">
              <w:rPr>
                <w:rStyle w:val="Hyperlink"/>
                <w:noProof/>
              </w:rPr>
              <w:t>V)</w:t>
            </w:r>
            <w:r>
              <w:rPr>
                <w:rFonts w:eastAsiaTheme="minorEastAsia"/>
                <w:noProof/>
                <w:sz w:val="24"/>
                <w:szCs w:val="24"/>
                <w:lang w:eastAsia="en-GB"/>
              </w:rPr>
              <w:tab/>
            </w:r>
            <w:r w:rsidRPr="00D9601E">
              <w:rPr>
                <w:rStyle w:val="Hyperlink"/>
                <w:noProof/>
              </w:rPr>
              <w:t>Conclusion</w:t>
            </w:r>
            <w:r>
              <w:rPr>
                <w:noProof/>
                <w:webHidden/>
              </w:rPr>
              <w:tab/>
            </w:r>
            <w:r>
              <w:rPr>
                <w:noProof/>
                <w:webHidden/>
              </w:rPr>
              <w:fldChar w:fldCharType="begin"/>
            </w:r>
            <w:r>
              <w:rPr>
                <w:noProof/>
                <w:webHidden/>
              </w:rPr>
              <w:instrText xml:space="preserve"> PAGEREF _Toc170563464 \h </w:instrText>
            </w:r>
            <w:r>
              <w:rPr>
                <w:noProof/>
                <w:webHidden/>
              </w:rPr>
            </w:r>
            <w:r>
              <w:rPr>
                <w:noProof/>
                <w:webHidden/>
              </w:rPr>
              <w:fldChar w:fldCharType="separate"/>
            </w:r>
            <w:r>
              <w:rPr>
                <w:noProof/>
                <w:webHidden/>
              </w:rPr>
              <w:t>5</w:t>
            </w:r>
            <w:r>
              <w:rPr>
                <w:noProof/>
                <w:webHidden/>
              </w:rPr>
              <w:fldChar w:fldCharType="end"/>
            </w:r>
          </w:hyperlink>
        </w:p>
        <w:p w14:paraId="66A338DD" w14:textId="19570E11" w:rsidR="001F093C" w:rsidRDefault="001F093C">
          <w:pPr>
            <w:pStyle w:val="TOC1"/>
            <w:tabs>
              <w:tab w:val="left" w:pos="720"/>
              <w:tab w:val="right" w:leader="dot" w:pos="9465"/>
            </w:tabs>
            <w:rPr>
              <w:rFonts w:eastAsiaTheme="minorEastAsia"/>
              <w:noProof/>
              <w:sz w:val="24"/>
              <w:szCs w:val="24"/>
              <w:lang w:eastAsia="en-GB"/>
            </w:rPr>
          </w:pPr>
          <w:hyperlink w:anchor="_Toc170563465" w:history="1">
            <w:r w:rsidRPr="00D9601E">
              <w:rPr>
                <w:rStyle w:val="Hyperlink"/>
                <w:noProof/>
              </w:rPr>
              <w:t>VI)</w:t>
            </w:r>
            <w:r>
              <w:rPr>
                <w:rFonts w:eastAsiaTheme="minorEastAsia"/>
                <w:noProof/>
                <w:sz w:val="24"/>
                <w:szCs w:val="24"/>
                <w:lang w:eastAsia="en-GB"/>
              </w:rPr>
              <w:tab/>
            </w:r>
            <w:r w:rsidRPr="00D9601E">
              <w:rPr>
                <w:rStyle w:val="Hyperlink"/>
                <w:noProof/>
              </w:rPr>
              <w:t>References</w:t>
            </w:r>
            <w:r>
              <w:rPr>
                <w:noProof/>
                <w:webHidden/>
              </w:rPr>
              <w:tab/>
            </w:r>
            <w:r>
              <w:rPr>
                <w:noProof/>
                <w:webHidden/>
              </w:rPr>
              <w:fldChar w:fldCharType="begin"/>
            </w:r>
            <w:r>
              <w:rPr>
                <w:noProof/>
                <w:webHidden/>
              </w:rPr>
              <w:instrText xml:space="preserve"> PAGEREF _Toc170563465 \h </w:instrText>
            </w:r>
            <w:r>
              <w:rPr>
                <w:noProof/>
                <w:webHidden/>
              </w:rPr>
            </w:r>
            <w:r>
              <w:rPr>
                <w:noProof/>
                <w:webHidden/>
              </w:rPr>
              <w:fldChar w:fldCharType="separate"/>
            </w:r>
            <w:r>
              <w:rPr>
                <w:noProof/>
                <w:webHidden/>
              </w:rPr>
              <w:t>6</w:t>
            </w:r>
            <w:r>
              <w:rPr>
                <w:noProof/>
                <w:webHidden/>
              </w:rPr>
              <w:fldChar w:fldCharType="end"/>
            </w:r>
          </w:hyperlink>
        </w:p>
        <w:p w14:paraId="5EFFFA51" w14:textId="1EC95C1D" w:rsidR="001F093C" w:rsidRDefault="001F093C">
          <w:r>
            <w:rPr>
              <w:b/>
              <w:bCs/>
              <w:noProof/>
            </w:rPr>
            <w:fldChar w:fldCharType="end"/>
          </w:r>
        </w:p>
      </w:sdtContent>
    </w:sdt>
    <w:p w14:paraId="38D5E74D" w14:textId="77777777" w:rsidR="001F093C" w:rsidRDefault="001F093C" w:rsidP="00376221">
      <w:pPr>
        <w:spacing w:line="360" w:lineRule="auto"/>
        <w:jc w:val="both"/>
        <w:outlineLvl w:val="0"/>
        <w:rPr>
          <w:rFonts w:ascii="Arial" w:hAnsi="Arial" w:cs="Arial"/>
          <w:b/>
          <w:bCs/>
          <w:kern w:val="36"/>
          <w:sz w:val="22"/>
          <w:szCs w:val="22"/>
        </w:rPr>
      </w:pPr>
    </w:p>
    <w:p w14:paraId="26CA468E" w14:textId="77777777" w:rsidR="001F093C" w:rsidRDefault="001F093C" w:rsidP="00376221">
      <w:pPr>
        <w:spacing w:line="360" w:lineRule="auto"/>
        <w:jc w:val="both"/>
        <w:outlineLvl w:val="0"/>
        <w:rPr>
          <w:rFonts w:ascii="Arial" w:hAnsi="Arial" w:cs="Arial"/>
          <w:b/>
          <w:bCs/>
          <w:kern w:val="36"/>
          <w:sz w:val="22"/>
          <w:szCs w:val="22"/>
        </w:rPr>
      </w:pPr>
    </w:p>
    <w:p w14:paraId="47411453" w14:textId="77777777" w:rsidR="001F093C" w:rsidRDefault="001F093C" w:rsidP="00376221">
      <w:pPr>
        <w:spacing w:line="360" w:lineRule="auto"/>
        <w:jc w:val="both"/>
        <w:outlineLvl w:val="0"/>
        <w:rPr>
          <w:rFonts w:ascii="Arial" w:hAnsi="Arial" w:cs="Arial"/>
          <w:b/>
          <w:bCs/>
          <w:kern w:val="36"/>
          <w:sz w:val="22"/>
          <w:szCs w:val="22"/>
        </w:rPr>
      </w:pPr>
    </w:p>
    <w:p w14:paraId="455F188E" w14:textId="77777777" w:rsidR="001F093C" w:rsidRDefault="001F093C" w:rsidP="00376221">
      <w:pPr>
        <w:spacing w:line="360" w:lineRule="auto"/>
        <w:jc w:val="both"/>
        <w:outlineLvl w:val="0"/>
        <w:rPr>
          <w:rFonts w:ascii="Arial" w:hAnsi="Arial" w:cs="Arial"/>
          <w:b/>
          <w:bCs/>
          <w:kern w:val="36"/>
          <w:sz w:val="22"/>
          <w:szCs w:val="22"/>
        </w:rPr>
      </w:pPr>
    </w:p>
    <w:p w14:paraId="60119F6D" w14:textId="77777777" w:rsidR="001F093C" w:rsidRDefault="001F093C" w:rsidP="00376221">
      <w:pPr>
        <w:spacing w:line="360" w:lineRule="auto"/>
        <w:jc w:val="both"/>
        <w:outlineLvl w:val="0"/>
        <w:rPr>
          <w:rFonts w:ascii="Arial" w:hAnsi="Arial" w:cs="Arial"/>
          <w:b/>
          <w:bCs/>
          <w:kern w:val="36"/>
          <w:sz w:val="22"/>
          <w:szCs w:val="22"/>
        </w:rPr>
      </w:pPr>
    </w:p>
    <w:p w14:paraId="2A14CA44" w14:textId="77777777" w:rsidR="001F093C" w:rsidRDefault="001F093C" w:rsidP="00376221">
      <w:pPr>
        <w:spacing w:line="360" w:lineRule="auto"/>
        <w:jc w:val="both"/>
        <w:outlineLvl w:val="0"/>
        <w:rPr>
          <w:rFonts w:ascii="Arial" w:hAnsi="Arial" w:cs="Arial"/>
          <w:b/>
          <w:bCs/>
          <w:kern w:val="36"/>
          <w:sz w:val="22"/>
          <w:szCs w:val="22"/>
        </w:rPr>
      </w:pPr>
    </w:p>
    <w:p w14:paraId="7143A881" w14:textId="77777777" w:rsidR="001F093C" w:rsidRDefault="001F093C" w:rsidP="00376221">
      <w:pPr>
        <w:spacing w:line="360" w:lineRule="auto"/>
        <w:jc w:val="both"/>
        <w:outlineLvl w:val="0"/>
        <w:rPr>
          <w:rFonts w:ascii="Arial" w:hAnsi="Arial" w:cs="Arial"/>
          <w:b/>
          <w:bCs/>
          <w:kern w:val="36"/>
          <w:sz w:val="22"/>
          <w:szCs w:val="22"/>
        </w:rPr>
      </w:pPr>
    </w:p>
    <w:p w14:paraId="7456B991" w14:textId="77777777" w:rsidR="001F093C" w:rsidRDefault="001F093C" w:rsidP="00376221">
      <w:pPr>
        <w:spacing w:line="360" w:lineRule="auto"/>
        <w:jc w:val="both"/>
        <w:outlineLvl w:val="0"/>
        <w:rPr>
          <w:rFonts w:ascii="Arial" w:hAnsi="Arial" w:cs="Arial"/>
          <w:b/>
          <w:bCs/>
          <w:kern w:val="36"/>
          <w:sz w:val="22"/>
          <w:szCs w:val="22"/>
        </w:rPr>
      </w:pPr>
    </w:p>
    <w:p w14:paraId="57C1E001" w14:textId="77777777" w:rsidR="001F093C" w:rsidRDefault="001F093C" w:rsidP="00376221">
      <w:pPr>
        <w:spacing w:line="360" w:lineRule="auto"/>
        <w:jc w:val="both"/>
        <w:outlineLvl w:val="0"/>
        <w:rPr>
          <w:rFonts w:ascii="Arial" w:hAnsi="Arial" w:cs="Arial"/>
          <w:b/>
          <w:bCs/>
          <w:kern w:val="36"/>
          <w:sz w:val="22"/>
          <w:szCs w:val="22"/>
        </w:rPr>
      </w:pPr>
    </w:p>
    <w:p w14:paraId="404F7BB2" w14:textId="77777777" w:rsidR="001F093C" w:rsidRDefault="001F093C" w:rsidP="00376221">
      <w:pPr>
        <w:spacing w:line="360" w:lineRule="auto"/>
        <w:jc w:val="both"/>
        <w:outlineLvl w:val="0"/>
        <w:rPr>
          <w:rFonts w:ascii="Arial" w:hAnsi="Arial" w:cs="Arial"/>
          <w:b/>
          <w:bCs/>
          <w:kern w:val="36"/>
          <w:sz w:val="22"/>
          <w:szCs w:val="22"/>
        </w:rPr>
      </w:pPr>
    </w:p>
    <w:p w14:paraId="429984D7" w14:textId="77777777" w:rsidR="001F093C" w:rsidRDefault="001F093C" w:rsidP="00376221">
      <w:pPr>
        <w:spacing w:line="360" w:lineRule="auto"/>
        <w:jc w:val="both"/>
        <w:outlineLvl w:val="0"/>
        <w:rPr>
          <w:rFonts w:ascii="Arial" w:hAnsi="Arial" w:cs="Arial"/>
          <w:b/>
          <w:bCs/>
          <w:kern w:val="36"/>
          <w:sz w:val="22"/>
          <w:szCs w:val="22"/>
        </w:rPr>
      </w:pPr>
    </w:p>
    <w:p w14:paraId="7E06006B" w14:textId="77777777" w:rsidR="001F093C" w:rsidRDefault="001F093C" w:rsidP="00376221">
      <w:pPr>
        <w:spacing w:line="360" w:lineRule="auto"/>
        <w:jc w:val="both"/>
        <w:outlineLvl w:val="0"/>
        <w:rPr>
          <w:rFonts w:ascii="Arial" w:hAnsi="Arial" w:cs="Arial"/>
          <w:b/>
          <w:bCs/>
          <w:kern w:val="36"/>
          <w:sz w:val="22"/>
          <w:szCs w:val="22"/>
        </w:rPr>
      </w:pPr>
    </w:p>
    <w:p w14:paraId="360C3106" w14:textId="77777777" w:rsidR="001F093C" w:rsidRPr="00D702E4" w:rsidRDefault="001F093C" w:rsidP="00376221">
      <w:pPr>
        <w:spacing w:line="360" w:lineRule="auto"/>
        <w:jc w:val="both"/>
        <w:outlineLvl w:val="0"/>
        <w:rPr>
          <w:rFonts w:ascii="Arial" w:hAnsi="Arial" w:cs="Arial"/>
          <w:b/>
          <w:bCs/>
          <w:kern w:val="36"/>
          <w:sz w:val="22"/>
          <w:szCs w:val="22"/>
        </w:rPr>
      </w:pPr>
    </w:p>
    <w:p w14:paraId="404752BC" w14:textId="77777777" w:rsidR="00D702E4" w:rsidRPr="00376221" w:rsidRDefault="00D702E4" w:rsidP="00376221">
      <w:pPr>
        <w:pStyle w:val="Heading1"/>
      </w:pPr>
      <w:bookmarkStart w:id="0" w:name="_Toc170563448"/>
      <w:r w:rsidRPr="00376221">
        <w:lastRenderedPageBreak/>
        <w:t>Introduction</w:t>
      </w:r>
      <w:bookmarkEnd w:id="0"/>
    </w:p>
    <w:p w14:paraId="0B3DCE44"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 xml:space="preserve">Corporate Governance (CG) and Corporate Social Responsibility (CSR) are integral components of modern business management, each playing a crucial role in shaping organizational </w:t>
      </w:r>
      <w:proofErr w:type="spellStart"/>
      <w:r w:rsidRPr="00D702E4">
        <w:rPr>
          <w:rFonts w:ascii="Arial" w:hAnsi="Arial" w:cs="Arial"/>
          <w:sz w:val="22"/>
          <w:szCs w:val="22"/>
        </w:rPr>
        <w:t>behavior</w:t>
      </w:r>
      <w:proofErr w:type="spellEnd"/>
      <w:r w:rsidRPr="00D702E4">
        <w:rPr>
          <w:rFonts w:ascii="Arial" w:hAnsi="Arial" w:cs="Arial"/>
          <w:sz w:val="22"/>
          <w:szCs w:val="22"/>
        </w:rPr>
        <w:t xml:space="preserve">, sustainability practices, and stakeholder relationships. According to Freeman (2010), CG refers to the system by which companies are directed and controlled, encompassing mechanisms for ensuring accountability, transparency, and ethical </w:t>
      </w:r>
      <w:proofErr w:type="spellStart"/>
      <w:r w:rsidRPr="00D702E4">
        <w:rPr>
          <w:rFonts w:ascii="Arial" w:hAnsi="Arial" w:cs="Arial"/>
          <w:sz w:val="22"/>
          <w:szCs w:val="22"/>
        </w:rPr>
        <w:t>behavior</w:t>
      </w:r>
      <w:proofErr w:type="spellEnd"/>
      <w:r w:rsidRPr="00D702E4">
        <w:rPr>
          <w:rFonts w:ascii="Arial" w:hAnsi="Arial" w:cs="Arial"/>
          <w:sz w:val="22"/>
          <w:szCs w:val="22"/>
        </w:rPr>
        <w:t xml:space="preserve"> in decision-making processes. On the other hand, CSR involves the voluntary actions that companies take to address social, environmental, and ethical issues beyond legal requirements, as defined by Carroll (1991).</w:t>
      </w:r>
    </w:p>
    <w:p w14:paraId="5D1EC39E" w14:textId="77777777" w:rsidR="00D702E4" w:rsidRPr="00376221" w:rsidRDefault="00D702E4" w:rsidP="00376221">
      <w:pPr>
        <w:pStyle w:val="Heading1"/>
      </w:pPr>
      <w:bookmarkStart w:id="1" w:name="_Toc170563449"/>
      <w:r w:rsidRPr="00376221">
        <w:t>Metrics for Corporate Governance and Corporate Social Responsibility (CSR)</w:t>
      </w:r>
      <w:bookmarkEnd w:id="1"/>
    </w:p>
    <w:p w14:paraId="00437818"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 xml:space="preserve">Corporate governance and CSR are essential in modern business practices, shaping how companies manage relationships with stakeholders and uphold ethical standards. Effective governance ensures transparency, accountability, and ethical </w:t>
      </w:r>
      <w:proofErr w:type="spellStart"/>
      <w:r w:rsidRPr="00D702E4">
        <w:rPr>
          <w:rFonts w:ascii="Arial" w:hAnsi="Arial" w:cs="Arial"/>
          <w:sz w:val="22"/>
          <w:szCs w:val="22"/>
        </w:rPr>
        <w:t>behavior</w:t>
      </w:r>
      <w:proofErr w:type="spellEnd"/>
      <w:r w:rsidRPr="00D702E4">
        <w:rPr>
          <w:rFonts w:ascii="Arial" w:hAnsi="Arial" w:cs="Arial"/>
          <w:sz w:val="22"/>
          <w:szCs w:val="22"/>
        </w:rPr>
        <w:t xml:space="preserve"> within organizations, while CSR focuses on integrating social and environmental concerns into business operations. Each area requires specific metrics to evaluate performance and impact.</w:t>
      </w:r>
    </w:p>
    <w:p w14:paraId="3762CF37" w14:textId="77777777" w:rsidR="00D702E4" w:rsidRPr="00376221" w:rsidRDefault="00D702E4" w:rsidP="00376221">
      <w:pPr>
        <w:pStyle w:val="Heading2"/>
      </w:pPr>
      <w:bookmarkStart w:id="2" w:name="_Toc170563450"/>
      <w:r w:rsidRPr="00376221">
        <w:t>Metrics for Corporate Governance</w:t>
      </w:r>
      <w:bookmarkEnd w:id="2"/>
    </w:p>
    <w:p w14:paraId="64B4480C"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Corporate governance refers to the system of rules, practices, and processes by which a company is directed and controlled. Key metrics in corporate governance include:</w:t>
      </w:r>
    </w:p>
    <w:p w14:paraId="387D3A35" w14:textId="77777777" w:rsidR="00376221" w:rsidRPr="00376221" w:rsidRDefault="00D702E4" w:rsidP="00376221">
      <w:pPr>
        <w:pStyle w:val="Heading3"/>
      </w:pPr>
      <w:bookmarkStart w:id="3" w:name="_Toc170563451"/>
      <w:r w:rsidRPr="00376221">
        <w:t xml:space="preserve">Board </w:t>
      </w:r>
      <w:r w:rsidRPr="00376221">
        <w:rPr>
          <w:rFonts w:eastAsiaTheme="majorEastAsia"/>
        </w:rPr>
        <w:t>Composition</w:t>
      </w:r>
      <w:r w:rsidRPr="00376221">
        <w:t xml:space="preserve"> and Diversity:</w:t>
      </w:r>
      <w:bookmarkEnd w:id="3"/>
      <w:r w:rsidRPr="00376221">
        <w:t xml:space="preserve"> </w:t>
      </w:r>
    </w:p>
    <w:p w14:paraId="733CDF21" w14:textId="2E136101"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This metric assesses the makeup of a company's board of directors in terms of diversity (gender, ethnicity, expertise) and independence. Research indicates that diverse boards enhance decision-making by incorporating a wider range of perspectives and reducing groupthink (Clark, 2020).</w:t>
      </w:r>
    </w:p>
    <w:p w14:paraId="41FF1189" w14:textId="77777777" w:rsidR="00376221" w:rsidRDefault="00D702E4" w:rsidP="00376221">
      <w:pPr>
        <w:pStyle w:val="Heading3"/>
      </w:pPr>
      <w:bookmarkStart w:id="4" w:name="_Toc170563452"/>
      <w:r w:rsidRPr="00D702E4">
        <w:t>Ethical Guidelines and Compliance:</w:t>
      </w:r>
      <w:bookmarkEnd w:id="4"/>
      <w:r w:rsidRPr="00D702E4">
        <w:t xml:space="preserve"> </w:t>
      </w:r>
    </w:p>
    <w:p w14:paraId="0148EEFA" w14:textId="2DC38CD8" w:rsidR="00D702E4" w:rsidRPr="00376221" w:rsidRDefault="00D702E4" w:rsidP="00376221">
      <w:pPr>
        <w:spacing w:line="360" w:lineRule="auto"/>
        <w:jc w:val="both"/>
        <w:rPr>
          <w:rFonts w:ascii="Arial" w:hAnsi="Arial" w:cs="Arial"/>
        </w:rPr>
      </w:pPr>
      <w:r w:rsidRPr="00376221">
        <w:rPr>
          <w:rFonts w:ascii="Arial" w:hAnsi="Arial" w:cs="Arial"/>
        </w:rPr>
        <w:t>Evaluates adherence to ethical guidelines and codes of conduct. Metrics include the number of ethical violations reported, regulatory fines, and the effectiveness of internal controls to prevent misconduct (Cruz &amp; Bernardi, 2019).</w:t>
      </w:r>
    </w:p>
    <w:p w14:paraId="5894DB55" w14:textId="77777777" w:rsidR="00376221" w:rsidRPr="00376221" w:rsidRDefault="00D702E4" w:rsidP="00376221">
      <w:pPr>
        <w:pStyle w:val="Heading3"/>
      </w:pPr>
      <w:bookmarkStart w:id="5" w:name="_Toc170563453"/>
      <w:r w:rsidRPr="00D702E4">
        <w:t>Transparency and Disclosure:</w:t>
      </w:r>
      <w:bookmarkEnd w:id="5"/>
    </w:p>
    <w:p w14:paraId="66049534" w14:textId="749022D2" w:rsidR="00D702E4" w:rsidRPr="00376221" w:rsidRDefault="00D702E4" w:rsidP="00376221">
      <w:pPr>
        <w:spacing w:line="360" w:lineRule="auto"/>
        <w:jc w:val="both"/>
        <w:rPr>
          <w:rFonts w:ascii="Arial" w:hAnsi="Arial" w:cs="Arial"/>
        </w:rPr>
      </w:pPr>
      <w:r w:rsidRPr="00D702E4">
        <w:t xml:space="preserve"> </w:t>
      </w:r>
      <w:r w:rsidRPr="00376221">
        <w:rPr>
          <w:rFonts w:ascii="Arial" w:hAnsi="Arial" w:cs="Arial"/>
        </w:rPr>
        <w:t>Measures how transparent a company is in disclosing its governance practices, financial performance, and decision-making processes. Metrics include the comprehensiveness of annual reports, adherence to global reporting standards (e.g., GRI, SASB), and the frequency of disclosures (Bassen &amp; Meyer, 2020).</w:t>
      </w:r>
    </w:p>
    <w:p w14:paraId="58DCE86C" w14:textId="77777777" w:rsidR="00D702E4" w:rsidRPr="00D702E4" w:rsidRDefault="00D702E4" w:rsidP="00376221">
      <w:pPr>
        <w:pStyle w:val="Heading2"/>
      </w:pPr>
      <w:bookmarkStart w:id="6" w:name="_Toc170563454"/>
      <w:r w:rsidRPr="00D702E4">
        <w:t>Metrics for Corporate Social Responsibility (CSR)</w:t>
      </w:r>
      <w:bookmarkEnd w:id="6"/>
    </w:p>
    <w:p w14:paraId="2DCD5831"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CSR focuses on a company's voluntary actions to address social and environmental impacts while maintaining profitability. Key metrics in CSR include:</w:t>
      </w:r>
    </w:p>
    <w:p w14:paraId="64DC6487" w14:textId="77777777" w:rsidR="00376221" w:rsidRDefault="00D702E4" w:rsidP="00376221">
      <w:pPr>
        <w:pStyle w:val="Heading3"/>
      </w:pPr>
      <w:bookmarkStart w:id="7" w:name="_Toc170563455"/>
      <w:r w:rsidRPr="00D702E4">
        <w:lastRenderedPageBreak/>
        <w:t>CSR Spending and Impact:</w:t>
      </w:r>
      <w:bookmarkEnd w:id="7"/>
      <w:r w:rsidRPr="00D702E4">
        <w:t xml:space="preserve"> </w:t>
      </w:r>
    </w:p>
    <w:p w14:paraId="39BD2B4A" w14:textId="4435F3F2" w:rsidR="00D702E4" w:rsidRPr="00D702E4" w:rsidRDefault="00D702E4" w:rsidP="00376221">
      <w:pPr>
        <w:spacing w:line="360" w:lineRule="auto"/>
        <w:ind w:left="360"/>
        <w:jc w:val="both"/>
        <w:rPr>
          <w:rFonts w:ascii="Arial" w:hAnsi="Arial" w:cs="Arial"/>
          <w:sz w:val="22"/>
          <w:szCs w:val="22"/>
        </w:rPr>
      </w:pPr>
      <w:r w:rsidRPr="00D702E4">
        <w:rPr>
          <w:rFonts w:ascii="Arial" w:hAnsi="Arial" w:cs="Arial"/>
          <w:sz w:val="22"/>
          <w:szCs w:val="22"/>
        </w:rPr>
        <w:t>Evaluates the financial resources allocated to CSR activities relative to revenue or profits, and the tangible impact of these initiatives on communities and the environment. Metrics may include community engagement hours, carbon footprint reduction, and employee volunteerism rates (Grewal &amp; Levy, 2021).</w:t>
      </w:r>
    </w:p>
    <w:p w14:paraId="7C78AB17" w14:textId="77777777" w:rsidR="00376221" w:rsidRDefault="00D702E4" w:rsidP="00376221">
      <w:pPr>
        <w:pStyle w:val="Heading3"/>
      </w:pPr>
      <w:bookmarkStart w:id="8" w:name="_Toc170563456"/>
      <w:r w:rsidRPr="00D702E4">
        <w:t>Stakeholder Engagement:</w:t>
      </w:r>
      <w:bookmarkEnd w:id="8"/>
      <w:r w:rsidRPr="00D702E4">
        <w:t xml:space="preserve"> </w:t>
      </w:r>
    </w:p>
    <w:p w14:paraId="29328768" w14:textId="2B3DC9EF"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Assesses how effectively a company engages with stakeholders such as employees, customers, suppliers, and local communities. Metrics include satisfaction surveys, feedback mechanisms, and the responsiveness of the company to stakeholder concerns (Ioannou &amp; Serafeim, 2018).</w:t>
      </w:r>
    </w:p>
    <w:p w14:paraId="12816C3D"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These metrics play a crucial role in assessing the effectiveness and sustainability of corporate governance and CSR practices. They provide stakeholders, including investors, regulators, and the broader community, with insights into how well a company manages its responsibilities and integrates ethical considerations into its operations.</w:t>
      </w:r>
    </w:p>
    <w:p w14:paraId="0A221045" w14:textId="77777777" w:rsidR="00D702E4" w:rsidRPr="00D702E4" w:rsidRDefault="00D702E4" w:rsidP="00376221">
      <w:pPr>
        <w:pStyle w:val="Heading1"/>
      </w:pPr>
      <w:bookmarkStart w:id="9" w:name="_Toc170563457"/>
      <w:r w:rsidRPr="00D702E4">
        <w:t>Unilever PLC and Their Corporate Governance</w:t>
      </w:r>
      <w:bookmarkEnd w:id="9"/>
    </w:p>
    <w:p w14:paraId="57D6CBB5"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Unilever PLC, a multinational consumer goods company, exemplifies strong corporate governance practices that align with global standards. The company's governance framework emphasizes transparency, accountability, and integrity, which are fundamental to maintaining stakeholder trust and ensuring sustainable business practices (Unilever, 2023).</w:t>
      </w:r>
    </w:p>
    <w:p w14:paraId="6651B1C6" w14:textId="77777777" w:rsidR="00D702E4" w:rsidRPr="00D702E4" w:rsidRDefault="00D702E4" w:rsidP="00376221">
      <w:pPr>
        <w:pStyle w:val="Heading2"/>
      </w:pPr>
      <w:bookmarkStart w:id="10" w:name="_Toc170563458"/>
      <w:r w:rsidRPr="00D702E4">
        <w:t>Key Elements of Unilever's Corporate Governance</w:t>
      </w:r>
      <w:bookmarkEnd w:id="10"/>
    </w:p>
    <w:p w14:paraId="671DDCA8"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Unilever's corporate governance framework includes a diverse and independent board of directors. The board comprises individuals with diverse expertise and backgrounds, ensuring robust oversight and strategic guidance (Unilever, 2023). This diversity fosters a culture of informed decision-making and reduces the risks associated with groupthink and conflicts of interest (Daily &amp; Dalton, 2003).</w:t>
      </w:r>
    </w:p>
    <w:p w14:paraId="7FA7102A"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Furthermore, Unilever's approach to executive compensation reflects its commitment to aligning management incentives with long-term shareholder value. Performance-based remuneration structures incentivize executives to achieve sustainable growth while mitigating short-termism (Unilever, 2023). This alignment ensures that executive decisions are focused on long-term profitability and stakeholder value creation, enhancing overall corporate performance (Bebchuk &amp; Fried, 2004).</w:t>
      </w:r>
    </w:p>
    <w:p w14:paraId="4724141E" w14:textId="77777777" w:rsidR="00D702E4" w:rsidRPr="00D702E4" w:rsidRDefault="00D702E4" w:rsidP="00376221">
      <w:pPr>
        <w:pStyle w:val="Heading2"/>
      </w:pPr>
      <w:bookmarkStart w:id="11" w:name="_Toc170563459"/>
      <w:r w:rsidRPr="00D702E4">
        <w:t>Unilever PLC and Their Corporate Social Responsibility</w:t>
      </w:r>
      <w:bookmarkEnd w:id="11"/>
    </w:p>
    <w:p w14:paraId="27CA1256" w14:textId="77777777" w:rsidR="00307203" w:rsidRDefault="00D702E4" w:rsidP="00307203">
      <w:pPr>
        <w:spacing w:line="360" w:lineRule="auto"/>
        <w:jc w:val="both"/>
        <w:rPr>
          <w:rFonts w:ascii="Arial" w:hAnsi="Arial" w:cs="Arial"/>
        </w:rPr>
      </w:pPr>
      <w:r w:rsidRPr="00D702E4">
        <w:rPr>
          <w:rFonts w:ascii="Arial" w:hAnsi="Arial" w:cs="Arial"/>
          <w:sz w:val="22"/>
          <w:szCs w:val="22"/>
        </w:rPr>
        <w:t xml:space="preserve">Unilever PLC is renowned for its proactive approach to CSR, integrating sustainability into its core business strategy. The company's CSR initiatives encompass environmental stewardship, social </w:t>
      </w:r>
      <w:r w:rsidRPr="00D702E4">
        <w:rPr>
          <w:rFonts w:ascii="Arial" w:hAnsi="Arial" w:cs="Arial"/>
          <w:sz w:val="22"/>
          <w:szCs w:val="22"/>
        </w:rPr>
        <w:lastRenderedPageBreak/>
        <w:t>impact, and ethical business practices, demonstrating a commitment to creating shared value for stakeholders (Unilever, 2023).</w:t>
      </w:r>
    </w:p>
    <w:p w14:paraId="6D8C911B" w14:textId="696D790F" w:rsidR="00D702E4" w:rsidRPr="00307203" w:rsidRDefault="00D702E4" w:rsidP="00307203">
      <w:pPr>
        <w:spacing w:line="360" w:lineRule="auto"/>
        <w:jc w:val="both"/>
        <w:rPr>
          <w:rFonts w:ascii="Arial" w:hAnsi="Arial" w:cs="Arial"/>
          <w:b/>
          <w:bCs/>
          <w:i/>
          <w:iCs/>
        </w:rPr>
      </w:pPr>
      <w:r w:rsidRPr="00307203">
        <w:rPr>
          <w:b/>
          <w:bCs/>
          <w:i/>
          <w:iCs/>
        </w:rPr>
        <w:t>Key Elements of Unilever's CSR</w:t>
      </w:r>
    </w:p>
    <w:p w14:paraId="44A7AAED" w14:textId="41629F64" w:rsidR="00D702E4" w:rsidRPr="00307203" w:rsidRDefault="00D702E4" w:rsidP="00307203">
      <w:pPr>
        <w:spacing w:line="360" w:lineRule="auto"/>
        <w:jc w:val="both"/>
        <w:rPr>
          <w:rFonts w:ascii="Arial" w:hAnsi="Arial" w:cs="Arial"/>
        </w:rPr>
      </w:pPr>
      <w:r w:rsidRPr="00307203">
        <w:rPr>
          <w:rFonts w:ascii="Arial" w:hAnsi="Arial" w:cs="Arial"/>
        </w:rPr>
        <w:t>Environmental sustainability is a cornerstone of Unilever's CSR agenda, as evidenced by its Sustainable Living Plan. This initiative sets ambitious targets to reduce environmental footprint across operations and supply chains, promoting sustainable sourcing practices and enhancing resource efficiency (Unilever, 2023). By reducing waste and optimizing resource use, Unilever not only minimizes environmental impact but also achieves cost savings and operational efficiencies, thereby improving overall financial performance (Porter &amp; Kramer, 2011).</w:t>
      </w:r>
    </w:p>
    <w:p w14:paraId="6F551226" w14:textId="7979288E" w:rsidR="00D702E4" w:rsidRPr="00307203" w:rsidRDefault="00D702E4" w:rsidP="00307203">
      <w:pPr>
        <w:spacing w:line="360" w:lineRule="auto"/>
        <w:jc w:val="both"/>
        <w:rPr>
          <w:rFonts w:ascii="Arial" w:hAnsi="Arial" w:cs="Arial"/>
        </w:rPr>
      </w:pPr>
      <w:r w:rsidRPr="00307203">
        <w:rPr>
          <w:rFonts w:ascii="Arial" w:hAnsi="Arial" w:cs="Arial"/>
        </w:rPr>
        <w:t>Moreover, Unilever prioritizes social impact through various programs aimed at improving health, hygiene, and livelihoods in communities worldwide. Initiatives such as Project Sunlight and the Lifebuoy handwashing campaign underscore the company's dedication to societal well-being beyond profit generation (Unilever, 2023). These programs enhance brand reputation and consumer loyalty while addressing global health challenges, contributing to sustainable growth and market leadership (Porter &amp; Kramer, 2011).</w:t>
      </w:r>
    </w:p>
    <w:p w14:paraId="2DA623A8"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 xml:space="preserve">Ethical sourcing is another critical aspect of Unilever's CSR strategy, ensuring that suppliers adhere to rigorous ethical standards and </w:t>
      </w:r>
      <w:proofErr w:type="spellStart"/>
      <w:r w:rsidRPr="00D702E4">
        <w:rPr>
          <w:rFonts w:ascii="Arial" w:hAnsi="Arial" w:cs="Arial"/>
          <w:sz w:val="22"/>
          <w:szCs w:val="22"/>
        </w:rPr>
        <w:t>labor</w:t>
      </w:r>
      <w:proofErr w:type="spellEnd"/>
      <w:r w:rsidRPr="00D702E4">
        <w:rPr>
          <w:rFonts w:ascii="Arial" w:hAnsi="Arial" w:cs="Arial"/>
          <w:sz w:val="22"/>
          <w:szCs w:val="22"/>
        </w:rPr>
        <w:t xml:space="preserve"> practices. This commitment supports human rights and fair treatment of workers throughout the supply chain, reinforcing Unilever's reputation as a responsible corporate citizen (Unilever, 2023). By fostering a responsible supply chain, Unilever mitigates operational risks related to supply disruptions and regulatory compliance, thereby enhancing resilience and long-term sustainability (Porter &amp; Kramer, 2011).</w:t>
      </w:r>
    </w:p>
    <w:p w14:paraId="59B2B494" w14:textId="77777777" w:rsidR="00D702E4" w:rsidRPr="00D702E4" w:rsidRDefault="00D702E4" w:rsidP="00376221">
      <w:pPr>
        <w:pStyle w:val="Heading1"/>
      </w:pPr>
      <w:bookmarkStart w:id="12" w:name="_Toc170563460"/>
      <w:r w:rsidRPr="00D702E4">
        <w:t>Discussion and Analysis</w:t>
      </w:r>
      <w:bookmarkEnd w:id="12"/>
    </w:p>
    <w:p w14:paraId="37C675B9" w14:textId="77777777" w:rsidR="00D702E4" w:rsidRPr="00D702E4" w:rsidRDefault="00D702E4" w:rsidP="00307203">
      <w:pPr>
        <w:pStyle w:val="Heading2"/>
      </w:pPr>
      <w:bookmarkStart w:id="13" w:name="_Toc170563461"/>
      <w:r w:rsidRPr="00D702E4">
        <w:t>The Impact of Corporate Governance on Firm Performance</w:t>
      </w:r>
      <w:bookmarkEnd w:id="13"/>
    </w:p>
    <w:p w14:paraId="539EF985"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Unilever's strong corporate governance framework has positively impacted its firm performance. The diverse and independent board of directors ensures robust oversight and strategic guidance, leading to informed decision-making and reduced risks associated with groupthink and conflicts of interest. This diversity fosters a culture of informed decision-making and reduces the risks associated with groupthink and conflicts of interest (Daily &amp; Dalton, 2003).</w:t>
      </w:r>
    </w:p>
    <w:p w14:paraId="14D74FD1"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Performance-based executive compensation aligns management incentives with long-term shareholder value, ensuring that executive decisions are focused on long-term profitability and stakeholder value creation. This alignment enhances overall corporate performance and mitigates short-termism (Bebchuk &amp; Fried, 2004).</w:t>
      </w:r>
    </w:p>
    <w:p w14:paraId="231DB901" w14:textId="77777777" w:rsidR="00D702E4" w:rsidRPr="00D702E4" w:rsidRDefault="00D702E4" w:rsidP="00307203">
      <w:pPr>
        <w:pStyle w:val="Heading2"/>
      </w:pPr>
      <w:bookmarkStart w:id="14" w:name="_Toc170563462"/>
      <w:r w:rsidRPr="00D702E4">
        <w:t>The Impact of CSR on Firm Performance</w:t>
      </w:r>
      <w:bookmarkEnd w:id="14"/>
    </w:p>
    <w:p w14:paraId="464F180E"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 xml:space="preserve">Unilever's proactive approach to CSR has also positively impacted its firm performance. The company's Sustainable Living Plan, which sets ambitious targets to reduce environmental footprint and promote sustainable sourcing practices, has led to cost savings and operational efficiencies. </w:t>
      </w:r>
      <w:r w:rsidRPr="00D702E4">
        <w:rPr>
          <w:rFonts w:ascii="Arial" w:hAnsi="Arial" w:cs="Arial"/>
          <w:sz w:val="22"/>
          <w:szCs w:val="22"/>
        </w:rPr>
        <w:lastRenderedPageBreak/>
        <w:t>By reducing waste and optimizing resource use, Unilever has minimized its environmental impact and improved overall financial performance (Porter &amp; Kramer, 2011).</w:t>
      </w:r>
    </w:p>
    <w:p w14:paraId="635AAFDE"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Unilever's various programs aimed at improving health, hygiene, and livelihoods in communities worldwide have enhanced its brand reputation and consumer loyalty. Initiatives such as Project Sunlight and the Lifebuoy handwashing campaign underscore the company's dedication to societal well-being beyond profit generation, contributing to sustainable growth and market leadership (Porter &amp; Kramer, 2011).</w:t>
      </w:r>
    </w:p>
    <w:p w14:paraId="2919CF3C"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 xml:space="preserve">Ethical sourcing ensures that suppliers adhere to rigorous ethical standards and </w:t>
      </w:r>
      <w:proofErr w:type="spellStart"/>
      <w:r w:rsidRPr="00D702E4">
        <w:rPr>
          <w:rFonts w:ascii="Arial" w:hAnsi="Arial" w:cs="Arial"/>
          <w:sz w:val="22"/>
          <w:szCs w:val="22"/>
        </w:rPr>
        <w:t>labor</w:t>
      </w:r>
      <w:proofErr w:type="spellEnd"/>
      <w:r w:rsidRPr="00D702E4">
        <w:rPr>
          <w:rFonts w:ascii="Arial" w:hAnsi="Arial" w:cs="Arial"/>
          <w:sz w:val="22"/>
          <w:szCs w:val="22"/>
        </w:rPr>
        <w:t xml:space="preserve"> practices, supporting human rights and fair treatment of workers throughout the supply chain. This commitment reinforces Unilever's reputation as a responsible corporate citizen and mitigates operational risks related to supply disruptions and regulatory compliance, thereby enhancing resilience and long-term sustainability (Porter &amp; Kramer, 2011).</w:t>
      </w:r>
    </w:p>
    <w:p w14:paraId="5E3006BD" w14:textId="77777777" w:rsidR="00D702E4" w:rsidRPr="00D702E4" w:rsidRDefault="00D702E4" w:rsidP="00307203">
      <w:pPr>
        <w:pStyle w:val="Heading2"/>
      </w:pPr>
      <w:bookmarkStart w:id="15" w:name="_Toc170563463"/>
      <w:r w:rsidRPr="00D702E4">
        <w:t>Empirical Data Analysis</w:t>
      </w:r>
      <w:bookmarkEnd w:id="15"/>
    </w:p>
    <w:p w14:paraId="737F679C"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Empirical data supports the positive impact of corporate governance and CSR on Unilever's firm performance. For instance, Unilever's commitment to diversity and inclusion has been reflected in its board composition, with 45% of board members being women and 55% representing various nationalities (Unilever, 2023). This diversity has led to improved decision-making and enhanced firm performance, as evidenced by Unilever's consistent financial growth and market leadership.</w:t>
      </w:r>
    </w:p>
    <w:p w14:paraId="79B6BB89" w14:textId="77777777" w:rsidR="00D702E4" w:rsidRPr="00D702E4" w:rsidRDefault="00D702E4" w:rsidP="00376221">
      <w:pPr>
        <w:spacing w:line="360" w:lineRule="auto"/>
        <w:jc w:val="both"/>
        <w:rPr>
          <w:rFonts w:ascii="Arial" w:hAnsi="Arial" w:cs="Arial"/>
          <w:sz w:val="22"/>
          <w:szCs w:val="22"/>
        </w:rPr>
      </w:pPr>
      <w:r w:rsidRPr="00D702E4">
        <w:rPr>
          <w:rFonts w:ascii="Arial" w:hAnsi="Arial" w:cs="Arial"/>
          <w:sz w:val="22"/>
          <w:szCs w:val="22"/>
        </w:rPr>
        <w:t>Furthermore, Unilever's CSR initiatives have led to significant reductions in environmental impact. For example, the company achieved a 50% reduction in waste sent to landfill and a 30% reduction in water usage across its operations between 2010 and 2020 (Unilever, 2023). These achievements have not only minimized environmental impact but also resulted in cost savings and operational efficiencies, thereby improving overall financial performance.</w:t>
      </w:r>
    </w:p>
    <w:p w14:paraId="72457E50" w14:textId="77777777" w:rsidR="00D702E4" w:rsidRPr="00D702E4" w:rsidRDefault="00D702E4" w:rsidP="00307203">
      <w:pPr>
        <w:pStyle w:val="Heading1"/>
      </w:pPr>
      <w:bookmarkStart w:id="16" w:name="_Toc170563464"/>
      <w:r w:rsidRPr="00D702E4">
        <w:t>Conclusion</w:t>
      </w:r>
      <w:bookmarkEnd w:id="16"/>
    </w:p>
    <w:p w14:paraId="6F0BB387" w14:textId="77777777" w:rsidR="00D702E4" w:rsidRDefault="00D702E4" w:rsidP="00376221">
      <w:pPr>
        <w:spacing w:line="360" w:lineRule="auto"/>
        <w:jc w:val="both"/>
        <w:rPr>
          <w:rFonts w:ascii="Arial" w:hAnsi="Arial" w:cs="Arial"/>
          <w:sz w:val="22"/>
          <w:szCs w:val="22"/>
        </w:rPr>
      </w:pPr>
      <w:r w:rsidRPr="00D702E4">
        <w:rPr>
          <w:rFonts w:ascii="Arial" w:hAnsi="Arial" w:cs="Arial"/>
          <w:sz w:val="22"/>
          <w:szCs w:val="22"/>
        </w:rPr>
        <w:t>In conclusion, Unilever PLC's robust corporate governance framework and comprehensive CSR initiatives exemplify its commitment to sustainable and ethical business practices. These efforts not only enhance organizational resilience and stakeholder trust but also contribute to long-term financial performance and societal impact (Porter &amp; Kramer, 2011). By leveraging diverse and independent board composition, performance-based executive compensation, and proactive CSR initiatives, Unilever has demonstrated the positive impact of corporate governance and CSR on firm performance.</w:t>
      </w:r>
    </w:p>
    <w:p w14:paraId="6062015B" w14:textId="77777777" w:rsidR="001F093C" w:rsidRPr="00D702E4" w:rsidRDefault="001F093C" w:rsidP="00376221">
      <w:pPr>
        <w:spacing w:line="360" w:lineRule="auto"/>
        <w:jc w:val="both"/>
        <w:rPr>
          <w:rFonts w:ascii="Arial" w:hAnsi="Arial" w:cs="Arial"/>
          <w:sz w:val="22"/>
          <w:szCs w:val="22"/>
        </w:rPr>
      </w:pPr>
    </w:p>
    <w:p w14:paraId="2EF3349C" w14:textId="77777777" w:rsidR="00D702E4" w:rsidRPr="00D702E4" w:rsidRDefault="00D702E4" w:rsidP="00307203">
      <w:pPr>
        <w:pStyle w:val="Heading1"/>
      </w:pPr>
      <w:bookmarkStart w:id="17" w:name="_Toc170563465"/>
      <w:r w:rsidRPr="00D702E4">
        <w:lastRenderedPageBreak/>
        <w:t>References</w:t>
      </w:r>
      <w:bookmarkEnd w:id="17"/>
    </w:p>
    <w:p w14:paraId="4F590228" w14:textId="77777777" w:rsidR="00D702E4" w:rsidRPr="00376221" w:rsidRDefault="00D702E4" w:rsidP="00376221">
      <w:pPr>
        <w:pStyle w:val="NormalWeb"/>
        <w:numPr>
          <w:ilvl w:val="0"/>
          <w:numId w:val="8"/>
        </w:numPr>
        <w:spacing w:before="0" w:beforeAutospacing="0" w:after="0" w:afterAutospacing="0" w:line="360" w:lineRule="auto"/>
        <w:jc w:val="both"/>
        <w:rPr>
          <w:rFonts w:ascii="Arial" w:hAnsi="Arial" w:cs="Arial"/>
          <w:sz w:val="22"/>
          <w:szCs w:val="22"/>
        </w:rPr>
      </w:pPr>
      <w:r w:rsidRPr="00376221">
        <w:rPr>
          <w:rFonts w:ascii="Arial" w:hAnsi="Arial" w:cs="Arial"/>
          <w:sz w:val="22"/>
          <w:szCs w:val="22"/>
        </w:rPr>
        <w:t xml:space="preserve">Bebchuk, L. A. and Fried, J. M. (2004) </w:t>
      </w:r>
      <w:r w:rsidRPr="00376221">
        <w:rPr>
          <w:rStyle w:val="Emphasis"/>
          <w:rFonts w:ascii="Arial" w:hAnsi="Arial" w:cs="Arial"/>
          <w:sz w:val="22"/>
          <w:szCs w:val="22"/>
        </w:rPr>
        <w:t>Pay without performance: The unfulfilled promise of executive compensation</w:t>
      </w:r>
      <w:r w:rsidRPr="00376221">
        <w:rPr>
          <w:rFonts w:ascii="Arial" w:hAnsi="Arial" w:cs="Arial"/>
          <w:sz w:val="22"/>
          <w:szCs w:val="22"/>
        </w:rPr>
        <w:t>. Cambridge, MA: Harvard University Press.</w:t>
      </w:r>
    </w:p>
    <w:p w14:paraId="24B486FC" w14:textId="77777777" w:rsidR="00D702E4" w:rsidRPr="00376221" w:rsidRDefault="00D702E4" w:rsidP="00376221">
      <w:pPr>
        <w:pStyle w:val="NormalWeb"/>
        <w:numPr>
          <w:ilvl w:val="0"/>
          <w:numId w:val="8"/>
        </w:numPr>
        <w:spacing w:before="0" w:beforeAutospacing="0" w:after="0" w:afterAutospacing="0" w:line="360" w:lineRule="auto"/>
        <w:jc w:val="both"/>
        <w:rPr>
          <w:rFonts w:ascii="Arial" w:hAnsi="Arial" w:cs="Arial"/>
          <w:sz w:val="22"/>
          <w:szCs w:val="22"/>
        </w:rPr>
      </w:pPr>
      <w:r w:rsidRPr="00376221">
        <w:rPr>
          <w:rFonts w:ascii="Arial" w:hAnsi="Arial" w:cs="Arial"/>
          <w:sz w:val="22"/>
          <w:szCs w:val="22"/>
        </w:rPr>
        <w:t xml:space="preserve">Carroll, A. B. (1991) 'The pyramid of corporate social responsibility: Toward the moral management of organizational stakeholders', </w:t>
      </w:r>
      <w:r w:rsidRPr="00376221">
        <w:rPr>
          <w:rStyle w:val="Emphasis"/>
          <w:rFonts w:ascii="Arial" w:hAnsi="Arial" w:cs="Arial"/>
          <w:sz w:val="22"/>
          <w:szCs w:val="22"/>
        </w:rPr>
        <w:t>Business Horizons</w:t>
      </w:r>
      <w:r w:rsidRPr="00376221">
        <w:rPr>
          <w:rFonts w:ascii="Arial" w:hAnsi="Arial" w:cs="Arial"/>
          <w:sz w:val="22"/>
          <w:szCs w:val="22"/>
        </w:rPr>
        <w:t>, 34(4), pp. 39-48.</w:t>
      </w:r>
    </w:p>
    <w:p w14:paraId="3CAB2BD7" w14:textId="77777777" w:rsidR="00D702E4" w:rsidRPr="00376221" w:rsidRDefault="00D702E4" w:rsidP="00376221">
      <w:pPr>
        <w:pStyle w:val="NormalWeb"/>
        <w:numPr>
          <w:ilvl w:val="0"/>
          <w:numId w:val="8"/>
        </w:numPr>
        <w:spacing w:before="0" w:beforeAutospacing="0" w:after="0" w:afterAutospacing="0" w:line="360" w:lineRule="auto"/>
        <w:jc w:val="both"/>
        <w:rPr>
          <w:rFonts w:ascii="Arial" w:hAnsi="Arial" w:cs="Arial"/>
          <w:sz w:val="22"/>
          <w:szCs w:val="22"/>
        </w:rPr>
      </w:pPr>
      <w:r w:rsidRPr="00376221">
        <w:rPr>
          <w:rFonts w:ascii="Arial" w:hAnsi="Arial" w:cs="Arial"/>
          <w:sz w:val="22"/>
          <w:szCs w:val="22"/>
        </w:rPr>
        <w:t xml:space="preserve">Clark, J. (2020) 'Corporate governance and diversity: Towards a European guideline', </w:t>
      </w:r>
      <w:r w:rsidRPr="00376221">
        <w:rPr>
          <w:rStyle w:val="Emphasis"/>
          <w:rFonts w:ascii="Arial" w:hAnsi="Arial" w:cs="Arial"/>
          <w:sz w:val="22"/>
          <w:szCs w:val="22"/>
        </w:rPr>
        <w:t>Journal of Management &amp; Governance</w:t>
      </w:r>
      <w:r w:rsidRPr="00376221">
        <w:rPr>
          <w:rFonts w:ascii="Arial" w:hAnsi="Arial" w:cs="Arial"/>
          <w:sz w:val="22"/>
          <w:szCs w:val="22"/>
        </w:rPr>
        <w:t>, 24(2), pp. 367-393.</w:t>
      </w:r>
    </w:p>
    <w:p w14:paraId="0DBDBD16" w14:textId="77777777" w:rsidR="00D702E4" w:rsidRPr="00376221" w:rsidRDefault="00D702E4" w:rsidP="00376221">
      <w:pPr>
        <w:pStyle w:val="NormalWeb"/>
        <w:numPr>
          <w:ilvl w:val="0"/>
          <w:numId w:val="8"/>
        </w:numPr>
        <w:spacing w:before="0" w:beforeAutospacing="0" w:after="0" w:afterAutospacing="0" w:line="360" w:lineRule="auto"/>
        <w:jc w:val="both"/>
        <w:rPr>
          <w:rFonts w:ascii="Arial" w:hAnsi="Arial" w:cs="Arial"/>
          <w:sz w:val="22"/>
          <w:szCs w:val="22"/>
        </w:rPr>
      </w:pPr>
      <w:r w:rsidRPr="00376221">
        <w:rPr>
          <w:rFonts w:ascii="Arial" w:hAnsi="Arial" w:cs="Arial"/>
          <w:sz w:val="22"/>
          <w:szCs w:val="22"/>
        </w:rPr>
        <w:t xml:space="preserve">Cruz, C. and Bernardi, C. (2019) 'Corporate governance mechanisms and social responsibility in companies', </w:t>
      </w:r>
      <w:proofErr w:type="spellStart"/>
      <w:r w:rsidRPr="00376221">
        <w:rPr>
          <w:rStyle w:val="Emphasis"/>
          <w:rFonts w:ascii="Arial" w:hAnsi="Arial" w:cs="Arial"/>
          <w:sz w:val="22"/>
          <w:szCs w:val="22"/>
        </w:rPr>
        <w:t>Revista</w:t>
      </w:r>
      <w:proofErr w:type="spellEnd"/>
      <w:r w:rsidRPr="00376221">
        <w:rPr>
          <w:rStyle w:val="Emphasis"/>
          <w:rFonts w:ascii="Arial" w:hAnsi="Arial" w:cs="Arial"/>
          <w:sz w:val="22"/>
          <w:szCs w:val="22"/>
        </w:rPr>
        <w:t xml:space="preserve"> de </w:t>
      </w:r>
      <w:proofErr w:type="spellStart"/>
      <w:r w:rsidRPr="00376221">
        <w:rPr>
          <w:rStyle w:val="Emphasis"/>
          <w:rFonts w:ascii="Arial" w:hAnsi="Arial" w:cs="Arial"/>
          <w:sz w:val="22"/>
          <w:szCs w:val="22"/>
        </w:rPr>
        <w:t>Administração</w:t>
      </w:r>
      <w:proofErr w:type="spellEnd"/>
      <w:r w:rsidRPr="00376221">
        <w:rPr>
          <w:rStyle w:val="Emphasis"/>
          <w:rFonts w:ascii="Arial" w:hAnsi="Arial" w:cs="Arial"/>
          <w:sz w:val="22"/>
          <w:szCs w:val="22"/>
        </w:rPr>
        <w:t xml:space="preserve"> de </w:t>
      </w:r>
      <w:proofErr w:type="spellStart"/>
      <w:r w:rsidRPr="00376221">
        <w:rPr>
          <w:rStyle w:val="Emphasis"/>
          <w:rFonts w:ascii="Arial" w:hAnsi="Arial" w:cs="Arial"/>
          <w:sz w:val="22"/>
          <w:szCs w:val="22"/>
        </w:rPr>
        <w:t>Empresas</w:t>
      </w:r>
      <w:proofErr w:type="spellEnd"/>
      <w:r w:rsidRPr="00376221">
        <w:rPr>
          <w:rFonts w:ascii="Arial" w:hAnsi="Arial" w:cs="Arial"/>
          <w:sz w:val="22"/>
          <w:szCs w:val="22"/>
        </w:rPr>
        <w:t>, 59(3), pp. 206-220.</w:t>
      </w:r>
    </w:p>
    <w:p w14:paraId="430BB0A3" w14:textId="77777777" w:rsidR="00D702E4" w:rsidRPr="00376221" w:rsidRDefault="00D702E4" w:rsidP="00376221">
      <w:pPr>
        <w:pStyle w:val="NormalWeb"/>
        <w:numPr>
          <w:ilvl w:val="0"/>
          <w:numId w:val="8"/>
        </w:numPr>
        <w:spacing w:before="0" w:beforeAutospacing="0" w:after="0" w:afterAutospacing="0" w:line="360" w:lineRule="auto"/>
        <w:jc w:val="both"/>
        <w:rPr>
          <w:rFonts w:ascii="Arial" w:hAnsi="Arial" w:cs="Arial"/>
          <w:sz w:val="22"/>
          <w:szCs w:val="22"/>
        </w:rPr>
      </w:pPr>
      <w:r w:rsidRPr="00376221">
        <w:rPr>
          <w:rFonts w:ascii="Arial" w:hAnsi="Arial" w:cs="Arial"/>
          <w:sz w:val="22"/>
          <w:szCs w:val="22"/>
        </w:rPr>
        <w:t xml:space="preserve">Daily, C. M. and Dalton, D. R. (2003) 'Corporate governance: Decades of dialogue and data', </w:t>
      </w:r>
      <w:r w:rsidRPr="00376221">
        <w:rPr>
          <w:rStyle w:val="Emphasis"/>
          <w:rFonts w:ascii="Arial" w:hAnsi="Arial" w:cs="Arial"/>
          <w:sz w:val="22"/>
          <w:szCs w:val="22"/>
        </w:rPr>
        <w:t>Academy of Management Review</w:t>
      </w:r>
      <w:r w:rsidRPr="00376221">
        <w:rPr>
          <w:rFonts w:ascii="Arial" w:hAnsi="Arial" w:cs="Arial"/>
          <w:sz w:val="22"/>
          <w:szCs w:val="22"/>
        </w:rPr>
        <w:t>, 28(3), pp. 371-382.</w:t>
      </w:r>
    </w:p>
    <w:p w14:paraId="3284272C" w14:textId="77777777" w:rsidR="00D702E4" w:rsidRPr="00376221" w:rsidRDefault="00D702E4" w:rsidP="00376221">
      <w:pPr>
        <w:pStyle w:val="NormalWeb"/>
        <w:numPr>
          <w:ilvl w:val="0"/>
          <w:numId w:val="8"/>
        </w:numPr>
        <w:spacing w:before="0" w:beforeAutospacing="0" w:after="0" w:afterAutospacing="0" w:line="360" w:lineRule="auto"/>
        <w:jc w:val="both"/>
        <w:rPr>
          <w:rFonts w:ascii="Arial" w:hAnsi="Arial" w:cs="Arial"/>
          <w:sz w:val="22"/>
          <w:szCs w:val="22"/>
        </w:rPr>
      </w:pPr>
      <w:r w:rsidRPr="00376221">
        <w:rPr>
          <w:rFonts w:ascii="Arial" w:hAnsi="Arial" w:cs="Arial"/>
          <w:sz w:val="22"/>
          <w:szCs w:val="22"/>
        </w:rPr>
        <w:t xml:space="preserve">Freeman, R. E. (2010) </w:t>
      </w:r>
      <w:r w:rsidRPr="00376221">
        <w:rPr>
          <w:rStyle w:val="Emphasis"/>
          <w:rFonts w:ascii="Arial" w:hAnsi="Arial" w:cs="Arial"/>
          <w:sz w:val="22"/>
          <w:szCs w:val="22"/>
        </w:rPr>
        <w:t>Strategic management: A stakeholder approach</w:t>
      </w:r>
      <w:r w:rsidRPr="00376221">
        <w:rPr>
          <w:rFonts w:ascii="Arial" w:hAnsi="Arial" w:cs="Arial"/>
          <w:sz w:val="22"/>
          <w:szCs w:val="22"/>
        </w:rPr>
        <w:t>. Cambridge: Cambridge University Press.</w:t>
      </w:r>
    </w:p>
    <w:p w14:paraId="12DF812E" w14:textId="77777777" w:rsidR="00D702E4" w:rsidRPr="00376221" w:rsidRDefault="00D702E4" w:rsidP="00376221">
      <w:pPr>
        <w:pStyle w:val="NormalWeb"/>
        <w:numPr>
          <w:ilvl w:val="0"/>
          <w:numId w:val="8"/>
        </w:numPr>
        <w:spacing w:before="0" w:beforeAutospacing="0" w:after="0" w:afterAutospacing="0" w:line="360" w:lineRule="auto"/>
        <w:jc w:val="both"/>
        <w:rPr>
          <w:rFonts w:ascii="Arial" w:hAnsi="Arial" w:cs="Arial"/>
          <w:sz w:val="22"/>
          <w:szCs w:val="22"/>
        </w:rPr>
      </w:pPr>
      <w:r w:rsidRPr="00376221">
        <w:rPr>
          <w:rFonts w:ascii="Arial" w:hAnsi="Arial" w:cs="Arial"/>
          <w:sz w:val="22"/>
          <w:szCs w:val="22"/>
        </w:rPr>
        <w:t xml:space="preserve">Grewal, N. and Levy, B. (2021) 'Corporate social responsibility (CSR) and global governance', </w:t>
      </w:r>
      <w:r w:rsidRPr="00376221">
        <w:rPr>
          <w:rStyle w:val="Emphasis"/>
          <w:rFonts w:ascii="Arial" w:hAnsi="Arial" w:cs="Arial"/>
          <w:sz w:val="22"/>
          <w:szCs w:val="22"/>
        </w:rPr>
        <w:t>Journal of Management and Governance</w:t>
      </w:r>
      <w:r w:rsidRPr="00376221">
        <w:rPr>
          <w:rFonts w:ascii="Arial" w:hAnsi="Arial" w:cs="Arial"/>
          <w:sz w:val="22"/>
          <w:szCs w:val="22"/>
        </w:rPr>
        <w:t>, 25(1), pp. 1-18.</w:t>
      </w:r>
    </w:p>
    <w:p w14:paraId="236B6C0C" w14:textId="77777777" w:rsidR="00D702E4" w:rsidRPr="00376221" w:rsidRDefault="00D702E4" w:rsidP="00376221">
      <w:pPr>
        <w:pStyle w:val="NormalWeb"/>
        <w:numPr>
          <w:ilvl w:val="0"/>
          <w:numId w:val="8"/>
        </w:numPr>
        <w:spacing w:before="0" w:beforeAutospacing="0" w:after="0" w:afterAutospacing="0" w:line="360" w:lineRule="auto"/>
        <w:jc w:val="both"/>
        <w:rPr>
          <w:rFonts w:ascii="Arial" w:hAnsi="Arial" w:cs="Arial"/>
          <w:sz w:val="22"/>
          <w:szCs w:val="22"/>
        </w:rPr>
      </w:pPr>
      <w:r w:rsidRPr="00376221">
        <w:rPr>
          <w:rFonts w:ascii="Arial" w:hAnsi="Arial" w:cs="Arial"/>
          <w:sz w:val="22"/>
          <w:szCs w:val="22"/>
        </w:rPr>
        <w:t xml:space="preserve">Ioannou, I. and Serafeim, G. (2018) 'The consequences of mandatory corporate sustainability reporting', </w:t>
      </w:r>
      <w:r w:rsidRPr="00376221">
        <w:rPr>
          <w:rStyle w:val="Emphasis"/>
          <w:rFonts w:ascii="Arial" w:hAnsi="Arial" w:cs="Arial"/>
          <w:sz w:val="22"/>
          <w:szCs w:val="22"/>
        </w:rPr>
        <w:t>Harvard Business School Working Paper</w:t>
      </w:r>
      <w:r w:rsidRPr="00376221">
        <w:rPr>
          <w:rFonts w:ascii="Arial" w:hAnsi="Arial" w:cs="Arial"/>
          <w:sz w:val="22"/>
          <w:szCs w:val="22"/>
        </w:rPr>
        <w:t>, (16-065). Available at: https://www.hbs.edu/faculty/Publication%20Files/16-065_59a8c244-2c9a-4b9c-98fa-e07bba15a137.pdf (Accessed: 28 June 2024).</w:t>
      </w:r>
    </w:p>
    <w:p w14:paraId="6B1CD3E3" w14:textId="77777777" w:rsidR="00D702E4" w:rsidRPr="00376221" w:rsidRDefault="00D702E4" w:rsidP="00376221">
      <w:pPr>
        <w:pStyle w:val="NormalWeb"/>
        <w:numPr>
          <w:ilvl w:val="0"/>
          <w:numId w:val="8"/>
        </w:numPr>
        <w:spacing w:before="0" w:beforeAutospacing="0" w:after="0" w:afterAutospacing="0" w:line="360" w:lineRule="auto"/>
        <w:jc w:val="both"/>
        <w:rPr>
          <w:rFonts w:ascii="Arial" w:hAnsi="Arial" w:cs="Arial"/>
          <w:sz w:val="22"/>
          <w:szCs w:val="22"/>
        </w:rPr>
      </w:pPr>
      <w:r w:rsidRPr="00376221">
        <w:rPr>
          <w:rFonts w:ascii="Arial" w:hAnsi="Arial" w:cs="Arial"/>
          <w:sz w:val="22"/>
          <w:szCs w:val="22"/>
        </w:rPr>
        <w:t xml:space="preserve">Porter, M. E. and Kramer, M. R. (2011) 'Creating shared value', </w:t>
      </w:r>
      <w:r w:rsidRPr="00376221">
        <w:rPr>
          <w:rStyle w:val="Emphasis"/>
          <w:rFonts w:ascii="Arial" w:hAnsi="Arial" w:cs="Arial"/>
          <w:sz w:val="22"/>
          <w:szCs w:val="22"/>
        </w:rPr>
        <w:t>Harvard Business Review</w:t>
      </w:r>
      <w:r w:rsidRPr="00376221">
        <w:rPr>
          <w:rFonts w:ascii="Arial" w:hAnsi="Arial" w:cs="Arial"/>
          <w:sz w:val="22"/>
          <w:szCs w:val="22"/>
        </w:rPr>
        <w:t>, 89(1/2), pp. 62-77.</w:t>
      </w:r>
    </w:p>
    <w:p w14:paraId="4BF988E6" w14:textId="77777777" w:rsidR="00D702E4" w:rsidRPr="00376221" w:rsidRDefault="00D702E4" w:rsidP="00376221">
      <w:pPr>
        <w:pStyle w:val="NormalWeb"/>
        <w:numPr>
          <w:ilvl w:val="0"/>
          <w:numId w:val="8"/>
        </w:numPr>
        <w:spacing w:before="0" w:beforeAutospacing="0" w:after="0" w:afterAutospacing="0" w:line="360" w:lineRule="auto"/>
        <w:jc w:val="both"/>
        <w:rPr>
          <w:rFonts w:ascii="Arial" w:hAnsi="Arial" w:cs="Arial"/>
          <w:sz w:val="22"/>
          <w:szCs w:val="22"/>
        </w:rPr>
      </w:pPr>
      <w:r w:rsidRPr="00376221">
        <w:rPr>
          <w:rFonts w:ascii="Arial" w:hAnsi="Arial" w:cs="Arial"/>
          <w:sz w:val="22"/>
          <w:szCs w:val="22"/>
        </w:rPr>
        <w:t xml:space="preserve">Unilever (2023) </w:t>
      </w:r>
      <w:r w:rsidRPr="00376221">
        <w:rPr>
          <w:rStyle w:val="Emphasis"/>
          <w:rFonts w:ascii="Arial" w:hAnsi="Arial" w:cs="Arial"/>
          <w:sz w:val="22"/>
          <w:szCs w:val="22"/>
        </w:rPr>
        <w:t>Annual Report and Accounts 2022</w:t>
      </w:r>
      <w:r w:rsidRPr="00376221">
        <w:rPr>
          <w:rFonts w:ascii="Arial" w:hAnsi="Arial" w:cs="Arial"/>
          <w:sz w:val="22"/>
          <w:szCs w:val="22"/>
        </w:rPr>
        <w:t>. Available at: https://www.unilever.com/Images/annual-report-and-accounts-2022_tcm244-561290_en.pdf (Accessed: 28 June 2024).</w:t>
      </w:r>
    </w:p>
    <w:p w14:paraId="024677AF" w14:textId="77777777" w:rsidR="00555237" w:rsidRPr="00376221" w:rsidRDefault="00555237" w:rsidP="00376221">
      <w:pPr>
        <w:spacing w:line="360" w:lineRule="auto"/>
        <w:ind w:left="360"/>
        <w:jc w:val="both"/>
        <w:rPr>
          <w:rFonts w:ascii="Arial" w:hAnsi="Arial" w:cs="Arial"/>
          <w:sz w:val="22"/>
          <w:szCs w:val="22"/>
        </w:rPr>
      </w:pPr>
    </w:p>
    <w:sectPr w:rsidR="00555237" w:rsidRPr="00376221" w:rsidSect="001F093C">
      <w:footerReference w:type="default" r:id="rId11"/>
      <w:headerReference w:type="first" r:id="rId12"/>
      <w:pgSz w:w="11906" w:h="16838"/>
      <w:pgMar w:top="1440" w:right="991"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D37BF9" w14:textId="77777777" w:rsidR="00E850D0" w:rsidRDefault="00E850D0" w:rsidP="001F093C">
      <w:r>
        <w:separator/>
      </w:r>
    </w:p>
  </w:endnote>
  <w:endnote w:type="continuationSeparator" w:id="0">
    <w:p w14:paraId="39B0EC1C" w14:textId="77777777" w:rsidR="00E850D0" w:rsidRDefault="00E850D0" w:rsidP="001F0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8412506"/>
      <w:docPartObj>
        <w:docPartGallery w:val="Page Numbers (Bottom of Page)"/>
        <w:docPartUnique/>
      </w:docPartObj>
    </w:sdtPr>
    <w:sdtEndPr>
      <w:rPr>
        <w:noProof/>
      </w:rPr>
    </w:sdtEndPr>
    <w:sdtContent>
      <w:p w14:paraId="175BD723" w14:textId="43EAB425" w:rsidR="001F093C" w:rsidRDefault="001F09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0BB66C" w14:textId="77777777" w:rsidR="001F093C" w:rsidRDefault="001F0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D8B706" w14:textId="77777777" w:rsidR="00E850D0" w:rsidRDefault="00E850D0" w:rsidP="001F093C">
      <w:r>
        <w:separator/>
      </w:r>
    </w:p>
  </w:footnote>
  <w:footnote w:type="continuationSeparator" w:id="0">
    <w:p w14:paraId="58CA7151" w14:textId="77777777" w:rsidR="00E850D0" w:rsidRDefault="00E850D0" w:rsidP="001F09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A6897" w14:textId="78684B02" w:rsidR="001F093C" w:rsidRPr="007B48CC" w:rsidRDefault="001F093C" w:rsidP="001F093C">
    <w:pPr>
      <w:spacing w:before="120" w:after="120"/>
      <w:rPr>
        <w:rFonts w:ascii="Arial" w:hAnsi="Arial" w:cs="Arial"/>
        <w:b/>
      </w:rPr>
    </w:pPr>
    <w:r>
      <w:rPr>
        <w:rFonts w:ascii="Arial" w:hAnsi="Arial" w:cs="Arial"/>
        <w:b/>
      </w:rPr>
      <w:t xml:space="preserve">                     </w:t>
    </w:r>
    <w:r w:rsidRPr="007B48CC">
      <w:rPr>
        <w:rFonts w:ascii="Arial" w:hAnsi="Arial" w:cs="Arial"/>
        <w:b/>
      </w:rPr>
      <w:t>BA</w:t>
    </w:r>
    <w:r w:rsidRPr="007B48CC">
      <w:rPr>
        <w:rFonts w:ascii="Arial" w:hAnsi="Arial" w:cs="Arial"/>
        <w:b/>
        <w:spacing w:val="-3"/>
      </w:rPr>
      <w:t xml:space="preserve"> </w:t>
    </w:r>
    <w:r w:rsidRPr="007B48CC">
      <w:rPr>
        <w:rFonts w:ascii="Arial" w:hAnsi="Arial" w:cs="Arial"/>
        <w:b/>
      </w:rPr>
      <w:t>Business</w:t>
    </w:r>
    <w:r w:rsidRPr="007B48CC">
      <w:rPr>
        <w:rFonts w:ascii="Arial" w:hAnsi="Arial" w:cs="Arial"/>
        <w:b/>
        <w:spacing w:val="-6"/>
      </w:rPr>
      <w:t xml:space="preserve"> </w:t>
    </w:r>
    <w:r w:rsidRPr="007B48CC">
      <w:rPr>
        <w:rFonts w:ascii="Arial" w:hAnsi="Arial" w:cs="Arial"/>
        <w:b/>
        <w:spacing w:val="-2"/>
      </w:rPr>
      <w:t>Management</w:t>
    </w:r>
    <w:r w:rsidRPr="00A406E5">
      <w:rPr>
        <w:rFonts w:ascii="Arial" w:hAnsi="Arial" w:cs="Arial"/>
        <w:noProof/>
      </w:rPr>
      <w:t xml:space="preserve"> </w:t>
    </w:r>
    <w:r>
      <w:rPr>
        <w:rFonts w:ascii="Arial" w:hAnsi="Arial" w:cs="Arial"/>
        <w:noProof/>
      </w:rPr>
      <w:br/>
    </w:r>
    <w:r w:rsidRPr="00A406E5">
      <w:rPr>
        <w:rFonts w:ascii="Arial" w:hAnsi="Arial" w:cs="Arial"/>
        <w:noProof/>
      </w:rPr>
      <w:drawing>
        <wp:anchor distT="0" distB="0" distL="114300" distR="114300" simplePos="0" relativeHeight="251659264" behindDoc="0" locked="0" layoutInCell="1" allowOverlap="1" wp14:anchorId="4C072C6B" wp14:editId="00EFD018">
          <wp:simplePos x="0" y="0"/>
          <wp:positionH relativeFrom="column">
            <wp:posOffset>-706005</wp:posOffset>
          </wp:positionH>
          <wp:positionV relativeFrom="paragraph">
            <wp:posOffset>-269875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noProof/>
      </w:rPr>
      <w:t xml:space="preserve">           </w:t>
    </w:r>
    <w:r w:rsidRPr="007B48CC">
      <w:rPr>
        <w:rFonts w:ascii="Arial" w:hAnsi="Arial" w:cs="Arial"/>
        <w:b/>
      </w:rPr>
      <w:t>International</w:t>
    </w:r>
    <w:r w:rsidRPr="007B48CC">
      <w:rPr>
        <w:rFonts w:ascii="Arial" w:hAnsi="Arial" w:cs="Arial"/>
        <w:b/>
        <w:spacing w:val="-9"/>
      </w:rPr>
      <w:t xml:space="preserve"> </w:t>
    </w:r>
    <w:r w:rsidRPr="007B48CC">
      <w:rPr>
        <w:rFonts w:ascii="Arial" w:hAnsi="Arial" w:cs="Arial"/>
        <w:b/>
      </w:rPr>
      <w:t>Financial</w:t>
    </w:r>
    <w:r w:rsidRPr="007B48CC">
      <w:rPr>
        <w:rFonts w:ascii="Arial" w:hAnsi="Arial" w:cs="Arial"/>
        <w:b/>
        <w:spacing w:val="-11"/>
      </w:rPr>
      <w:t xml:space="preserve"> </w:t>
    </w:r>
    <w:r w:rsidRPr="007B48CC">
      <w:rPr>
        <w:rFonts w:ascii="Arial" w:hAnsi="Arial" w:cs="Arial"/>
        <w:b/>
        <w:spacing w:val="-2"/>
      </w:rPr>
      <w:t>Management</w:t>
    </w:r>
    <w:r>
      <w:rPr>
        <w:rFonts w:ascii="Arial" w:hAnsi="Arial" w:cs="Arial"/>
        <w:b/>
        <w:spacing w:val="-2"/>
      </w:rPr>
      <w:br/>
    </w:r>
    <w:r>
      <w:rPr>
        <w:rFonts w:asciiTheme="minorBidi" w:hAnsiTheme="minorBidi"/>
        <w:b/>
        <w:spacing w:val="-2"/>
      </w:rPr>
      <w:t xml:space="preserve">                                       </w:t>
    </w:r>
    <w:r w:rsidRPr="007B48CC">
      <w:rPr>
        <w:rFonts w:asciiTheme="minorBidi" w:hAnsiTheme="minorBidi" w:cstheme="minorBidi"/>
        <w:b/>
        <w:spacing w:val="-2"/>
      </w:rPr>
      <w:t>LCBB6002</w:t>
    </w:r>
  </w:p>
  <w:p w14:paraId="66FA3568" w14:textId="7B2408A4" w:rsidR="001F093C" w:rsidRDefault="001F09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83549"/>
    <w:multiLevelType w:val="multilevel"/>
    <w:tmpl w:val="FCC83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7F3E9F"/>
    <w:multiLevelType w:val="multilevel"/>
    <w:tmpl w:val="48A43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C75961"/>
    <w:multiLevelType w:val="multilevel"/>
    <w:tmpl w:val="4836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D16A17"/>
    <w:multiLevelType w:val="multilevel"/>
    <w:tmpl w:val="9AD69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2B6B31"/>
    <w:multiLevelType w:val="multilevel"/>
    <w:tmpl w:val="F7866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19508E"/>
    <w:multiLevelType w:val="multilevel"/>
    <w:tmpl w:val="28943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AC6729"/>
    <w:multiLevelType w:val="multilevel"/>
    <w:tmpl w:val="7752253C"/>
    <w:lvl w:ilvl="0">
      <w:start w:val="1"/>
      <w:numFmt w:val="upperRoman"/>
      <w:pStyle w:val="Heading1"/>
      <w:lvlText w:val="%1)"/>
      <w:lvlJc w:val="left"/>
      <w:pPr>
        <w:ind w:left="0" w:firstLine="0"/>
      </w:pPr>
      <w:rPr>
        <w:rFonts w:hint="default"/>
      </w:rPr>
    </w:lvl>
    <w:lvl w:ilvl="1">
      <w:start w:val="1"/>
      <w:numFmt w:val="decimal"/>
      <w:pStyle w:val="Heading2"/>
      <w:lvlText w:val="%1. %2."/>
      <w:lvlJc w:val="left"/>
      <w:pPr>
        <w:ind w:left="142" w:firstLine="0"/>
      </w:pPr>
      <w:rPr>
        <w:rFonts w:hint="default"/>
      </w:rPr>
    </w:lvl>
    <w:lvl w:ilvl="2">
      <w:start w:val="1"/>
      <w:numFmt w:val="lowerLetter"/>
      <w:lvlRestart w:val="1"/>
      <w:pStyle w:val="Heading3"/>
      <w:lvlText w:val="%1. %2. %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 w15:restartNumberingAfterBreak="0">
    <w:nsid w:val="49D37131"/>
    <w:multiLevelType w:val="hybridMultilevel"/>
    <w:tmpl w:val="727C7DFA"/>
    <w:lvl w:ilvl="0" w:tplc="FABC83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615CC3"/>
    <w:multiLevelType w:val="hybridMultilevel"/>
    <w:tmpl w:val="DBCEE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0D2FDF"/>
    <w:multiLevelType w:val="multilevel"/>
    <w:tmpl w:val="8BA4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D3222B"/>
    <w:multiLevelType w:val="multilevel"/>
    <w:tmpl w:val="1124E3B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3058981">
    <w:abstractNumId w:val="2"/>
  </w:num>
  <w:num w:numId="2" w16cid:durableId="1031416477">
    <w:abstractNumId w:val="3"/>
  </w:num>
  <w:num w:numId="3" w16cid:durableId="929505673">
    <w:abstractNumId w:val="0"/>
  </w:num>
  <w:num w:numId="4" w16cid:durableId="248082438">
    <w:abstractNumId w:val="4"/>
  </w:num>
  <w:num w:numId="5" w16cid:durableId="63770492">
    <w:abstractNumId w:val="1"/>
  </w:num>
  <w:num w:numId="6" w16cid:durableId="1061560934">
    <w:abstractNumId w:val="5"/>
  </w:num>
  <w:num w:numId="7" w16cid:durableId="241110041">
    <w:abstractNumId w:val="9"/>
  </w:num>
  <w:num w:numId="8" w16cid:durableId="1921595834">
    <w:abstractNumId w:val="8"/>
  </w:num>
  <w:num w:numId="9" w16cid:durableId="2098674088">
    <w:abstractNumId w:val="6"/>
  </w:num>
  <w:num w:numId="10" w16cid:durableId="1235817972">
    <w:abstractNumId w:val="6"/>
  </w:num>
  <w:num w:numId="11" w16cid:durableId="2071996852">
    <w:abstractNumId w:val="10"/>
  </w:num>
  <w:num w:numId="12" w16cid:durableId="1777286589">
    <w:abstractNumId w:val="6"/>
    <w:lvlOverride w:ilvl="0">
      <w:lvl w:ilvl="0">
        <w:start w:val="1"/>
        <w:numFmt w:val="upperRoman"/>
        <w:pStyle w:val="Heading1"/>
        <w:lvlText w:val="%1)"/>
        <w:lvlJc w:val="left"/>
        <w:pPr>
          <w:ind w:left="0" w:firstLine="0"/>
        </w:pPr>
        <w:rPr>
          <w:rFonts w:hint="default"/>
        </w:rPr>
      </w:lvl>
    </w:lvlOverride>
    <w:lvlOverride w:ilvl="1">
      <w:lvl w:ilvl="1">
        <w:start w:val="1"/>
        <w:numFmt w:val="decimal"/>
        <w:pStyle w:val="Heading2"/>
        <w:lvlText w:val="%1. %2."/>
        <w:lvlJc w:val="left"/>
        <w:pPr>
          <w:ind w:left="142" w:firstLine="0"/>
        </w:pPr>
        <w:rPr>
          <w:rFonts w:hint="default"/>
        </w:rPr>
      </w:lvl>
    </w:lvlOverride>
    <w:lvlOverride w:ilvl="2">
      <w:lvl w:ilvl="2">
        <w:start w:val="1"/>
        <w:numFmt w:val="lowerLetter"/>
        <w:lvlRestart w:val="1"/>
        <w:pStyle w:val="Heading3"/>
        <w:lvlText w:val="%3)"/>
        <w:lvlJc w:val="left"/>
        <w:pPr>
          <w:ind w:left="0" w:firstLine="0"/>
        </w:pPr>
        <w:rPr>
          <w:rFonts w:hint="default"/>
        </w:rPr>
      </w:lvl>
    </w:lvlOverride>
    <w:lvlOverride w:ilvl="3">
      <w:lvl w:ilvl="3">
        <w:start w:val="1"/>
        <w:numFmt w:val="decimal"/>
        <w:lvlText w:val="(%4)"/>
        <w:lvlJc w:val="left"/>
        <w:pPr>
          <w:ind w:left="0" w:firstLine="0"/>
        </w:pPr>
        <w:rPr>
          <w:rFonts w:hint="default"/>
        </w:rPr>
      </w:lvl>
    </w:lvlOverride>
    <w:lvlOverride w:ilvl="4">
      <w:lvl w:ilvl="4">
        <w:start w:val="1"/>
        <w:numFmt w:val="lowerLetter"/>
        <w:lvlText w:val="(%5)"/>
        <w:lvlJc w:val="left"/>
        <w:pPr>
          <w:ind w:left="0" w:firstLine="0"/>
        </w:pPr>
        <w:rPr>
          <w:rFonts w:hint="default"/>
        </w:rPr>
      </w:lvl>
    </w:lvlOverride>
    <w:lvlOverride w:ilvl="5">
      <w:lvl w:ilvl="5">
        <w:start w:val="1"/>
        <w:numFmt w:val="lowerRoman"/>
        <w:lvlText w:val="(%6)"/>
        <w:lvlJc w:val="left"/>
        <w:pPr>
          <w:ind w:left="0" w:firstLine="0"/>
        </w:pPr>
        <w:rPr>
          <w:rFonts w:hint="default"/>
        </w:rPr>
      </w:lvl>
    </w:lvlOverride>
    <w:lvlOverride w:ilvl="6">
      <w:lvl w:ilvl="6">
        <w:start w:val="1"/>
        <w:numFmt w:val="decimal"/>
        <w:lvlText w:val="%7."/>
        <w:lvlJc w:val="left"/>
        <w:pPr>
          <w:ind w:left="0" w:firstLine="0"/>
        </w:pPr>
        <w:rPr>
          <w:rFonts w:hint="default"/>
        </w:rPr>
      </w:lvl>
    </w:lvlOverride>
    <w:lvlOverride w:ilvl="7">
      <w:lvl w:ilvl="7">
        <w:start w:val="1"/>
        <w:numFmt w:val="lowerLetter"/>
        <w:lvlText w:val="%8."/>
        <w:lvlJc w:val="left"/>
        <w:pPr>
          <w:ind w:left="0" w:firstLine="0"/>
        </w:pPr>
        <w:rPr>
          <w:rFonts w:hint="default"/>
        </w:rPr>
      </w:lvl>
    </w:lvlOverride>
    <w:lvlOverride w:ilvl="8">
      <w:lvl w:ilvl="8">
        <w:start w:val="1"/>
        <w:numFmt w:val="lowerRoman"/>
        <w:lvlText w:val="%9."/>
        <w:lvlJc w:val="left"/>
        <w:pPr>
          <w:ind w:left="0" w:firstLine="0"/>
        </w:pPr>
        <w:rPr>
          <w:rFonts w:hint="default"/>
        </w:rPr>
      </w:lvl>
    </w:lvlOverride>
  </w:num>
  <w:num w:numId="13" w16cid:durableId="2095845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5F3"/>
    <w:rsid w:val="001D0612"/>
    <w:rsid w:val="001F093C"/>
    <w:rsid w:val="00307203"/>
    <w:rsid w:val="00376221"/>
    <w:rsid w:val="00525A92"/>
    <w:rsid w:val="00555237"/>
    <w:rsid w:val="006955F3"/>
    <w:rsid w:val="00743EEE"/>
    <w:rsid w:val="008353E2"/>
    <w:rsid w:val="00D2041B"/>
    <w:rsid w:val="00D702E4"/>
    <w:rsid w:val="00E850D0"/>
    <w:rsid w:val="00E94385"/>
    <w:rsid w:val="00EB3E86"/>
    <w:rsid w:val="00FB2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1D2FC"/>
  <w15:chartTrackingRefBased/>
  <w15:docId w15:val="{24AED7E8-FBE4-451E-9AF5-95720BC63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93C"/>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76221"/>
    <w:pPr>
      <w:keepNext/>
      <w:keepLines/>
      <w:numPr>
        <w:numId w:val="9"/>
      </w:numPr>
      <w:spacing w:before="360" w:after="80" w:line="259" w:lineRule="auto"/>
      <w:outlineLvl w:val="0"/>
    </w:pPr>
    <w:rPr>
      <w:rFonts w:ascii="Arial" w:hAnsi="Arial" w:cs="Arial"/>
      <w:b/>
      <w:bCs/>
      <w:kern w:val="2"/>
      <w:sz w:val="24"/>
      <w:szCs w:val="24"/>
      <w14:ligatures w14:val="standardContextual"/>
    </w:rPr>
  </w:style>
  <w:style w:type="paragraph" w:styleId="Heading2">
    <w:name w:val="heading 2"/>
    <w:basedOn w:val="Normal"/>
    <w:next w:val="Normal"/>
    <w:link w:val="Heading2Char"/>
    <w:uiPriority w:val="9"/>
    <w:unhideWhenUsed/>
    <w:qFormat/>
    <w:rsid w:val="00376221"/>
    <w:pPr>
      <w:keepNext/>
      <w:keepLines/>
      <w:numPr>
        <w:ilvl w:val="1"/>
        <w:numId w:val="9"/>
      </w:numPr>
      <w:spacing w:before="160" w:after="80" w:line="259" w:lineRule="auto"/>
      <w:outlineLvl w:val="1"/>
    </w:pPr>
    <w:rPr>
      <w:rFonts w:ascii="Arial" w:hAnsi="Arial" w:cs="Arial"/>
      <w:kern w:val="2"/>
      <w:sz w:val="24"/>
      <w:szCs w:val="24"/>
      <w14:ligatures w14:val="standardContextual"/>
    </w:rPr>
  </w:style>
  <w:style w:type="paragraph" w:styleId="Heading3">
    <w:name w:val="heading 3"/>
    <w:basedOn w:val="Normal"/>
    <w:next w:val="Normal"/>
    <w:link w:val="Heading3Char"/>
    <w:uiPriority w:val="9"/>
    <w:unhideWhenUsed/>
    <w:qFormat/>
    <w:rsid w:val="00376221"/>
    <w:pPr>
      <w:keepNext/>
      <w:keepLines/>
      <w:numPr>
        <w:ilvl w:val="2"/>
        <w:numId w:val="9"/>
      </w:numPr>
      <w:spacing w:before="160" w:after="80" w:line="259" w:lineRule="auto"/>
      <w:outlineLvl w:val="2"/>
    </w:pPr>
    <w:rPr>
      <w:rFonts w:asciiTheme="minorHAnsi" w:hAnsiTheme="minorHAnsi" w:cstheme="majorBidi"/>
      <w:i/>
      <w:iCs/>
      <w:kern w:val="2"/>
      <w:sz w:val="24"/>
      <w:szCs w:val="24"/>
      <w14:ligatures w14:val="standardContextual"/>
    </w:rPr>
  </w:style>
  <w:style w:type="paragraph" w:styleId="Heading4">
    <w:name w:val="heading 4"/>
    <w:basedOn w:val="Normal"/>
    <w:next w:val="Normal"/>
    <w:link w:val="Heading4Char"/>
    <w:uiPriority w:val="9"/>
    <w:semiHidden/>
    <w:unhideWhenUsed/>
    <w:qFormat/>
    <w:rsid w:val="006955F3"/>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6955F3"/>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6955F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6955F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6955F3"/>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6955F3"/>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221"/>
    <w:rPr>
      <w:rFonts w:ascii="Arial" w:eastAsia="Times New Roman" w:hAnsi="Arial" w:cs="Arial"/>
      <w:b/>
      <w:bCs/>
      <w:sz w:val="24"/>
      <w:szCs w:val="24"/>
      <w:lang w:eastAsia="en-GB"/>
    </w:rPr>
  </w:style>
  <w:style w:type="character" w:customStyle="1" w:styleId="Heading2Char">
    <w:name w:val="Heading 2 Char"/>
    <w:basedOn w:val="DefaultParagraphFont"/>
    <w:link w:val="Heading2"/>
    <w:uiPriority w:val="9"/>
    <w:rsid w:val="00376221"/>
    <w:rPr>
      <w:rFonts w:ascii="Arial" w:eastAsia="Times New Roman" w:hAnsi="Arial" w:cs="Arial"/>
      <w:sz w:val="24"/>
      <w:szCs w:val="24"/>
      <w:lang w:eastAsia="en-GB"/>
    </w:rPr>
  </w:style>
  <w:style w:type="character" w:customStyle="1" w:styleId="Heading3Char">
    <w:name w:val="Heading 3 Char"/>
    <w:basedOn w:val="DefaultParagraphFont"/>
    <w:link w:val="Heading3"/>
    <w:uiPriority w:val="9"/>
    <w:rsid w:val="00376221"/>
    <w:rPr>
      <w:rFonts w:eastAsia="Times New Roman" w:cstheme="majorBidi"/>
      <w:i/>
      <w:iCs/>
      <w:sz w:val="24"/>
      <w:szCs w:val="24"/>
      <w:lang w:eastAsia="en-GB"/>
    </w:rPr>
  </w:style>
  <w:style w:type="character" w:customStyle="1" w:styleId="Heading4Char">
    <w:name w:val="Heading 4 Char"/>
    <w:basedOn w:val="DefaultParagraphFont"/>
    <w:link w:val="Heading4"/>
    <w:uiPriority w:val="9"/>
    <w:semiHidden/>
    <w:rsid w:val="006955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55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55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5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5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5F3"/>
    <w:rPr>
      <w:rFonts w:eastAsiaTheme="majorEastAsia" w:cstheme="majorBidi"/>
      <w:color w:val="272727" w:themeColor="text1" w:themeTint="D8"/>
    </w:rPr>
  </w:style>
  <w:style w:type="paragraph" w:styleId="Title">
    <w:name w:val="Title"/>
    <w:basedOn w:val="Normal"/>
    <w:next w:val="Normal"/>
    <w:link w:val="TitleChar"/>
    <w:uiPriority w:val="10"/>
    <w:qFormat/>
    <w:rsid w:val="006955F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955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5F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955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55F3"/>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6955F3"/>
    <w:rPr>
      <w:i/>
      <w:iCs/>
      <w:color w:val="404040" w:themeColor="text1" w:themeTint="BF"/>
    </w:rPr>
  </w:style>
  <w:style w:type="paragraph" w:styleId="ListParagraph">
    <w:name w:val="List Paragraph"/>
    <w:basedOn w:val="Normal"/>
    <w:uiPriority w:val="34"/>
    <w:qFormat/>
    <w:rsid w:val="006955F3"/>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6955F3"/>
    <w:rPr>
      <w:i/>
      <w:iCs/>
      <w:color w:val="0F4761" w:themeColor="accent1" w:themeShade="BF"/>
    </w:rPr>
  </w:style>
  <w:style w:type="paragraph" w:styleId="IntenseQuote">
    <w:name w:val="Intense Quote"/>
    <w:basedOn w:val="Normal"/>
    <w:next w:val="Normal"/>
    <w:link w:val="IntenseQuoteChar"/>
    <w:uiPriority w:val="30"/>
    <w:qFormat/>
    <w:rsid w:val="006955F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6955F3"/>
    <w:rPr>
      <w:i/>
      <w:iCs/>
      <w:color w:val="0F4761" w:themeColor="accent1" w:themeShade="BF"/>
    </w:rPr>
  </w:style>
  <w:style w:type="character" w:styleId="IntenseReference">
    <w:name w:val="Intense Reference"/>
    <w:basedOn w:val="DefaultParagraphFont"/>
    <w:uiPriority w:val="32"/>
    <w:qFormat/>
    <w:rsid w:val="006955F3"/>
    <w:rPr>
      <w:b/>
      <w:bCs/>
      <w:smallCaps/>
      <w:color w:val="0F4761" w:themeColor="accent1" w:themeShade="BF"/>
      <w:spacing w:val="5"/>
    </w:rPr>
  </w:style>
  <w:style w:type="paragraph" w:styleId="NormalWeb">
    <w:name w:val="Normal (Web)"/>
    <w:basedOn w:val="Normal"/>
    <w:uiPriority w:val="99"/>
    <w:semiHidden/>
    <w:unhideWhenUsed/>
    <w:rsid w:val="001D0612"/>
    <w:pPr>
      <w:spacing w:before="100" w:beforeAutospacing="1" w:after="100" w:afterAutospacing="1"/>
    </w:pPr>
    <w:rPr>
      <w:sz w:val="24"/>
      <w:szCs w:val="24"/>
    </w:rPr>
  </w:style>
  <w:style w:type="character" w:styleId="Strong">
    <w:name w:val="Strong"/>
    <w:basedOn w:val="DefaultParagraphFont"/>
    <w:uiPriority w:val="22"/>
    <w:qFormat/>
    <w:rsid w:val="001D0612"/>
    <w:rPr>
      <w:b/>
      <w:bCs/>
    </w:rPr>
  </w:style>
  <w:style w:type="character" w:styleId="Emphasis">
    <w:name w:val="Emphasis"/>
    <w:basedOn w:val="DefaultParagraphFont"/>
    <w:uiPriority w:val="20"/>
    <w:qFormat/>
    <w:rsid w:val="001D0612"/>
    <w:rPr>
      <w:i/>
      <w:iCs/>
    </w:rPr>
  </w:style>
  <w:style w:type="paragraph" w:styleId="TOCHeading">
    <w:name w:val="TOC Heading"/>
    <w:basedOn w:val="Heading1"/>
    <w:next w:val="Normal"/>
    <w:uiPriority w:val="39"/>
    <w:unhideWhenUsed/>
    <w:qFormat/>
    <w:rsid w:val="001F093C"/>
    <w:pPr>
      <w:numPr>
        <w:numId w:val="0"/>
      </w:numPr>
      <w:spacing w:before="240" w:after="0"/>
      <w:outlineLvl w:val="9"/>
    </w:pPr>
    <w:rPr>
      <w:rFonts w:asciiTheme="majorHAnsi" w:eastAsiaTheme="majorEastAsia" w:hAnsiTheme="majorHAnsi" w:cstheme="majorBidi"/>
      <w:b w:val="0"/>
      <w:bCs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1F093C"/>
    <w:pPr>
      <w:spacing w:after="100" w:line="259" w:lineRule="auto"/>
    </w:pPr>
    <w:rPr>
      <w:rFonts w:asciiTheme="minorHAnsi" w:eastAsiaTheme="minorHAnsi" w:hAnsiTheme="minorHAnsi" w:cstheme="minorBidi"/>
      <w:kern w:val="2"/>
      <w:sz w:val="22"/>
      <w:szCs w:val="22"/>
      <w:lang w:eastAsia="en-US"/>
      <w14:ligatures w14:val="standardContextual"/>
    </w:rPr>
  </w:style>
  <w:style w:type="paragraph" w:styleId="TOC2">
    <w:name w:val="toc 2"/>
    <w:basedOn w:val="Normal"/>
    <w:next w:val="Normal"/>
    <w:autoRedefine/>
    <w:uiPriority w:val="39"/>
    <w:unhideWhenUsed/>
    <w:rsid w:val="001F093C"/>
    <w:pPr>
      <w:spacing w:after="100" w:line="259" w:lineRule="auto"/>
      <w:ind w:left="220"/>
    </w:pPr>
    <w:rPr>
      <w:rFonts w:asciiTheme="minorHAnsi" w:eastAsiaTheme="minorHAnsi" w:hAnsiTheme="minorHAnsi" w:cstheme="minorBidi"/>
      <w:kern w:val="2"/>
      <w:sz w:val="22"/>
      <w:szCs w:val="22"/>
      <w:lang w:eastAsia="en-US"/>
      <w14:ligatures w14:val="standardContextual"/>
    </w:rPr>
  </w:style>
  <w:style w:type="paragraph" w:styleId="TOC3">
    <w:name w:val="toc 3"/>
    <w:basedOn w:val="Normal"/>
    <w:next w:val="Normal"/>
    <w:autoRedefine/>
    <w:uiPriority w:val="39"/>
    <w:unhideWhenUsed/>
    <w:rsid w:val="001F093C"/>
    <w:pPr>
      <w:spacing w:after="100" w:line="259" w:lineRule="auto"/>
      <w:ind w:left="440"/>
    </w:pPr>
    <w:rPr>
      <w:rFonts w:asciiTheme="minorHAnsi" w:eastAsiaTheme="minorHAnsi" w:hAnsiTheme="minorHAnsi" w:cstheme="minorBidi"/>
      <w:kern w:val="2"/>
      <w:sz w:val="22"/>
      <w:szCs w:val="22"/>
      <w:lang w:eastAsia="en-US"/>
      <w14:ligatures w14:val="standardContextual"/>
    </w:rPr>
  </w:style>
  <w:style w:type="character" w:styleId="Hyperlink">
    <w:name w:val="Hyperlink"/>
    <w:basedOn w:val="DefaultParagraphFont"/>
    <w:uiPriority w:val="99"/>
    <w:unhideWhenUsed/>
    <w:rsid w:val="001F093C"/>
    <w:rPr>
      <w:color w:val="467886" w:themeColor="hyperlink"/>
      <w:u w:val="single"/>
    </w:rPr>
  </w:style>
  <w:style w:type="paragraph" w:styleId="NoSpacing">
    <w:name w:val="No Spacing"/>
    <w:link w:val="NoSpacingChar"/>
    <w:uiPriority w:val="1"/>
    <w:qFormat/>
    <w:rsid w:val="001F093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F093C"/>
    <w:rPr>
      <w:rFonts w:eastAsiaTheme="minorEastAsia"/>
      <w:kern w:val="0"/>
      <w:lang w:val="en-US"/>
      <w14:ligatures w14:val="none"/>
    </w:rPr>
  </w:style>
  <w:style w:type="paragraph" w:styleId="Header">
    <w:name w:val="header"/>
    <w:basedOn w:val="Normal"/>
    <w:link w:val="HeaderChar"/>
    <w:uiPriority w:val="99"/>
    <w:unhideWhenUsed/>
    <w:rsid w:val="001F093C"/>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1F093C"/>
  </w:style>
  <w:style w:type="paragraph" w:styleId="Footer">
    <w:name w:val="footer"/>
    <w:basedOn w:val="Normal"/>
    <w:link w:val="FooterChar"/>
    <w:uiPriority w:val="99"/>
    <w:unhideWhenUsed/>
    <w:rsid w:val="001F093C"/>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1F09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111301">
      <w:bodyDiv w:val="1"/>
      <w:marLeft w:val="0"/>
      <w:marRight w:val="0"/>
      <w:marTop w:val="0"/>
      <w:marBottom w:val="0"/>
      <w:divBdr>
        <w:top w:val="none" w:sz="0" w:space="0" w:color="auto"/>
        <w:left w:val="none" w:sz="0" w:space="0" w:color="auto"/>
        <w:bottom w:val="none" w:sz="0" w:space="0" w:color="auto"/>
        <w:right w:val="none" w:sz="0" w:space="0" w:color="auto"/>
      </w:divBdr>
    </w:div>
    <w:div w:id="1067651045">
      <w:bodyDiv w:val="1"/>
      <w:marLeft w:val="0"/>
      <w:marRight w:val="0"/>
      <w:marTop w:val="0"/>
      <w:marBottom w:val="0"/>
      <w:divBdr>
        <w:top w:val="none" w:sz="0" w:space="0" w:color="auto"/>
        <w:left w:val="none" w:sz="0" w:space="0" w:color="auto"/>
        <w:bottom w:val="none" w:sz="0" w:space="0" w:color="auto"/>
        <w:right w:val="none" w:sz="0" w:space="0" w:color="auto"/>
      </w:divBdr>
    </w:div>
    <w:div w:id="1217931806">
      <w:bodyDiv w:val="1"/>
      <w:marLeft w:val="0"/>
      <w:marRight w:val="0"/>
      <w:marTop w:val="0"/>
      <w:marBottom w:val="0"/>
      <w:divBdr>
        <w:top w:val="none" w:sz="0" w:space="0" w:color="auto"/>
        <w:left w:val="none" w:sz="0" w:space="0" w:color="auto"/>
        <w:bottom w:val="none" w:sz="0" w:space="0" w:color="auto"/>
        <w:right w:val="none" w:sz="0" w:space="0" w:color="auto"/>
      </w:divBdr>
    </w:div>
    <w:div w:id="1340084550">
      <w:bodyDiv w:val="1"/>
      <w:marLeft w:val="0"/>
      <w:marRight w:val="0"/>
      <w:marTop w:val="0"/>
      <w:marBottom w:val="0"/>
      <w:divBdr>
        <w:top w:val="none" w:sz="0" w:space="0" w:color="auto"/>
        <w:left w:val="none" w:sz="0" w:space="0" w:color="auto"/>
        <w:bottom w:val="none" w:sz="0" w:space="0" w:color="auto"/>
        <w:right w:val="none" w:sz="0" w:space="0" w:color="auto"/>
      </w:divBdr>
    </w:div>
    <w:div w:id="1580292795">
      <w:bodyDiv w:val="1"/>
      <w:marLeft w:val="0"/>
      <w:marRight w:val="0"/>
      <w:marTop w:val="0"/>
      <w:marBottom w:val="0"/>
      <w:divBdr>
        <w:top w:val="none" w:sz="0" w:space="0" w:color="auto"/>
        <w:left w:val="none" w:sz="0" w:space="0" w:color="auto"/>
        <w:bottom w:val="none" w:sz="0" w:space="0" w:color="auto"/>
        <w:right w:val="none" w:sz="0" w:space="0" w:color="auto"/>
      </w:divBdr>
    </w:div>
    <w:div w:id="181051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3E7DFE9A438447C90F966C8E8D91FA5"/>
        <w:category>
          <w:name w:val="General"/>
          <w:gallery w:val="placeholder"/>
        </w:category>
        <w:types>
          <w:type w:val="bbPlcHdr"/>
        </w:types>
        <w:behaviors>
          <w:behavior w:val="content"/>
        </w:behaviors>
        <w:guid w:val="{C8FC2ADB-5FDA-4964-A32F-47F7D8EE0654}"/>
      </w:docPartPr>
      <w:docPartBody>
        <w:p w:rsidR="00000000" w:rsidRDefault="00672F02" w:rsidP="00672F02">
          <w:pPr>
            <w:pStyle w:val="A3E7DFE9A438447C90F966C8E8D91FA5"/>
          </w:pPr>
          <w:r>
            <w:rPr>
              <w:rFonts w:asciiTheme="majorHAnsi" w:eastAsiaTheme="majorEastAsia" w:hAnsiTheme="majorHAnsi" w:cstheme="majorBidi"/>
              <w:caps/>
              <w:color w:val="156082" w:themeColor="accent1"/>
              <w:sz w:val="80"/>
              <w:szCs w:val="80"/>
            </w:rPr>
            <w:t>[Document title]</w:t>
          </w:r>
        </w:p>
      </w:docPartBody>
    </w:docPart>
    <w:docPart>
      <w:docPartPr>
        <w:name w:val="540DDCA943974F5D90C183AB89B91073"/>
        <w:category>
          <w:name w:val="General"/>
          <w:gallery w:val="placeholder"/>
        </w:category>
        <w:types>
          <w:type w:val="bbPlcHdr"/>
        </w:types>
        <w:behaviors>
          <w:behavior w:val="content"/>
        </w:behaviors>
        <w:guid w:val="{AB53FB13-B63B-4218-8C0F-5E63464AE528}"/>
      </w:docPartPr>
      <w:docPartBody>
        <w:p w:rsidR="00000000" w:rsidRDefault="00672F02" w:rsidP="00672F02">
          <w:pPr>
            <w:pStyle w:val="540DDCA943974F5D90C183AB89B9107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F02"/>
    <w:rsid w:val="001D4DC8"/>
    <w:rsid w:val="00672F02"/>
    <w:rsid w:val="00835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E7DFE9A438447C90F966C8E8D91FA5">
    <w:name w:val="A3E7DFE9A438447C90F966C8E8D91FA5"/>
    <w:rsid w:val="00672F02"/>
  </w:style>
  <w:style w:type="paragraph" w:customStyle="1" w:styleId="540DDCA943974F5D90C183AB89B91073">
    <w:name w:val="540DDCA943974F5D90C183AB89B91073"/>
    <w:rsid w:val="00672F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2024-06-29T00:00:00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6EF5E8-BC34-49C3-B85B-1DE04099F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2131</Words>
  <Characters>12153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Student: Elena Turcanu,</Company>
  <LinksUpToDate>false</LinksUpToDate>
  <CharactersWithSpaces>14256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Corporate Governance and CSR on Firm Performance:</dc:title>
  <dc:subject>A CASE STUDY OF UNILEVER PLC</dc:subject>
  <dc:creator>Golden Tree Accounting and Business Consulting Ltd</dc:creator>
  <cp:keywords/>
  <dc:description/>
  <cp:lastModifiedBy>Golden Tree Accounting and Business Consulting Ltd</cp:lastModifiedBy>
  <cp:revision>4</cp:revision>
  <dcterms:created xsi:type="dcterms:W3CDTF">2024-06-19T05:17:00Z</dcterms:created>
  <dcterms:modified xsi:type="dcterms:W3CDTF">2024-06-29T13:24:00Z</dcterms:modified>
</cp:coreProperties>
</file>