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kern w:val="2"/>
          <w:lang w:val="en-GB"/>
          <w14:ligatures w14:val="standardContextual"/>
        </w:rPr>
        <w:id w:val="-371840103"/>
        <w:docPartObj>
          <w:docPartGallery w:val="Cover Pages"/>
          <w:docPartUnique/>
        </w:docPartObj>
      </w:sdtPr>
      <w:sdtEndPr>
        <w:rPr>
          <w:sz w:val="32"/>
          <w:szCs w:val="32"/>
        </w:rPr>
      </w:sdtEndPr>
      <w:sdtContent>
        <w:p w14:paraId="6E30E1D3" w14:textId="25D8456B" w:rsidR="000113C6" w:rsidRPr="000815C0" w:rsidRDefault="000113C6">
          <w:pPr>
            <w:pStyle w:val="NoSpacing"/>
            <w:spacing w:before="1540" w:after="240"/>
            <w:jc w:val="center"/>
            <w:rPr>
              <w:rFonts w:ascii="Times New Roman" w:hAnsi="Times New Roman" w:cs="Times New Roman"/>
              <w:lang w:val="en-GB"/>
            </w:rPr>
          </w:pPr>
          <w:r w:rsidRPr="000815C0">
            <w:rPr>
              <w:rFonts w:ascii="Times New Roman" w:hAnsi="Times New Roman" w:cs="Times New Roman"/>
              <w:noProof/>
              <w:lang w:val="en-GB"/>
            </w:rPr>
            <w:drawing>
              <wp:inline distT="0" distB="0" distL="0" distR="0" wp14:anchorId="0E27DD3D" wp14:editId="2A5F386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56"/>
              <w:szCs w:val="56"/>
              <w:lang w:val="en-GB"/>
            </w:rPr>
            <w:alias w:val="Title"/>
            <w:tag w:val=""/>
            <w:id w:val="1735040861"/>
            <w:placeholder>
              <w:docPart w:val="97413ADB43144B019BD9492F97D298FB"/>
            </w:placeholder>
            <w:dataBinding w:prefixMappings="xmlns:ns0='http://purl.org/dc/elements/1.1/' xmlns:ns1='http://schemas.openxmlformats.org/package/2006/metadata/core-properties' " w:xpath="/ns1:coreProperties[1]/ns0:title[1]" w:storeItemID="{6C3C8BC8-F283-45AE-878A-BAB7291924A1}"/>
            <w:text/>
          </w:sdtPr>
          <w:sdtContent>
            <w:p w14:paraId="64545556" w14:textId="3766AD2D" w:rsidR="000113C6" w:rsidRPr="002F5552" w:rsidRDefault="000815C0">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sz w:val="56"/>
                  <w:szCs w:val="56"/>
                  <w:lang w:val="en-GB"/>
                </w:rPr>
              </w:pPr>
              <w:r w:rsidRPr="002F5552">
                <w:rPr>
                  <w:rFonts w:ascii="Times New Roman" w:eastAsiaTheme="majorEastAsia" w:hAnsi="Times New Roman" w:cs="Times New Roman"/>
                  <w:caps/>
                  <w:sz w:val="56"/>
                  <w:szCs w:val="56"/>
                  <w:lang w:val="en-GB"/>
                </w:rPr>
                <w:t xml:space="preserve">Leaders in </w:t>
              </w:r>
              <w:r w:rsidR="002F5552" w:rsidRPr="002F5552">
                <w:rPr>
                  <w:rFonts w:ascii="Times New Roman" w:eastAsiaTheme="majorEastAsia" w:hAnsi="Times New Roman" w:cs="Times New Roman"/>
                  <w:caps/>
                  <w:sz w:val="56"/>
                  <w:szCs w:val="56"/>
                  <w:lang w:val="en-GB"/>
                </w:rPr>
                <w:t xml:space="preserve">a </w:t>
              </w:r>
              <w:r w:rsidRPr="002F5552">
                <w:rPr>
                  <w:rFonts w:ascii="Times New Roman" w:eastAsiaTheme="majorEastAsia" w:hAnsi="Times New Roman" w:cs="Times New Roman"/>
                  <w:caps/>
                  <w:sz w:val="56"/>
                  <w:szCs w:val="56"/>
                  <w:lang w:val="en-GB"/>
                </w:rPr>
                <w:t xml:space="preserve">Global </w:t>
              </w:r>
              <w:r w:rsidR="00004B12">
                <w:rPr>
                  <w:rFonts w:ascii="Times New Roman" w:eastAsiaTheme="majorEastAsia" w:hAnsi="Times New Roman" w:cs="Times New Roman"/>
                  <w:caps/>
                  <w:sz w:val="56"/>
                  <w:szCs w:val="56"/>
                  <w:lang w:val="en-GB"/>
                </w:rPr>
                <w:t>Business</w:t>
              </w:r>
            </w:p>
          </w:sdtContent>
        </w:sdt>
        <w:p w14:paraId="232066B4" w14:textId="77777777" w:rsidR="002F5552" w:rsidRDefault="002F5552" w:rsidP="002F5552">
          <w:pPr>
            <w:pStyle w:val="NoSpacing"/>
            <w:jc w:val="center"/>
            <w:rPr>
              <w:rFonts w:ascii="Times New Roman" w:eastAsiaTheme="minorHAnsi" w:hAnsi="Times New Roman" w:cs="Times New Roman"/>
              <w:kern w:val="2"/>
              <w:sz w:val="24"/>
              <w:szCs w:val="24"/>
              <w:lang w:val="en-GB"/>
              <w14:ligatures w14:val="standardContextual"/>
            </w:rPr>
          </w:pPr>
        </w:p>
        <w:p w14:paraId="7B63E8B0" w14:textId="77777777" w:rsidR="002F5552" w:rsidRDefault="002F5552" w:rsidP="002F5552">
          <w:pPr>
            <w:pStyle w:val="NoSpacing"/>
            <w:jc w:val="center"/>
            <w:rPr>
              <w:rFonts w:ascii="Times New Roman" w:eastAsiaTheme="minorHAnsi" w:hAnsi="Times New Roman" w:cs="Times New Roman"/>
              <w:kern w:val="2"/>
              <w:sz w:val="24"/>
              <w:szCs w:val="24"/>
              <w:lang w:val="en-GB"/>
              <w14:ligatures w14:val="standardContextual"/>
            </w:rPr>
          </w:pPr>
        </w:p>
        <w:p w14:paraId="39585E56" w14:textId="218CA849" w:rsidR="000113C6" w:rsidRPr="000815C0" w:rsidRDefault="002F5552" w:rsidP="002F5552">
          <w:pPr>
            <w:pStyle w:val="NoSpacing"/>
            <w:jc w:val="center"/>
            <w:rPr>
              <w:rFonts w:ascii="Times New Roman" w:hAnsi="Times New Roman" w:cs="Times New Roman"/>
              <w:lang w:val="en-GB"/>
            </w:rPr>
          </w:pPr>
          <w:r w:rsidRPr="002F5552">
            <w:rPr>
              <w:rFonts w:ascii="Times New Roman" w:eastAsiaTheme="minorHAnsi" w:hAnsi="Times New Roman" w:cs="Times New Roman"/>
              <w:kern w:val="2"/>
              <w:sz w:val="24"/>
              <w:szCs w:val="24"/>
              <w:lang w:val="en-GB"/>
              <w14:ligatures w14:val="standardContextual"/>
            </w:rPr>
            <w:t>Responsible Global Leadership and Environmental Sustainability: A Critical Evaluation of H&amp;M Group’s Commitments and Practice</w:t>
          </w:r>
        </w:p>
        <w:p w14:paraId="20500F9A" w14:textId="2C20AEFE" w:rsidR="000113C6" w:rsidRPr="000815C0" w:rsidRDefault="00E819E0">
          <w:pPr>
            <w:rPr>
              <w:rFonts w:ascii="Times New Roman" w:hAnsi="Times New Roman" w:cs="Times New Roman"/>
              <w:sz w:val="32"/>
              <w:szCs w:val="32"/>
            </w:rPr>
          </w:pPr>
          <w:r w:rsidRPr="000815C0">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220315E4" wp14:editId="740AD195">
                    <wp:simplePos x="0" y="0"/>
                    <wp:positionH relativeFrom="margin">
                      <wp:align>right</wp:align>
                    </wp:positionH>
                    <wp:positionV relativeFrom="margin">
                      <wp:posOffset>7829550</wp:posOffset>
                    </wp:positionV>
                    <wp:extent cx="6553200" cy="1028700"/>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1028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0252E" w14:textId="77777777" w:rsidR="00E819E0" w:rsidRDefault="00E819E0">
                                <w:pPr>
                                  <w:pStyle w:val="NoSpacing"/>
                                  <w:spacing w:after="40"/>
                                  <w:jc w:val="center"/>
                                  <w:rPr>
                                    <w:caps/>
                                    <w:sz w:val="28"/>
                                    <w:szCs w:val="28"/>
                                    <w:lang w:val="en-GB"/>
                                  </w:rPr>
                                </w:pPr>
                              </w:p>
                              <w:p w14:paraId="68C31ADD" w14:textId="7F2C9F8E" w:rsidR="00E819E0" w:rsidRPr="002F5552" w:rsidRDefault="00E819E0" w:rsidP="00E819E0">
                                <w:pPr>
                                  <w:pStyle w:val="NoSpacing"/>
                                  <w:jc w:val="center"/>
                                  <w:rPr>
                                    <w:rFonts w:ascii="Times New Roman" w:hAnsi="Times New Roman" w:cs="Times New Roman"/>
                                    <w:sz w:val="24"/>
                                    <w:szCs w:val="24"/>
                                    <w:lang w:val="en-GB"/>
                                  </w:rPr>
                                </w:pPr>
                                <w:r>
                                  <w:rPr>
                                    <w:rFonts w:ascii="Times New Roman" w:hAnsi="Times New Roman" w:cs="Times New Roman"/>
                                    <w:sz w:val="24"/>
                                    <w:szCs w:val="24"/>
                                    <w:lang w:val="en-GB"/>
                                  </w:rPr>
                                  <w:t>Word count:</w:t>
                                </w:r>
                                <w:r w:rsidR="00AB7962">
                                  <w:rPr>
                                    <w:rFonts w:ascii="Times New Roman" w:hAnsi="Times New Roman" w:cs="Times New Roman"/>
                                    <w:sz w:val="24"/>
                                    <w:szCs w:val="24"/>
                                    <w:lang w:val="en-GB"/>
                                  </w:rPr>
                                  <w:t xml:space="preserve"> 3137</w:t>
                                </w:r>
                                <w:r>
                                  <w:rPr>
                                    <w:rFonts w:ascii="Times New Roman" w:hAnsi="Times New Roman" w:cs="Times New Roman"/>
                                    <w:sz w:val="24"/>
                                    <w:szCs w:val="24"/>
                                    <w:lang w:val="en-GB"/>
                                  </w:rPr>
                                  <w:t xml:space="preserve"> </w:t>
                                </w:r>
                              </w:p>
                              <w:sdt>
                                <w:sdtPr>
                                  <w:rPr>
                                    <w:caps/>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7-24T00:00:00Z">
                                    <w:dateFormat w:val="MMMM d, yyyy"/>
                                    <w:lid w:val="en-US"/>
                                    <w:storeMappedDataAs w:val="dateTime"/>
                                    <w:calendar w:val="gregorian"/>
                                  </w:date>
                                </w:sdtPr>
                                <w:sdtContent>
                                  <w:p w14:paraId="72304BEB" w14:textId="240F57CA" w:rsidR="000113C6" w:rsidRPr="000815C0" w:rsidRDefault="000815C0">
                                    <w:pPr>
                                      <w:pStyle w:val="NoSpacing"/>
                                      <w:spacing w:after="40"/>
                                      <w:jc w:val="center"/>
                                      <w:rPr>
                                        <w:caps/>
                                        <w:sz w:val="28"/>
                                        <w:szCs w:val="28"/>
                                        <w:lang w:val="en-GB"/>
                                      </w:rPr>
                                    </w:pPr>
                                    <w:r w:rsidRPr="000815C0">
                                      <w:rPr>
                                        <w:caps/>
                                        <w:sz w:val="28"/>
                                        <w:szCs w:val="28"/>
                                      </w:rPr>
                                      <w:t>July 24, 2026</w:t>
                                    </w:r>
                                  </w:p>
                                </w:sdtContent>
                              </w:sdt>
                              <w:p w14:paraId="41DD7DC4" w14:textId="0DB02929" w:rsidR="000113C6" w:rsidRPr="002F5552" w:rsidRDefault="00000000">
                                <w:pPr>
                                  <w:pStyle w:val="NoSpacing"/>
                                  <w:jc w:val="center"/>
                                  <w:rPr>
                                    <w:rFonts w:ascii="Times New Roman" w:hAnsi="Times New Roman" w:cs="Times New Roman"/>
                                    <w:sz w:val="24"/>
                                    <w:szCs w:val="24"/>
                                    <w:lang w:val="en-GB"/>
                                  </w:rPr>
                                </w:pPr>
                                <w:sdt>
                                  <w:sdtPr>
                                    <w:rPr>
                                      <w:rFonts w:ascii="Times New Roman" w:hAnsi="Times New Roman" w:cs="Times New Roman"/>
                                      <w:caps/>
                                      <w:sz w:val="24"/>
                                      <w:szCs w:val="24"/>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004B12">
                                      <w:rPr>
                                        <w:rFonts w:ascii="Times New Roman" w:hAnsi="Times New Roman" w:cs="Times New Roman"/>
                                        <w:caps/>
                                        <w:sz w:val="24"/>
                                        <w:szCs w:val="24"/>
                                        <w:lang w:val="en-GB"/>
                                      </w:rPr>
                                      <w:t>Luciana Stafi – 2130653</w:t>
                                    </w:r>
                                  </w:sdtContent>
                                </w:sdt>
                              </w:p>
                              <w:p w14:paraId="692EAABB" w14:textId="59370473" w:rsidR="000113C6" w:rsidRDefault="00000000">
                                <w:pPr>
                                  <w:pStyle w:val="NoSpacing"/>
                                  <w:jc w:val="center"/>
                                  <w:rPr>
                                    <w:rFonts w:ascii="Times New Roman" w:hAnsi="Times New Roman" w:cs="Times New Roman"/>
                                    <w:sz w:val="24"/>
                                    <w:szCs w:val="24"/>
                                    <w:lang w:val="en-GB"/>
                                  </w:rPr>
                                </w:pPr>
                                <w:sdt>
                                  <w:sdtPr>
                                    <w:rPr>
                                      <w:rFonts w:ascii="Times New Roman" w:hAnsi="Times New Roman" w:cs="Times New Roman"/>
                                      <w:sz w:val="24"/>
                                      <w:szCs w:val="24"/>
                                      <w:lang w:val="en-GB"/>
                                    </w:rPr>
                                    <w:alias w:val="Address"/>
                                    <w:tag w:val=""/>
                                    <w:id w:val="-726379553"/>
                                    <w:dataBinding w:prefixMappings="xmlns:ns0='http://schemas.microsoft.com/office/2006/coverPageProps' " w:xpath="/ns0:CoverPageProperties[1]/ns0:CompanyAddress[1]" w:storeItemID="{55AF091B-3C7A-41E3-B477-F2FDAA23CFDA}"/>
                                    <w:text/>
                                  </w:sdtPr>
                                  <w:sdtContent>
                                    <w:r w:rsidR="002F5552" w:rsidRPr="002F5552">
                                      <w:rPr>
                                        <w:rFonts w:ascii="Times New Roman" w:hAnsi="Times New Roman" w:cs="Times New Roman"/>
                                        <w:sz w:val="24"/>
                                        <w:szCs w:val="24"/>
                                        <w:lang w:val="en-GB"/>
                                      </w:rPr>
                                      <w:t>University of Wales Trinity S</w:t>
                                    </w:r>
                                    <w:r w:rsidR="00253A6F">
                                      <w:rPr>
                                        <w:rFonts w:ascii="Times New Roman" w:hAnsi="Times New Roman" w:cs="Times New Roman"/>
                                        <w:sz w:val="24"/>
                                        <w:szCs w:val="24"/>
                                        <w:lang w:val="en-GB"/>
                                      </w:rPr>
                                      <w:t>ain</w:t>
                                    </w:r>
                                    <w:r w:rsidR="002F5552" w:rsidRPr="002F5552">
                                      <w:rPr>
                                        <w:rFonts w:ascii="Times New Roman" w:hAnsi="Times New Roman" w:cs="Times New Roman"/>
                                        <w:sz w:val="24"/>
                                        <w:szCs w:val="24"/>
                                        <w:lang w:val="en-GB"/>
                                      </w:rPr>
                                      <w:t>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20315E4" id="_x0000_t202" coordsize="21600,21600" o:spt="202" path="m,l,21600r21600,l21600,xe">
                    <v:stroke joinstyle="miter"/>
                    <v:path gradientshapeok="t" o:connecttype="rect"/>
                  </v:shapetype>
                  <v:shape id="Text Box 146" o:spid="_x0000_s1026" type="#_x0000_t202" style="position:absolute;margin-left:464.8pt;margin-top:616.5pt;width:516pt;height:81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" filled="f" stroked="f" strokeweight=".5pt">
                    <v:textbox inset="0,0,0,0">
                      <w:txbxContent>
                        <w:p w14:paraId="7A30252E" w14:textId="77777777" w:rsidR="00E819E0" w:rsidRDefault="00E819E0">
                          <w:pPr>
                            <w:pStyle w:val="NoSpacing"/>
                            <w:spacing w:after="40"/>
                            <w:jc w:val="center"/>
                            <w:rPr>
                              <w:caps/>
                              <w:sz w:val="28"/>
                              <w:szCs w:val="28"/>
                              <w:lang w:val="en-GB"/>
                            </w:rPr>
                          </w:pPr>
                        </w:p>
                        <w:p w14:paraId="68C31ADD" w14:textId="7F2C9F8E" w:rsidR="00E819E0" w:rsidRPr="002F5552" w:rsidRDefault="00E819E0" w:rsidP="00E819E0">
                          <w:pPr>
                            <w:pStyle w:val="NoSpacing"/>
                            <w:jc w:val="center"/>
                            <w:rPr>
                              <w:rFonts w:ascii="Times New Roman" w:hAnsi="Times New Roman" w:cs="Times New Roman"/>
                              <w:sz w:val="24"/>
                              <w:szCs w:val="24"/>
                              <w:lang w:val="en-GB"/>
                            </w:rPr>
                          </w:pPr>
                          <w:r>
                            <w:rPr>
                              <w:rFonts w:ascii="Times New Roman" w:hAnsi="Times New Roman" w:cs="Times New Roman"/>
                              <w:sz w:val="24"/>
                              <w:szCs w:val="24"/>
                              <w:lang w:val="en-GB"/>
                            </w:rPr>
                            <w:t>Word count:</w:t>
                          </w:r>
                          <w:r w:rsidR="00AB7962">
                            <w:rPr>
                              <w:rFonts w:ascii="Times New Roman" w:hAnsi="Times New Roman" w:cs="Times New Roman"/>
                              <w:sz w:val="24"/>
                              <w:szCs w:val="24"/>
                              <w:lang w:val="en-GB"/>
                            </w:rPr>
                            <w:t xml:space="preserve"> 3137</w:t>
                          </w:r>
                          <w:r>
                            <w:rPr>
                              <w:rFonts w:ascii="Times New Roman" w:hAnsi="Times New Roman" w:cs="Times New Roman"/>
                              <w:sz w:val="24"/>
                              <w:szCs w:val="24"/>
                              <w:lang w:val="en-GB"/>
                            </w:rPr>
                            <w:t xml:space="preserve"> </w:t>
                          </w:r>
                        </w:p>
                        <w:sdt>
                          <w:sdtPr>
                            <w:rPr>
                              <w:caps/>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7-24T00:00:00Z">
                              <w:dateFormat w:val="MMMM d, yyyy"/>
                              <w:lid w:val="en-US"/>
                              <w:storeMappedDataAs w:val="dateTime"/>
                              <w:calendar w:val="gregorian"/>
                            </w:date>
                          </w:sdtPr>
                          <w:sdtContent>
                            <w:p w14:paraId="72304BEB" w14:textId="240F57CA" w:rsidR="000113C6" w:rsidRPr="000815C0" w:rsidRDefault="000815C0">
                              <w:pPr>
                                <w:pStyle w:val="NoSpacing"/>
                                <w:spacing w:after="40"/>
                                <w:jc w:val="center"/>
                                <w:rPr>
                                  <w:caps/>
                                  <w:sz w:val="28"/>
                                  <w:szCs w:val="28"/>
                                  <w:lang w:val="en-GB"/>
                                </w:rPr>
                              </w:pPr>
                              <w:r w:rsidRPr="000815C0">
                                <w:rPr>
                                  <w:caps/>
                                  <w:sz w:val="28"/>
                                  <w:szCs w:val="28"/>
                                </w:rPr>
                                <w:t>July 24, 2026</w:t>
                              </w:r>
                            </w:p>
                          </w:sdtContent>
                        </w:sdt>
                        <w:p w14:paraId="41DD7DC4" w14:textId="0DB02929" w:rsidR="000113C6" w:rsidRPr="002F5552" w:rsidRDefault="00000000">
                          <w:pPr>
                            <w:pStyle w:val="NoSpacing"/>
                            <w:jc w:val="center"/>
                            <w:rPr>
                              <w:rFonts w:ascii="Times New Roman" w:hAnsi="Times New Roman" w:cs="Times New Roman"/>
                              <w:sz w:val="24"/>
                              <w:szCs w:val="24"/>
                              <w:lang w:val="en-GB"/>
                            </w:rPr>
                          </w:pPr>
                          <w:sdt>
                            <w:sdtPr>
                              <w:rPr>
                                <w:rFonts w:ascii="Times New Roman" w:hAnsi="Times New Roman" w:cs="Times New Roman"/>
                                <w:caps/>
                                <w:sz w:val="24"/>
                                <w:szCs w:val="24"/>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004B12">
                                <w:rPr>
                                  <w:rFonts w:ascii="Times New Roman" w:hAnsi="Times New Roman" w:cs="Times New Roman"/>
                                  <w:caps/>
                                  <w:sz w:val="24"/>
                                  <w:szCs w:val="24"/>
                                  <w:lang w:val="en-GB"/>
                                </w:rPr>
                                <w:t>Luciana Stafi – 2130653</w:t>
                              </w:r>
                            </w:sdtContent>
                          </w:sdt>
                        </w:p>
                        <w:p w14:paraId="692EAABB" w14:textId="59370473" w:rsidR="000113C6" w:rsidRDefault="00000000">
                          <w:pPr>
                            <w:pStyle w:val="NoSpacing"/>
                            <w:jc w:val="center"/>
                            <w:rPr>
                              <w:rFonts w:ascii="Times New Roman" w:hAnsi="Times New Roman" w:cs="Times New Roman"/>
                              <w:sz w:val="24"/>
                              <w:szCs w:val="24"/>
                              <w:lang w:val="en-GB"/>
                            </w:rPr>
                          </w:pPr>
                          <w:sdt>
                            <w:sdtPr>
                              <w:rPr>
                                <w:rFonts w:ascii="Times New Roman" w:hAnsi="Times New Roman" w:cs="Times New Roman"/>
                                <w:sz w:val="24"/>
                                <w:szCs w:val="24"/>
                                <w:lang w:val="en-GB"/>
                              </w:rPr>
                              <w:alias w:val="Address"/>
                              <w:tag w:val=""/>
                              <w:id w:val="-726379553"/>
                              <w:dataBinding w:prefixMappings="xmlns:ns0='http://schemas.microsoft.com/office/2006/coverPageProps' " w:xpath="/ns0:CoverPageProperties[1]/ns0:CompanyAddress[1]" w:storeItemID="{55AF091B-3C7A-41E3-B477-F2FDAA23CFDA}"/>
                              <w:text/>
                            </w:sdtPr>
                            <w:sdtContent>
                              <w:r w:rsidR="002F5552" w:rsidRPr="002F5552">
                                <w:rPr>
                                  <w:rFonts w:ascii="Times New Roman" w:hAnsi="Times New Roman" w:cs="Times New Roman"/>
                                  <w:sz w:val="24"/>
                                  <w:szCs w:val="24"/>
                                  <w:lang w:val="en-GB"/>
                                </w:rPr>
                                <w:t>University of Wales Trinity S</w:t>
                              </w:r>
                              <w:r w:rsidR="00253A6F">
                                <w:rPr>
                                  <w:rFonts w:ascii="Times New Roman" w:hAnsi="Times New Roman" w:cs="Times New Roman"/>
                                  <w:sz w:val="24"/>
                                  <w:szCs w:val="24"/>
                                  <w:lang w:val="en-GB"/>
                                </w:rPr>
                                <w:t>ain</w:t>
                              </w:r>
                              <w:r w:rsidR="002F5552" w:rsidRPr="002F5552">
                                <w:rPr>
                                  <w:rFonts w:ascii="Times New Roman" w:hAnsi="Times New Roman" w:cs="Times New Roman"/>
                                  <w:sz w:val="24"/>
                                  <w:szCs w:val="24"/>
                                  <w:lang w:val="en-GB"/>
                                </w:rPr>
                                <w:t>t David</w:t>
                              </w:r>
                            </w:sdtContent>
                          </w:sdt>
                        </w:p>
                      </w:txbxContent>
                    </v:textbox>
                    <w10:wrap anchorx="margin" anchory="margin"/>
                  </v:shape>
                </w:pict>
              </mc:Fallback>
            </mc:AlternateContent>
          </w:r>
          <w:r w:rsidR="000113C6" w:rsidRPr="000815C0">
            <w:rPr>
              <w:rFonts w:ascii="Times New Roman" w:hAnsi="Times New Roman" w:cs="Times New Roman"/>
              <w:sz w:val="32"/>
              <w:szCs w:val="32"/>
            </w:rPr>
            <w:br w:type="page"/>
          </w:r>
        </w:p>
      </w:sdtContent>
    </w:sdt>
    <w:p w14:paraId="24B3535E" w14:textId="7E0CF95A" w:rsidR="0069320D" w:rsidRPr="000815C0" w:rsidRDefault="00FF6866" w:rsidP="0069320D">
      <w:pPr>
        <w:rPr>
          <w:rFonts w:ascii="Times New Roman" w:hAnsi="Times New Roman" w:cs="Times New Roman"/>
          <w:sz w:val="32"/>
          <w:szCs w:val="32"/>
        </w:rPr>
      </w:pPr>
      <w:r w:rsidRPr="000815C0">
        <w:rPr>
          <w:rFonts w:ascii="Times New Roman" w:hAnsi="Times New Roman" w:cs="Times New Roman"/>
          <w:sz w:val="40"/>
          <w:szCs w:val="40"/>
        </w:rPr>
        <w:lastRenderedPageBreak/>
        <w:t>Executive Summary</w:t>
      </w:r>
    </w:p>
    <w:p w14:paraId="3F2974F4" w14:textId="3A04B02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This report critically evaluates the extent to which H&amp;M Group demonstrates responsible global leadership in addressing the environmental impacts of its international fashion business. It examines the environmental, political, regulatory and stakeholder pressures shaping H&amp;M’s leadership agenda,</w:t>
      </w:r>
      <w:r w:rsidR="00E819E0">
        <w:rPr>
          <w:rFonts w:ascii="Times New Roman" w:eastAsia="Times New Roman" w:hAnsi="Times New Roman" w:cs="Times New Roman"/>
          <w:kern w:val="0"/>
          <w:sz w:val="24"/>
          <w:szCs w:val="24"/>
          <w14:ligatures w14:val="none"/>
        </w:rPr>
        <w:t xml:space="preserve"> </w:t>
      </w:r>
      <w:r w:rsidRPr="000815C0">
        <w:rPr>
          <w:rFonts w:ascii="Times New Roman" w:eastAsia="Times New Roman" w:hAnsi="Times New Roman" w:cs="Times New Roman"/>
          <w:kern w:val="0"/>
          <w:sz w:val="24"/>
          <w:szCs w:val="24"/>
          <w14:ligatures w14:val="none"/>
        </w:rPr>
        <w:t>before assessing its governance, supply-chain practices, circularity initiatives and the credibility of its published commitments.</w:t>
      </w:r>
    </w:p>
    <w:p w14:paraId="3478917A"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The analysis finds that H&amp;M operates under increasing pressure to reduce emissions, resource use, textile waste and environmental harm across a geographically dispersed value chain. European regulation, investor expectations and stakeholder scrutiny also require greater traceability, product durability and accuracy in environmental communication. H&amp;M has responded through board-level sustainability oversight, science-based climate targets, supplier engagement, decarbonisation finance and increased use of recycled or sustainably sourced materials.</w:t>
      </w:r>
    </w:p>
    <w:p w14:paraId="1071D130"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Evidence of absolute reductions in direct and value-chain emissions, reduced supplier reliance on coal and stronger environmental governance indicates that H&amp;M’s approach extends beyond symbolic policy statements. However, significant contradictions remain. Circular activities, particularly resale and repair, represent only a limited share of the business, while the dominant model continues to depend on high volumes of newly produced garments. Previous regulatory concerns regarding sustainability claims also demonstrate the importance of precise and verifiable communication.</w:t>
      </w:r>
    </w:p>
    <w:p w14:paraId="7972C612"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The report concludes that H&amp;M demonstrates meaningful but incomplete responsible global leadership. Its commitments and measurable progress provide evidence of credible strategic adaptation. Nevertheless, full environmental stewardship requires proof that absolute impacts can continue declining during commercial growth and that circular business models increasingly replace, rather than supplement, virgin-resource production.</w:t>
      </w:r>
    </w:p>
    <w:sdt>
      <w:sdtPr>
        <w:rPr>
          <w:rFonts w:ascii="Times New Roman" w:eastAsiaTheme="minorHAnsi" w:hAnsi="Times New Roman" w:cs="Times New Roman"/>
          <w:color w:val="auto"/>
          <w:kern w:val="2"/>
          <w:sz w:val="22"/>
          <w:szCs w:val="22"/>
          <w:lang w:val="en-GB"/>
          <w14:ligatures w14:val="standardContextual"/>
        </w:rPr>
        <w:id w:val="1647476795"/>
        <w:docPartObj>
          <w:docPartGallery w:val="Table of Contents"/>
          <w:docPartUnique/>
        </w:docPartObj>
      </w:sdtPr>
      <w:sdtEndPr>
        <w:rPr>
          <w:b/>
          <w:bCs/>
        </w:rPr>
      </w:sdtEndPr>
      <w:sdtContent>
        <w:p w14:paraId="5CE95EB0" w14:textId="2ADE66C7" w:rsidR="0069320D" w:rsidRPr="000815C0" w:rsidRDefault="0069320D">
          <w:pPr>
            <w:pStyle w:val="TOCHeading"/>
            <w:rPr>
              <w:rFonts w:ascii="Times New Roman" w:hAnsi="Times New Roman" w:cs="Times New Roman"/>
              <w:color w:val="auto"/>
              <w:lang w:val="en-GB"/>
            </w:rPr>
          </w:pPr>
          <w:r w:rsidRPr="000815C0">
            <w:rPr>
              <w:rFonts w:ascii="Times New Roman" w:hAnsi="Times New Roman" w:cs="Times New Roman"/>
              <w:color w:val="auto"/>
              <w:lang w:val="en-GB"/>
            </w:rPr>
            <w:t>Table of Contents</w:t>
          </w:r>
        </w:p>
        <w:p w14:paraId="5278D61E" w14:textId="16221C6A" w:rsidR="008320C2" w:rsidRDefault="0069320D">
          <w:pPr>
            <w:pStyle w:val="TOC1"/>
            <w:tabs>
              <w:tab w:val="right" w:leader="dot" w:pos="9016"/>
            </w:tabs>
            <w:rPr>
              <w:rFonts w:eastAsiaTheme="minorEastAsia"/>
              <w:noProof/>
              <w:sz w:val="24"/>
              <w:szCs w:val="24"/>
              <w:lang w:val="en-US"/>
            </w:rPr>
          </w:pPr>
          <w:r w:rsidRPr="000815C0">
            <w:rPr>
              <w:rFonts w:ascii="Times New Roman" w:hAnsi="Times New Roman" w:cs="Times New Roman"/>
            </w:rPr>
            <w:fldChar w:fldCharType="begin"/>
          </w:r>
          <w:r w:rsidRPr="000815C0">
            <w:rPr>
              <w:rFonts w:ascii="Times New Roman" w:hAnsi="Times New Roman" w:cs="Times New Roman"/>
            </w:rPr>
            <w:instrText xml:space="preserve"> TOC \o "1-3" \h \z \u </w:instrText>
          </w:r>
          <w:r w:rsidRPr="000815C0">
            <w:rPr>
              <w:rFonts w:ascii="Times New Roman" w:hAnsi="Times New Roman" w:cs="Times New Roman"/>
            </w:rPr>
            <w:fldChar w:fldCharType="separate"/>
          </w:r>
          <w:hyperlink w:anchor="_Toc235809254" w:history="1">
            <w:r w:rsidR="008320C2" w:rsidRPr="00857E5D">
              <w:rPr>
                <w:rStyle w:val="Hyperlink"/>
                <w:rFonts w:ascii="Times New Roman" w:hAnsi="Times New Roman" w:cs="Times New Roman"/>
                <w:noProof/>
              </w:rPr>
              <w:t>1. Introduction</w:t>
            </w:r>
            <w:r w:rsidR="008320C2">
              <w:rPr>
                <w:noProof/>
                <w:webHidden/>
              </w:rPr>
              <w:tab/>
            </w:r>
            <w:r w:rsidR="008320C2">
              <w:rPr>
                <w:noProof/>
                <w:webHidden/>
              </w:rPr>
              <w:fldChar w:fldCharType="begin"/>
            </w:r>
            <w:r w:rsidR="008320C2">
              <w:rPr>
                <w:noProof/>
                <w:webHidden/>
              </w:rPr>
              <w:instrText xml:space="preserve"> PAGEREF _Toc235809254 \h </w:instrText>
            </w:r>
            <w:r w:rsidR="008320C2">
              <w:rPr>
                <w:noProof/>
                <w:webHidden/>
              </w:rPr>
            </w:r>
            <w:r w:rsidR="008320C2">
              <w:rPr>
                <w:noProof/>
                <w:webHidden/>
              </w:rPr>
              <w:fldChar w:fldCharType="separate"/>
            </w:r>
            <w:r w:rsidR="008320C2">
              <w:rPr>
                <w:noProof/>
                <w:webHidden/>
              </w:rPr>
              <w:t>3</w:t>
            </w:r>
            <w:r w:rsidR="008320C2">
              <w:rPr>
                <w:noProof/>
                <w:webHidden/>
              </w:rPr>
              <w:fldChar w:fldCharType="end"/>
            </w:r>
          </w:hyperlink>
        </w:p>
        <w:p w14:paraId="00BB122C" w14:textId="295FAD1B" w:rsidR="008320C2" w:rsidRDefault="008320C2">
          <w:pPr>
            <w:pStyle w:val="TOC2"/>
            <w:tabs>
              <w:tab w:val="right" w:leader="dot" w:pos="9016"/>
            </w:tabs>
            <w:rPr>
              <w:rFonts w:eastAsiaTheme="minorEastAsia"/>
              <w:noProof/>
              <w:sz w:val="24"/>
              <w:szCs w:val="24"/>
              <w:lang w:val="en-US"/>
            </w:rPr>
          </w:pPr>
          <w:hyperlink w:anchor="_Toc235809255" w:history="1">
            <w:r w:rsidRPr="00857E5D">
              <w:rPr>
                <w:rStyle w:val="Hyperlink"/>
                <w:rFonts w:ascii="Times New Roman" w:eastAsia="Times New Roman" w:hAnsi="Times New Roman" w:cs="Times New Roman"/>
                <w:noProof/>
              </w:rPr>
              <w:t>1.1 Organisational context</w:t>
            </w:r>
            <w:r>
              <w:rPr>
                <w:noProof/>
                <w:webHidden/>
              </w:rPr>
              <w:tab/>
            </w:r>
            <w:r>
              <w:rPr>
                <w:noProof/>
                <w:webHidden/>
              </w:rPr>
              <w:fldChar w:fldCharType="begin"/>
            </w:r>
            <w:r>
              <w:rPr>
                <w:noProof/>
                <w:webHidden/>
              </w:rPr>
              <w:instrText xml:space="preserve"> PAGEREF _Toc235809255 \h </w:instrText>
            </w:r>
            <w:r>
              <w:rPr>
                <w:noProof/>
                <w:webHidden/>
              </w:rPr>
            </w:r>
            <w:r>
              <w:rPr>
                <w:noProof/>
                <w:webHidden/>
              </w:rPr>
              <w:fldChar w:fldCharType="separate"/>
            </w:r>
            <w:r>
              <w:rPr>
                <w:noProof/>
                <w:webHidden/>
              </w:rPr>
              <w:t>3</w:t>
            </w:r>
            <w:r>
              <w:rPr>
                <w:noProof/>
                <w:webHidden/>
              </w:rPr>
              <w:fldChar w:fldCharType="end"/>
            </w:r>
          </w:hyperlink>
        </w:p>
        <w:p w14:paraId="23B4CA39" w14:textId="1F47CFB8" w:rsidR="008320C2" w:rsidRDefault="008320C2">
          <w:pPr>
            <w:pStyle w:val="TOC2"/>
            <w:tabs>
              <w:tab w:val="right" w:leader="dot" w:pos="9016"/>
            </w:tabs>
            <w:rPr>
              <w:rFonts w:eastAsiaTheme="minorEastAsia"/>
              <w:noProof/>
              <w:sz w:val="24"/>
              <w:szCs w:val="24"/>
              <w:lang w:val="en-US"/>
            </w:rPr>
          </w:pPr>
          <w:hyperlink w:anchor="_Toc235809256" w:history="1">
            <w:r w:rsidRPr="00857E5D">
              <w:rPr>
                <w:rStyle w:val="Hyperlink"/>
                <w:rFonts w:ascii="Times New Roman" w:eastAsia="Times New Roman" w:hAnsi="Times New Roman" w:cs="Times New Roman"/>
                <w:noProof/>
              </w:rPr>
              <w:t>1.2 Justification for selecting H&amp;M</w:t>
            </w:r>
            <w:r>
              <w:rPr>
                <w:noProof/>
                <w:webHidden/>
              </w:rPr>
              <w:tab/>
            </w:r>
            <w:r>
              <w:rPr>
                <w:noProof/>
                <w:webHidden/>
              </w:rPr>
              <w:fldChar w:fldCharType="begin"/>
            </w:r>
            <w:r>
              <w:rPr>
                <w:noProof/>
                <w:webHidden/>
              </w:rPr>
              <w:instrText xml:space="preserve"> PAGEREF _Toc235809256 \h </w:instrText>
            </w:r>
            <w:r>
              <w:rPr>
                <w:noProof/>
                <w:webHidden/>
              </w:rPr>
            </w:r>
            <w:r>
              <w:rPr>
                <w:noProof/>
                <w:webHidden/>
              </w:rPr>
              <w:fldChar w:fldCharType="separate"/>
            </w:r>
            <w:r>
              <w:rPr>
                <w:noProof/>
                <w:webHidden/>
              </w:rPr>
              <w:t>3</w:t>
            </w:r>
            <w:r>
              <w:rPr>
                <w:noProof/>
                <w:webHidden/>
              </w:rPr>
              <w:fldChar w:fldCharType="end"/>
            </w:r>
          </w:hyperlink>
        </w:p>
        <w:p w14:paraId="69BEB4F0" w14:textId="78F99D72" w:rsidR="008320C2" w:rsidRDefault="008320C2">
          <w:pPr>
            <w:pStyle w:val="TOC2"/>
            <w:tabs>
              <w:tab w:val="right" w:leader="dot" w:pos="9016"/>
            </w:tabs>
            <w:rPr>
              <w:rFonts w:eastAsiaTheme="minorEastAsia"/>
              <w:noProof/>
              <w:sz w:val="24"/>
              <w:szCs w:val="24"/>
              <w:lang w:val="en-US"/>
            </w:rPr>
          </w:pPr>
          <w:hyperlink w:anchor="_Toc235809257" w:history="1">
            <w:r w:rsidRPr="00857E5D">
              <w:rPr>
                <w:rStyle w:val="Hyperlink"/>
                <w:rFonts w:ascii="Times New Roman" w:eastAsia="Times New Roman" w:hAnsi="Times New Roman" w:cs="Times New Roman"/>
                <w:noProof/>
              </w:rPr>
              <w:t>1.3 Aim, scope and preliminary argument</w:t>
            </w:r>
            <w:r>
              <w:rPr>
                <w:noProof/>
                <w:webHidden/>
              </w:rPr>
              <w:tab/>
            </w:r>
            <w:r>
              <w:rPr>
                <w:noProof/>
                <w:webHidden/>
              </w:rPr>
              <w:fldChar w:fldCharType="begin"/>
            </w:r>
            <w:r>
              <w:rPr>
                <w:noProof/>
                <w:webHidden/>
              </w:rPr>
              <w:instrText xml:space="preserve"> PAGEREF _Toc235809257 \h </w:instrText>
            </w:r>
            <w:r>
              <w:rPr>
                <w:noProof/>
                <w:webHidden/>
              </w:rPr>
            </w:r>
            <w:r>
              <w:rPr>
                <w:noProof/>
                <w:webHidden/>
              </w:rPr>
              <w:fldChar w:fldCharType="separate"/>
            </w:r>
            <w:r>
              <w:rPr>
                <w:noProof/>
                <w:webHidden/>
              </w:rPr>
              <w:t>4</w:t>
            </w:r>
            <w:r>
              <w:rPr>
                <w:noProof/>
                <w:webHidden/>
              </w:rPr>
              <w:fldChar w:fldCharType="end"/>
            </w:r>
          </w:hyperlink>
        </w:p>
        <w:p w14:paraId="5430446C" w14:textId="5537B802" w:rsidR="008320C2" w:rsidRDefault="008320C2">
          <w:pPr>
            <w:pStyle w:val="TOC1"/>
            <w:tabs>
              <w:tab w:val="right" w:leader="dot" w:pos="9016"/>
            </w:tabs>
            <w:rPr>
              <w:rFonts w:eastAsiaTheme="minorEastAsia"/>
              <w:noProof/>
              <w:sz w:val="24"/>
              <w:szCs w:val="24"/>
              <w:lang w:val="en-US"/>
            </w:rPr>
          </w:pPr>
          <w:hyperlink w:anchor="_Toc235809258" w:history="1">
            <w:r w:rsidRPr="00857E5D">
              <w:rPr>
                <w:rStyle w:val="Hyperlink"/>
                <w:rFonts w:ascii="Times New Roman" w:hAnsi="Times New Roman" w:cs="Times New Roman"/>
                <w:noProof/>
              </w:rPr>
              <w:t>2. Forces Shaping H&amp;M’s Global Leadership Agenda</w:t>
            </w:r>
            <w:r>
              <w:rPr>
                <w:noProof/>
                <w:webHidden/>
              </w:rPr>
              <w:tab/>
            </w:r>
            <w:r>
              <w:rPr>
                <w:noProof/>
                <w:webHidden/>
              </w:rPr>
              <w:fldChar w:fldCharType="begin"/>
            </w:r>
            <w:r>
              <w:rPr>
                <w:noProof/>
                <w:webHidden/>
              </w:rPr>
              <w:instrText xml:space="preserve"> PAGEREF _Toc235809258 \h </w:instrText>
            </w:r>
            <w:r>
              <w:rPr>
                <w:noProof/>
                <w:webHidden/>
              </w:rPr>
            </w:r>
            <w:r>
              <w:rPr>
                <w:noProof/>
                <w:webHidden/>
              </w:rPr>
              <w:fldChar w:fldCharType="separate"/>
            </w:r>
            <w:r>
              <w:rPr>
                <w:noProof/>
                <w:webHidden/>
              </w:rPr>
              <w:t>5</w:t>
            </w:r>
            <w:r>
              <w:rPr>
                <w:noProof/>
                <w:webHidden/>
              </w:rPr>
              <w:fldChar w:fldCharType="end"/>
            </w:r>
          </w:hyperlink>
        </w:p>
        <w:p w14:paraId="5ABDD4AD" w14:textId="36F0E92B" w:rsidR="008320C2" w:rsidRDefault="008320C2">
          <w:pPr>
            <w:pStyle w:val="TOC2"/>
            <w:tabs>
              <w:tab w:val="right" w:leader="dot" w:pos="9016"/>
            </w:tabs>
            <w:rPr>
              <w:rFonts w:eastAsiaTheme="minorEastAsia"/>
              <w:noProof/>
              <w:sz w:val="24"/>
              <w:szCs w:val="24"/>
              <w:lang w:val="en-US"/>
            </w:rPr>
          </w:pPr>
          <w:hyperlink w:anchor="_Toc235809259" w:history="1">
            <w:r w:rsidRPr="00857E5D">
              <w:rPr>
                <w:rStyle w:val="Hyperlink"/>
                <w:rFonts w:ascii="Times New Roman" w:eastAsia="Times New Roman" w:hAnsi="Times New Roman" w:cs="Times New Roman"/>
                <w:noProof/>
              </w:rPr>
              <w:t>2.1 Global environmental and institutional pressures</w:t>
            </w:r>
            <w:r>
              <w:rPr>
                <w:noProof/>
                <w:webHidden/>
              </w:rPr>
              <w:tab/>
            </w:r>
            <w:r>
              <w:rPr>
                <w:noProof/>
                <w:webHidden/>
              </w:rPr>
              <w:fldChar w:fldCharType="begin"/>
            </w:r>
            <w:r>
              <w:rPr>
                <w:noProof/>
                <w:webHidden/>
              </w:rPr>
              <w:instrText xml:space="preserve"> PAGEREF _Toc235809259 \h </w:instrText>
            </w:r>
            <w:r>
              <w:rPr>
                <w:noProof/>
                <w:webHidden/>
              </w:rPr>
            </w:r>
            <w:r>
              <w:rPr>
                <w:noProof/>
                <w:webHidden/>
              </w:rPr>
              <w:fldChar w:fldCharType="separate"/>
            </w:r>
            <w:r>
              <w:rPr>
                <w:noProof/>
                <w:webHidden/>
              </w:rPr>
              <w:t>5</w:t>
            </w:r>
            <w:r>
              <w:rPr>
                <w:noProof/>
                <w:webHidden/>
              </w:rPr>
              <w:fldChar w:fldCharType="end"/>
            </w:r>
          </w:hyperlink>
        </w:p>
        <w:p w14:paraId="3F94CAD6" w14:textId="20C2BAD5" w:rsidR="008320C2" w:rsidRDefault="008320C2">
          <w:pPr>
            <w:pStyle w:val="TOC2"/>
            <w:tabs>
              <w:tab w:val="right" w:leader="dot" w:pos="9016"/>
            </w:tabs>
            <w:rPr>
              <w:rFonts w:eastAsiaTheme="minorEastAsia"/>
              <w:noProof/>
              <w:sz w:val="24"/>
              <w:szCs w:val="24"/>
              <w:lang w:val="en-US"/>
            </w:rPr>
          </w:pPr>
          <w:hyperlink w:anchor="_Toc235809260" w:history="1">
            <w:r w:rsidRPr="00857E5D">
              <w:rPr>
                <w:rStyle w:val="Hyperlink"/>
                <w:rFonts w:ascii="Times New Roman" w:eastAsia="Times New Roman" w:hAnsi="Times New Roman" w:cs="Times New Roman"/>
                <w:noProof/>
              </w:rPr>
              <w:t>2.2 Political, legal and regulatory pressures</w:t>
            </w:r>
            <w:r>
              <w:rPr>
                <w:noProof/>
                <w:webHidden/>
              </w:rPr>
              <w:tab/>
            </w:r>
            <w:r>
              <w:rPr>
                <w:noProof/>
                <w:webHidden/>
              </w:rPr>
              <w:fldChar w:fldCharType="begin"/>
            </w:r>
            <w:r>
              <w:rPr>
                <w:noProof/>
                <w:webHidden/>
              </w:rPr>
              <w:instrText xml:space="preserve"> PAGEREF _Toc235809260 \h </w:instrText>
            </w:r>
            <w:r>
              <w:rPr>
                <w:noProof/>
                <w:webHidden/>
              </w:rPr>
            </w:r>
            <w:r>
              <w:rPr>
                <w:noProof/>
                <w:webHidden/>
              </w:rPr>
              <w:fldChar w:fldCharType="separate"/>
            </w:r>
            <w:r>
              <w:rPr>
                <w:noProof/>
                <w:webHidden/>
              </w:rPr>
              <w:t>5</w:t>
            </w:r>
            <w:r>
              <w:rPr>
                <w:noProof/>
                <w:webHidden/>
              </w:rPr>
              <w:fldChar w:fldCharType="end"/>
            </w:r>
          </w:hyperlink>
        </w:p>
        <w:p w14:paraId="4A36535A" w14:textId="5CB6AB99" w:rsidR="008320C2" w:rsidRDefault="008320C2">
          <w:pPr>
            <w:pStyle w:val="TOC2"/>
            <w:tabs>
              <w:tab w:val="right" w:leader="dot" w:pos="9016"/>
            </w:tabs>
            <w:rPr>
              <w:rFonts w:eastAsiaTheme="minorEastAsia"/>
              <w:noProof/>
              <w:sz w:val="24"/>
              <w:szCs w:val="24"/>
              <w:lang w:val="en-US"/>
            </w:rPr>
          </w:pPr>
          <w:hyperlink w:anchor="_Toc235809261" w:history="1">
            <w:r w:rsidRPr="00857E5D">
              <w:rPr>
                <w:rStyle w:val="Hyperlink"/>
                <w:rFonts w:ascii="Times New Roman" w:eastAsia="Times New Roman" w:hAnsi="Times New Roman" w:cs="Times New Roman"/>
                <w:noProof/>
              </w:rPr>
              <w:t>2.3 Stakeholder, cultural and commercial pressures</w:t>
            </w:r>
            <w:r>
              <w:rPr>
                <w:noProof/>
                <w:webHidden/>
              </w:rPr>
              <w:tab/>
            </w:r>
            <w:r>
              <w:rPr>
                <w:noProof/>
                <w:webHidden/>
              </w:rPr>
              <w:fldChar w:fldCharType="begin"/>
            </w:r>
            <w:r>
              <w:rPr>
                <w:noProof/>
                <w:webHidden/>
              </w:rPr>
              <w:instrText xml:space="preserve"> PAGEREF _Toc235809261 \h </w:instrText>
            </w:r>
            <w:r>
              <w:rPr>
                <w:noProof/>
                <w:webHidden/>
              </w:rPr>
            </w:r>
            <w:r>
              <w:rPr>
                <w:noProof/>
                <w:webHidden/>
              </w:rPr>
              <w:fldChar w:fldCharType="separate"/>
            </w:r>
            <w:r>
              <w:rPr>
                <w:noProof/>
                <w:webHidden/>
              </w:rPr>
              <w:t>6</w:t>
            </w:r>
            <w:r>
              <w:rPr>
                <w:noProof/>
                <w:webHidden/>
              </w:rPr>
              <w:fldChar w:fldCharType="end"/>
            </w:r>
          </w:hyperlink>
        </w:p>
        <w:p w14:paraId="212874D8" w14:textId="070EC3D8" w:rsidR="008320C2" w:rsidRDefault="008320C2">
          <w:pPr>
            <w:pStyle w:val="TOC1"/>
            <w:tabs>
              <w:tab w:val="right" w:leader="dot" w:pos="9016"/>
            </w:tabs>
            <w:rPr>
              <w:rFonts w:eastAsiaTheme="minorEastAsia"/>
              <w:noProof/>
              <w:sz w:val="24"/>
              <w:szCs w:val="24"/>
              <w:lang w:val="en-US"/>
            </w:rPr>
          </w:pPr>
          <w:hyperlink w:anchor="_Toc235809262" w:history="1">
            <w:r w:rsidRPr="00857E5D">
              <w:rPr>
                <w:rStyle w:val="Hyperlink"/>
                <w:rFonts w:ascii="Times New Roman" w:hAnsi="Times New Roman" w:cs="Times New Roman"/>
                <w:noProof/>
              </w:rPr>
              <w:t>3. Responsible Global Leadership and Environmental Stewardship</w:t>
            </w:r>
            <w:r>
              <w:rPr>
                <w:noProof/>
                <w:webHidden/>
              </w:rPr>
              <w:tab/>
            </w:r>
            <w:r>
              <w:rPr>
                <w:noProof/>
                <w:webHidden/>
              </w:rPr>
              <w:fldChar w:fldCharType="begin"/>
            </w:r>
            <w:r>
              <w:rPr>
                <w:noProof/>
                <w:webHidden/>
              </w:rPr>
              <w:instrText xml:space="preserve"> PAGEREF _Toc235809262 \h </w:instrText>
            </w:r>
            <w:r>
              <w:rPr>
                <w:noProof/>
                <w:webHidden/>
              </w:rPr>
            </w:r>
            <w:r>
              <w:rPr>
                <w:noProof/>
                <w:webHidden/>
              </w:rPr>
              <w:fldChar w:fldCharType="separate"/>
            </w:r>
            <w:r>
              <w:rPr>
                <w:noProof/>
                <w:webHidden/>
              </w:rPr>
              <w:t>8</w:t>
            </w:r>
            <w:r>
              <w:rPr>
                <w:noProof/>
                <w:webHidden/>
              </w:rPr>
              <w:fldChar w:fldCharType="end"/>
            </w:r>
          </w:hyperlink>
        </w:p>
        <w:p w14:paraId="28175172" w14:textId="19E36F3C" w:rsidR="008320C2" w:rsidRDefault="008320C2">
          <w:pPr>
            <w:pStyle w:val="TOC2"/>
            <w:tabs>
              <w:tab w:val="right" w:leader="dot" w:pos="9016"/>
            </w:tabs>
            <w:rPr>
              <w:rFonts w:eastAsiaTheme="minorEastAsia"/>
              <w:noProof/>
              <w:sz w:val="24"/>
              <w:szCs w:val="24"/>
              <w:lang w:val="en-US"/>
            </w:rPr>
          </w:pPr>
          <w:hyperlink w:anchor="_Toc235809263" w:history="1">
            <w:r w:rsidRPr="00857E5D">
              <w:rPr>
                <w:rStyle w:val="Hyperlink"/>
                <w:rFonts w:ascii="Times New Roman" w:eastAsia="Times New Roman" w:hAnsi="Times New Roman" w:cs="Times New Roman"/>
                <w:noProof/>
              </w:rPr>
              <w:t xml:space="preserve">3.1 Theoretical </w:t>
            </w:r>
            <w:r w:rsidRPr="00857E5D">
              <w:rPr>
                <w:rStyle w:val="Hyperlink"/>
                <w:rFonts w:ascii="Times New Roman" w:hAnsi="Times New Roman" w:cs="Times New Roman"/>
                <w:noProof/>
              </w:rPr>
              <w:t>framework</w:t>
            </w:r>
            <w:r>
              <w:rPr>
                <w:noProof/>
                <w:webHidden/>
              </w:rPr>
              <w:tab/>
            </w:r>
            <w:r>
              <w:rPr>
                <w:noProof/>
                <w:webHidden/>
              </w:rPr>
              <w:fldChar w:fldCharType="begin"/>
            </w:r>
            <w:r>
              <w:rPr>
                <w:noProof/>
                <w:webHidden/>
              </w:rPr>
              <w:instrText xml:space="preserve"> PAGEREF _Toc235809263 \h </w:instrText>
            </w:r>
            <w:r>
              <w:rPr>
                <w:noProof/>
                <w:webHidden/>
              </w:rPr>
            </w:r>
            <w:r>
              <w:rPr>
                <w:noProof/>
                <w:webHidden/>
              </w:rPr>
              <w:fldChar w:fldCharType="separate"/>
            </w:r>
            <w:r>
              <w:rPr>
                <w:noProof/>
                <w:webHidden/>
              </w:rPr>
              <w:t>8</w:t>
            </w:r>
            <w:r>
              <w:rPr>
                <w:noProof/>
                <w:webHidden/>
              </w:rPr>
              <w:fldChar w:fldCharType="end"/>
            </w:r>
          </w:hyperlink>
        </w:p>
        <w:p w14:paraId="219C4720" w14:textId="38229ED6" w:rsidR="008320C2" w:rsidRDefault="008320C2">
          <w:pPr>
            <w:pStyle w:val="TOC2"/>
            <w:tabs>
              <w:tab w:val="right" w:leader="dot" w:pos="9016"/>
            </w:tabs>
            <w:rPr>
              <w:rFonts w:eastAsiaTheme="minorEastAsia"/>
              <w:noProof/>
              <w:sz w:val="24"/>
              <w:szCs w:val="24"/>
              <w:lang w:val="en-US"/>
            </w:rPr>
          </w:pPr>
          <w:hyperlink w:anchor="_Toc235809264" w:history="1">
            <w:r w:rsidRPr="00857E5D">
              <w:rPr>
                <w:rStyle w:val="Hyperlink"/>
                <w:rFonts w:ascii="Times New Roman" w:eastAsia="Times New Roman" w:hAnsi="Times New Roman" w:cs="Times New Roman"/>
                <w:noProof/>
              </w:rPr>
              <w:t>3.2 Sustainability governance and leadership accountability</w:t>
            </w:r>
            <w:r>
              <w:rPr>
                <w:noProof/>
                <w:webHidden/>
              </w:rPr>
              <w:tab/>
            </w:r>
            <w:r>
              <w:rPr>
                <w:noProof/>
                <w:webHidden/>
              </w:rPr>
              <w:fldChar w:fldCharType="begin"/>
            </w:r>
            <w:r>
              <w:rPr>
                <w:noProof/>
                <w:webHidden/>
              </w:rPr>
              <w:instrText xml:space="preserve"> PAGEREF _Toc235809264 \h </w:instrText>
            </w:r>
            <w:r>
              <w:rPr>
                <w:noProof/>
                <w:webHidden/>
              </w:rPr>
            </w:r>
            <w:r>
              <w:rPr>
                <w:noProof/>
                <w:webHidden/>
              </w:rPr>
              <w:fldChar w:fldCharType="separate"/>
            </w:r>
            <w:r>
              <w:rPr>
                <w:noProof/>
                <w:webHidden/>
              </w:rPr>
              <w:t>9</w:t>
            </w:r>
            <w:r>
              <w:rPr>
                <w:noProof/>
                <w:webHidden/>
              </w:rPr>
              <w:fldChar w:fldCharType="end"/>
            </w:r>
          </w:hyperlink>
        </w:p>
        <w:p w14:paraId="03615FC2" w14:textId="25F757A9" w:rsidR="008320C2" w:rsidRDefault="008320C2">
          <w:pPr>
            <w:pStyle w:val="TOC2"/>
            <w:tabs>
              <w:tab w:val="right" w:leader="dot" w:pos="9016"/>
            </w:tabs>
            <w:rPr>
              <w:rFonts w:eastAsiaTheme="minorEastAsia"/>
              <w:noProof/>
              <w:sz w:val="24"/>
              <w:szCs w:val="24"/>
              <w:lang w:val="en-US"/>
            </w:rPr>
          </w:pPr>
          <w:hyperlink w:anchor="_Toc235809265" w:history="1">
            <w:r w:rsidRPr="00857E5D">
              <w:rPr>
                <w:rStyle w:val="Hyperlink"/>
                <w:rFonts w:ascii="Times New Roman" w:eastAsia="Times New Roman" w:hAnsi="Times New Roman" w:cs="Times New Roman"/>
                <w:noProof/>
              </w:rPr>
              <w:t>3.3 Leading environmental change across the global supply chain</w:t>
            </w:r>
            <w:r>
              <w:rPr>
                <w:noProof/>
                <w:webHidden/>
              </w:rPr>
              <w:tab/>
            </w:r>
            <w:r>
              <w:rPr>
                <w:noProof/>
                <w:webHidden/>
              </w:rPr>
              <w:fldChar w:fldCharType="begin"/>
            </w:r>
            <w:r>
              <w:rPr>
                <w:noProof/>
                <w:webHidden/>
              </w:rPr>
              <w:instrText xml:space="preserve"> PAGEREF _Toc235809265 \h </w:instrText>
            </w:r>
            <w:r>
              <w:rPr>
                <w:noProof/>
                <w:webHidden/>
              </w:rPr>
            </w:r>
            <w:r>
              <w:rPr>
                <w:noProof/>
                <w:webHidden/>
              </w:rPr>
              <w:fldChar w:fldCharType="separate"/>
            </w:r>
            <w:r>
              <w:rPr>
                <w:noProof/>
                <w:webHidden/>
              </w:rPr>
              <w:t>10</w:t>
            </w:r>
            <w:r>
              <w:rPr>
                <w:noProof/>
                <w:webHidden/>
              </w:rPr>
              <w:fldChar w:fldCharType="end"/>
            </w:r>
          </w:hyperlink>
        </w:p>
        <w:p w14:paraId="49A353BE" w14:textId="73C8F1B8" w:rsidR="008320C2" w:rsidRDefault="008320C2">
          <w:pPr>
            <w:pStyle w:val="TOC2"/>
            <w:tabs>
              <w:tab w:val="right" w:leader="dot" w:pos="9016"/>
            </w:tabs>
            <w:rPr>
              <w:rFonts w:eastAsiaTheme="minorEastAsia"/>
              <w:noProof/>
              <w:sz w:val="24"/>
              <w:szCs w:val="24"/>
              <w:lang w:val="en-US"/>
            </w:rPr>
          </w:pPr>
          <w:hyperlink w:anchor="_Toc235809266" w:history="1">
            <w:r w:rsidRPr="00857E5D">
              <w:rPr>
                <w:rStyle w:val="Hyperlink"/>
                <w:rFonts w:ascii="Times New Roman" w:eastAsia="Times New Roman" w:hAnsi="Times New Roman" w:cs="Times New Roman"/>
                <w:noProof/>
              </w:rPr>
              <w:t>3.4 Circularity, materials and business-model transformation</w:t>
            </w:r>
            <w:r>
              <w:rPr>
                <w:noProof/>
                <w:webHidden/>
              </w:rPr>
              <w:tab/>
            </w:r>
            <w:r>
              <w:rPr>
                <w:noProof/>
                <w:webHidden/>
              </w:rPr>
              <w:fldChar w:fldCharType="begin"/>
            </w:r>
            <w:r>
              <w:rPr>
                <w:noProof/>
                <w:webHidden/>
              </w:rPr>
              <w:instrText xml:space="preserve"> PAGEREF _Toc235809266 \h </w:instrText>
            </w:r>
            <w:r>
              <w:rPr>
                <w:noProof/>
                <w:webHidden/>
              </w:rPr>
            </w:r>
            <w:r>
              <w:rPr>
                <w:noProof/>
                <w:webHidden/>
              </w:rPr>
              <w:fldChar w:fldCharType="separate"/>
            </w:r>
            <w:r>
              <w:rPr>
                <w:noProof/>
                <w:webHidden/>
              </w:rPr>
              <w:t>11</w:t>
            </w:r>
            <w:r>
              <w:rPr>
                <w:noProof/>
                <w:webHidden/>
              </w:rPr>
              <w:fldChar w:fldCharType="end"/>
            </w:r>
          </w:hyperlink>
        </w:p>
        <w:p w14:paraId="19D077B1" w14:textId="0F226BC3" w:rsidR="008320C2" w:rsidRDefault="008320C2">
          <w:pPr>
            <w:pStyle w:val="TOC1"/>
            <w:tabs>
              <w:tab w:val="right" w:leader="dot" w:pos="9016"/>
            </w:tabs>
            <w:rPr>
              <w:rFonts w:eastAsiaTheme="minorEastAsia"/>
              <w:noProof/>
              <w:sz w:val="24"/>
              <w:szCs w:val="24"/>
              <w:lang w:val="en-US"/>
            </w:rPr>
          </w:pPr>
          <w:hyperlink w:anchor="_Toc235809267" w:history="1">
            <w:r w:rsidRPr="00857E5D">
              <w:rPr>
                <w:rStyle w:val="Hyperlink"/>
                <w:rFonts w:ascii="Times New Roman" w:hAnsi="Times New Roman" w:cs="Times New Roman"/>
                <w:noProof/>
              </w:rPr>
              <w:t>4. Credibility: Commitments Versus Practice</w:t>
            </w:r>
            <w:r>
              <w:rPr>
                <w:noProof/>
                <w:webHidden/>
              </w:rPr>
              <w:tab/>
            </w:r>
            <w:r>
              <w:rPr>
                <w:noProof/>
                <w:webHidden/>
              </w:rPr>
              <w:fldChar w:fldCharType="begin"/>
            </w:r>
            <w:r>
              <w:rPr>
                <w:noProof/>
                <w:webHidden/>
              </w:rPr>
              <w:instrText xml:space="preserve"> PAGEREF _Toc235809267 \h </w:instrText>
            </w:r>
            <w:r>
              <w:rPr>
                <w:noProof/>
                <w:webHidden/>
              </w:rPr>
            </w:r>
            <w:r>
              <w:rPr>
                <w:noProof/>
                <w:webHidden/>
              </w:rPr>
              <w:fldChar w:fldCharType="separate"/>
            </w:r>
            <w:r>
              <w:rPr>
                <w:noProof/>
                <w:webHidden/>
              </w:rPr>
              <w:t>13</w:t>
            </w:r>
            <w:r>
              <w:rPr>
                <w:noProof/>
                <w:webHidden/>
              </w:rPr>
              <w:fldChar w:fldCharType="end"/>
            </w:r>
          </w:hyperlink>
        </w:p>
        <w:p w14:paraId="6D8C88B4" w14:textId="56040A32" w:rsidR="008320C2" w:rsidRDefault="008320C2">
          <w:pPr>
            <w:pStyle w:val="TOC2"/>
            <w:tabs>
              <w:tab w:val="right" w:leader="dot" w:pos="9016"/>
            </w:tabs>
            <w:rPr>
              <w:rFonts w:eastAsiaTheme="minorEastAsia"/>
              <w:noProof/>
              <w:sz w:val="24"/>
              <w:szCs w:val="24"/>
              <w:lang w:val="en-US"/>
            </w:rPr>
          </w:pPr>
          <w:hyperlink w:anchor="_Toc235809268" w:history="1">
            <w:r w:rsidRPr="00857E5D">
              <w:rPr>
                <w:rStyle w:val="Hyperlink"/>
                <w:rFonts w:ascii="Times New Roman" w:eastAsia="Times New Roman" w:hAnsi="Times New Roman" w:cs="Times New Roman"/>
                <w:noProof/>
              </w:rPr>
              <w:t>4.1 Published commitments</w:t>
            </w:r>
            <w:r>
              <w:rPr>
                <w:noProof/>
                <w:webHidden/>
              </w:rPr>
              <w:tab/>
            </w:r>
            <w:r>
              <w:rPr>
                <w:noProof/>
                <w:webHidden/>
              </w:rPr>
              <w:fldChar w:fldCharType="begin"/>
            </w:r>
            <w:r>
              <w:rPr>
                <w:noProof/>
                <w:webHidden/>
              </w:rPr>
              <w:instrText xml:space="preserve"> PAGEREF _Toc235809268 \h </w:instrText>
            </w:r>
            <w:r>
              <w:rPr>
                <w:noProof/>
                <w:webHidden/>
              </w:rPr>
            </w:r>
            <w:r>
              <w:rPr>
                <w:noProof/>
                <w:webHidden/>
              </w:rPr>
              <w:fldChar w:fldCharType="separate"/>
            </w:r>
            <w:r>
              <w:rPr>
                <w:noProof/>
                <w:webHidden/>
              </w:rPr>
              <w:t>13</w:t>
            </w:r>
            <w:r>
              <w:rPr>
                <w:noProof/>
                <w:webHidden/>
              </w:rPr>
              <w:fldChar w:fldCharType="end"/>
            </w:r>
          </w:hyperlink>
        </w:p>
        <w:p w14:paraId="43656590" w14:textId="721CFDE0" w:rsidR="008320C2" w:rsidRDefault="008320C2">
          <w:pPr>
            <w:pStyle w:val="TOC2"/>
            <w:tabs>
              <w:tab w:val="right" w:leader="dot" w:pos="9016"/>
            </w:tabs>
            <w:rPr>
              <w:rFonts w:eastAsiaTheme="minorEastAsia"/>
              <w:noProof/>
              <w:sz w:val="24"/>
              <w:szCs w:val="24"/>
              <w:lang w:val="en-US"/>
            </w:rPr>
          </w:pPr>
          <w:hyperlink w:anchor="_Toc235809269" w:history="1">
            <w:r w:rsidRPr="00857E5D">
              <w:rPr>
                <w:rStyle w:val="Hyperlink"/>
                <w:rFonts w:ascii="Times New Roman" w:eastAsia="Times New Roman" w:hAnsi="Times New Roman" w:cs="Times New Roman"/>
                <w:noProof/>
              </w:rPr>
              <w:t>4.2 Evidence of measurable progress</w:t>
            </w:r>
            <w:r>
              <w:rPr>
                <w:noProof/>
                <w:webHidden/>
              </w:rPr>
              <w:tab/>
            </w:r>
            <w:r>
              <w:rPr>
                <w:noProof/>
                <w:webHidden/>
              </w:rPr>
              <w:fldChar w:fldCharType="begin"/>
            </w:r>
            <w:r>
              <w:rPr>
                <w:noProof/>
                <w:webHidden/>
              </w:rPr>
              <w:instrText xml:space="preserve"> PAGEREF _Toc235809269 \h </w:instrText>
            </w:r>
            <w:r>
              <w:rPr>
                <w:noProof/>
                <w:webHidden/>
              </w:rPr>
            </w:r>
            <w:r>
              <w:rPr>
                <w:noProof/>
                <w:webHidden/>
              </w:rPr>
              <w:fldChar w:fldCharType="separate"/>
            </w:r>
            <w:r>
              <w:rPr>
                <w:noProof/>
                <w:webHidden/>
              </w:rPr>
              <w:t>13</w:t>
            </w:r>
            <w:r>
              <w:rPr>
                <w:noProof/>
                <w:webHidden/>
              </w:rPr>
              <w:fldChar w:fldCharType="end"/>
            </w:r>
          </w:hyperlink>
        </w:p>
        <w:p w14:paraId="23F62F0A" w14:textId="267E58C2" w:rsidR="008320C2" w:rsidRDefault="008320C2">
          <w:pPr>
            <w:pStyle w:val="TOC2"/>
            <w:tabs>
              <w:tab w:val="right" w:leader="dot" w:pos="9016"/>
            </w:tabs>
            <w:rPr>
              <w:rFonts w:eastAsiaTheme="minorEastAsia"/>
              <w:noProof/>
              <w:sz w:val="24"/>
              <w:szCs w:val="24"/>
              <w:lang w:val="en-US"/>
            </w:rPr>
          </w:pPr>
          <w:hyperlink w:anchor="_Toc235809270" w:history="1">
            <w:r w:rsidRPr="00857E5D">
              <w:rPr>
                <w:rStyle w:val="Hyperlink"/>
                <w:rFonts w:ascii="Times New Roman" w:eastAsia="Times New Roman" w:hAnsi="Times New Roman" w:cs="Times New Roman"/>
                <w:noProof/>
              </w:rPr>
              <w:t>4.3 Commitment-practice gaps and contradictions</w:t>
            </w:r>
            <w:r>
              <w:rPr>
                <w:noProof/>
                <w:webHidden/>
              </w:rPr>
              <w:tab/>
            </w:r>
            <w:r>
              <w:rPr>
                <w:noProof/>
                <w:webHidden/>
              </w:rPr>
              <w:fldChar w:fldCharType="begin"/>
            </w:r>
            <w:r>
              <w:rPr>
                <w:noProof/>
                <w:webHidden/>
              </w:rPr>
              <w:instrText xml:space="preserve"> PAGEREF _Toc235809270 \h </w:instrText>
            </w:r>
            <w:r>
              <w:rPr>
                <w:noProof/>
                <w:webHidden/>
              </w:rPr>
            </w:r>
            <w:r>
              <w:rPr>
                <w:noProof/>
                <w:webHidden/>
              </w:rPr>
              <w:fldChar w:fldCharType="separate"/>
            </w:r>
            <w:r>
              <w:rPr>
                <w:noProof/>
                <w:webHidden/>
              </w:rPr>
              <w:t>14</w:t>
            </w:r>
            <w:r>
              <w:rPr>
                <w:noProof/>
                <w:webHidden/>
              </w:rPr>
              <w:fldChar w:fldCharType="end"/>
            </w:r>
          </w:hyperlink>
        </w:p>
        <w:p w14:paraId="3677516C" w14:textId="55D81F07" w:rsidR="008320C2" w:rsidRDefault="008320C2">
          <w:pPr>
            <w:pStyle w:val="TOC2"/>
            <w:tabs>
              <w:tab w:val="right" w:leader="dot" w:pos="9016"/>
            </w:tabs>
            <w:rPr>
              <w:rFonts w:eastAsiaTheme="minorEastAsia"/>
              <w:noProof/>
              <w:sz w:val="24"/>
              <w:szCs w:val="24"/>
              <w:lang w:val="en-US"/>
            </w:rPr>
          </w:pPr>
          <w:hyperlink w:anchor="_Toc235809271" w:history="1">
            <w:r w:rsidRPr="00857E5D">
              <w:rPr>
                <w:rStyle w:val="Hyperlink"/>
                <w:rFonts w:ascii="Times New Roman" w:eastAsia="Times New Roman" w:hAnsi="Times New Roman" w:cs="Times New Roman"/>
                <w:noProof/>
              </w:rPr>
              <w:t>4.4 Overall credibility and strategic implications</w:t>
            </w:r>
            <w:r>
              <w:rPr>
                <w:noProof/>
                <w:webHidden/>
              </w:rPr>
              <w:tab/>
            </w:r>
            <w:r>
              <w:rPr>
                <w:noProof/>
                <w:webHidden/>
              </w:rPr>
              <w:fldChar w:fldCharType="begin"/>
            </w:r>
            <w:r>
              <w:rPr>
                <w:noProof/>
                <w:webHidden/>
              </w:rPr>
              <w:instrText xml:space="preserve"> PAGEREF _Toc235809271 \h </w:instrText>
            </w:r>
            <w:r>
              <w:rPr>
                <w:noProof/>
                <w:webHidden/>
              </w:rPr>
            </w:r>
            <w:r>
              <w:rPr>
                <w:noProof/>
                <w:webHidden/>
              </w:rPr>
              <w:fldChar w:fldCharType="separate"/>
            </w:r>
            <w:r>
              <w:rPr>
                <w:noProof/>
                <w:webHidden/>
              </w:rPr>
              <w:t>15</w:t>
            </w:r>
            <w:r>
              <w:rPr>
                <w:noProof/>
                <w:webHidden/>
              </w:rPr>
              <w:fldChar w:fldCharType="end"/>
            </w:r>
          </w:hyperlink>
        </w:p>
        <w:p w14:paraId="1A7B7E51" w14:textId="14A054A2" w:rsidR="008320C2" w:rsidRDefault="008320C2">
          <w:pPr>
            <w:pStyle w:val="TOC1"/>
            <w:tabs>
              <w:tab w:val="right" w:leader="dot" w:pos="9016"/>
            </w:tabs>
            <w:rPr>
              <w:rFonts w:eastAsiaTheme="minorEastAsia"/>
              <w:noProof/>
              <w:sz w:val="24"/>
              <w:szCs w:val="24"/>
              <w:lang w:val="en-US"/>
            </w:rPr>
          </w:pPr>
          <w:hyperlink w:anchor="_Toc235809272" w:history="1">
            <w:r w:rsidRPr="00857E5D">
              <w:rPr>
                <w:rStyle w:val="Hyperlink"/>
                <w:rFonts w:ascii="Times New Roman" w:hAnsi="Times New Roman" w:cs="Times New Roman"/>
                <w:noProof/>
              </w:rPr>
              <w:t>5. Conclusion</w:t>
            </w:r>
            <w:r>
              <w:rPr>
                <w:noProof/>
                <w:webHidden/>
              </w:rPr>
              <w:tab/>
            </w:r>
            <w:r>
              <w:rPr>
                <w:noProof/>
                <w:webHidden/>
              </w:rPr>
              <w:fldChar w:fldCharType="begin"/>
            </w:r>
            <w:r>
              <w:rPr>
                <w:noProof/>
                <w:webHidden/>
              </w:rPr>
              <w:instrText xml:space="preserve"> PAGEREF _Toc235809272 \h </w:instrText>
            </w:r>
            <w:r>
              <w:rPr>
                <w:noProof/>
                <w:webHidden/>
              </w:rPr>
            </w:r>
            <w:r>
              <w:rPr>
                <w:noProof/>
                <w:webHidden/>
              </w:rPr>
              <w:fldChar w:fldCharType="separate"/>
            </w:r>
            <w:r>
              <w:rPr>
                <w:noProof/>
                <w:webHidden/>
              </w:rPr>
              <w:t>17</w:t>
            </w:r>
            <w:r>
              <w:rPr>
                <w:noProof/>
                <w:webHidden/>
              </w:rPr>
              <w:fldChar w:fldCharType="end"/>
            </w:r>
          </w:hyperlink>
        </w:p>
        <w:p w14:paraId="0EA9BA5A" w14:textId="3008D402" w:rsidR="008320C2" w:rsidRDefault="008320C2">
          <w:pPr>
            <w:pStyle w:val="TOC1"/>
            <w:tabs>
              <w:tab w:val="right" w:leader="dot" w:pos="9016"/>
            </w:tabs>
            <w:rPr>
              <w:rFonts w:eastAsiaTheme="minorEastAsia"/>
              <w:noProof/>
              <w:sz w:val="24"/>
              <w:szCs w:val="24"/>
              <w:lang w:val="en-US"/>
            </w:rPr>
          </w:pPr>
          <w:hyperlink w:anchor="_Toc235809273" w:history="1">
            <w:r w:rsidRPr="00857E5D">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_Toc235809273 \h </w:instrText>
            </w:r>
            <w:r>
              <w:rPr>
                <w:noProof/>
                <w:webHidden/>
              </w:rPr>
            </w:r>
            <w:r>
              <w:rPr>
                <w:noProof/>
                <w:webHidden/>
              </w:rPr>
              <w:fldChar w:fldCharType="separate"/>
            </w:r>
            <w:r>
              <w:rPr>
                <w:noProof/>
                <w:webHidden/>
              </w:rPr>
              <w:t>19</w:t>
            </w:r>
            <w:r>
              <w:rPr>
                <w:noProof/>
                <w:webHidden/>
              </w:rPr>
              <w:fldChar w:fldCharType="end"/>
            </w:r>
          </w:hyperlink>
        </w:p>
        <w:p w14:paraId="7FE26864" w14:textId="205EC8C4" w:rsidR="0069320D" w:rsidRPr="000815C0" w:rsidRDefault="0069320D">
          <w:pPr>
            <w:rPr>
              <w:rFonts w:ascii="Times New Roman" w:hAnsi="Times New Roman" w:cs="Times New Roman"/>
            </w:rPr>
          </w:pPr>
          <w:r w:rsidRPr="000815C0">
            <w:rPr>
              <w:rFonts w:ascii="Times New Roman" w:hAnsi="Times New Roman" w:cs="Times New Roman"/>
              <w:b/>
              <w:bCs/>
            </w:rPr>
            <w:fldChar w:fldCharType="end"/>
          </w:r>
        </w:p>
      </w:sdtContent>
    </w:sdt>
    <w:p w14:paraId="10E949C0" w14:textId="77777777" w:rsidR="0069320D" w:rsidRPr="000815C0" w:rsidRDefault="0069320D">
      <w:pPr>
        <w:rPr>
          <w:rFonts w:ascii="Times New Roman" w:eastAsiaTheme="majorEastAsia" w:hAnsi="Times New Roman" w:cs="Times New Roman"/>
          <w:sz w:val="40"/>
          <w:szCs w:val="40"/>
        </w:rPr>
      </w:pPr>
      <w:r w:rsidRPr="000815C0">
        <w:rPr>
          <w:rFonts w:ascii="Times New Roman" w:hAnsi="Times New Roman" w:cs="Times New Roman"/>
        </w:rPr>
        <w:br w:type="page"/>
      </w:r>
    </w:p>
    <w:p w14:paraId="646EAB11" w14:textId="5993A9E3" w:rsidR="00CC0306" w:rsidRPr="000815C0" w:rsidRDefault="00CC0306" w:rsidP="00CC0306">
      <w:pPr>
        <w:pStyle w:val="Heading1"/>
        <w:rPr>
          <w:rFonts w:ascii="Times New Roman" w:hAnsi="Times New Roman" w:cs="Times New Roman"/>
          <w:color w:val="auto"/>
        </w:rPr>
      </w:pPr>
      <w:bookmarkStart w:id="0" w:name="_Toc235809254"/>
      <w:r w:rsidRPr="000815C0">
        <w:rPr>
          <w:rFonts w:ascii="Times New Roman" w:hAnsi="Times New Roman" w:cs="Times New Roman"/>
          <w:color w:val="auto"/>
        </w:rPr>
        <w:lastRenderedPageBreak/>
        <w:t>1. Introduction</w:t>
      </w:r>
      <w:bookmarkEnd w:id="0"/>
    </w:p>
    <w:p w14:paraId="18E17CE1" w14:textId="77777777" w:rsidR="0069320D" w:rsidRPr="000815C0" w:rsidRDefault="0069320D" w:rsidP="0069320D">
      <w:pPr>
        <w:pStyle w:val="Heading2"/>
        <w:rPr>
          <w:rFonts w:ascii="Times New Roman" w:eastAsia="Times New Roman" w:hAnsi="Times New Roman" w:cs="Times New Roman"/>
          <w:color w:val="auto"/>
        </w:rPr>
      </w:pPr>
      <w:bookmarkStart w:id="1" w:name="_Toc235809255"/>
      <w:r w:rsidRPr="000815C0">
        <w:rPr>
          <w:rFonts w:ascii="Times New Roman" w:eastAsia="Times New Roman" w:hAnsi="Times New Roman" w:cs="Times New Roman"/>
          <w:color w:val="auto"/>
        </w:rPr>
        <w:t>1.1 Organisational context</w:t>
      </w:r>
      <w:bookmarkEnd w:id="1"/>
    </w:p>
    <w:p w14:paraId="57B2D03B" w14:textId="77777777" w:rsidR="0069320D" w:rsidRPr="000815C0" w:rsidRDefault="0069320D" w:rsidP="0069320D">
      <w:pPr>
        <w:shd w:val="clear" w:color="auto" w:fill="FFFFFF"/>
        <w:spacing w:after="0" w:line="240" w:lineRule="auto"/>
        <w:rPr>
          <w:rFonts w:ascii="Times New Roman" w:eastAsia="Times New Roman" w:hAnsi="Times New Roman" w:cs="Times New Roman"/>
          <w:kern w:val="0"/>
          <w:sz w:val="27"/>
          <w:szCs w:val="27"/>
          <w14:ligatures w14:val="none"/>
        </w:rPr>
      </w:pPr>
    </w:p>
    <w:p w14:paraId="1D80750B"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 xml:space="preserve">H&amp;M Group is a Swedish multinational fashion organisation whose portfolio includes H&amp;M, COS, Weekday, &amp; Other Stories, ARKET and the second-hand platform </w:t>
      </w:r>
      <w:proofErr w:type="spellStart"/>
      <w:r w:rsidRPr="000815C0">
        <w:rPr>
          <w:rFonts w:ascii="Times New Roman" w:eastAsia="Times New Roman" w:hAnsi="Times New Roman" w:cs="Times New Roman"/>
          <w:kern w:val="0"/>
          <w:sz w:val="24"/>
          <w:szCs w:val="24"/>
          <w14:ligatures w14:val="none"/>
        </w:rPr>
        <w:t>Sellpy</w:t>
      </w:r>
      <w:proofErr w:type="spellEnd"/>
      <w:r w:rsidRPr="000815C0">
        <w:rPr>
          <w:rFonts w:ascii="Times New Roman" w:eastAsia="Times New Roman" w:hAnsi="Times New Roman" w:cs="Times New Roman"/>
          <w:kern w:val="0"/>
          <w:sz w:val="24"/>
          <w:szCs w:val="24"/>
          <w14:ligatures w14:val="none"/>
        </w:rPr>
        <w:t>. In 2025, it operated approximately 4,100 stores across 81 markets and online in 61 markets (H&amp;M Group, 2026). The group designs and retails its products but does not own the factories that produce them, instead working with more than 550 commercial-product suppliers and over 960 tier-one factories across Europe, Asia and North America (H&amp;M Group, n.d.-b). Consequently, its performance and environmental footprint depend on material sourcing, manufacturing, transportation and sustained consumer demand.</w:t>
      </w:r>
    </w:p>
    <w:p w14:paraId="6416EE67" w14:textId="77777777" w:rsidR="0069320D" w:rsidRPr="000815C0" w:rsidRDefault="0069320D" w:rsidP="0069320D">
      <w:pPr>
        <w:pStyle w:val="Heading2"/>
        <w:rPr>
          <w:rFonts w:ascii="Times New Roman" w:eastAsia="Times New Roman" w:hAnsi="Times New Roman" w:cs="Times New Roman"/>
          <w:color w:val="auto"/>
        </w:rPr>
      </w:pPr>
      <w:bookmarkStart w:id="2" w:name="_Toc235809256"/>
      <w:r w:rsidRPr="000815C0">
        <w:rPr>
          <w:rFonts w:ascii="Times New Roman" w:eastAsia="Times New Roman" w:hAnsi="Times New Roman" w:cs="Times New Roman"/>
          <w:color w:val="auto"/>
        </w:rPr>
        <w:t>1.2 Justification for selecting H&amp;M</w:t>
      </w:r>
      <w:bookmarkEnd w:id="2"/>
    </w:p>
    <w:p w14:paraId="3BF70C4A" w14:textId="77777777" w:rsidR="0069320D" w:rsidRPr="000815C0" w:rsidRDefault="0069320D" w:rsidP="0069320D">
      <w:pPr>
        <w:shd w:val="clear" w:color="auto" w:fill="FFFFFF"/>
        <w:spacing w:after="0" w:line="240" w:lineRule="auto"/>
        <w:rPr>
          <w:rFonts w:ascii="Times New Roman" w:eastAsia="Times New Roman" w:hAnsi="Times New Roman" w:cs="Times New Roman"/>
          <w:kern w:val="0"/>
          <w:sz w:val="27"/>
          <w:szCs w:val="27"/>
          <w14:ligatures w14:val="none"/>
        </w:rPr>
      </w:pPr>
    </w:p>
    <w:p w14:paraId="5EC4C33A"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4"/>
          <w:szCs w:val="24"/>
          <w14:ligatures w14:val="none"/>
        </w:rPr>
      </w:pPr>
      <w:r w:rsidRPr="000815C0">
        <w:rPr>
          <w:rFonts w:ascii="Times New Roman" w:eastAsia="Times New Roman" w:hAnsi="Times New Roman" w:cs="Times New Roman"/>
          <w:kern w:val="0"/>
          <w:sz w:val="24"/>
          <w:szCs w:val="24"/>
          <w14:ligatures w14:val="none"/>
        </w:rPr>
        <w:t>H&amp;M is an appropriate case for examining responsible global leadership because it combines extensive sustainability reporting and ambitious climate and circularity commitments with the structural impacts of high-volume fashion. These include carbon emissions, water use, chemical pollution and textile waste throughout the value chain (Niinimäki et al., 2020). Its credibility has also faced regulatory scrutiny: in 2022, the Netherlands Authority for Consumers and Markets made H&amp;M’s commitment to adjust or discontinue potentially misleading sustainability claims legally binding (ACM, 2022). This creates a clear basis for testing whether corporate commitments are reflected in organisational practice.</w:t>
      </w:r>
    </w:p>
    <w:p w14:paraId="5C60123A"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4"/>
          <w:szCs w:val="24"/>
          <w14:ligatures w14:val="none"/>
        </w:rPr>
      </w:pPr>
    </w:p>
    <w:p w14:paraId="08539384"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4"/>
          <w:szCs w:val="24"/>
          <w14:ligatures w14:val="none"/>
        </w:rPr>
      </w:pPr>
    </w:p>
    <w:p w14:paraId="345C9019"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p>
    <w:p w14:paraId="3D8271CB" w14:textId="77777777" w:rsidR="0069320D" w:rsidRPr="000815C0" w:rsidRDefault="0069320D" w:rsidP="0069320D">
      <w:pPr>
        <w:pStyle w:val="Heading2"/>
        <w:rPr>
          <w:rFonts w:ascii="Times New Roman" w:eastAsia="Times New Roman" w:hAnsi="Times New Roman" w:cs="Times New Roman"/>
          <w:color w:val="auto"/>
        </w:rPr>
      </w:pPr>
      <w:bookmarkStart w:id="3" w:name="_Toc235809257"/>
      <w:r w:rsidRPr="000815C0">
        <w:rPr>
          <w:rFonts w:ascii="Times New Roman" w:eastAsia="Times New Roman" w:hAnsi="Times New Roman" w:cs="Times New Roman"/>
          <w:color w:val="auto"/>
        </w:rPr>
        <w:lastRenderedPageBreak/>
        <w:t>1.3 Aim, scope and preliminary argument</w:t>
      </w:r>
      <w:bookmarkEnd w:id="3"/>
    </w:p>
    <w:p w14:paraId="6ACB5AD9" w14:textId="77777777" w:rsidR="0069320D" w:rsidRPr="000815C0" w:rsidRDefault="0069320D" w:rsidP="0069320D">
      <w:pPr>
        <w:shd w:val="clear" w:color="auto" w:fill="FFFFFF"/>
        <w:spacing w:after="0" w:line="240" w:lineRule="auto"/>
        <w:rPr>
          <w:rFonts w:ascii="Times New Roman" w:eastAsia="Times New Roman" w:hAnsi="Times New Roman" w:cs="Times New Roman"/>
          <w:kern w:val="0"/>
          <w:sz w:val="27"/>
          <w:szCs w:val="27"/>
          <w14:ligatures w14:val="none"/>
        </w:rPr>
      </w:pPr>
    </w:p>
    <w:p w14:paraId="50545DE6" w14:textId="0BE8F767" w:rsidR="0069320D" w:rsidRPr="002F5552" w:rsidRDefault="0069320D" w:rsidP="0069320D">
      <w:pPr>
        <w:shd w:val="clear" w:color="auto" w:fill="FFFFFF"/>
        <w:spacing w:after="0" w:line="480" w:lineRule="auto"/>
        <w:jc w:val="both"/>
        <w:rPr>
          <w:rFonts w:ascii="Times New Roman" w:eastAsia="Times New Roman" w:hAnsi="Times New Roman" w:cs="Times New Roman"/>
          <w:kern w:val="0"/>
          <w:sz w:val="24"/>
          <w:szCs w:val="24"/>
          <w14:ligatures w14:val="none"/>
        </w:rPr>
      </w:pPr>
      <w:r w:rsidRPr="002F5552">
        <w:rPr>
          <w:rFonts w:ascii="Times New Roman" w:eastAsia="Times New Roman" w:hAnsi="Times New Roman" w:cs="Times New Roman"/>
          <w:kern w:val="0"/>
          <w:sz w:val="24"/>
          <w:szCs w:val="24"/>
          <w14:ligatures w14:val="none"/>
        </w:rPr>
        <w:t>This report critically examines the environmental, political, regulatory and stakeholder forces shaping H&amp;M’s global leadership agenda.</w:t>
      </w:r>
      <w:r w:rsidR="002F5552" w:rsidRPr="002F5552">
        <w:rPr>
          <w:rFonts w:ascii="Times New Roman" w:eastAsia="Times New Roman" w:hAnsi="Times New Roman" w:cs="Times New Roman"/>
          <w:kern w:val="0"/>
          <w:sz w:val="24"/>
          <w:szCs w:val="24"/>
          <w14:ligatures w14:val="none"/>
        </w:rPr>
        <w:t xml:space="preserve"> </w:t>
      </w:r>
      <w:r w:rsidR="002F5552" w:rsidRPr="002F5552">
        <w:rPr>
          <w:rFonts w:ascii="Times New Roman" w:hAnsi="Times New Roman" w:cs="Times New Roman"/>
          <w:sz w:val="24"/>
          <w:szCs w:val="24"/>
        </w:rPr>
        <w:t>It has three objectives: to evaluate the external forces shaping this agenda, assess H&amp;M’s approach to responsible environmental stewardship, and compare its published commitments with organisational practice.</w:t>
      </w:r>
      <w:r w:rsidRPr="002F5552">
        <w:rPr>
          <w:rFonts w:ascii="Times New Roman" w:eastAsia="Times New Roman" w:hAnsi="Times New Roman" w:cs="Times New Roman"/>
          <w:kern w:val="0"/>
          <w:sz w:val="24"/>
          <w:szCs w:val="24"/>
          <w14:ligatures w14:val="none"/>
        </w:rPr>
        <w:t xml:space="preserve"> It provisionally argues that H&amp;M has made meaningful progress through emissions reductions, material changes, supplier initiatives and circularity programmes. However, its credibility depends on whether these measures create durable reductions in absolute environmental impact and reduce dependence on high-volume consumption.</w:t>
      </w:r>
    </w:p>
    <w:p w14:paraId="06E14B0F" w14:textId="77777777" w:rsidR="0069320D" w:rsidRPr="000815C0" w:rsidRDefault="0069320D">
      <w:pPr>
        <w:rPr>
          <w:rFonts w:ascii="Times New Roman" w:eastAsia="Times New Roman" w:hAnsi="Times New Roman" w:cs="Times New Roman"/>
          <w:kern w:val="0"/>
          <w:sz w:val="24"/>
          <w:szCs w:val="24"/>
        </w:rPr>
      </w:pPr>
      <w:r w:rsidRPr="000815C0">
        <w:rPr>
          <w:rFonts w:ascii="Times New Roman" w:hAnsi="Times New Roman" w:cs="Times New Roman"/>
        </w:rPr>
        <w:br w:type="page"/>
      </w:r>
    </w:p>
    <w:p w14:paraId="2523E866" w14:textId="77777777" w:rsidR="00CC0306" w:rsidRPr="000815C0" w:rsidRDefault="00CC0306" w:rsidP="00CC0306">
      <w:pPr>
        <w:pStyle w:val="Heading1"/>
        <w:rPr>
          <w:rFonts w:ascii="Times New Roman" w:hAnsi="Times New Roman" w:cs="Times New Roman"/>
          <w:color w:val="auto"/>
        </w:rPr>
      </w:pPr>
      <w:bookmarkStart w:id="4" w:name="_Toc235809258"/>
      <w:r w:rsidRPr="000815C0">
        <w:rPr>
          <w:rFonts w:ascii="Times New Roman" w:hAnsi="Times New Roman" w:cs="Times New Roman"/>
          <w:color w:val="auto"/>
        </w:rPr>
        <w:lastRenderedPageBreak/>
        <w:t>2. Forces Shaping H&amp;M’s Global Leadership Agenda</w:t>
      </w:r>
      <w:bookmarkEnd w:id="4"/>
    </w:p>
    <w:p w14:paraId="7FB62FE2" w14:textId="77777777" w:rsidR="0069320D" w:rsidRPr="000815C0" w:rsidRDefault="0069320D" w:rsidP="0069320D">
      <w:pPr>
        <w:rPr>
          <w:rFonts w:ascii="Times New Roman" w:hAnsi="Times New Roman" w:cs="Times New Roman"/>
        </w:rPr>
      </w:pPr>
    </w:p>
    <w:p w14:paraId="1F4C3B79" w14:textId="77777777" w:rsidR="0069320D" w:rsidRPr="000815C0" w:rsidRDefault="0069320D" w:rsidP="0069320D">
      <w:pPr>
        <w:pStyle w:val="Heading2"/>
        <w:rPr>
          <w:rFonts w:ascii="Times New Roman" w:eastAsia="Times New Roman" w:hAnsi="Times New Roman" w:cs="Times New Roman"/>
          <w:color w:val="auto"/>
        </w:rPr>
      </w:pPr>
      <w:bookmarkStart w:id="5" w:name="_Toc235809259"/>
      <w:r w:rsidRPr="000815C0">
        <w:rPr>
          <w:rFonts w:ascii="Times New Roman" w:eastAsia="Times New Roman" w:hAnsi="Times New Roman" w:cs="Times New Roman"/>
          <w:color w:val="auto"/>
        </w:rPr>
        <w:t>2.1 Global environmental and institutional pressures</w:t>
      </w:r>
      <w:bookmarkEnd w:id="5"/>
    </w:p>
    <w:p w14:paraId="46080392" w14:textId="77777777" w:rsidR="0069320D" w:rsidRPr="000815C0" w:rsidRDefault="0069320D" w:rsidP="0069320D">
      <w:pPr>
        <w:shd w:val="clear" w:color="auto" w:fill="FFFFFF"/>
        <w:spacing w:after="0" w:line="240" w:lineRule="auto"/>
        <w:rPr>
          <w:rFonts w:ascii="Times New Roman" w:eastAsia="Times New Roman" w:hAnsi="Times New Roman" w:cs="Times New Roman"/>
          <w:kern w:val="0"/>
          <w:sz w:val="27"/>
          <w:szCs w:val="27"/>
          <w14:ligatures w14:val="none"/>
        </w:rPr>
      </w:pPr>
    </w:p>
    <w:p w14:paraId="4A9256F1" w14:textId="64137C58"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4"/>
          <w:szCs w:val="24"/>
          <w14:ligatures w14:val="none"/>
        </w:rPr>
      </w:pPr>
      <w:r w:rsidRPr="000815C0">
        <w:rPr>
          <w:rFonts w:ascii="Times New Roman" w:eastAsia="Times New Roman" w:hAnsi="Times New Roman" w:cs="Times New Roman"/>
          <w:kern w:val="0"/>
          <w:sz w:val="24"/>
          <w:szCs w:val="24"/>
          <w14:ligatures w14:val="none"/>
        </w:rPr>
        <w:t xml:space="preserve">The Paris Agreement and Sustainable Development Goals (SDGs) 12 and 13 establish international expectations for climate action and responsible production and consumption (UNFCCC, 2015; United Nations, 2015). These pressures are </w:t>
      </w:r>
      <w:r w:rsidR="000113C6" w:rsidRPr="000815C0">
        <w:rPr>
          <w:rFonts w:ascii="Times New Roman" w:eastAsia="Times New Roman" w:hAnsi="Times New Roman" w:cs="Times New Roman"/>
          <w:kern w:val="0"/>
          <w:sz w:val="24"/>
          <w:szCs w:val="24"/>
          <w14:ligatures w14:val="none"/>
        </w:rPr>
        <w:t>material for fashion: the supply chains serving EU textile consumption generated an estimated 159 million tonnes of CO₂ equivalent in 2022, while textile production creates water, chemical, waste,</w:t>
      </w:r>
      <w:r w:rsidRPr="000815C0">
        <w:rPr>
          <w:rFonts w:ascii="Times New Roman" w:eastAsia="Times New Roman" w:hAnsi="Times New Roman" w:cs="Times New Roman"/>
          <w:kern w:val="0"/>
          <w:sz w:val="24"/>
          <w:szCs w:val="24"/>
          <w14:ligatures w14:val="none"/>
        </w:rPr>
        <w:t xml:space="preserve"> and resource pressures (EEA, 2025; Niinimäki et al., 2020). IFRS S2 further frames climate-related risks and opportunities as information relevant to investors, linking environmental performance to financing, resilience and long-term value (IFRS Foundation, 2023). Environmental stewardship therefore extends H&amp;M’s responsibility beyond directly owned operations to impacts throughout its value chain (Bennett et al., 2018). H&amp;M cannot control national electricity grids or environmental enforcement; nevertheless, ownership and responsibility are not equivalent because its prices, order volumes, lead times, contracts and supplier selection influence production decisions. Responsible global leadership therefore requires H&amp;M to finance and enable supplier transition rather than transfer targets and costs to factories with fewer resources.</w:t>
      </w:r>
    </w:p>
    <w:p w14:paraId="424E11E2"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p>
    <w:p w14:paraId="6B1E280D" w14:textId="77777777" w:rsidR="0069320D" w:rsidRPr="000815C0" w:rsidRDefault="0069320D" w:rsidP="0069320D">
      <w:pPr>
        <w:pStyle w:val="Heading2"/>
        <w:rPr>
          <w:rFonts w:ascii="Times New Roman" w:eastAsia="Times New Roman" w:hAnsi="Times New Roman" w:cs="Times New Roman"/>
          <w:color w:val="auto"/>
        </w:rPr>
      </w:pPr>
      <w:bookmarkStart w:id="6" w:name="_Toc235809260"/>
      <w:r w:rsidRPr="000815C0">
        <w:rPr>
          <w:rFonts w:ascii="Times New Roman" w:eastAsia="Times New Roman" w:hAnsi="Times New Roman" w:cs="Times New Roman"/>
          <w:color w:val="auto"/>
        </w:rPr>
        <w:t>2.2 Political, legal and regulatory pressures</w:t>
      </w:r>
      <w:bookmarkEnd w:id="6"/>
    </w:p>
    <w:p w14:paraId="4C7C1417" w14:textId="77777777" w:rsidR="0069320D" w:rsidRPr="000815C0" w:rsidRDefault="0069320D" w:rsidP="0069320D">
      <w:pPr>
        <w:shd w:val="clear" w:color="auto" w:fill="FFFFFF"/>
        <w:spacing w:after="0" w:line="240" w:lineRule="auto"/>
        <w:rPr>
          <w:rFonts w:ascii="Times New Roman" w:eastAsia="Times New Roman" w:hAnsi="Times New Roman" w:cs="Times New Roman"/>
          <w:kern w:val="0"/>
          <w:sz w:val="27"/>
          <w:szCs w:val="27"/>
          <w14:ligatures w14:val="none"/>
        </w:rPr>
      </w:pPr>
    </w:p>
    <w:p w14:paraId="7EF36604"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4"/>
          <w:szCs w:val="24"/>
          <w14:ligatures w14:val="none"/>
        </w:rPr>
      </w:pPr>
      <w:r w:rsidRPr="000815C0">
        <w:rPr>
          <w:rFonts w:ascii="Times New Roman" w:eastAsia="Times New Roman" w:hAnsi="Times New Roman" w:cs="Times New Roman"/>
          <w:kern w:val="0"/>
          <w:sz w:val="24"/>
          <w:szCs w:val="24"/>
          <w14:ligatures w14:val="none"/>
        </w:rPr>
        <w:t xml:space="preserve">EU policy is converting sustainability expectations into operational requirements. The EU Strategy for Sustainable and Circular Textiles promotes longer-lasting, repairable and recyclable products, while the Ecodesign for Sustainable Products Regulation provides for </w:t>
      </w:r>
      <w:proofErr w:type="spellStart"/>
      <w:r w:rsidRPr="000815C0">
        <w:rPr>
          <w:rFonts w:ascii="Times New Roman" w:eastAsia="Times New Roman" w:hAnsi="Times New Roman" w:cs="Times New Roman"/>
          <w:kern w:val="0"/>
          <w:sz w:val="24"/>
          <w:szCs w:val="24"/>
          <w14:ligatures w14:val="none"/>
        </w:rPr>
        <w:t>ecodesign</w:t>
      </w:r>
      <w:proofErr w:type="spellEnd"/>
      <w:r w:rsidRPr="000815C0">
        <w:rPr>
          <w:rFonts w:ascii="Times New Roman" w:eastAsia="Times New Roman" w:hAnsi="Times New Roman" w:cs="Times New Roman"/>
          <w:kern w:val="0"/>
          <w:sz w:val="24"/>
          <w:szCs w:val="24"/>
          <w14:ligatures w14:val="none"/>
        </w:rPr>
        <w:t xml:space="preserve"> rules, Digital Product Passports and restrictions on destroying unsold products </w:t>
      </w:r>
      <w:r w:rsidRPr="000815C0">
        <w:rPr>
          <w:rFonts w:ascii="Times New Roman" w:eastAsia="Times New Roman" w:hAnsi="Times New Roman" w:cs="Times New Roman"/>
          <w:kern w:val="0"/>
          <w:sz w:val="24"/>
          <w:szCs w:val="24"/>
          <w14:ligatures w14:val="none"/>
        </w:rPr>
        <w:lastRenderedPageBreak/>
        <w:t>(European Commission, 2022; European Union, 2024b). The revised Waste Framework Directive introduces textile extended producer responsibility, the Corporate Sustainability Reporting Directive strengthens impact disclosure, and the Empowering Consumers Directive increases pressure to substantiate environmental claims (European Union, 2022; European Union, 2024a; European Union, 2025). Bradford’s (2020) Brussels Effect suggests that these standards may influence H&amp;M beyond Europe because maintaining separate product, data and supplier systems across markets may be inefficient. A uniform global standard could improve consistency and accountability, but suppliers in countries with limited renewable energy, recycling capacity or digital infrastructure may face disproportionate implementation costs. H&amp;M’s leadership challenge is therefore not simply compliance. It must decide whether to apply stronger standards globally while providing the finance, technology and transition time needed for local implementation, turning regulatory convergence into responsible cross-border governance rather than cost transfer.</w:t>
      </w:r>
    </w:p>
    <w:p w14:paraId="71E1A407"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p>
    <w:p w14:paraId="5A9DABDA" w14:textId="77777777" w:rsidR="0069320D" w:rsidRPr="000815C0" w:rsidRDefault="0069320D" w:rsidP="0069320D">
      <w:pPr>
        <w:pStyle w:val="Heading2"/>
        <w:rPr>
          <w:rFonts w:ascii="Times New Roman" w:eastAsia="Times New Roman" w:hAnsi="Times New Roman" w:cs="Times New Roman"/>
          <w:color w:val="auto"/>
        </w:rPr>
      </w:pPr>
      <w:bookmarkStart w:id="7" w:name="_Toc235809261"/>
      <w:r w:rsidRPr="000815C0">
        <w:rPr>
          <w:rFonts w:ascii="Times New Roman" w:eastAsia="Times New Roman" w:hAnsi="Times New Roman" w:cs="Times New Roman"/>
          <w:color w:val="auto"/>
        </w:rPr>
        <w:t>2.3 Stakeholder, cultural and commercial pressures</w:t>
      </w:r>
      <w:bookmarkEnd w:id="7"/>
    </w:p>
    <w:p w14:paraId="60AB782B" w14:textId="77777777" w:rsidR="0069320D" w:rsidRPr="000815C0" w:rsidRDefault="0069320D" w:rsidP="0069320D">
      <w:pPr>
        <w:shd w:val="clear" w:color="auto" w:fill="FFFFFF"/>
        <w:spacing w:after="0" w:line="240" w:lineRule="auto"/>
        <w:rPr>
          <w:rFonts w:ascii="Times New Roman" w:eastAsia="Times New Roman" w:hAnsi="Times New Roman" w:cs="Times New Roman"/>
          <w:kern w:val="0"/>
          <w:sz w:val="27"/>
          <w:szCs w:val="27"/>
          <w14:ligatures w14:val="none"/>
        </w:rPr>
      </w:pPr>
    </w:p>
    <w:p w14:paraId="6F88D306" w14:textId="56C2E870" w:rsidR="008E7B72" w:rsidRDefault="0069320D" w:rsidP="0069320D">
      <w:pPr>
        <w:shd w:val="clear" w:color="auto" w:fill="FFFFFF"/>
        <w:spacing w:after="0" w:line="480" w:lineRule="auto"/>
        <w:jc w:val="both"/>
        <w:rPr>
          <w:rFonts w:ascii="Times New Roman" w:eastAsia="Times New Roman" w:hAnsi="Times New Roman" w:cs="Times New Roman"/>
          <w:kern w:val="0"/>
          <w:sz w:val="24"/>
          <w:szCs w:val="24"/>
          <w14:ligatures w14:val="none"/>
        </w:rPr>
      </w:pPr>
      <w:r w:rsidRPr="000815C0">
        <w:rPr>
          <w:rFonts w:ascii="Times New Roman" w:eastAsia="Times New Roman" w:hAnsi="Times New Roman" w:cs="Times New Roman"/>
          <w:kern w:val="0"/>
          <w:sz w:val="24"/>
          <w:szCs w:val="24"/>
          <w14:ligatures w14:val="none"/>
        </w:rPr>
        <w:t xml:space="preserve">H&amp;M must reconcile competing stakeholder interests. Its long-term objectives combine annual sales growth of at least 10 per cent, an operating margin above 10 per cent and a 56 per cent absolute greenhouse-gas reduction by 2030 (H&amp;M Group, 2026). Stakeholder theory requires leaders to consider shareholders, customers, suppliers, workers, communities, regulators and the natural environment rather than privileging commercial returns (Freeman, 1984; Maak and Pless, 2006). These expectations also vary across markets: cultural dimensions influence consumers’ willingness to pay for sustainable fashion, so a single global proposition may not produce equal acceptance or affordability (Khan, </w:t>
      </w:r>
      <w:proofErr w:type="spellStart"/>
      <w:r w:rsidRPr="000815C0">
        <w:rPr>
          <w:rFonts w:ascii="Times New Roman" w:eastAsia="Times New Roman" w:hAnsi="Times New Roman" w:cs="Times New Roman"/>
          <w:kern w:val="0"/>
          <w:sz w:val="24"/>
          <w:szCs w:val="24"/>
          <w14:ligatures w14:val="none"/>
        </w:rPr>
        <w:t>Varaksina</w:t>
      </w:r>
      <w:proofErr w:type="spellEnd"/>
      <w:r w:rsidRPr="000815C0">
        <w:rPr>
          <w:rFonts w:ascii="Times New Roman" w:eastAsia="Times New Roman" w:hAnsi="Times New Roman" w:cs="Times New Roman"/>
          <w:kern w:val="0"/>
          <w:sz w:val="24"/>
          <w:szCs w:val="24"/>
          <w14:ligatures w14:val="none"/>
        </w:rPr>
        <w:t xml:space="preserve"> and </w:t>
      </w:r>
      <w:proofErr w:type="spellStart"/>
      <w:r w:rsidRPr="000815C0">
        <w:rPr>
          <w:rFonts w:ascii="Times New Roman" w:eastAsia="Times New Roman" w:hAnsi="Times New Roman" w:cs="Times New Roman"/>
          <w:kern w:val="0"/>
          <w:sz w:val="24"/>
          <w:szCs w:val="24"/>
          <w14:ligatures w14:val="none"/>
        </w:rPr>
        <w:t>Hinterhuber</w:t>
      </w:r>
      <w:proofErr w:type="spellEnd"/>
      <w:r w:rsidRPr="000815C0">
        <w:rPr>
          <w:rFonts w:ascii="Times New Roman" w:eastAsia="Times New Roman" w:hAnsi="Times New Roman" w:cs="Times New Roman"/>
          <w:kern w:val="0"/>
          <w:sz w:val="24"/>
          <w:szCs w:val="24"/>
          <w14:ligatures w14:val="none"/>
        </w:rPr>
        <w:t>, 2024).</w:t>
      </w:r>
      <w:r w:rsidR="008E7B72">
        <w:rPr>
          <w:rFonts w:ascii="Times New Roman" w:eastAsia="Times New Roman" w:hAnsi="Times New Roman" w:cs="Times New Roman"/>
          <w:kern w:val="0"/>
          <w:sz w:val="24"/>
          <w:szCs w:val="24"/>
          <w14:ligatures w14:val="none"/>
        </w:rPr>
        <w:t xml:space="preserve"> </w:t>
      </w:r>
      <w:r w:rsidR="008E7B72" w:rsidRPr="008E7B72">
        <w:rPr>
          <w:rFonts w:ascii="Times New Roman" w:eastAsia="Times New Roman" w:hAnsi="Times New Roman" w:cs="Times New Roman"/>
          <w:kern w:val="0"/>
          <w:sz w:val="24"/>
          <w:szCs w:val="24"/>
          <w14:ligatures w14:val="none"/>
        </w:rPr>
        <w:t xml:space="preserve">Global </w:t>
      </w:r>
      <w:r w:rsidR="008E7B72" w:rsidRPr="008E7B72">
        <w:rPr>
          <w:rFonts w:ascii="Times New Roman" w:eastAsia="Times New Roman" w:hAnsi="Times New Roman" w:cs="Times New Roman"/>
          <w:kern w:val="0"/>
          <w:sz w:val="24"/>
          <w:szCs w:val="24"/>
          <w14:ligatures w14:val="none"/>
        </w:rPr>
        <w:lastRenderedPageBreak/>
        <w:t>leaders must therefore interpret stakeholder expectations across cultural contexts and adapt implementation without abandoning common ethical standards (Spencer-Oatey, 2020).</w:t>
      </w:r>
    </w:p>
    <w:p w14:paraId="6DD6A289" w14:textId="223BE9E6"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 xml:space="preserve"> Reducing output or raising prices could affect lower-income customers and employment in supplier economies, yet growth without lower resource throughput could undermine climate commitments. Responsible leadership is therefore revealed by how H&amp;M adapts implementation without weakening standards and distributes transition costs and benefits. Commercially, credible action can protect brand trust, access to capital, regulatory compliance and supply continuity; strategically, growth must increasingly come from durability, resale, repair and services rather than higher volumes of newly produced garments.</w:t>
      </w:r>
    </w:p>
    <w:p w14:paraId="37D82891" w14:textId="77777777" w:rsidR="0069320D" w:rsidRPr="000815C0" w:rsidRDefault="0069320D">
      <w:pPr>
        <w:rPr>
          <w:rFonts w:ascii="Times New Roman" w:eastAsia="Times New Roman" w:hAnsi="Times New Roman" w:cs="Times New Roman"/>
          <w:kern w:val="0"/>
          <w:sz w:val="24"/>
          <w:szCs w:val="24"/>
        </w:rPr>
      </w:pPr>
      <w:r w:rsidRPr="000815C0">
        <w:rPr>
          <w:rFonts w:ascii="Times New Roman" w:hAnsi="Times New Roman" w:cs="Times New Roman"/>
        </w:rPr>
        <w:br w:type="page"/>
      </w:r>
    </w:p>
    <w:p w14:paraId="59DD1CF1" w14:textId="77777777" w:rsidR="008A4DF3" w:rsidRPr="000815C0" w:rsidRDefault="008A4DF3" w:rsidP="0069320D">
      <w:pPr>
        <w:pStyle w:val="Heading1"/>
        <w:rPr>
          <w:rFonts w:ascii="Times New Roman" w:hAnsi="Times New Roman" w:cs="Times New Roman"/>
          <w:color w:val="auto"/>
        </w:rPr>
      </w:pPr>
      <w:bookmarkStart w:id="8" w:name="_Toc235809262"/>
      <w:r w:rsidRPr="000815C0">
        <w:rPr>
          <w:rFonts w:ascii="Times New Roman" w:hAnsi="Times New Roman" w:cs="Times New Roman"/>
          <w:color w:val="auto"/>
        </w:rPr>
        <w:lastRenderedPageBreak/>
        <w:t>3. Responsible Global Leadership and Environmental Stewardship</w:t>
      </w:r>
      <w:bookmarkEnd w:id="8"/>
    </w:p>
    <w:p w14:paraId="701F8D78" w14:textId="77777777" w:rsidR="0069320D" w:rsidRPr="000815C0" w:rsidRDefault="0069320D" w:rsidP="0069320D">
      <w:pPr>
        <w:rPr>
          <w:rFonts w:ascii="Times New Roman" w:hAnsi="Times New Roman" w:cs="Times New Roman"/>
        </w:rPr>
      </w:pPr>
    </w:p>
    <w:p w14:paraId="73933501" w14:textId="77777777" w:rsidR="0069320D" w:rsidRPr="000815C0" w:rsidRDefault="0069320D" w:rsidP="009D57F1">
      <w:pPr>
        <w:pStyle w:val="Heading2"/>
        <w:rPr>
          <w:rFonts w:ascii="Times New Roman" w:eastAsia="Times New Roman" w:hAnsi="Times New Roman" w:cs="Times New Roman"/>
          <w:color w:val="auto"/>
        </w:rPr>
      </w:pPr>
      <w:bookmarkStart w:id="9" w:name="_Toc235809263"/>
      <w:r w:rsidRPr="000815C0">
        <w:rPr>
          <w:rFonts w:ascii="Times New Roman" w:eastAsia="Times New Roman" w:hAnsi="Times New Roman" w:cs="Times New Roman"/>
          <w:color w:val="auto"/>
        </w:rPr>
        <w:t xml:space="preserve">3.1 Theoretical </w:t>
      </w:r>
      <w:r w:rsidRPr="000815C0">
        <w:rPr>
          <w:rFonts w:ascii="Times New Roman" w:hAnsi="Times New Roman" w:cs="Times New Roman"/>
          <w:color w:val="auto"/>
        </w:rPr>
        <w:t>framework</w:t>
      </w:r>
      <w:bookmarkEnd w:id="9"/>
    </w:p>
    <w:p w14:paraId="12AA892C" w14:textId="77777777" w:rsidR="0069320D" w:rsidRPr="000815C0" w:rsidRDefault="0069320D" w:rsidP="0069320D">
      <w:pPr>
        <w:shd w:val="clear" w:color="auto" w:fill="FFFFFF"/>
        <w:spacing w:after="0" w:line="240" w:lineRule="auto"/>
        <w:rPr>
          <w:rFonts w:ascii="Times New Roman" w:eastAsia="Times New Roman" w:hAnsi="Times New Roman" w:cs="Times New Roman"/>
          <w:kern w:val="0"/>
          <w:sz w:val="27"/>
          <w:szCs w:val="27"/>
          <w14:ligatures w14:val="none"/>
        </w:rPr>
      </w:pPr>
    </w:p>
    <w:p w14:paraId="71654E2A"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Responsible leadership views leadership as a relational and ethical process through which organisations create accountable relationships across stakeholder networks (Maak and Pless, 2006). Applied to H&amp;M, this moves analysis beyond published targets towards how decisions affect suppliers, workers, customers, communities, investors and ecosystems across borders. Freeman’s (1984) stakeholder theory sharpens this assessment by asking which interests influence choices, whose claims receive priority and who bears transition costs. Fry and Egel (2021) further argue that global leadership for sustainability requires a global mindset and responsibility towards distant stakeholders who may not contribute directly to short-term financial returns. For H&amp;M, responsible leadership is therefore demonstrated by how fairly it uses and shares its commercial power.</w:t>
      </w:r>
    </w:p>
    <w:p w14:paraId="56748330"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4"/>
          <w:szCs w:val="24"/>
          <w14:ligatures w14:val="none"/>
        </w:rPr>
      </w:pPr>
      <w:r w:rsidRPr="000815C0">
        <w:rPr>
          <w:rFonts w:ascii="Times New Roman" w:eastAsia="Times New Roman" w:hAnsi="Times New Roman" w:cs="Times New Roman"/>
          <w:kern w:val="0"/>
          <w:sz w:val="24"/>
          <w:szCs w:val="24"/>
          <w14:ligatures w14:val="none"/>
        </w:rPr>
        <w:t>Bennett et al.’s (2018) environmental stewardship framework adds a capacity-based test: responsible actors must use financial, institutional, technological and relational resources to protect environmental systems. H&amp;M should be evaluated not only by standards imposed on suppliers, but by whether it enables factories through finance, expertise and stable relationships. Ethical leadership provides a supporting lens because leaders communicate acceptable conduct through decisions, incentives and example (Brown, Treviño and Harrison, 2005). Although transparent reporting can strengthen accountability, it may also protect legitimacy without changing operations. The decisive test is consistency between H&amp;M’s claims, incentives and commercial conduct, revealing whether leadership capacity reduces harm or mainly manages stakeholder perceptions.</w:t>
      </w:r>
    </w:p>
    <w:p w14:paraId="415DC1B3"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p>
    <w:p w14:paraId="4ED9B1DC" w14:textId="77777777" w:rsidR="0069320D" w:rsidRPr="000815C0" w:rsidRDefault="0069320D" w:rsidP="009D57F1">
      <w:pPr>
        <w:pStyle w:val="Heading2"/>
        <w:rPr>
          <w:rFonts w:ascii="Times New Roman" w:eastAsia="Times New Roman" w:hAnsi="Times New Roman" w:cs="Times New Roman"/>
          <w:color w:val="auto"/>
        </w:rPr>
      </w:pPr>
      <w:bookmarkStart w:id="10" w:name="_Toc235809264"/>
      <w:r w:rsidRPr="000815C0">
        <w:rPr>
          <w:rFonts w:ascii="Times New Roman" w:eastAsia="Times New Roman" w:hAnsi="Times New Roman" w:cs="Times New Roman"/>
          <w:color w:val="auto"/>
        </w:rPr>
        <w:lastRenderedPageBreak/>
        <w:t>3.2 Sustainability governance and leadership accountability</w:t>
      </w:r>
      <w:bookmarkEnd w:id="10"/>
    </w:p>
    <w:p w14:paraId="66DFA84F" w14:textId="77777777" w:rsidR="0069320D" w:rsidRPr="000815C0" w:rsidRDefault="0069320D" w:rsidP="0069320D">
      <w:pPr>
        <w:shd w:val="clear" w:color="auto" w:fill="FFFFFF"/>
        <w:spacing w:after="0" w:line="240" w:lineRule="auto"/>
        <w:rPr>
          <w:rFonts w:ascii="Times New Roman" w:eastAsia="Times New Roman" w:hAnsi="Times New Roman" w:cs="Times New Roman"/>
          <w:kern w:val="0"/>
          <w:sz w:val="27"/>
          <w:szCs w:val="27"/>
          <w14:ligatures w14:val="none"/>
        </w:rPr>
      </w:pPr>
    </w:p>
    <w:p w14:paraId="7CEAF2D6" w14:textId="77777777" w:rsidR="008E7B72" w:rsidRPr="008E7B72" w:rsidRDefault="008E7B72" w:rsidP="008E7B72">
      <w:pPr>
        <w:shd w:val="clear" w:color="auto" w:fill="FFFFFF"/>
        <w:spacing w:after="0" w:line="480" w:lineRule="auto"/>
        <w:jc w:val="both"/>
        <w:rPr>
          <w:rFonts w:ascii="Times New Roman" w:eastAsia="Times New Roman" w:hAnsi="Times New Roman" w:cs="Times New Roman"/>
          <w:kern w:val="0"/>
          <w:sz w:val="24"/>
          <w:szCs w:val="24"/>
          <w:lang w:val="en-US"/>
          <w14:ligatures w14:val="none"/>
        </w:rPr>
      </w:pPr>
      <w:r w:rsidRPr="008E7B72">
        <w:rPr>
          <w:rFonts w:ascii="Times New Roman" w:eastAsia="Times New Roman" w:hAnsi="Times New Roman" w:cs="Times New Roman"/>
          <w:kern w:val="0"/>
          <w:sz w:val="24"/>
          <w:szCs w:val="24"/>
          <w:lang w:val="en-US"/>
          <w14:ligatures w14:val="none"/>
        </w:rPr>
        <w:t xml:space="preserve">H&amp;M has </w:t>
      </w:r>
      <w:proofErr w:type="spellStart"/>
      <w:r w:rsidRPr="008E7B72">
        <w:rPr>
          <w:rFonts w:ascii="Times New Roman" w:eastAsia="Times New Roman" w:hAnsi="Times New Roman" w:cs="Times New Roman"/>
          <w:kern w:val="0"/>
          <w:sz w:val="24"/>
          <w:szCs w:val="24"/>
          <w:lang w:val="en-US"/>
          <w14:ligatures w14:val="none"/>
        </w:rPr>
        <w:t>formalised</w:t>
      </w:r>
      <w:proofErr w:type="spellEnd"/>
      <w:r w:rsidRPr="008E7B72">
        <w:rPr>
          <w:rFonts w:ascii="Times New Roman" w:eastAsia="Times New Roman" w:hAnsi="Times New Roman" w:cs="Times New Roman"/>
          <w:kern w:val="0"/>
          <w:sz w:val="24"/>
          <w:szCs w:val="24"/>
          <w:lang w:val="en-US"/>
          <w14:ligatures w14:val="none"/>
        </w:rPr>
        <w:t xml:space="preserve"> sustainability oversight: the board monitors material impacts, risks and opportunities; the Chief Sustainability Officer sits on the executive management team; and the audit committee oversees sustainability reporting, risk management and internal controls (H&amp;M Group, 2026). Through responsible-leadership theory, these arrangements indicate that environmental responsibility has entered senior decision-making rather than remaining a peripheral corporate-responsibility activity (Maak and Pless, 2006). The board also receives sustainability and investment information, creating a route through which environmental risks can influence strategy. However, leadership effectiveness depends on whether formal authority, monitoring and governance systems influence actual </w:t>
      </w:r>
      <w:proofErr w:type="spellStart"/>
      <w:r w:rsidRPr="008E7B72">
        <w:rPr>
          <w:rFonts w:ascii="Times New Roman" w:eastAsia="Times New Roman" w:hAnsi="Times New Roman" w:cs="Times New Roman"/>
          <w:kern w:val="0"/>
          <w:sz w:val="24"/>
          <w:szCs w:val="24"/>
          <w:lang w:val="en-US"/>
          <w14:ligatures w14:val="none"/>
        </w:rPr>
        <w:t>organisational</w:t>
      </w:r>
      <w:proofErr w:type="spellEnd"/>
      <w:r w:rsidRPr="008E7B72">
        <w:rPr>
          <w:rFonts w:ascii="Times New Roman" w:eastAsia="Times New Roman" w:hAnsi="Times New Roman" w:cs="Times New Roman"/>
          <w:kern w:val="0"/>
          <w:sz w:val="24"/>
          <w:szCs w:val="24"/>
          <w:lang w:val="en-US"/>
          <w14:ligatures w14:val="none"/>
        </w:rPr>
        <w:t xml:space="preserve"> decisions and priorities rather than merely establishing structures and procedures (Yukl and Gardner, 2020). Formal structures alone do not demonstrate that sustainability carries equivalent influence over pricing, purchasing, assortment or expansion. H&amp;M’s governance is therefore better interpreted as increasingly integrated than fully transformative. Its credibility depends on whether board oversight changes capital allocation and commercial decisions when environmental and financial objectives conflict, and whether leaders disclose how those trade-offs are resolved.</w:t>
      </w:r>
    </w:p>
    <w:p w14:paraId="5C730409" w14:textId="77777777" w:rsidR="008E7B72" w:rsidRPr="008E7B72" w:rsidRDefault="008E7B72" w:rsidP="008E7B72">
      <w:pPr>
        <w:shd w:val="clear" w:color="auto" w:fill="FFFFFF"/>
        <w:spacing w:after="0" w:line="480" w:lineRule="auto"/>
        <w:jc w:val="both"/>
        <w:rPr>
          <w:rFonts w:ascii="Times New Roman" w:eastAsia="Times New Roman" w:hAnsi="Times New Roman" w:cs="Times New Roman"/>
          <w:kern w:val="0"/>
          <w:sz w:val="24"/>
          <w:szCs w:val="24"/>
          <w:lang w:val="en-US"/>
          <w14:ligatures w14:val="none"/>
        </w:rPr>
      </w:pPr>
      <w:r w:rsidRPr="008E7B72">
        <w:rPr>
          <w:rFonts w:ascii="Times New Roman" w:eastAsia="Times New Roman" w:hAnsi="Times New Roman" w:cs="Times New Roman"/>
          <w:kern w:val="0"/>
          <w:sz w:val="24"/>
          <w:szCs w:val="24"/>
          <w:lang w:val="en-US"/>
          <w14:ligatures w14:val="none"/>
        </w:rPr>
        <w:t xml:space="preserve">H&amp;M also links climate-related criteria to incentive arrangements, including measures connected to Scope 1, 2 and 3 emissions. However, its remuneration framework states that short-term variable rewards are based mainly on sales and operating profit, although non-financial goals may also be included (H&amp;M Group, 2026). Ethical-leadership theory suggests that incentives communicate </w:t>
      </w:r>
      <w:proofErr w:type="spellStart"/>
      <w:r w:rsidRPr="008E7B72">
        <w:rPr>
          <w:rFonts w:ascii="Times New Roman" w:eastAsia="Times New Roman" w:hAnsi="Times New Roman" w:cs="Times New Roman"/>
          <w:kern w:val="0"/>
          <w:sz w:val="24"/>
          <w:szCs w:val="24"/>
          <w:lang w:val="en-US"/>
          <w14:ligatures w14:val="none"/>
        </w:rPr>
        <w:t>organisational</w:t>
      </w:r>
      <w:proofErr w:type="spellEnd"/>
      <w:r w:rsidRPr="008E7B72">
        <w:rPr>
          <w:rFonts w:ascii="Times New Roman" w:eastAsia="Times New Roman" w:hAnsi="Times New Roman" w:cs="Times New Roman"/>
          <w:kern w:val="0"/>
          <w:sz w:val="24"/>
          <w:szCs w:val="24"/>
          <w:lang w:val="en-US"/>
          <w14:ligatures w14:val="none"/>
        </w:rPr>
        <w:t xml:space="preserve"> priorities and shape acceptable </w:t>
      </w:r>
      <w:proofErr w:type="spellStart"/>
      <w:r w:rsidRPr="008E7B72">
        <w:rPr>
          <w:rFonts w:ascii="Times New Roman" w:eastAsia="Times New Roman" w:hAnsi="Times New Roman" w:cs="Times New Roman"/>
          <w:kern w:val="0"/>
          <w:sz w:val="24"/>
          <w:szCs w:val="24"/>
          <w:lang w:val="en-US"/>
          <w14:ligatures w14:val="none"/>
        </w:rPr>
        <w:t>behaviour</w:t>
      </w:r>
      <w:proofErr w:type="spellEnd"/>
      <w:r w:rsidRPr="008E7B72">
        <w:rPr>
          <w:rFonts w:ascii="Times New Roman" w:eastAsia="Times New Roman" w:hAnsi="Times New Roman" w:cs="Times New Roman"/>
          <w:kern w:val="0"/>
          <w:sz w:val="24"/>
          <w:szCs w:val="24"/>
          <w:lang w:val="en-US"/>
          <w14:ligatures w14:val="none"/>
        </w:rPr>
        <w:t xml:space="preserve"> (Brown, Treviño and Harrison, 2005). Financial thresholds can protect viability and provide resources for environmental investment, but accountability may become symbolic if sustainability remains secondary whenever trade-offs arise. Limited disclosure of the relative weight and </w:t>
      </w:r>
      <w:r w:rsidRPr="008E7B72">
        <w:rPr>
          <w:rFonts w:ascii="Times New Roman" w:eastAsia="Times New Roman" w:hAnsi="Times New Roman" w:cs="Times New Roman"/>
          <w:kern w:val="0"/>
          <w:sz w:val="24"/>
          <w:szCs w:val="24"/>
          <w:lang w:val="en-US"/>
          <w14:ligatures w14:val="none"/>
        </w:rPr>
        <w:lastRenderedPageBreak/>
        <w:t>consequences of environmental performance further restricts external scrutiny. H&amp;M should therefore be judged by whether missed targets affect remuneration and investment and whether incentives align product, purchasing and growth decisions with absolute-impact reduction.</w:t>
      </w:r>
    </w:p>
    <w:p w14:paraId="5AFEAABE"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p>
    <w:p w14:paraId="29BB092A" w14:textId="77777777" w:rsidR="0069320D" w:rsidRPr="000815C0" w:rsidRDefault="0069320D" w:rsidP="009D57F1">
      <w:pPr>
        <w:pStyle w:val="Heading2"/>
        <w:rPr>
          <w:rFonts w:ascii="Times New Roman" w:eastAsia="Times New Roman" w:hAnsi="Times New Roman" w:cs="Times New Roman"/>
          <w:color w:val="auto"/>
        </w:rPr>
      </w:pPr>
      <w:bookmarkStart w:id="11" w:name="_Toc235809265"/>
      <w:r w:rsidRPr="000815C0">
        <w:rPr>
          <w:rFonts w:ascii="Times New Roman" w:eastAsia="Times New Roman" w:hAnsi="Times New Roman" w:cs="Times New Roman"/>
          <w:color w:val="auto"/>
        </w:rPr>
        <w:t>3.3 Leading environmental change across the global supply chain</w:t>
      </w:r>
      <w:bookmarkEnd w:id="11"/>
    </w:p>
    <w:p w14:paraId="679E4AC6" w14:textId="77777777" w:rsidR="0069320D" w:rsidRPr="000815C0" w:rsidRDefault="0069320D" w:rsidP="0069320D">
      <w:pPr>
        <w:shd w:val="clear" w:color="auto" w:fill="FFFFFF"/>
        <w:spacing w:after="0" w:line="240" w:lineRule="auto"/>
        <w:rPr>
          <w:rFonts w:ascii="Times New Roman" w:eastAsia="Times New Roman" w:hAnsi="Times New Roman" w:cs="Times New Roman"/>
          <w:kern w:val="0"/>
          <w:sz w:val="27"/>
          <w:szCs w:val="27"/>
          <w14:ligatures w14:val="none"/>
        </w:rPr>
      </w:pPr>
    </w:p>
    <w:p w14:paraId="075B586B"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H&amp;M’s greatest climate challenge lies in its value chain. In 2025, it reported that Scope 3 emissions covered by its science-based target were 34.6 per cent below the 2019 baseline, that 48 per cent of textile-supply-chain electricity was matched with renewable sources, and that factories reporting on-site coal boilers fell from 118 in 2022 to 10 (H&amp;M Group, 2026). Environmental-stewardship theory treats these outcomes as evidence that a powerful buyer can mobilise resources beyond assets it owns (Bennett et al., 2018). Wren (2022) similarly argues that effective fast-fashion supply-chain management requires collaboration, traceability and integration of environmental criteria into sourcing. However, H&amp;M’s figures are company-reported and do not establish how much progress resulted from permanent factory transformation rather than lower material volumes or sourcing changes. They provide credible evidence of action, but leadership quality depends on sustaining absolute reductions as commercial activity changes. H&amp;M should therefore disclose the drivers of reductions clearly and connect supplier outcomes to long-term purchasing decisions.</w:t>
      </w:r>
    </w:p>
    <w:p w14:paraId="565BB146" w14:textId="34EC39DD"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4"/>
          <w:szCs w:val="24"/>
          <w14:ligatures w14:val="none"/>
        </w:rPr>
      </w:pPr>
      <w:r w:rsidRPr="000815C0">
        <w:rPr>
          <w:rFonts w:ascii="Times New Roman" w:eastAsia="Times New Roman" w:hAnsi="Times New Roman" w:cs="Times New Roman"/>
          <w:kern w:val="0"/>
          <w:sz w:val="24"/>
          <w:szCs w:val="24"/>
          <w14:ligatures w14:val="none"/>
        </w:rPr>
        <w:t xml:space="preserve">The supplier programme strengthens the stewardship case because factories are asked to establish emissions targets and submit roadmaps reviewed by H&amp;M’s sustainability team. H&amp;M also offers energy audits, technical support, renewable-electricity assistance and finance through its Green Fashion Initiative, while supplier performance can inform future buying decisions (Science Based Targets initiative, n.d.; H&amp;M Group, n.d.-a). Responsible leadership and stakeholder theory indicate that influence creates obligations to build suppliers’ capacity </w:t>
      </w:r>
      <w:r w:rsidRPr="000815C0">
        <w:rPr>
          <w:rFonts w:ascii="Times New Roman" w:eastAsia="Times New Roman" w:hAnsi="Times New Roman" w:cs="Times New Roman"/>
          <w:kern w:val="0"/>
          <w:sz w:val="24"/>
          <w:szCs w:val="24"/>
          <w14:ligatures w14:val="none"/>
        </w:rPr>
        <w:lastRenderedPageBreak/>
        <w:t xml:space="preserve">rather than merely demand compliance (Maak and Pless, 2006; Freeman, 1984). Conversely, factories often serve several brands, while national grids, regulation and access to capital constrain their choices. H&amp;M cannot decarbonise these systems independently, but targets without predictable orders, locally informed consultation or shared finance could transfer risks to suppliers and workers. H&amp;M demonstrates stronger cross-border stewardship where </w:t>
      </w:r>
      <w:r w:rsidR="000113C6" w:rsidRPr="000815C0">
        <w:rPr>
          <w:rFonts w:ascii="Times New Roman" w:eastAsia="Times New Roman" w:hAnsi="Times New Roman" w:cs="Times New Roman"/>
          <w:kern w:val="0"/>
          <w:sz w:val="24"/>
          <w:szCs w:val="24"/>
          <w14:ligatures w14:val="none"/>
        </w:rPr>
        <w:t>finance, technical expertise, stable volumes and local implementation match common standards</w:t>
      </w:r>
      <w:r w:rsidRPr="000815C0">
        <w:rPr>
          <w:rFonts w:ascii="Times New Roman" w:eastAsia="Times New Roman" w:hAnsi="Times New Roman" w:cs="Times New Roman"/>
          <w:kern w:val="0"/>
          <w:sz w:val="24"/>
          <w:szCs w:val="24"/>
          <w14:ligatures w14:val="none"/>
        </w:rPr>
        <w:t>. Its climate commitments must therefore be embedded in prices, lead times and sourcing relationships so factories can invest without carrying a disproportionate share of transition costs.</w:t>
      </w:r>
    </w:p>
    <w:p w14:paraId="395B6A2F"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p>
    <w:p w14:paraId="16ACB14F" w14:textId="77777777" w:rsidR="0069320D" w:rsidRPr="000815C0" w:rsidRDefault="0069320D" w:rsidP="009D57F1">
      <w:pPr>
        <w:pStyle w:val="Heading2"/>
        <w:rPr>
          <w:rFonts w:ascii="Times New Roman" w:eastAsia="Times New Roman" w:hAnsi="Times New Roman" w:cs="Times New Roman"/>
          <w:color w:val="auto"/>
        </w:rPr>
      </w:pPr>
      <w:bookmarkStart w:id="12" w:name="_Toc235809266"/>
      <w:r w:rsidRPr="000815C0">
        <w:rPr>
          <w:rFonts w:ascii="Times New Roman" w:eastAsia="Times New Roman" w:hAnsi="Times New Roman" w:cs="Times New Roman"/>
          <w:color w:val="auto"/>
        </w:rPr>
        <w:t>3.4 Circularity, materials and business-model transformation</w:t>
      </w:r>
      <w:bookmarkEnd w:id="12"/>
    </w:p>
    <w:p w14:paraId="0155702B" w14:textId="77777777" w:rsidR="0069320D" w:rsidRPr="000815C0" w:rsidRDefault="0069320D" w:rsidP="0069320D">
      <w:pPr>
        <w:shd w:val="clear" w:color="auto" w:fill="FFFFFF"/>
        <w:spacing w:after="0" w:line="240" w:lineRule="auto"/>
        <w:rPr>
          <w:rFonts w:ascii="Times New Roman" w:eastAsia="Times New Roman" w:hAnsi="Times New Roman" w:cs="Times New Roman"/>
          <w:kern w:val="0"/>
          <w:sz w:val="27"/>
          <w:szCs w:val="27"/>
          <w14:ligatures w14:val="none"/>
        </w:rPr>
      </w:pPr>
    </w:p>
    <w:p w14:paraId="7A1AE63B"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H&amp;M reports that 91 per cent of materials used in commercial products in 2025 were recycled or met its sustainably sourced criteria, including 32 per cent recycled content. It also collected 17,808 tonnes of garments, but resale generated only 0.8 per cent of turnover (H&amp;M Group, 2026). Circular-business-model research argues that resale, repair, rental and remaking create environmental value when they replace new production and decouple revenue from resource use (Ellen MacArthur Foundation, 2021; Dragomir and Dumitru, 2022). Improved materials and collection systems are necessary foundations for transition, yet collection is not equivalent to recycling, recycled content does not prove closed-loop production, and the limited resale share shows that H&amp;M’s core model remains dominated by new goods. Responsible leadership therefore requires reporting whether circular activities displace virgin materials and new-product sales, not merely whether participation increases.</w:t>
      </w:r>
    </w:p>
    <w:p w14:paraId="74FF7106" w14:textId="77777777" w:rsidR="0069320D" w:rsidRPr="000815C0" w:rsidRDefault="0069320D" w:rsidP="0069320D">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 xml:space="preserve">Sandin and Peters (2018) find that textile reuse generally provides greater environmental benefits than recycling because it extends product life and avoids primary production. </w:t>
      </w:r>
      <w:r w:rsidRPr="000815C0">
        <w:rPr>
          <w:rFonts w:ascii="Times New Roman" w:eastAsia="Times New Roman" w:hAnsi="Times New Roman" w:cs="Times New Roman"/>
          <w:kern w:val="0"/>
          <w:sz w:val="24"/>
          <w:szCs w:val="24"/>
          <w14:ligatures w14:val="none"/>
        </w:rPr>
        <w:lastRenderedPageBreak/>
        <w:t>However, circular systems depend on customer participation, product quality, sorting infrastructure, recycling technology, reliable data and viable reverse logistics (Schumacher and Forster, 2022). These constraints limit the speed of transformation and weaken simplistic claims that H&amp;M can redesign the system alone. Even so, systemic sustainability requires changes to product lifetimes, business incentives and consumption patterns rather than isolated material improvements (</w:t>
      </w:r>
      <w:proofErr w:type="spellStart"/>
      <w:r w:rsidRPr="000815C0">
        <w:rPr>
          <w:rFonts w:ascii="Times New Roman" w:eastAsia="Times New Roman" w:hAnsi="Times New Roman" w:cs="Times New Roman"/>
          <w:kern w:val="0"/>
          <w:sz w:val="24"/>
          <w:szCs w:val="24"/>
          <w14:ligatures w14:val="none"/>
        </w:rPr>
        <w:t>Sahimaa</w:t>
      </w:r>
      <w:proofErr w:type="spellEnd"/>
      <w:r w:rsidRPr="000815C0">
        <w:rPr>
          <w:rFonts w:ascii="Times New Roman" w:eastAsia="Times New Roman" w:hAnsi="Times New Roman" w:cs="Times New Roman"/>
          <w:kern w:val="0"/>
          <w:sz w:val="24"/>
          <w:szCs w:val="24"/>
          <w14:ligatures w14:val="none"/>
        </w:rPr>
        <w:t xml:space="preserve"> et al., 2024). Stewardship therefore concerns how H&amp;M reshapes the conditions within its influence, including design standards, repairability, resale access and investment in textile-to-textile recycling. Its current approach represents meaningful experimentation and material improvement, but not yet business-model transformation. The strongest leadership test is whether circular revenue becomes material and increasingly replaces revenue based on high-volume virgin-resource production.</w:t>
      </w:r>
    </w:p>
    <w:p w14:paraId="6611ABD9" w14:textId="77777777" w:rsidR="0069320D" w:rsidRPr="000815C0" w:rsidRDefault="0069320D">
      <w:pPr>
        <w:rPr>
          <w:rFonts w:ascii="Times New Roman" w:eastAsia="Times New Roman" w:hAnsi="Times New Roman" w:cs="Times New Roman"/>
          <w:kern w:val="0"/>
          <w:sz w:val="24"/>
          <w:szCs w:val="24"/>
        </w:rPr>
      </w:pPr>
      <w:r w:rsidRPr="000815C0">
        <w:rPr>
          <w:rFonts w:ascii="Times New Roman" w:hAnsi="Times New Roman" w:cs="Times New Roman"/>
        </w:rPr>
        <w:br w:type="page"/>
      </w:r>
    </w:p>
    <w:p w14:paraId="5258D53D" w14:textId="77777777" w:rsidR="008A4DF3" w:rsidRPr="000815C0" w:rsidRDefault="008A4DF3" w:rsidP="0069320D">
      <w:pPr>
        <w:pStyle w:val="Heading1"/>
        <w:rPr>
          <w:rFonts w:ascii="Times New Roman" w:hAnsi="Times New Roman" w:cs="Times New Roman"/>
          <w:color w:val="auto"/>
        </w:rPr>
      </w:pPr>
      <w:bookmarkStart w:id="13" w:name="_Toc235809267"/>
      <w:r w:rsidRPr="000815C0">
        <w:rPr>
          <w:rFonts w:ascii="Times New Roman" w:hAnsi="Times New Roman" w:cs="Times New Roman"/>
          <w:color w:val="auto"/>
        </w:rPr>
        <w:lastRenderedPageBreak/>
        <w:t>4. Credibility: Commitments Versus Practice</w:t>
      </w:r>
      <w:bookmarkEnd w:id="13"/>
    </w:p>
    <w:p w14:paraId="3A4D72AF" w14:textId="77777777" w:rsidR="009D57F1" w:rsidRPr="000815C0" w:rsidRDefault="009D57F1" w:rsidP="009D57F1">
      <w:pPr>
        <w:rPr>
          <w:rFonts w:ascii="Times New Roman" w:hAnsi="Times New Roman" w:cs="Times New Roman"/>
        </w:rPr>
      </w:pPr>
    </w:p>
    <w:p w14:paraId="119C4FFF" w14:textId="77777777" w:rsidR="009D57F1" w:rsidRPr="000815C0" w:rsidRDefault="009D57F1" w:rsidP="009D57F1">
      <w:pPr>
        <w:pStyle w:val="Heading2"/>
        <w:rPr>
          <w:rFonts w:ascii="Times New Roman" w:eastAsia="Times New Roman" w:hAnsi="Times New Roman" w:cs="Times New Roman"/>
          <w:color w:val="auto"/>
        </w:rPr>
      </w:pPr>
      <w:bookmarkStart w:id="14" w:name="_Toc235809268"/>
      <w:r w:rsidRPr="000815C0">
        <w:rPr>
          <w:rFonts w:ascii="Times New Roman" w:eastAsia="Times New Roman" w:hAnsi="Times New Roman" w:cs="Times New Roman"/>
          <w:color w:val="auto"/>
        </w:rPr>
        <w:t>4.1 Published commitments</w:t>
      </w:r>
      <w:bookmarkEnd w:id="14"/>
    </w:p>
    <w:p w14:paraId="4597EE82" w14:textId="77777777" w:rsidR="009D57F1" w:rsidRPr="000815C0" w:rsidRDefault="009D57F1" w:rsidP="009D57F1">
      <w:pPr>
        <w:shd w:val="clear" w:color="auto" w:fill="FFFFFF"/>
        <w:spacing w:after="0" w:line="240" w:lineRule="auto"/>
        <w:rPr>
          <w:rFonts w:ascii="Times New Roman" w:eastAsia="Times New Roman" w:hAnsi="Times New Roman" w:cs="Times New Roman"/>
          <w:kern w:val="0"/>
          <w:sz w:val="27"/>
          <w:szCs w:val="27"/>
          <w14:ligatures w14:val="none"/>
        </w:rPr>
      </w:pPr>
    </w:p>
    <w:p w14:paraId="34B5B5D7" w14:textId="340EF294"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4"/>
          <w:szCs w:val="24"/>
          <w14:ligatures w14:val="none"/>
        </w:rPr>
      </w:pPr>
      <w:r w:rsidRPr="000815C0">
        <w:rPr>
          <w:rFonts w:ascii="Times New Roman" w:eastAsia="Times New Roman" w:hAnsi="Times New Roman" w:cs="Times New Roman"/>
          <w:kern w:val="0"/>
          <w:sz w:val="24"/>
          <w:szCs w:val="24"/>
          <w14:ligatures w14:val="none"/>
        </w:rPr>
        <w:t>H&amp;M’s climate transition plan commits the group to reducing absolute Scope 1 and 2 emissions and the Scope 3 emissions covered by its science-based target by 56 per cent by 2030, against a 2019 baseline. By 2040, it aims to reduce both categories by at least 90 per cent and reach net zero, using removals only for residual emissions (H&amp;M Group, 2026). It also targets 100 per cent recycled or sustainably sourced product and packaging materials by 2030, with an ambition for 50 per cent of product materials to be recycled. Further commitments include phasing out on-site coal in Tier 1</w:t>
      </w:r>
      <w:r w:rsidR="00E819E0">
        <w:rPr>
          <w:rFonts w:ascii="Times New Roman" w:eastAsia="Times New Roman" w:hAnsi="Times New Roman" w:cs="Times New Roman"/>
          <w:kern w:val="0"/>
          <w:sz w:val="24"/>
          <w:szCs w:val="24"/>
          <w14:ligatures w14:val="none"/>
        </w:rPr>
        <w:t>-</w:t>
      </w:r>
      <w:r w:rsidRPr="000815C0">
        <w:rPr>
          <w:rFonts w:ascii="Times New Roman" w:eastAsia="Times New Roman" w:hAnsi="Times New Roman" w:cs="Times New Roman"/>
          <w:kern w:val="0"/>
          <w:sz w:val="24"/>
          <w:szCs w:val="24"/>
          <w14:ligatures w14:val="none"/>
        </w:rPr>
        <w:t>3 production, expanding renewable electricity, reducing freshwater use in wet-processing facilities by 30 per cent from 2022, improving durability and recyclability, and scaling resale, repair and collection. H&amp;M presents these measures as a route to decoupling growth from resource use and value-chain emissions, while its climate targets have received Science Based Targets initiative validation (H&amp;M Group, 2026; Science Based Targets initiative, n.d.).</w:t>
      </w:r>
    </w:p>
    <w:p w14:paraId="259F8380" w14:textId="77777777"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p>
    <w:p w14:paraId="3A0DC888" w14:textId="77777777" w:rsidR="009D57F1" w:rsidRPr="000815C0" w:rsidRDefault="009D57F1" w:rsidP="009D57F1">
      <w:pPr>
        <w:pStyle w:val="Heading2"/>
        <w:rPr>
          <w:rFonts w:ascii="Times New Roman" w:eastAsia="Times New Roman" w:hAnsi="Times New Roman" w:cs="Times New Roman"/>
          <w:color w:val="auto"/>
        </w:rPr>
      </w:pPr>
      <w:bookmarkStart w:id="15" w:name="_Toc235809269"/>
      <w:r w:rsidRPr="000815C0">
        <w:rPr>
          <w:rFonts w:ascii="Times New Roman" w:eastAsia="Times New Roman" w:hAnsi="Times New Roman" w:cs="Times New Roman"/>
          <w:color w:val="auto"/>
        </w:rPr>
        <w:t>4.2 Evidence of measurable progress</w:t>
      </w:r>
      <w:bookmarkEnd w:id="15"/>
    </w:p>
    <w:p w14:paraId="4185A26A" w14:textId="77777777" w:rsidR="009D57F1" w:rsidRPr="000815C0" w:rsidRDefault="009D57F1" w:rsidP="009D57F1">
      <w:pPr>
        <w:shd w:val="clear" w:color="auto" w:fill="FFFFFF"/>
        <w:spacing w:after="0" w:line="240" w:lineRule="auto"/>
        <w:rPr>
          <w:rFonts w:ascii="Times New Roman" w:eastAsia="Times New Roman" w:hAnsi="Times New Roman" w:cs="Times New Roman"/>
          <w:kern w:val="0"/>
          <w:sz w:val="27"/>
          <w:szCs w:val="27"/>
          <w14:ligatures w14:val="none"/>
        </w:rPr>
      </w:pPr>
    </w:p>
    <w:p w14:paraId="3DD2D190" w14:textId="77777777"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 xml:space="preserve">Reported results indicate that implementation extends beyond target-setting. In 2025, absolute Scope 1 and 2 emissions were 41 per cent below 2019 and Scope 3 emissions covered by the target were 34.6 per cent lower (H&amp;M Group, 2026). Absolute reductions are more significant than intensity-only gains because they indicate a smaller reported footprint rather than improved efficiency per unit of revenue. H&amp;M also reported that 48 per cent of textile-supply-chain electricity was matched with renewable sources, while factories using on-site coal boilers </w:t>
      </w:r>
      <w:r w:rsidRPr="000815C0">
        <w:rPr>
          <w:rFonts w:ascii="Times New Roman" w:eastAsia="Times New Roman" w:hAnsi="Times New Roman" w:cs="Times New Roman"/>
          <w:kern w:val="0"/>
          <w:sz w:val="24"/>
          <w:szCs w:val="24"/>
          <w14:ligatures w14:val="none"/>
        </w:rPr>
        <w:lastRenderedPageBreak/>
        <w:t>fell from 118 in 2022 to 10. Its Green Fashion Initiative had supported 24 projects, suggesting that supplier requirements were accompanied by capital support (H&amp;M Group, n.d.-a).</w:t>
      </w:r>
    </w:p>
    <w:p w14:paraId="5BBE5814" w14:textId="2F245D3D"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4"/>
          <w:szCs w:val="24"/>
          <w14:ligatures w14:val="none"/>
        </w:rPr>
      </w:pPr>
      <w:r w:rsidRPr="000815C0">
        <w:rPr>
          <w:rFonts w:ascii="Times New Roman" w:eastAsia="Times New Roman" w:hAnsi="Times New Roman" w:cs="Times New Roman"/>
          <w:kern w:val="0"/>
          <w:sz w:val="24"/>
          <w:szCs w:val="24"/>
          <w14:ligatures w14:val="none"/>
        </w:rPr>
        <w:t>Resource indicators reinforce, but qualify, this assessment. Recycled or sustainably sourced materials reached 91 per cent of commercial-product inputs, including 32 per cent recycled content; freshwater use in relevant supplier facilities was 22.8 per cent below 2022; and H&amp;M collected 17,808 tonnes of garments (H&amp;M Group, 2026). However, total product-material weight fell from 559,974 tonnes in 2024 to 506,015 tonnes in 2025, so lower throughput contributed to several improvements. The sustainability statement received limited external assurance, which strengthens reliability but provides less confidence than reasonable assurance</w:t>
      </w:r>
      <w:r w:rsidR="002F5552">
        <w:rPr>
          <w:rFonts w:ascii="Times New Roman" w:eastAsia="Times New Roman" w:hAnsi="Times New Roman" w:cs="Times New Roman"/>
          <w:kern w:val="0"/>
          <w:sz w:val="24"/>
          <w:szCs w:val="24"/>
          <w14:ligatures w14:val="none"/>
        </w:rPr>
        <w:t xml:space="preserve"> </w:t>
      </w:r>
      <w:r w:rsidR="002F5552" w:rsidRPr="002F5552">
        <w:rPr>
          <w:rFonts w:ascii="Times New Roman" w:eastAsia="Times New Roman" w:hAnsi="Times New Roman" w:cs="Times New Roman"/>
          <w:kern w:val="0"/>
          <w:sz w:val="24"/>
          <w:szCs w:val="24"/>
          <w14:ligatures w14:val="none"/>
        </w:rPr>
        <w:t>(H&amp;M Group, 2026)</w:t>
      </w:r>
      <w:r w:rsidR="002F5552">
        <w:rPr>
          <w:rFonts w:ascii="Times New Roman" w:eastAsia="Times New Roman" w:hAnsi="Times New Roman" w:cs="Times New Roman"/>
          <w:kern w:val="0"/>
          <w:sz w:val="24"/>
          <w:szCs w:val="24"/>
          <w14:ligatures w14:val="none"/>
        </w:rPr>
        <w:t>.</w:t>
      </w:r>
      <w:r w:rsidRPr="000815C0">
        <w:rPr>
          <w:rFonts w:ascii="Times New Roman" w:eastAsia="Times New Roman" w:hAnsi="Times New Roman" w:cs="Times New Roman"/>
          <w:kern w:val="0"/>
          <w:sz w:val="24"/>
          <w:szCs w:val="24"/>
          <w14:ligatures w14:val="none"/>
        </w:rPr>
        <w:t xml:space="preserve"> The evidence is therefore too substantial to dismiss as symbolic, but its causes, boundaries and durability require scrutiny.</w:t>
      </w:r>
    </w:p>
    <w:p w14:paraId="3371098E" w14:textId="77777777"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p>
    <w:p w14:paraId="3045DE25" w14:textId="30FA80A9" w:rsidR="009D57F1" w:rsidRPr="000815C0" w:rsidRDefault="009D57F1" w:rsidP="009D57F1">
      <w:pPr>
        <w:pStyle w:val="Heading2"/>
        <w:rPr>
          <w:rFonts w:ascii="Times New Roman" w:eastAsia="Times New Roman" w:hAnsi="Times New Roman" w:cs="Times New Roman"/>
          <w:color w:val="auto"/>
        </w:rPr>
      </w:pPr>
      <w:bookmarkStart w:id="16" w:name="_Toc235809270"/>
      <w:r w:rsidRPr="000815C0">
        <w:rPr>
          <w:rFonts w:ascii="Times New Roman" w:eastAsia="Times New Roman" w:hAnsi="Times New Roman" w:cs="Times New Roman"/>
          <w:color w:val="auto"/>
        </w:rPr>
        <w:t>4.3 Commitment-practice gaps and contradictions</w:t>
      </w:r>
      <w:bookmarkEnd w:id="16"/>
    </w:p>
    <w:p w14:paraId="12199FF3" w14:textId="77777777" w:rsidR="009D57F1" w:rsidRPr="000815C0" w:rsidRDefault="009D57F1" w:rsidP="009D57F1">
      <w:pPr>
        <w:shd w:val="clear" w:color="auto" w:fill="FFFFFF"/>
        <w:spacing w:after="0" w:line="240" w:lineRule="auto"/>
        <w:rPr>
          <w:rFonts w:ascii="Times New Roman" w:eastAsia="Times New Roman" w:hAnsi="Times New Roman" w:cs="Times New Roman"/>
          <w:kern w:val="0"/>
          <w:sz w:val="27"/>
          <w:szCs w:val="27"/>
          <w14:ligatures w14:val="none"/>
        </w:rPr>
      </w:pPr>
    </w:p>
    <w:p w14:paraId="0367F3FB" w14:textId="6FF96BC8"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The first gap concerns H&amp;M’s simultaneous objectives of at least 10</w:t>
      </w:r>
      <w:r w:rsidR="00E819E0">
        <w:rPr>
          <w:rFonts w:ascii="Times New Roman" w:eastAsia="Times New Roman" w:hAnsi="Times New Roman" w:cs="Times New Roman"/>
          <w:kern w:val="0"/>
          <w:sz w:val="24"/>
          <w:szCs w:val="24"/>
          <w14:ligatures w14:val="none"/>
        </w:rPr>
        <w:t>%</w:t>
      </w:r>
      <w:r w:rsidRPr="000815C0">
        <w:rPr>
          <w:rFonts w:ascii="Times New Roman" w:eastAsia="Times New Roman" w:hAnsi="Times New Roman" w:cs="Times New Roman"/>
          <w:kern w:val="0"/>
          <w:sz w:val="24"/>
          <w:szCs w:val="24"/>
          <w14:ligatures w14:val="none"/>
        </w:rPr>
        <w:t xml:space="preserve"> annual sales growth, an operating margin above 10</w:t>
      </w:r>
      <w:r w:rsidR="00E819E0">
        <w:rPr>
          <w:rFonts w:ascii="Times New Roman" w:eastAsia="Times New Roman" w:hAnsi="Times New Roman" w:cs="Times New Roman"/>
          <w:kern w:val="0"/>
          <w:sz w:val="24"/>
          <w:szCs w:val="24"/>
          <w14:ligatures w14:val="none"/>
        </w:rPr>
        <w:t>%</w:t>
      </w:r>
      <w:r w:rsidRPr="000815C0">
        <w:rPr>
          <w:rFonts w:ascii="Times New Roman" w:eastAsia="Times New Roman" w:hAnsi="Times New Roman" w:cs="Times New Roman"/>
          <w:kern w:val="0"/>
          <w:sz w:val="24"/>
          <w:szCs w:val="24"/>
          <w14:ligatures w14:val="none"/>
        </w:rPr>
        <w:t xml:space="preserve"> and a 56</w:t>
      </w:r>
      <w:r w:rsidR="00E819E0">
        <w:rPr>
          <w:rFonts w:ascii="Times New Roman" w:eastAsia="Times New Roman" w:hAnsi="Times New Roman" w:cs="Times New Roman"/>
          <w:kern w:val="0"/>
          <w:sz w:val="24"/>
          <w:szCs w:val="24"/>
          <w14:ligatures w14:val="none"/>
        </w:rPr>
        <w:t>%</w:t>
      </w:r>
      <w:r w:rsidRPr="000815C0">
        <w:rPr>
          <w:rFonts w:ascii="Times New Roman" w:eastAsia="Times New Roman" w:hAnsi="Times New Roman" w:cs="Times New Roman"/>
          <w:kern w:val="0"/>
          <w:sz w:val="24"/>
          <w:szCs w:val="24"/>
          <w14:ligatures w14:val="none"/>
        </w:rPr>
        <w:t xml:space="preserve"> absolute emissions reduction by 2030 (H&amp;M Group, 2026). Hahn et al. (2015) argue that corporate sustainability involves persistent tensions rather than automatic commercial</w:t>
      </w:r>
      <w:r w:rsidR="00E819E0">
        <w:rPr>
          <w:rFonts w:ascii="Times New Roman" w:eastAsia="Times New Roman" w:hAnsi="Times New Roman" w:cs="Times New Roman"/>
          <w:kern w:val="0"/>
          <w:sz w:val="24"/>
          <w:szCs w:val="24"/>
          <w14:ligatures w14:val="none"/>
        </w:rPr>
        <w:t>-</w:t>
      </w:r>
      <w:r w:rsidRPr="000815C0">
        <w:rPr>
          <w:rFonts w:ascii="Times New Roman" w:eastAsia="Times New Roman" w:hAnsi="Times New Roman" w:cs="Times New Roman"/>
          <w:kern w:val="0"/>
          <w:sz w:val="24"/>
          <w:szCs w:val="24"/>
          <w14:ligatures w14:val="none"/>
        </w:rPr>
        <w:t>environmental alignment. Efficiency and material improvements may be outweighed if growth increases production and logistics faster than impacts decline. Responsible leadership therefore requires evidence of absolute decoupling, not an assumption that growth and sustainability are compatible.</w:t>
      </w:r>
    </w:p>
    <w:p w14:paraId="4607A30C" w14:textId="77777777"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 xml:space="preserve">Second, H&amp;M attributes its 2025 Scope 3 improvement partly to lower material weight and increased use of preferred materials. Reduced throughput is positive, but it remains uncertain whether this reflects durable transformation or temporary changes in demand, assortment and inventory. Credible leadership requires H&amp;M to separate structural reductions from volume </w:t>
      </w:r>
      <w:r w:rsidRPr="000815C0">
        <w:rPr>
          <w:rFonts w:ascii="Times New Roman" w:eastAsia="Times New Roman" w:hAnsi="Times New Roman" w:cs="Times New Roman"/>
          <w:kern w:val="0"/>
          <w:sz w:val="24"/>
          <w:szCs w:val="24"/>
          <w14:ligatures w14:val="none"/>
        </w:rPr>
        <w:lastRenderedPageBreak/>
        <w:t>and methodology effects so stakeholders can judge whether performance would persist during stronger growth.</w:t>
      </w:r>
    </w:p>
    <w:p w14:paraId="2E06EC69" w14:textId="1561CCFE"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Third, circularity remains peripheral. Resale represented only 0.8</w:t>
      </w:r>
      <w:r w:rsidR="00E819E0">
        <w:rPr>
          <w:rFonts w:ascii="Times New Roman" w:eastAsia="Times New Roman" w:hAnsi="Times New Roman" w:cs="Times New Roman"/>
          <w:kern w:val="0"/>
          <w:sz w:val="24"/>
          <w:szCs w:val="24"/>
          <w14:ligatures w14:val="none"/>
        </w:rPr>
        <w:t>%</w:t>
      </w:r>
      <w:r w:rsidRPr="000815C0">
        <w:rPr>
          <w:rFonts w:ascii="Times New Roman" w:eastAsia="Times New Roman" w:hAnsi="Times New Roman" w:cs="Times New Roman"/>
          <w:kern w:val="0"/>
          <w:sz w:val="24"/>
          <w:szCs w:val="24"/>
          <w14:ligatures w14:val="none"/>
        </w:rPr>
        <w:t xml:space="preserve"> of turnover, while garment collection does not prove that fibres return to equivalent-quality clothing. Reuse generally delivers greater environmental benefits than recycling by extending product life and avoiding new production (Sandin and Peters, 2018). H&amp;M also reported no time-bound targets for some resource outflows and waste indicators in 2025</w:t>
      </w:r>
      <w:r w:rsidR="002F5552">
        <w:rPr>
          <w:rFonts w:ascii="Times New Roman" w:eastAsia="Times New Roman" w:hAnsi="Times New Roman" w:cs="Times New Roman"/>
          <w:kern w:val="0"/>
          <w:sz w:val="24"/>
          <w:szCs w:val="24"/>
          <w14:ligatures w14:val="none"/>
        </w:rPr>
        <w:t xml:space="preserve"> </w:t>
      </w:r>
      <w:r w:rsidR="002F5552" w:rsidRPr="002F5552">
        <w:rPr>
          <w:rFonts w:ascii="Times New Roman" w:eastAsia="Times New Roman" w:hAnsi="Times New Roman" w:cs="Times New Roman"/>
          <w:kern w:val="0"/>
          <w:sz w:val="24"/>
          <w:szCs w:val="24"/>
          <w14:ligatures w14:val="none"/>
        </w:rPr>
        <w:t>(H&amp;M Group, 2026)</w:t>
      </w:r>
      <w:r w:rsidR="002F5552">
        <w:rPr>
          <w:rFonts w:ascii="Times New Roman" w:eastAsia="Times New Roman" w:hAnsi="Times New Roman" w:cs="Times New Roman"/>
          <w:kern w:val="0"/>
          <w:sz w:val="24"/>
          <w:szCs w:val="24"/>
          <w14:ligatures w14:val="none"/>
        </w:rPr>
        <w:t>.</w:t>
      </w:r>
      <w:r w:rsidRPr="000815C0">
        <w:rPr>
          <w:rFonts w:ascii="Times New Roman" w:eastAsia="Times New Roman" w:hAnsi="Times New Roman" w:cs="Times New Roman"/>
          <w:kern w:val="0"/>
          <w:sz w:val="24"/>
          <w:szCs w:val="24"/>
          <w14:ligatures w14:val="none"/>
        </w:rPr>
        <w:t xml:space="preserve"> </w:t>
      </w:r>
      <w:proofErr w:type="spellStart"/>
      <w:r w:rsidRPr="000815C0">
        <w:rPr>
          <w:rFonts w:ascii="Times New Roman" w:eastAsia="Times New Roman" w:hAnsi="Times New Roman" w:cs="Times New Roman"/>
          <w:kern w:val="0"/>
          <w:sz w:val="24"/>
          <w:szCs w:val="24"/>
          <w14:ligatures w14:val="none"/>
        </w:rPr>
        <w:t>Sahimaa</w:t>
      </w:r>
      <w:proofErr w:type="spellEnd"/>
      <w:r w:rsidRPr="000815C0">
        <w:rPr>
          <w:rFonts w:ascii="Times New Roman" w:eastAsia="Times New Roman" w:hAnsi="Times New Roman" w:cs="Times New Roman"/>
          <w:kern w:val="0"/>
          <w:sz w:val="24"/>
          <w:szCs w:val="24"/>
          <w14:ligatures w14:val="none"/>
        </w:rPr>
        <w:t xml:space="preserve"> et al. (2024) warn that product-level interventions can remain simplistic when they leave the underlying system of short product lifetimes and high throughput unchanged. The strategic test is therefore whether resale, repair and durability displace new sales and virgin inputs rather than supplementing them.</w:t>
      </w:r>
    </w:p>
    <w:p w14:paraId="5AA844F2" w14:textId="43C7287A"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4"/>
          <w:szCs w:val="24"/>
          <w14:ligatures w14:val="none"/>
        </w:rPr>
      </w:pPr>
      <w:r w:rsidRPr="000815C0">
        <w:rPr>
          <w:rFonts w:ascii="Times New Roman" w:eastAsia="Times New Roman" w:hAnsi="Times New Roman" w:cs="Times New Roman"/>
          <w:kern w:val="0"/>
          <w:sz w:val="24"/>
          <w:szCs w:val="24"/>
          <w14:ligatures w14:val="none"/>
        </w:rPr>
        <w:t xml:space="preserve">Finally, the ACM’s legally binding 2022 decision required H&amp;M to adjust or discontinue sustainability claims that risked misleading consumers (ACM, 2022). Suchman’s (1995) legitimacy theory explains why communication may both report change and preserve stakeholder acceptance. The decision does not prove that all H&amp;M activity is misleading, but shows that </w:t>
      </w:r>
      <w:r w:rsidR="000113C6" w:rsidRPr="000815C0">
        <w:rPr>
          <w:rFonts w:ascii="Times New Roman" w:eastAsia="Times New Roman" w:hAnsi="Times New Roman" w:cs="Times New Roman"/>
          <w:kern w:val="0"/>
          <w:sz w:val="24"/>
          <w:szCs w:val="24"/>
          <w14:ligatures w14:val="none"/>
        </w:rPr>
        <w:t>imprecise claims can undermine substantive action</w:t>
      </w:r>
      <w:r w:rsidRPr="000815C0">
        <w:rPr>
          <w:rFonts w:ascii="Times New Roman" w:eastAsia="Times New Roman" w:hAnsi="Times New Roman" w:cs="Times New Roman"/>
          <w:kern w:val="0"/>
          <w:sz w:val="24"/>
          <w:szCs w:val="24"/>
          <w14:ligatures w14:val="none"/>
        </w:rPr>
        <w:t>. Ethical leadership therefore requires specific, verifiable communication proportionate to the evidence.</w:t>
      </w:r>
    </w:p>
    <w:p w14:paraId="57FE9BA7" w14:textId="77777777"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p>
    <w:p w14:paraId="0469D8BA" w14:textId="77777777" w:rsidR="009D57F1" w:rsidRPr="000815C0" w:rsidRDefault="009D57F1" w:rsidP="009D57F1">
      <w:pPr>
        <w:pStyle w:val="Heading2"/>
        <w:rPr>
          <w:rFonts w:ascii="Times New Roman" w:eastAsia="Times New Roman" w:hAnsi="Times New Roman" w:cs="Times New Roman"/>
          <w:color w:val="auto"/>
        </w:rPr>
      </w:pPr>
      <w:bookmarkStart w:id="17" w:name="_Toc235809271"/>
      <w:r w:rsidRPr="000815C0">
        <w:rPr>
          <w:rFonts w:ascii="Times New Roman" w:eastAsia="Times New Roman" w:hAnsi="Times New Roman" w:cs="Times New Roman"/>
          <w:color w:val="auto"/>
        </w:rPr>
        <w:t>4.4 Overall credibility and strategic implications</w:t>
      </w:r>
      <w:bookmarkEnd w:id="17"/>
    </w:p>
    <w:p w14:paraId="011579DE" w14:textId="77777777" w:rsidR="009D57F1" w:rsidRPr="000815C0" w:rsidRDefault="009D57F1" w:rsidP="009D57F1">
      <w:pPr>
        <w:shd w:val="clear" w:color="auto" w:fill="FFFFFF"/>
        <w:spacing w:after="0" w:line="240" w:lineRule="auto"/>
        <w:rPr>
          <w:rFonts w:ascii="Times New Roman" w:eastAsia="Times New Roman" w:hAnsi="Times New Roman" w:cs="Times New Roman"/>
          <w:kern w:val="0"/>
          <w:sz w:val="27"/>
          <w:szCs w:val="27"/>
          <w14:ligatures w14:val="none"/>
        </w:rPr>
      </w:pPr>
    </w:p>
    <w:p w14:paraId="6BABFEC1" w14:textId="77777777"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 xml:space="preserve">H&amp;M’s credibility is best classified as meaningful but incomplete progress. Its commitments are absolute, time-bound and externally validated; senior governance structures oversee delivery; and reported emissions, energy, water and material indicators show measurable improvement. These features exceed a mainly compliance-led response. However, the business-model test remains unresolved. Circular revenue is marginal, recent reductions were </w:t>
      </w:r>
      <w:r w:rsidRPr="000815C0">
        <w:rPr>
          <w:rFonts w:ascii="Times New Roman" w:eastAsia="Times New Roman" w:hAnsi="Times New Roman" w:cs="Times New Roman"/>
          <w:kern w:val="0"/>
          <w:sz w:val="24"/>
          <w:szCs w:val="24"/>
          <w14:ligatures w14:val="none"/>
        </w:rPr>
        <w:lastRenderedPageBreak/>
        <w:t>partly supported by lower material weight, and the compatibility of high sales growth with absolute impact reduction has not been demonstrated. Responsible global leadership therefore requires H&amp;M to maintain reductions during growth, disclose performance drivers and assurance limits, connect supplier finance with purchasing practices, and show that resale, repair and durability increasingly replace virgin-resource production. This alignment would reduce regulatory and litigation exposure, protect stakeholder trust, strengthen access to sustainability-linked finance and improve supply resilience. Until it is visible at commercial scale, H&amp;M represents credible strategic adaptation rather than full environmental transformation.</w:t>
      </w:r>
    </w:p>
    <w:p w14:paraId="2AAF04D4" w14:textId="77777777" w:rsidR="0069320D" w:rsidRPr="000815C0" w:rsidRDefault="0069320D">
      <w:pPr>
        <w:rPr>
          <w:rFonts w:ascii="Times New Roman" w:eastAsia="Times New Roman" w:hAnsi="Times New Roman" w:cs="Times New Roman"/>
          <w:kern w:val="0"/>
          <w:sz w:val="24"/>
          <w:szCs w:val="24"/>
        </w:rPr>
      </w:pPr>
      <w:r w:rsidRPr="000815C0">
        <w:rPr>
          <w:rFonts w:ascii="Times New Roman" w:hAnsi="Times New Roman" w:cs="Times New Roman"/>
        </w:rPr>
        <w:br w:type="page"/>
      </w:r>
    </w:p>
    <w:p w14:paraId="42A31CF6" w14:textId="77777777" w:rsidR="00FF6866" w:rsidRPr="000815C0" w:rsidRDefault="00FF6866" w:rsidP="0069320D">
      <w:pPr>
        <w:pStyle w:val="Heading1"/>
        <w:rPr>
          <w:rFonts w:ascii="Times New Roman" w:hAnsi="Times New Roman" w:cs="Times New Roman"/>
          <w:color w:val="auto"/>
        </w:rPr>
      </w:pPr>
      <w:bookmarkStart w:id="18" w:name="_Toc235809272"/>
      <w:r w:rsidRPr="000815C0">
        <w:rPr>
          <w:rFonts w:ascii="Times New Roman" w:hAnsi="Times New Roman" w:cs="Times New Roman"/>
          <w:color w:val="auto"/>
        </w:rPr>
        <w:lastRenderedPageBreak/>
        <w:t>5. Conclusion</w:t>
      </w:r>
      <w:bookmarkEnd w:id="18"/>
    </w:p>
    <w:p w14:paraId="320A0514" w14:textId="77777777" w:rsidR="009D57F1" w:rsidRPr="000815C0" w:rsidRDefault="009D57F1" w:rsidP="009D57F1">
      <w:pPr>
        <w:rPr>
          <w:rFonts w:ascii="Times New Roman" w:hAnsi="Times New Roman" w:cs="Times New Roman"/>
        </w:rPr>
      </w:pPr>
    </w:p>
    <w:p w14:paraId="292B6C3E" w14:textId="77777777"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H&amp;M’s global leadership agenda is shaped by rising climate expectations, stricter European regulation, investor scrutiny and growing pressure from customers, regulators, suppliers and environmental stakeholders. These pressures require the group to address emissions, resource use, waste, product durability and environmental claims across a geographically dispersed value chain. They also create a strategic tension between commercial growth, affordability and absolute environmental reduction.</w:t>
      </w:r>
    </w:p>
    <w:p w14:paraId="01E4543A" w14:textId="77777777"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H&amp;M demonstrates elements of responsible global leadership through board-level sustainability oversight, executive accountability, science-based climate targets, supplier engagement and financial support for decarbonisation. Its reported reductions in direct and value-chain emissions, increased use of preferred materials and declining supplier reliance on coal indicate that environmental stewardship has moved beyond policy statements. However, responsible leadership is strongest where H&amp;M combines global standards with finance, technical support, stable purchasing relationships and locally informed implementation rather than transferring transition costs to suppliers.</w:t>
      </w:r>
    </w:p>
    <w:p w14:paraId="2F7FF669" w14:textId="2A6C0E8E"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 xml:space="preserve">Its credibility nevertheless remains constrained by the structure of its business model. Circular activities, particularly resale, remain commercially marginal, while much of the group’s revenue continues to depend on newly produced garments. Previous regulatory concerns regarding sustainability claims also demonstrate that measurable progress can be weakened by </w:t>
      </w:r>
      <w:r w:rsidR="000113C6" w:rsidRPr="000815C0">
        <w:rPr>
          <w:rFonts w:ascii="Times New Roman" w:eastAsia="Times New Roman" w:hAnsi="Times New Roman" w:cs="Times New Roman"/>
          <w:kern w:val="0"/>
          <w:sz w:val="24"/>
          <w:szCs w:val="24"/>
          <w14:ligatures w14:val="none"/>
        </w:rPr>
        <w:t>insufficiently precise communication</w:t>
      </w:r>
      <w:r w:rsidRPr="000815C0">
        <w:rPr>
          <w:rFonts w:ascii="Times New Roman" w:eastAsia="Times New Roman" w:hAnsi="Times New Roman" w:cs="Times New Roman"/>
          <w:kern w:val="0"/>
          <w:sz w:val="24"/>
          <w:szCs w:val="24"/>
          <w14:ligatures w14:val="none"/>
        </w:rPr>
        <w:t>. Furthermore, the durability of recent environmental improvements remains uncertain if material use and sales volumes increase.</w:t>
      </w:r>
    </w:p>
    <w:p w14:paraId="5B1CDC9B" w14:textId="77777777" w:rsidR="009D57F1" w:rsidRPr="000815C0" w:rsidRDefault="009D57F1" w:rsidP="009D57F1">
      <w:pPr>
        <w:shd w:val="clear" w:color="auto" w:fill="FFFFFF"/>
        <w:spacing w:after="0" w:line="480" w:lineRule="auto"/>
        <w:jc w:val="both"/>
        <w:rPr>
          <w:rFonts w:ascii="Times New Roman" w:eastAsia="Times New Roman" w:hAnsi="Times New Roman" w:cs="Times New Roman"/>
          <w:kern w:val="0"/>
          <w:sz w:val="27"/>
          <w:szCs w:val="27"/>
          <w14:ligatures w14:val="none"/>
        </w:rPr>
      </w:pPr>
      <w:r w:rsidRPr="000815C0">
        <w:rPr>
          <w:rFonts w:ascii="Times New Roman" w:eastAsia="Times New Roman" w:hAnsi="Times New Roman" w:cs="Times New Roman"/>
          <w:kern w:val="0"/>
          <w:sz w:val="24"/>
          <w:szCs w:val="24"/>
          <w14:ligatures w14:val="none"/>
        </w:rPr>
        <w:t xml:space="preserve">Overall, H&amp;M demonstrates meaningful but incomplete responsible global leadership. Its commitments, governance arrangements and measurable performance provide evidence of substantive action rather than purely symbolic compliance. However, full credibility requires </w:t>
      </w:r>
      <w:r w:rsidRPr="000815C0">
        <w:rPr>
          <w:rFonts w:ascii="Times New Roman" w:eastAsia="Times New Roman" w:hAnsi="Times New Roman" w:cs="Times New Roman"/>
          <w:kern w:val="0"/>
          <w:sz w:val="24"/>
          <w:szCs w:val="24"/>
          <w14:ligatures w14:val="none"/>
        </w:rPr>
        <w:lastRenderedPageBreak/>
        <w:t>proof that absolute environmental impacts can continue declining alongside growth and that circularity, durability and reuse increasingly replace virgin-resource production. H&amp;M should therefore be viewed as undertaking credible strategic adaptation, but not yet achieving complete environmental transformation.</w:t>
      </w:r>
    </w:p>
    <w:p w14:paraId="27D7465E" w14:textId="77777777" w:rsidR="00CC0306" w:rsidRPr="000815C0" w:rsidRDefault="00CC0306">
      <w:pPr>
        <w:rPr>
          <w:rFonts w:ascii="Times New Roman" w:hAnsi="Times New Roman" w:cs="Times New Roman"/>
        </w:rPr>
      </w:pPr>
    </w:p>
    <w:p w14:paraId="60BFABE5" w14:textId="77777777" w:rsidR="00CC0306" w:rsidRPr="000815C0" w:rsidRDefault="00CC0306">
      <w:pPr>
        <w:rPr>
          <w:rFonts w:ascii="Times New Roman" w:hAnsi="Times New Roman" w:cs="Times New Roman"/>
        </w:rPr>
      </w:pPr>
    </w:p>
    <w:p w14:paraId="0C037BE7" w14:textId="77777777" w:rsidR="00CC0306" w:rsidRPr="000815C0" w:rsidRDefault="00CC0306">
      <w:pPr>
        <w:rPr>
          <w:rFonts w:ascii="Times New Roman" w:hAnsi="Times New Roman" w:cs="Times New Roman"/>
        </w:rPr>
      </w:pPr>
    </w:p>
    <w:p w14:paraId="49F650AB" w14:textId="77777777" w:rsidR="00CC0306" w:rsidRPr="000815C0" w:rsidRDefault="00CC0306">
      <w:pPr>
        <w:rPr>
          <w:rFonts w:ascii="Times New Roman" w:hAnsi="Times New Roman" w:cs="Times New Roman"/>
        </w:rPr>
      </w:pPr>
    </w:p>
    <w:p w14:paraId="4B905D47" w14:textId="77777777" w:rsidR="00CC0306" w:rsidRPr="000815C0" w:rsidRDefault="00CC0306">
      <w:pPr>
        <w:rPr>
          <w:rFonts w:ascii="Times New Roman" w:hAnsi="Times New Roman" w:cs="Times New Roman"/>
        </w:rPr>
      </w:pPr>
    </w:p>
    <w:p w14:paraId="3BB64118" w14:textId="77777777" w:rsidR="00CC0306" w:rsidRPr="000815C0" w:rsidRDefault="00CC0306">
      <w:pPr>
        <w:rPr>
          <w:rFonts w:ascii="Times New Roman" w:hAnsi="Times New Roman" w:cs="Times New Roman"/>
        </w:rPr>
      </w:pPr>
    </w:p>
    <w:p w14:paraId="4D1B5548" w14:textId="77777777" w:rsidR="00CC0306" w:rsidRPr="000815C0" w:rsidRDefault="00CC0306">
      <w:pPr>
        <w:rPr>
          <w:rFonts w:ascii="Times New Roman" w:hAnsi="Times New Roman" w:cs="Times New Roman"/>
        </w:rPr>
      </w:pPr>
    </w:p>
    <w:p w14:paraId="16EA4B0E" w14:textId="6ED4D2D9" w:rsidR="000113C6" w:rsidRPr="000815C0" w:rsidRDefault="000113C6">
      <w:pPr>
        <w:rPr>
          <w:rFonts w:ascii="Times New Roman" w:hAnsi="Times New Roman" w:cs="Times New Roman"/>
        </w:rPr>
      </w:pPr>
      <w:r w:rsidRPr="000815C0">
        <w:rPr>
          <w:rFonts w:ascii="Times New Roman" w:hAnsi="Times New Roman" w:cs="Times New Roman"/>
        </w:rPr>
        <w:br w:type="page"/>
      </w:r>
    </w:p>
    <w:p w14:paraId="397A964D" w14:textId="5FA781DC" w:rsidR="00CC0306" w:rsidRPr="000815C0" w:rsidRDefault="00CC0306" w:rsidP="0069320D">
      <w:pPr>
        <w:pStyle w:val="Heading1"/>
        <w:rPr>
          <w:rFonts w:ascii="Times New Roman" w:hAnsi="Times New Roman" w:cs="Times New Roman"/>
          <w:color w:val="auto"/>
        </w:rPr>
      </w:pPr>
      <w:bookmarkStart w:id="19" w:name="_Toc235809273"/>
      <w:r w:rsidRPr="000815C0">
        <w:rPr>
          <w:rFonts w:ascii="Times New Roman" w:hAnsi="Times New Roman" w:cs="Times New Roman"/>
          <w:color w:val="auto"/>
        </w:rPr>
        <w:lastRenderedPageBreak/>
        <w:t xml:space="preserve">Reference </w:t>
      </w:r>
      <w:r w:rsidR="00554125">
        <w:rPr>
          <w:rFonts w:ascii="Times New Roman" w:hAnsi="Times New Roman" w:cs="Times New Roman"/>
          <w:color w:val="auto"/>
        </w:rPr>
        <w:t>L</w:t>
      </w:r>
      <w:r w:rsidRPr="000815C0">
        <w:rPr>
          <w:rFonts w:ascii="Times New Roman" w:hAnsi="Times New Roman" w:cs="Times New Roman"/>
          <w:color w:val="auto"/>
        </w:rPr>
        <w:t>ist</w:t>
      </w:r>
      <w:bookmarkEnd w:id="19"/>
    </w:p>
    <w:p w14:paraId="6B531EEC" w14:textId="77777777" w:rsidR="000113C6" w:rsidRPr="000815C0" w:rsidRDefault="000113C6" w:rsidP="000113C6">
      <w:pPr>
        <w:rPr>
          <w:rFonts w:ascii="Times New Roman" w:hAnsi="Times New Roman" w:cs="Times New Roman"/>
        </w:rPr>
      </w:pPr>
    </w:p>
    <w:p w14:paraId="7E588591" w14:textId="77777777" w:rsidR="008E7B72" w:rsidRDefault="008E7B72" w:rsidP="00004B12">
      <w:pPr>
        <w:pStyle w:val="pdq2pgselectionanchorcontainer"/>
      </w:pPr>
      <w:r>
        <w:t xml:space="preserve">ACM (2022) </w:t>
      </w:r>
      <w:r>
        <w:rPr>
          <w:rStyle w:val="Emphasis"/>
        </w:rPr>
        <w:t>Commitment decision for H&amp;M regarding sustainability claims</w:t>
      </w:r>
      <w:r>
        <w:t xml:space="preserve">. The Hague: Netherlands Authority for Consumers and Markets. Available at: </w:t>
      </w:r>
      <w:hyperlink r:id="rId10" w:history="1">
        <w:r w:rsidRPr="00821FA2">
          <w:rPr>
            <w:rStyle w:val="Hyperlink"/>
          </w:rPr>
          <w:t>https://www.acm.nl/en/publications/commitment-decision-handm-regarding-sustainability-claims</w:t>
        </w:r>
      </w:hyperlink>
      <w:r>
        <w:t xml:space="preserve">  (Accessed: 24 July 2026).</w:t>
      </w:r>
    </w:p>
    <w:p w14:paraId="2508F4A7" w14:textId="5F77120A" w:rsidR="008E7B72" w:rsidRDefault="008E7B72" w:rsidP="00004B12">
      <w:pPr>
        <w:pStyle w:val="NormalWeb"/>
      </w:pPr>
      <w:r>
        <w:t xml:space="preserve">Bennett, N.J., Whitty, T.S., Finkbeiner, E., Pittman, J., Bassett, H., </w:t>
      </w:r>
      <w:proofErr w:type="spellStart"/>
      <w:r>
        <w:t>Gelcich</w:t>
      </w:r>
      <w:proofErr w:type="spellEnd"/>
      <w:r>
        <w:t xml:space="preserve">, S. and Allison, E.H. (2018) ‘Environmental stewardship: A conceptual review and analytical framework’, </w:t>
      </w:r>
      <w:r>
        <w:rPr>
          <w:rStyle w:val="Emphasis"/>
        </w:rPr>
        <w:t>Environmental Management</w:t>
      </w:r>
      <w:r>
        <w:t>, 61(4), pp. 597</w:t>
      </w:r>
      <w:r w:rsidR="00E819E0">
        <w:t>-</w:t>
      </w:r>
      <w:r>
        <w:t>614. do</w:t>
      </w:r>
      <w:proofErr w:type="spellStart"/>
      <w:r>
        <w:t>i</w:t>
      </w:r>
      <w:proofErr w:type="spellEnd"/>
      <w:r>
        <w:t>: 10.1007/s00267-017-0993-2.</w:t>
      </w:r>
    </w:p>
    <w:p w14:paraId="639E7093" w14:textId="77777777" w:rsidR="008E7B72" w:rsidRDefault="008E7B72" w:rsidP="00004B12">
      <w:pPr>
        <w:pStyle w:val="NormalWeb"/>
      </w:pPr>
      <w:r>
        <w:t xml:space="preserve">Bradford, A. (2020) </w:t>
      </w:r>
      <w:r>
        <w:rPr>
          <w:rStyle w:val="Emphasis"/>
        </w:rPr>
        <w:t>The Brussels Effect: How the European Union Rules the World</w:t>
      </w:r>
      <w:r>
        <w:t>. Oxford: Oxford University Press.</w:t>
      </w:r>
    </w:p>
    <w:p w14:paraId="5051A34C" w14:textId="5F5D3C12" w:rsidR="008E7B72" w:rsidRDefault="008E7B72" w:rsidP="00004B12">
      <w:pPr>
        <w:pStyle w:val="NormalWeb"/>
      </w:pPr>
      <w:r>
        <w:t xml:space="preserve">Brown, M.E., Treviño, L.K. and Harrison, D.A. (2005) ‘Ethical leadership: A social learning perspective for construct development and testing’, </w:t>
      </w:r>
      <w:r>
        <w:rPr>
          <w:rStyle w:val="Emphasis"/>
        </w:rPr>
        <w:t>Organizational Behavior and Human Decision Processes</w:t>
      </w:r>
      <w:r>
        <w:t>, 97(2), pp. 117</w:t>
      </w:r>
      <w:r w:rsidR="00E819E0">
        <w:t>-</w:t>
      </w:r>
      <w:r>
        <w:t>134. do</w:t>
      </w:r>
      <w:proofErr w:type="spellStart"/>
      <w:r>
        <w:t>i</w:t>
      </w:r>
      <w:proofErr w:type="spellEnd"/>
      <w:r>
        <w:t>: 10.1016/j.obhdp.2005.03.002.</w:t>
      </w:r>
    </w:p>
    <w:p w14:paraId="66F28A07" w14:textId="77777777" w:rsidR="008E7B72" w:rsidRDefault="008E7B72" w:rsidP="00004B12">
      <w:pPr>
        <w:pStyle w:val="NormalWeb"/>
      </w:pPr>
      <w:r>
        <w:t xml:space="preserve">Dragomir, V.D. and Dumitru, M. (2022) ‘Practical solutions for circular business models in the fashion industry’, </w:t>
      </w:r>
      <w:r>
        <w:rPr>
          <w:rStyle w:val="Emphasis"/>
        </w:rPr>
        <w:t>Cleaner Logistics and Supply Chain</w:t>
      </w:r>
      <w:r>
        <w:t xml:space="preserve">, 4, 100040. </w:t>
      </w:r>
      <w:proofErr w:type="spellStart"/>
      <w:r>
        <w:t>doi</w:t>
      </w:r>
      <w:proofErr w:type="spellEnd"/>
      <w:r>
        <w:t>: 10.1016/j.clscn.2022.100040.</w:t>
      </w:r>
    </w:p>
    <w:p w14:paraId="01A60C35" w14:textId="77777777" w:rsidR="008E7B72" w:rsidRDefault="008E7B72" w:rsidP="00004B12">
      <w:pPr>
        <w:pStyle w:val="NormalWeb"/>
      </w:pPr>
      <w:r>
        <w:t xml:space="preserve">Ellen MacArthur Foundation (2021) </w:t>
      </w:r>
      <w:r>
        <w:rPr>
          <w:rStyle w:val="Emphasis"/>
        </w:rPr>
        <w:t>Circular Business Models: Redefining Growth for a Thriving Fashion Industry</w:t>
      </w:r>
      <w:r>
        <w:t xml:space="preserve">. Cowes: Ellen MacArthur Foundation. Available at: </w:t>
      </w:r>
      <w:hyperlink r:id="rId11" w:history="1">
        <w:r w:rsidRPr="00821FA2">
          <w:rPr>
            <w:rStyle w:val="Hyperlink"/>
          </w:rPr>
          <w:t>https://content.ellenmacarthurfoundation.org/m/60926fc64dbab81d/original/Circular-business-models.pdf</w:t>
        </w:r>
      </w:hyperlink>
      <w:r>
        <w:t xml:space="preserve"> (Accessed: 22 July 2026).</w:t>
      </w:r>
    </w:p>
    <w:p w14:paraId="5A2F02AD" w14:textId="4AD5678A" w:rsidR="008E7B72" w:rsidRDefault="008E7B72" w:rsidP="00004B12">
      <w:pPr>
        <w:pStyle w:val="NormalWeb"/>
      </w:pPr>
      <w:r>
        <w:t xml:space="preserve">European Commission (2022) </w:t>
      </w:r>
      <w:r>
        <w:rPr>
          <w:rStyle w:val="Emphasis"/>
        </w:rPr>
        <w:t>EU Strategy for Sustainable and Circular Textiles</w:t>
      </w:r>
      <w:r>
        <w:t xml:space="preserve">. </w:t>
      </w:r>
      <w:proofErr w:type="gramStart"/>
      <w:r>
        <w:t>COM(</w:t>
      </w:r>
      <w:proofErr w:type="gramEnd"/>
      <w:r>
        <w:t xml:space="preserve">2022) 141 final. Brussels: European Commission. Available at: </w:t>
      </w:r>
      <w:hyperlink r:id="rId12" w:tgtFrame="_new" w:history="1">
        <w:r>
          <w:rPr>
            <w:rStyle w:val="Hyperlink"/>
          </w:rPr>
          <w:t>https://environment.ec.europa.eu/strategy/textiles-strategy_en</w:t>
        </w:r>
      </w:hyperlink>
      <w:r>
        <w:t xml:space="preserve"> (Accessed: </w:t>
      </w:r>
      <w:r w:rsidR="00E819E0">
        <w:t>15</w:t>
      </w:r>
      <w:r>
        <w:t xml:space="preserve"> July 2026).</w:t>
      </w:r>
    </w:p>
    <w:p w14:paraId="5886943E" w14:textId="1BC70957" w:rsidR="008E7B72" w:rsidRDefault="008E7B72" w:rsidP="00004B12">
      <w:pPr>
        <w:pStyle w:val="NormalWeb"/>
      </w:pPr>
      <w:r>
        <w:t xml:space="preserve">European Environment Agency (EEA) (2025) </w:t>
      </w:r>
      <w:r>
        <w:rPr>
          <w:rStyle w:val="Emphasis"/>
        </w:rPr>
        <w:t>Circularity of the EU Textiles Value Chain in Numbers</w:t>
      </w:r>
      <w:r>
        <w:t xml:space="preserve">. Copenhagen: European Environment Agency. Available at: </w:t>
      </w:r>
      <w:hyperlink r:id="rId13" w:history="1">
        <w:r w:rsidRPr="00821FA2">
          <w:rPr>
            <w:rStyle w:val="Hyperlink"/>
          </w:rPr>
          <w:t>https://environment.ec.europa.eu/strategy/textiles-strategy_en</w:t>
        </w:r>
      </w:hyperlink>
      <w:r>
        <w:t xml:space="preserve">  (Accessed: </w:t>
      </w:r>
      <w:r w:rsidR="00E819E0">
        <w:t>19</w:t>
      </w:r>
      <w:r>
        <w:t xml:space="preserve"> July 2026).</w:t>
      </w:r>
    </w:p>
    <w:p w14:paraId="3DF1FB52" w14:textId="3C8E7363" w:rsidR="008E7B72" w:rsidRDefault="008E7B72" w:rsidP="00004B12">
      <w:pPr>
        <w:pStyle w:val="NormalWeb"/>
      </w:pPr>
      <w:r>
        <w:t xml:space="preserve">European Union (2022) ‘Directive (EU) 2022/2464 as regards corporate sustainability reporting’, </w:t>
      </w:r>
      <w:r>
        <w:rPr>
          <w:rStyle w:val="Emphasis"/>
        </w:rPr>
        <w:t>Official Journal of the European Union</w:t>
      </w:r>
      <w:r>
        <w:t>, L322, pp. 15</w:t>
      </w:r>
      <w:r w:rsidR="00E819E0">
        <w:t>-</w:t>
      </w:r>
      <w:r>
        <w:t xml:space="preserve">80. Available at: </w:t>
      </w:r>
      <w:hyperlink r:id="rId14" w:tgtFrame="_new" w:history="1">
        <w:r>
          <w:rPr>
            <w:rStyle w:val="Hyperlink"/>
          </w:rPr>
          <w:t>https://eur-lex.europa.eu/eli/dir/2022/2464/oj</w:t>
        </w:r>
      </w:hyperlink>
      <w:r>
        <w:t xml:space="preserve"> (Accessed: </w:t>
      </w:r>
      <w:r w:rsidR="00E819E0">
        <w:t>11</w:t>
      </w:r>
      <w:r>
        <w:t xml:space="preserve"> July 2026).</w:t>
      </w:r>
    </w:p>
    <w:p w14:paraId="074348BE" w14:textId="77777777" w:rsidR="008E7B72" w:rsidRDefault="008E7B72" w:rsidP="00004B12">
      <w:pPr>
        <w:pStyle w:val="NormalWeb"/>
      </w:pPr>
      <w:r>
        <w:t xml:space="preserve">European Union (2024a) ‘Directive (EU) 2024/825 as regards empowering consumers for the green transition through better protection against unfair practices and through better information’, </w:t>
      </w:r>
      <w:r>
        <w:rPr>
          <w:rStyle w:val="Emphasis"/>
        </w:rPr>
        <w:t>Official Journal of the European Union</w:t>
      </w:r>
      <w:r>
        <w:t xml:space="preserve">. Available at: </w:t>
      </w:r>
      <w:hyperlink r:id="rId15" w:history="1">
        <w:r w:rsidRPr="00821FA2">
          <w:rPr>
            <w:rStyle w:val="Hyperlink"/>
          </w:rPr>
          <w:t>https://eur-lex.europa.eu/eli/dir/2024/825/oj/eng</w:t>
        </w:r>
      </w:hyperlink>
      <w:r>
        <w:t xml:space="preserve">  (Accessed: 22 July 2026).</w:t>
      </w:r>
    </w:p>
    <w:p w14:paraId="3B4A4D3B" w14:textId="77777777" w:rsidR="008E7B72" w:rsidRDefault="008E7B72" w:rsidP="00004B12">
      <w:pPr>
        <w:pStyle w:val="NormalWeb"/>
      </w:pPr>
      <w:r>
        <w:t xml:space="preserve">European Union (2024b) ‘Regulation (EU) 2024/1781 establishing a framework for the setting of </w:t>
      </w:r>
      <w:proofErr w:type="spellStart"/>
      <w:r>
        <w:t>ecodesign</w:t>
      </w:r>
      <w:proofErr w:type="spellEnd"/>
      <w:r>
        <w:t xml:space="preserve"> requirements for sustainable products’, </w:t>
      </w:r>
      <w:r>
        <w:rPr>
          <w:rStyle w:val="Emphasis"/>
        </w:rPr>
        <w:t>Official Journal of the European Union</w:t>
      </w:r>
      <w:r>
        <w:t xml:space="preserve">. Available at: </w:t>
      </w:r>
      <w:hyperlink r:id="rId16" w:history="1">
        <w:r w:rsidRPr="00821FA2">
          <w:rPr>
            <w:rStyle w:val="Hyperlink"/>
          </w:rPr>
          <w:t>https://eur-lex.europa.eu/eli/reg/2024/1781/oj/eng</w:t>
        </w:r>
      </w:hyperlink>
      <w:r>
        <w:t xml:space="preserve">  (Accessed: 24 July 2026).</w:t>
      </w:r>
    </w:p>
    <w:p w14:paraId="2C81B0B8" w14:textId="4BA55034" w:rsidR="008E7B72" w:rsidRDefault="008E7B72" w:rsidP="00004B12">
      <w:pPr>
        <w:pStyle w:val="NormalWeb"/>
      </w:pPr>
      <w:r>
        <w:lastRenderedPageBreak/>
        <w:t xml:space="preserve">European Union (2025) ‘Directive (EU) 2025/1892 amending Directive 2008/98/EC on waste’, </w:t>
      </w:r>
      <w:r>
        <w:rPr>
          <w:rStyle w:val="Emphasis"/>
        </w:rPr>
        <w:t>Official Journal of the European Union</w:t>
      </w:r>
      <w:r>
        <w:t xml:space="preserve">. Available at: </w:t>
      </w:r>
      <w:hyperlink r:id="rId17" w:history="1">
        <w:r w:rsidRPr="00821FA2">
          <w:rPr>
            <w:rStyle w:val="Hyperlink"/>
          </w:rPr>
          <w:t>https://eur-lex.europa.eu/eli/dir/2025/1892/oj/eng</w:t>
        </w:r>
      </w:hyperlink>
      <w:r>
        <w:t xml:space="preserve"> (Accessed: </w:t>
      </w:r>
      <w:r w:rsidR="00E819E0">
        <w:t>09</w:t>
      </w:r>
      <w:r>
        <w:t xml:space="preserve"> July 2026).</w:t>
      </w:r>
    </w:p>
    <w:p w14:paraId="066545FC" w14:textId="77777777" w:rsidR="008E7B72" w:rsidRDefault="008E7B72" w:rsidP="00004B12">
      <w:pPr>
        <w:pStyle w:val="NormalWeb"/>
      </w:pPr>
      <w:r>
        <w:t xml:space="preserve">Freeman, R.E. (1984) </w:t>
      </w:r>
      <w:r>
        <w:rPr>
          <w:rStyle w:val="Emphasis"/>
        </w:rPr>
        <w:t>Strategic Management: A Stakeholder Approach</w:t>
      </w:r>
      <w:r>
        <w:t>. Boston: Pitman.</w:t>
      </w:r>
    </w:p>
    <w:p w14:paraId="763A7E6E" w14:textId="77777777" w:rsidR="008E7B72" w:rsidRDefault="008E7B72" w:rsidP="00004B12">
      <w:pPr>
        <w:pStyle w:val="NormalWeb"/>
      </w:pPr>
      <w:r>
        <w:t xml:space="preserve">Fry, L.W. and Egel, E. (2021) ‘Global leadership for sustainability’, </w:t>
      </w:r>
      <w:r>
        <w:rPr>
          <w:rStyle w:val="Emphasis"/>
        </w:rPr>
        <w:t>Sustainability</w:t>
      </w:r>
      <w:r>
        <w:t xml:space="preserve">, 13(11), 6360. </w:t>
      </w:r>
      <w:proofErr w:type="spellStart"/>
      <w:r>
        <w:t>doi</w:t>
      </w:r>
      <w:proofErr w:type="spellEnd"/>
      <w:r>
        <w:t>: 10.3390/su13116360.</w:t>
      </w:r>
    </w:p>
    <w:p w14:paraId="3D113068" w14:textId="77777777" w:rsidR="008E7B72" w:rsidRDefault="008E7B72" w:rsidP="00004B12">
      <w:pPr>
        <w:pStyle w:val="NormalWeb"/>
      </w:pPr>
      <w:r>
        <w:t xml:space="preserve">H&amp;M Group (2026) </w:t>
      </w:r>
      <w:r>
        <w:rPr>
          <w:rStyle w:val="Emphasis"/>
        </w:rPr>
        <w:t>Annual and Sustainability Report 2025</w:t>
      </w:r>
      <w:r>
        <w:t xml:space="preserve">. Stockholm: H &amp; M Hennes &amp; Mauritz AB. Available at: </w:t>
      </w:r>
      <w:hyperlink r:id="rId18" w:history="1">
        <w:r w:rsidRPr="00821FA2">
          <w:rPr>
            <w:rStyle w:val="Hyperlink"/>
          </w:rPr>
          <w:t>https://hmgroup.com/wp-content/uploads/2026/03/HM-Group-Annual-and-sustainability-report-2025.pdf</w:t>
        </w:r>
      </w:hyperlink>
      <w:r>
        <w:t xml:space="preserve"> (Accessed: 23 July 2026).</w:t>
      </w:r>
    </w:p>
    <w:p w14:paraId="577AD5BB" w14:textId="175D2F88" w:rsidR="008E7B72" w:rsidRDefault="008E7B72" w:rsidP="00004B12">
      <w:pPr>
        <w:pStyle w:val="NormalWeb"/>
      </w:pPr>
      <w:r>
        <w:t xml:space="preserve">H&amp;M Group (n.d.-a) </w:t>
      </w:r>
      <w:r>
        <w:rPr>
          <w:rStyle w:val="Emphasis"/>
        </w:rPr>
        <w:t>Financing our transition</w:t>
      </w:r>
      <w:r>
        <w:t xml:space="preserve">. Available at: </w:t>
      </w:r>
      <w:hyperlink r:id="rId19" w:history="1">
        <w:r w:rsidRPr="00821FA2">
          <w:rPr>
            <w:rStyle w:val="Hyperlink"/>
          </w:rPr>
          <w:t>https://hmgroup.com/sustainability/leading-the-change/financing-our-transition/</w:t>
        </w:r>
      </w:hyperlink>
      <w:r>
        <w:t xml:space="preserve">  (Accessed: </w:t>
      </w:r>
      <w:r w:rsidR="00E819E0">
        <w:t>17</w:t>
      </w:r>
      <w:r>
        <w:t xml:space="preserve"> July 2026).</w:t>
      </w:r>
    </w:p>
    <w:p w14:paraId="1E663982" w14:textId="729401CB" w:rsidR="008E7B72" w:rsidRDefault="008E7B72" w:rsidP="00004B12">
      <w:pPr>
        <w:pStyle w:val="NormalWeb"/>
      </w:pPr>
      <w:r>
        <w:t xml:space="preserve">H&amp;M Group (n.d.-b) </w:t>
      </w:r>
      <w:r>
        <w:rPr>
          <w:rStyle w:val="Emphasis"/>
        </w:rPr>
        <w:t>Supply chain transparency</w:t>
      </w:r>
      <w:r>
        <w:t xml:space="preserve">. Available at: </w:t>
      </w:r>
      <w:hyperlink r:id="rId20" w:history="1">
        <w:r w:rsidRPr="00821FA2">
          <w:rPr>
            <w:rStyle w:val="Hyperlink"/>
          </w:rPr>
          <w:t>https://hmgroup.com/sustainability/leading-the-change/transparency/supply-chain/</w:t>
        </w:r>
      </w:hyperlink>
      <w:r>
        <w:t xml:space="preserve"> (Accessed: </w:t>
      </w:r>
      <w:r w:rsidR="00E819E0">
        <w:t>15</w:t>
      </w:r>
      <w:r>
        <w:t xml:space="preserve"> July 2026).</w:t>
      </w:r>
    </w:p>
    <w:p w14:paraId="52B8EA25" w14:textId="3E3F1EC0" w:rsidR="008E7B72" w:rsidRDefault="008E7B72" w:rsidP="00004B12">
      <w:pPr>
        <w:pStyle w:val="NormalWeb"/>
      </w:pPr>
      <w:r>
        <w:t xml:space="preserve">Hahn, T., </w:t>
      </w:r>
      <w:proofErr w:type="spellStart"/>
      <w:r>
        <w:t>Pinkse</w:t>
      </w:r>
      <w:proofErr w:type="spellEnd"/>
      <w:r>
        <w:t xml:space="preserve">, J., Preuss, L. and Figge, F. (2015) ‘Tensions in corporate sustainability: Towards an integrative framework’, </w:t>
      </w:r>
      <w:r>
        <w:rPr>
          <w:rStyle w:val="Emphasis"/>
        </w:rPr>
        <w:t>Journal of Business Ethics</w:t>
      </w:r>
      <w:r>
        <w:t>, 127(2), pp. 297</w:t>
      </w:r>
      <w:r w:rsidR="00E819E0">
        <w:t>-</w:t>
      </w:r>
      <w:r>
        <w:t>316. do</w:t>
      </w:r>
      <w:proofErr w:type="spellStart"/>
      <w:r>
        <w:t>i</w:t>
      </w:r>
      <w:proofErr w:type="spellEnd"/>
      <w:r>
        <w:t>: 10.1007/s10551-014-2047-5.</w:t>
      </w:r>
    </w:p>
    <w:p w14:paraId="1AFB76F1" w14:textId="203B7737" w:rsidR="008E7B72" w:rsidRDefault="008E7B72" w:rsidP="00004B12">
      <w:pPr>
        <w:pStyle w:val="NormalWeb"/>
      </w:pPr>
      <w:r>
        <w:t xml:space="preserve">IFRS Foundation (2023) </w:t>
      </w:r>
      <w:r>
        <w:rPr>
          <w:rStyle w:val="Emphasis"/>
        </w:rPr>
        <w:t>IFRS S2 Climate-related Disclosures</w:t>
      </w:r>
      <w:r>
        <w:t xml:space="preserve">. London: IFRS Foundation. Available at: </w:t>
      </w:r>
      <w:hyperlink r:id="rId21" w:history="1">
        <w:r w:rsidRPr="00821FA2">
          <w:rPr>
            <w:rStyle w:val="Hyperlink"/>
          </w:rPr>
          <w:t>https://www.ifrs.org/issued-standards/ifrs-sustainability-standards-navigator/ifrs-s2-climate-related-disclosures/</w:t>
        </w:r>
      </w:hyperlink>
      <w:r>
        <w:t xml:space="preserve">  (Accessed: </w:t>
      </w:r>
      <w:r w:rsidR="00E819E0">
        <w:t>21</w:t>
      </w:r>
      <w:r>
        <w:t xml:space="preserve"> July 2026).</w:t>
      </w:r>
    </w:p>
    <w:p w14:paraId="3C0ECBCD" w14:textId="77777777" w:rsidR="008E7B72" w:rsidRDefault="008E7B72" w:rsidP="00004B12">
      <w:pPr>
        <w:pStyle w:val="NormalWeb"/>
      </w:pPr>
      <w:r>
        <w:t xml:space="preserve">Khan, O., </w:t>
      </w:r>
      <w:proofErr w:type="spellStart"/>
      <w:r>
        <w:t>Varaksina</w:t>
      </w:r>
      <w:proofErr w:type="spellEnd"/>
      <w:r>
        <w:t xml:space="preserve">, N. and </w:t>
      </w:r>
      <w:proofErr w:type="spellStart"/>
      <w:r>
        <w:t>Hinterhuber</w:t>
      </w:r>
      <w:proofErr w:type="spellEnd"/>
      <w:r>
        <w:t xml:space="preserve">, A. (2024) ‘The influence of cultural differences on consumers’ willingness to pay more for sustainable fashion’, </w:t>
      </w:r>
      <w:r>
        <w:rPr>
          <w:rStyle w:val="Emphasis"/>
        </w:rPr>
        <w:t>Journal of Cleaner Production</w:t>
      </w:r>
      <w:r>
        <w:t xml:space="preserve">, 442, 141024. </w:t>
      </w:r>
      <w:proofErr w:type="spellStart"/>
      <w:r>
        <w:t>doi</w:t>
      </w:r>
      <w:proofErr w:type="spellEnd"/>
      <w:r>
        <w:t>: 10.1016/j.jclepro.2024.141024.</w:t>
      </w:r>
    </w:p>
    <w:p w14:paraId="1EAD3F8E" w14:textId="7F23DF75" w:rsidR="008E7B72" w:rsidRDefault="008E7B72" w:rsidP="00004B12">
      <w:pPr>
        <w:pStyle w:val="NormalWeb"/>
      </w:pPr>
      <w:r>
        <w:t xml:space="preserve">Maak, T. and Pless, N.M. (2006) ‘Responsible leadership in a stakeholder society: A relational perspective’, </w:t>
      </w:r>
      <w:r>
        <w:rPr>
          <w:rStyle w:val="Emphasis"/>
        </w:rPr>
        <w:t>Journal of Business Ethics</w:t>
      </w:r>
      <w:r>
        <w:t>, 66(1), pp. 99</w:t>
      </w:r>
      <w:r w:rsidR="00E819E0">
        <w:t>-</w:t>
      </w:r>
      <w:r>
        <w:t>115. do</w:t>
      </w:r>
      <w:proofErr w:type="spellStart"/>
      <w:r>
        <w:t>i</w:t>
      </w:r>
      <w:proofErr w:type="spellEnd"/>
      <w:r>
        <w:t>: 10.1007/s10551-006-9047-z.</w:t>
      </w:r>
    </w:p>
    <w:p w14:paraId="776BFA62" w14:textId="2E5623D4" w:rsidR="008E7B72" w:rsidRDefault="008E7B72" w:rsidP="00004B12">
      <w:pPr>
        <w:pStyle w:val="NormalWeb"/>
      </w:pPr>
      <w:r>
        <w:t xml:space="preserve">Niinimäki, K., Peters, G., Dahlbo, H., Perry, P., Rissanen, T. and Gwilt, A. (2020) ‘The environmental price of fast fashion’, </w:t>
      </w:r>
      <w:r>
        <w:rPr>
          <w:rStyle w:val="Emphasis"/>
        </w:rPr>
        <w:t>Nature Reviews Earth &amp; Environment</w:t>
      </w:r>
      <w:r>
        <w:t>, 1, pp. 189</w:t>
      </w:r>
      <w:r w:rsidR="00E819E0">
        <w:t>-</w:t>
      </w:r>
      <w:r>
        <w:t>200. do</w:t>
      </w:r>
      <w:proofErr w:type="spellStart"/>
      <w:r>
        <w:t>i</w:t>
      </w:r>
      <w:proofErr w:type="spellEnd"/>
      <w:r>
        <w:t>: 10.1038/s43017-020-0039-9.</w:t>
      </w:r>
    </w:p>
    <w:p w14:paraId="04716C9A" w14:textId="2E417BE6" w:rsidR="008E7B72" w:rsidRDefault="008E7B72" w:rsidP="00004B12">
      <w:pPr>
        <w:pStyle w:val="NormalWeb"/>
      </w:pPr>
      <w:proofErr w:type="spellStart"/>
      <w:r>
        <w:t>Sahimaa</w:t>
      </w:r>
      <w:proofErr w:type="spellEnd"/>
      <w:r>
        <w:t xml:space="preserve">, O., Miller, E.M., Halme, M., Niinimäki, K., Tanner, H., Mäkelä, M., Rissanen, M., </w:t>
      </w:r>
      <w:proofErr w:type="spellStart"/>
      <w:r>
        <w:t>Härri</w:t>
      </w:r>
      <w:proofErr w:type="spellEnd"/>
      <w:r>
        <w:t xml:space="preserve">, A. and Hummel, M. (2024) ‘From simplistic to systemic sustainability in the textile and fashion industry’, </w:t>
      </w:r>
      <w:r>
        <w:rPr>
          <w:rStyle w:val="Emphasis"/>
        </w:rPr>
        <w:t>Circular Economy and Sustainability</w:t>
      </w:r>
      <w:r>
        <w:t>, 4(2), pp. 1115</w:t>
      </w:r>
      <w:r w:rsidR="00E819E0">
        <w:t>-</w:t>
      </w:r>
      <w:r>
        <w:t>1131. d</w:t>
      </w:r>
      <w:proofErr w:type="spellStart"/>
      <w:r>
        <w:t>oi</w:t>
      </w:r>
      <w:proofErr w:type="spellEnd"/>
      <w:r>
        <w:t>: 10.1007/s43615-023-00322-w.</w:t>
      </w:r>
    </w:p>
    <w:p w14:paraId="0E60121C" w14:textId="6D82ABC5" w:rsidR="008E7B72" w:rsidRDefault="008E7B72" w:rsidP="00004B12">
      <w:pPr>
        <w:pStyle w:val="NormalWeb"/>
      </w:pPr>
      <w:r>
        <w:t xml:space="preserve">Sandin, G. and Peters, G.M. (2018) ‘Environmental impact of textile reuse and recycling: A review’, </w:t>
      </w:r>
      <w:r>
        <w:rPr>
          <w:rStyle w:val="Emphasis"/>
        </w:rPr>
        <w:t>Journal of Cleaner Production</w:t>
      </w:r>
      <w:r>
        <w:t>, 184, pp. 353</w:t>
      </w:r>
      <w:r w:rsidR="00E819E0">
        <w:t>-</w:t>
      </w:r>
      <w:r>
        <w:t>365. do</w:t>
      </w:r>
      <w:proofErr w:type="spellStart"/>
      <w:r>
        <w:t>i</w:t>
      </w:r>
      <w:proofErr w:type="spellEnd"/>
      <w:r>
        <w:t>: 10.1016/j.jclepro.2018.02.266.</w:t>
      </w:r>
    </w:p>
    <w:p w14:paraId="16A37E90" w14:textId="77777777" w:rsidR="008E7B72" w:rsidRDefault="008E7B72" w:rsidP="00004B12">
      <w:pPr>
        <w:pStyle w:val="NormalWeb"/>
      </w:pPr>
      <w:r>
        <w:lastRenderedPageBreak/>
        <w:t xml:space="preserve">Schumacher, K.A. and Forster, A.L. (2022) ‘Textiles in a circular economy: An assessment of the current landscape, challenges, and opportunities in the United States’, </w:t>
      </w:r>
      <w:r>
        <w:rPr>
          <w:rStyle w:val="Emphasis"/>
        </w:rPr>
        <w:t>Frontiers in Sustainability</w:t>
      </w:r>
      <w:r>
        <w:t xml:space="preserve">, 3, 1038323. </w:t>
      </w:r>
      <w:proofErr w:type="spellStart"/>
      <w:r>
        <w:t>doi</w:t>
      </w:r>
      <w:proofErr w:type="spellEnd"/>
      <w:r>
        <w:t>: 10.3389/frsus.2022.1038323.</w:t>
      </w:r>
    </w:p>
    <w:p w14:paraId="193B0B3E" w14:textId="77777777" w:rsidR="008E7B72" w:rsidRDefault="008E7B72" w:rsidP="00004B12">
      <w:pPr>
        <w:pStyle w:val="NormalWeb"/>
      </w:pPr>
      <w:r>
        <w:t xml:space="preserve">Science Based Targets initiative (n.d.) </w:t>
      </w:r>
      <w:r>
        <w:rPr>
          <w:rStyle w:val="Emphasis"/>
        </w:rPr>
        <w:t>Supplier Engagement Case Study: H&amp;M Group</w:t>
      </w:r>
      <w:r>
        <w:t xml:space="preserve">. Available at: </w:t>
      </w:r>
      <w:hyperlink r:id="rId22" w:history="1">
        <w:r w:rsidRPr="00821FA2">
          <w:rPr>
            <w:rStyle w:val="Hyperlink"/>
          </w:rPr>
          <w:t>https://sciencebasedtargets.org/companies-taking-action/case-studies/supplier-engagement-case-study-h-m-group</w:t>
        </w:r>
      </w:hyperlink>
      <w:r>
        <w:t xml:space="preserve"> (Accessed: 23 July 2026).</w:t>
      </w:r>
    </w:p>
    <w:p w14:paraId="092B1475" w14:textId="77777777" w:rsidR="008E7B72" w:rsidRPr="00004B12" w:rsidRDefault="008E7B72" w:rsidP="00004B12">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004B12">
        <w:rPr>
          <w:rFonts w:ascii="Times New Roman" w:eastAsia="Times New Roman" w:hAnsi="Times New Roman" w:cs="Times New Roman"/>
          <w:kern w:val="0"/>
          <w:sz w:val="24"/>
          <w:szCs w:val="24"/>
          <w:lang w:val="en-US"/>
          <w14:ligatures w14:val="none"/>
        </w:rPr>
        <w:t xml:space="preserve">Spencer-Oatey, H. (2020) ‘Global leadership: Key concepts and frameworks’, in Jordans, E., </w:t>
      </w:r>
      <w:proofErr w:type="spellStart"/>
      <w:r w:rsidRPr="00004B12">
        <w:rPr>
          <w:rFonts w:ascii="Times New Roman" w:eastAsia="Times New Roman" w:hAnsi="Times New Roman" w:cs="Times New Roman"/>
          <w:kern w:val="0"/>
          <w:sz w:val="24"/>
          <w:szCs w:val="24"/>
          <w:lang w:val="en-US"/>
          <w14:ligatures w14:val="none"/>
        </w:rPr>
        <w:t>Ng’weno</w:t>
      </w:r>
      <w:proofErr w:type="spellEnd"/>
      <w:r w:rsidRPr="00004B12">
        <w:rPr>
          <w:rFonts w:ascii="Times New Roman" w:eastAsia="Times New Roman" w:hAnsi="Times New Roman" w:cs="Times New Roman"/>
          <w:kern w:val="0"/>
          <w:sz w:val="24"/>
          <w:szCs w:val="24"/>
          <w:lang w:val="en-US"/>
          <w14:ligatures w14:val="none"/>
        </w:rPr>
        <w:t xml:space="preserve">, B. and Spencer-Oatey, H. (eds.) </w:t>
      </w:r>
      <w:r w:rsidRPr="00004B12">
        <w:rPr>
          <w:rFonts w:ascii="Times New Roman" w:eastAsia="Times New Roman" w:hAnsi="Times New Roman" w:cs="Times New Roman"/>
          <w:i/>
          <w:iCs/>
          <w:kern w:val="0"/>
          <w:sz w:val="24"/>
          <w:szCs w:val="24"/>
          <w:lang w:val="en-US"/>
          <w14:ligatures w14:val="none"/>
        </w:rPr>
        <w:t>Developing Global Leaders: Insights from African Case Studies</w:t>
      </w:r>
      <w:r w:rsidRPr="00004B12">
        <w:rPr>
          <w:rFonts w:ascii="Times New Roman" w:eastAsia="Times New Roman" w:hAnsi="Times New Roman" w:cs="Times New Roman"/>
          <w:kern w:val="0"/>
          <w:sz w:val="24"/>
          <w:szCs w:val="24"/>
          <w:lang w:val="en-US"/>
          <w14:ligatures w14:val="none"/>
        </w:rPr>
        <w:t>. Cham: Palgrave Macmillan.</w:t>
      </w:r>
    </w:p>
    <w:p w14:paraId="54BC7231" w14:textId="4EED70DF" w:rsidR="008E7B72" w:rsidRDefault="008E7B72" w:rsidP="00004B12">
      <w:pPr>
        <w:pStyle w:val="NormalWeb"/>
      </w:pPr>
      <w:r>
        <w:t xml:space="preserve">Suchman, M.C. (1995) ‘Managing legitimacy: Strategic and institutional approaches’, </w:t>
      </w:r>
      <w:r>
        <w:rPr>
          <w:rStyle w:val="Emphasis"/>
        </w:rPr>
        <w:t>Academy of Management Review</w:t>
      </w:r>
      <w:r>
        <w:t>, 20(3), pp. 571</w:t>
      </w:r>
      <w:r w:rsidR="00E819E0">
        <w:t>-</w:t>
      </w:r>
      <w:r>
        <w:t>610. do</w:t>
      </w:r>
      <w:proofErr w:type="spellStart"/>
      <w:r>
        <w:t>i</w:t>
      </w:r>
      <w:proofErr w:type="spellEnd"/>
      <w:r>
        <w:t>: 10.5465/amr.1995.9508080331.</w:t>
      </w:r>
    </w:p>
    <w:p w14:paraId="5C75A9A6" w14:textId="77777777" w:rsidR="008E7B72" w:rsidRDefault="008E7B72" w:rsidP="00004B12">
      <w:pPr>
        <w:pStyle w:val="NormalWeb"/>
      </w:pPr>
      <w:r>
        <w:t xml:space="preserve">UNFCCC (2015) </w:t>
      </w:r>
      <w:r>
        <w:rPr>
          <w:rStyle w:val="Emphasis"/>
        </w:rPr>
        <w:t>Paris Agreement</w:t>
      </w:r>
      <w:r>
        <w:t xml:space="preserve">. Bonn: United Nations Framework Convention on Climate Change. Available at: </w:t>
      </w:r>
      <w:hyperlink r:id="rId23" w:tgtFrame="_new" w:history="1">
        <w:r>
          <w:rPr>
            <w:rStyle w:val="Hyperlink"/>
          </w:rPr>
          <w:t>https://unfccc.int/sites/default/files/parisagreement_publication.pdf</w:t>
        </w:r>
      </w:hyperlink>
      <w:r>
        <w:t xml:space="preserve"> (Accessed: 24 July 2026).</w:t>
      </w:r>
    </w:p>
    <w:p w14:paraId="28FA3C11" w14:textId="1075035B" w:rsidR="008E7B72" w:rsidRDefault="008E7B72" w:rsidP="00004B12">
      <w:pPr>
        <w:pStyle w:val="NormalWeb"/>
      </w:pPr>
      <w:r>
        <w:t xml:space="preserve">United Nations (2015) </w:t>
      </w:r>
      <w:r>
        <w:rPr>
          <w:rStyle w:val="Emphasis"/>
        </w:rPr>
        <w:t>Transforming Our World: The 2030 Agenda for Sustainable Development</w:t>
      </w:r>
      <w:r>
        <w:t xml:space="preserve">. New York: United Nations. Available at: </w:t>
      </w:r>
      <w:hyperlink r:id="rId24" w:history="1">
        <w:r w:rsidRPr="00821FA2">
          <w:rPr>
            <w:rStyle w:val="Hyperlink"/>
          </w:rPr>
          <w:t>https://sdgs.un.org/2030agenda</w:t>
        </w:r>
      </w:hyperlink>
      <w:r>
        <w:t xml:space="preserve"> (Accessed: 2</w:t>
      </w:r>
      <w:r w:rsidR="00E819E0">
        <w:t>1</w:t>
      </w:r>
      <w:r>
        <w:t xml:space="preserve"> July 2026).</w:t>
      </w:r>
    </w:p>
    <w:p w14:paraId="22DF2E32" w14:textId="77777777" w:rsidR="008E7B72" w:rsidRDefault="008E7B72" w:rsidP="00004B12">
      <w:pPr>
        <w:pStyle w:val="NormalWeb"/>
      </w:pPr>
      <w:r>
        <w:t xml:space="preserve">Wren, B. (2022) ‘Sustainable supply chain management in the fast fashion industry: A comparative study of current efforts and best practices to address the climate crisis’, </w:t>
      </w:r>
      <w:r>
        <w:rPr>
          <w:rStyle w:val="Emphasis"/>
        </w:rPr>
        <w:t>Cleaner Logistics and Supply Chain</w:t>
      </w:r>
      <w:r>
        <w:t xml:space="preserve">, 4, 100032. </w:t>
      </w:r>
      <w:proofErr w:type="spellStart"/>
      <w:r>
        <w:t>doi</w:t>
      </w:r>
      <w:proofErr w:type="spellEnd"/>
      <w:r>
        <w:t>: 10.1016/j.clscn.2022.100032.</w:t>
      </w:r>
    </w:p>
    <w:p w14:paraId="66FBFBB8" w14:textId="77777777" w:rsidR="008E7B72" w:rsidRPr="00004B12" w:rsidRDefault="008E7B72" w:rsidP="00004B12">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004B12">
        <w:rPr>
          <w:rFonts w:ascii="Times New Roman" w:eastAsia="Times New Roman" w:hAnsi="Times New Roman" w:cs="Times New Roman"/>
          <w:kern w:val="0"/>
          <w:sz w:val="24"/>
          <w:szCs w:val="24"/>
          <w:lang w:val="en-US"/>
          <w14:ligatures w14:val="none"/>
        </w:rPr>
        <w:t xml:space="preserve">Yukl, G. and Gardner, W.L. (2020) </w:t>
      </w:r>
      <w:r w:rsidRPr="00004B12">
        <w:rPr>
          <w:rFonts w:ascii="Times New Roman" w:eastAsia="Times New Roman" w:hAnsi="Times New Roman" w:cs="Times New Roman"/>
          <w:i/>
          <w:iCs/>
          <w:kern w:val="0"/>
          <w:sz w:val="24"/>
          <w:szCs w:val="24"/>
          <w:lang w:val="en-US"/>
          <w14:ligatures w14:val="none"/>
        </w:rPr>
        <w:t>Leadership in Organizations</w:t>
      </w:r>
      <w:r w:rsidRPr="00004B12">
        <w:rPr>
          <w:rFonts w:ascii="Times New Roman" w:eastAsia="Times New Roman" w:hAnsi="Times New Roman" w:cs="Times New Roman"/>
          <w:kern w:val="0"/>
          <w:sz w:val="24"/>
          <w:szCs w:val="24"/>
          <w:lang w:val="en-US"/>
          <w14:ligatures w14:val="none"/>
        </w:rPr>
        <w:t xml:space="preserve">. 9th global </w:t>
      </w:r>
      <w:proofErr w:type="spellStart"/>
      <w:r w:rsidRPr="00004B12">
        <w:rPr>
          <w:rFonts w:ascii="Times New Roman" w:eastAsia="Times New Roman" w:hAnsi="Times New Roman" w:cs="Times New Roman"/>
          <w:kern w:val="0"/>
          <w:sz w:val="24"/>
          <w:szCs w:val="24"/>
          <w:lang w:val="en-US"/>
          <w14:ligatures w14:val="none"/>
        </w:rPr>
        <w:t>edn</w:t>
      </w:r>
      <w:proofErr w:type="spellEnd"/>
      <w:r w:rsidRPr="00004B12">
        <w:rPr>
          <w:rFonts w:ascii="Times New Roman" w:eastAsia="Times New Roman" w:hAnsi="Times New Roman" w:cs="Times New Roman"/>
          <w:kern w:val="0"/>
          <w:sz w:val="24"/>
          <w:szCs w:val="24"/>
          <w:lang w:val="en-US"/>
          <w14:ligatures w14:val="none"/>
        </w:rPr>
        <w:t>. Harlow: Pearson.</w:t>
      </w:r>
    </w:p>
    <w:p w14:paraId="1C54AC15" w14:textId="77777777" w:rsidR="008E7B72" w:rsidRDefault="008E7B72" w:rsidP="00554125">
      <w:pPr>
        <w:pStyle w:val="NormalWeb"/>
      </w:pPr>
    </w:p>
    <w:p w14:paraId="372D4A92" w14:textId="51B17820" w:rsidR="00CC0306" w:rsidRPr="000815C0" w:rsidRDefault="00CC0306" w:rsidP="00554125">
      <w:pPr>
        <w:pStyle w:val="artifact-docx-previewreferences"/>
        <w:shd w:val="clear" w:color="auto" w:fill="FFFFFF"/>
        <w:spacing w:before="0" w:beforeAutospacing="0" w:after="0" w:afterAutospacing="0" w:line="480" w:lineRule="auto"/>
        <w:ind w:left="360"/>
      </w:pPr>
    </w:p>
    <w:sectPr w:rsidR="00CC0306" w:rsidRPr="000815C0" w:rsidSect="00554125">
      <w:footerReference w:type="default" r:id="rId25"/>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DFB37" w14:textId="77777777" w:rsidR="008F1C43" w:rsidRPr="000113C6" w:rsidRDefault="008F1C43" w:rsidP="0069320D">
      <w:pPr>
        <w:spacing w:after="0" w:line="240" w:lineRule="auto"/>
      </w:pPr>
      <w:r w:rsidRPr="000113C6">
        <w:separator/>
      </w:r>
    </w:p>
  </w:endnote>
  <w:endnote w:type="continuationSeparator" w:id="0">
    <w:p w14:paraId="26FB5785" w14:textId="77777777" w:rsidR="008F1C43" w:rsidRPr="000113C6" w:rsidRDefault="008F1C43" w:rsidP="0069320D">
      <w:pPr>
        <w:spacing w:after="0" w:line="240" w:lineRule="auto"/>
      </w:pPr>
      <w:r w:rsidRPr="000113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9502068"/>
      <w:docPartObj>
        <w:docPartGallery w:val="Page Numbers (Bottom of Page)"/>
        <w:docPartUnique/>
      </w:docPartObj>
    </w:sdtPr>
    <w:sdtContent>
      <w:p w14:paraId="45543649" w14:textId="5D2520B5" w:rsidR="0069320D" w:rsidRPr="000113C6" w:rsidRDefault="0069320D">
        <w:pPr>
          <w:pStyle w:val="Footer"/>
          <w:jc w:val="center"/>
        </w:pPr>
        <w:r w:rsidRPr="000113C6">
          <w:fldChar w:fldCharType="begin"/>
        </w:r>
        <w:r w:rsidRPr="000113C6">
          <w:instrText xml:space="preserve"> PAGE   \* MERGEFORMAT </w:instrText>
        </w:r>
        <w:r w:rsidRPr="000113C6">
          <w:fldChar w:fldCharType="separate"/>
        </w:r>
        <w:r w:rsidRPr="000113C6">
          <w:t>2</w:t>
        </w:r>
        <w:r w:rsidRPr="000113C6">
          <w:fldChar w:fldCharType="end"/>
        </w:r>
      </w:p>
    </w:sdtContent>
  </w:sdt>
  <w:p w14:paraId="519B1266" w14:textId="77777777" w:rsidR="0069320D" w:rsidRPr="000113C6" w:rsidRDefault="00693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A59F2" w14:textId="77777777" w:rsidR="008F1C43" w:rsidRPr="000113C6" w:rsidRDefault="008F1C43" w:rsidP="0069320D">
      <w:pPr>
        <w:spacing w:after="0" w:line="240" w:lineRule="auto"/>
      </w:pPr>
      <w:r w:rsidRPr="000113C6">
        <w:separator/>
      </w:r>
    </w:p>
  </w:footnote>
  <w:footnote w:type="continuationSeparator" w:id="0">
    <w:p w14:paraId="2F472D04" w14:textId="77777777" w:rsidR="008F1C43" w:rsidRPr="000113C6" w:rsidRDefault="008F1C43" w:rsidP="0069320D">
      <w:pPr>
        <w:spacing w:after="0" w:line="240" w:lineRule="auto"/>
      </w:pPr>
      <w:r w:rsidRPr="000113C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E2D08"/>
    <w:multiLevelType w:val="hybridMultilevel"/>
    <w:tmpl w:val="B3FA2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79583D"/>
    <w:multiLevelType w:val="hybridMultilevel"/>
    <w:tmpl w:val="ADC26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3F4F02"/>
    <w:multiLevelType w:val="hybridMultilevel"/>
    <w:tmpl w:val="97CE3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9463293">
    <w:abstractNumId w:val="0"/>
  </w:num>
  <w:num w:numId="2" w16cid:durableId="901016280">
    <w:abstractNumId w:val="1"/>
  </w:num>
  <w:num w:numId="3" w16cid:durableId="2470836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S2MDQ3MDUyN7Q0NrFQ0lEKTi0uzszPAykwrQUAh0K1qCwAAAA="/>
  </w:docVars>
  <w:rsids>
    <w:rsidRoot w:val="00CC0306"/>
    <w:rsid w:val="00004B12"/>
    <w:rsid w:val="000113C6"/>
    <w:rsid w:val="00036D12"/>
    <w:rsid w:val="000815C0"/>
    <w:rsid w:val="00253A6F"/>
    <w:rsid w:val="002F5552"/>
    <w:rsid w:val="00302822"/>
    <w:rsid w:val="004A1E6B"/>
    <w:rsid w:val="00554125"/>
    <w:rsid w:val="0068454A"/>
    <w:rsid w:val="0069320D"/>
    <w:rsid w:val="0074736A"/>
    <w:rsid w:val="008320C2"/>
    <w:rsid w:val="008A4DF3"/>
    <w:rsid w:val="008E7B72"/>
    <w:rsid w:val="008F1C43"/>
    <w:rsid w:val="009D57F1"/>
    <w:rsid w:val="00AB7962"/>
    <w:rsid w:val="00B326F3"/>
    <w:rsid w:val="00CA006A"/>
    <w:rsid w:val="00CC0306"/>
    <w:rsid w:val="00DB55FF"/>
    <w:rsid w:val="00DC12DF"/>
    <w:rsid w:val="00E819E0"/>
    <w:rsid w:val="00FB3977"/>
    <w:rsid w:val="00FF6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8FFBB"/>
  <w15:chartTrackingRefBased/>
  <w15:docId w15:val="{1CBB925F-4493-4A8D-97B0-E48FDCF3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CC030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CC030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CC030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CC030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C030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C0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306"/>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CC0306"/>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rsid w:val="00CC0306"/>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CC0306"/>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CC0306"/>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CC030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C030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C030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C030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C0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30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C03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30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C03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0306"/>
    <w:rPr>
      <w:i/>
      <w:iCs/>
      <w:color w:val="404040" w:themeColor="text1" w:themeTint="BF"/>
      <w:lang w:val="en-GB"/>
    </w:rPr>
  </w:style>
  <w:style w:type="paragraph" w:styleId="ListParagraph">
    <w:name w:val="List Paragraph"/>
    <w:basedOn w:val="Normal"/>
    <w:uiPriority w:val="34"/>
    <w:qFormat/>
    <w:rsid w:val="00CC0306"/>
    <w:pPr>
      <w:ind w:left="720"/>
      <w:contextualSpacing/>
    </w:pPr>
  </w:style>
  <w:style w:type="character" w:styleId="IntenseEmphasis">
    <w:name w:val="Intense Emphasis"/>
    <w:basedOn w:val="DefaultParagraphFont"/>
    <w:uiPriority w:val="21"/>
    <w:qFormat/>
    <w:rsid w:val="00CC0306"/>
    <w:rPr>
      <w:i/>
      <w:iCs/>
      <w:color w:val="365F91" w:themeColor="accent1" w:themeShade="BF"/>
    </w:rPr>
  </w:style>
  <w:style w:type="paragraph" w:styleId="IntenseQuote">
    <w:name w:val="Intense Quote"/>
    <w:basedOn w:val="Normal"/>
    <w:next w:val="Normal"/>
    <w:link w:val="IntenseQuoteChar"/>
    <w:uiPriority w:val="30"/>
    <w:qFormat/>
    <w:rsid w:val="00CC030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C0306"/>
    <w:rPr>
      <w:i/>
      <w:iCs/>
      <w:color w:val="365F91" w:themeColor="accent1" w:themeShade="BF"/>
      <w:lang w:val="en-GB"/>
    </w:rPr>
  </w:style>
  <w:style w:type="character" w:styleId="IntenseReference">
    <w:name w:val="Intense Reference"/>
    <w:basedOn w:val="DefaultParagraphFont"/>
    <w:uiPriority w:val="32"/>
    <w:qFormat/>
    <w:rsid w:val="00CC0306"/>
    <w:rPr>
      <w:b/>
      <w:bCs/>
      <w:smallCaps/>
      <w:color w:val="365F91" w:themeColor="accent1" w:themeShade="BF"/>
      <w:spacing w:val="5"/>
    </w:rPr>
  </w:style>
  <w:style w:type="paragraph" w:styleId="NormalWeb">
    <w:name w:val="Normal (Web)"/>
    <w:basedOn w:val="Normal"/>
    <w:uiPriority w:val="99"/>
    <w:unhideWhenUsed/>
    <w:rsid w:val="00CC0306"/>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Emphasis">
    <w:name w:val="Emphasis"/>
    <w:basedOn w:val="DefaultParagraphFont"/>
    <w:uiPriority w:val="20"/>
    <w:qFormat/>
    <w:rsid w:val="00CC0306"/>
    <w:rPr>
      <w:i/>
      <w:iCs/>
    </w:rPr>
  </w:style>
  <w:style w:type="character" w:styleId="Hyperlink">
    <w:name w:val="Hyperlink"/>
    <w:basedOn w:val="DefaultParagraphFont"/>
    <w:uiPriority w:val="99"/>
    <w:unhideWhenUsed/>
    <w:rsid w:val="008A4DF3"/>
    <w:rPr>
      <w:color w:val="0000FF" w:themeColor="hyperlink"/>
      <w:u w:val="single"/>
    </w:rPr>
  </w:style>
  <w:style w:type="character" w:styleId="Strong">
    <w:name w:val="Strong"/>
    <w:basedOn w:val="DefaultParagraphFont"/>
    <w:uiPriority w:val="22"/>
    <w:qFormat/>
    <w:rsid w:val="00FF6866"/>
    <w:rPr>
      <w:b/>
      <w:bCs/>
    </w:rPr>
  </w:style>
  <w:style w:type="paragraph" w:styleId="TOCHeading">
    <w:name w:val="TOC Heading"/>
    <w:basedOn w:val="Heading1"/>
    <w:next w:val="Normal"/>
    <w:uiPriority w:val="39"/>
    <w:unhideWhenUsed/>
    <w:qFormat/>
    <w:rsid w:val="0069320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9320D"/>
    <w:pPr>
      <w:spacing w:after="100"/>
    </w:pPr>
  </w:style>
  <w:style w:type="paragraph" w:styleId="TOC2">
    <w:name w:val="toc 2"/>
    <w:basedOn w:val="Normal"/>
    <w:next w:val="Normal"/>
    <w:autoRedefine/>
    <w:uiPriority w:val="39"/>
    <w:unhideWhenUsed/>
    <w:rsid w:val="0069320D"/>
    <w:pPr>
      <w:spacing w:after="100"/>
      <w:ind w:left="220"/>
    </w:pPr>
  </w:style>
  <w:style w:type="paragraph" w:styleId="Header">
    <w:name w:val="header"/>
    <w:basedOn w:val="Normal"/>
    <w:link w:val="HeaderChar"/>
    <w:uiPriority w:val="99"/>
    <w:unhideWhenUsed/>
    <w:rsid w:val="006932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320D"/>
    <w:rPr>
      <w:lang w:val="en-GB"/>
    </w:rPr>
  </w:style>
  <w:style w:type="paragraph" w:styleId="Footer">
    <w:name w:val="footer"/>
    <w:basedOn w:val="Normal"/>
    <w:link w:val="FooterChar"/>
    <w:uiPriority w:val="99"/>
    <w:unhideWhenUsed/>
    <w:rsid w:val="00693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20D"/>
    <w:rPr>
      <w:lang w:val="en-GB"/>
    </w:rPr>
  </w:style>
  <w:style w:type="paragraph" w:customStyle="1" w:styleId="artifact-docx-previewheading2">
    <w:name w:val="artifact-docx-preview_heading2"/>
    <w:basedOn w:val="Normal"/>
    <w:rsid w:val="0069320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NoSpacing">
    <w:name w:val="No Spacing"/>
    <w:link w:val="NoSpacingChar"/>
    <w:uiPriority w:val="1"/>
    <w:qFormat/>
    <w:rsid w:val="000113C6"/>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0113C6"/>
    <w:rPr>
      <w:rFonts w:eastAsiaTheme="minorEastAsia"/>
      <w:kern w:val="0"/>
      <w14:ligatures w14:val="none"/>
    </w:rPr>
  </w:style>
  <w:style w:type="paragraph" w:customStyle="1" w:styleId="artifact-docx-previewreferences">
    <w:name w:val="artifact-docx-preview_references"/>
    <w:basedOn w:val="Normal"/>
    <w:rsid w:val="000113C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pdq2pgselectionanchorcontainer">
    <w:name w:val="pdq2pg_selectionanchorcontainer"/>
    <w:basedOn w:val="Normal"/>
    <w:rsid w:val="0055412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554125"/>
    <w:rPr>
      <w:color w:val="800080" w:themeColor="followedHyperlink"/>
      <w:u w:val="single"/>
    </w:rPr>
  </w:style>
  <w:style w:type="character" w:styleId="UnresolvedMention">
    <w:name w:val="Unresolved Mention"/>
    <w:basedOn w:val="DefaultParagraphFont"/>
    <w:uiPriority w:val="99"/>
    <w:semiHidden/>
    <w:unhideWhenUsed/>
    <w:rsid w:val="005541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vironment.ec.europa.eu/strategy/textiles-strategy_en" TargetMode="External"/><Relationship Id="rId18" Type="http://schemas.openxmlformats.org/officeDocument/2006/relationships/hyperlink" Target="https://hmgroup.com/wp-content/uploads/2026/03/HM-Group-Annual-and-sustainability-report-2025.pdf"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ifrs.org/issued-standards/ifrs-sustainability-standards-navigator/ifrs-s2-climate-related-disclosures/" TargetMode="External"/><Relationship Id="rId7" Type="http://schemas.openxmlformats.org/officeDocument/2006/relationships/footnotes" Target="footnotes.xml"/><Relationship Id="rId12" Type="http://schemas.openxmlformats.org/officeDocument/2006/relationships/hyperlink" Target="https://environment.ec.europa.eu/strategy/textiles-strategy_en?utm_source=chatgpt.com" TargetMode="External"/><Relationship Id="rId17" Type="http://schemas.openxmlformats.org/officeDocument/2006/relationships/hyperlink" Target="https://eur-lex.europa.eu/eli/dir/2025/1892/oj/en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r-lex.europa.eu/eli/reg/2024/1781/oj/eng" TargetMode="External"/><Relationship Id="rId20" Type="http://schemas.openxmlformats.org/officeDocument/2006/relationships/hyperlink" Target="https://hmgroup.com/sustainability/leading-the-change/transparency/supply-chai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ent.ellenmacarthurfoundation.org/m/60926fc64dbab81d/original/Circular-business-models.pdf" TargetMode="External"/><Relationship Id="rId24" Type="http://schemas.openxmlformats.org/officeDocument/2006/relationships/hyperlink" Target="https://sdgs.un.org/2030agenda" TargetMode="External"/><Relationship Id="rId5" Type="http://schemas.openxmlformats.org/officeDocument/2006/relationships/settings" Target="settings.xml"/><Relationship Id="rId15" Type="http://schemas.openxmlformats.org/officeDocument/2006/relationships/hyperlink" Target="https://eur-lex.europa.eu/eli/dir/2024/825/oj/eng" TargetMode="External"/><Relationship Id="rId23" Type="http://schemas.openxmlformats.org/officeDocument/2006/relationships/hyperlink" Target="https://unfccc.int/sites/default/files/parisagreement_publication.pdf" TargetMode="External"/><Relationship Id="rId28" Type="http://schemas.openxmlformats.org/officeDocument/2006/relationships/theme" Target="theme/theme1.xml"/><Relationship Id="rId10" Type="http://schemas.openxmlformats.org/officeDocument/2006/relationships/hyperlink" Target="https://www.acm.nl/en/publications/commitment-decision-handm-regarding-sustainability-claims" TargetMode="External"/><Relationship Id="rId19" Type="http://schemas.openxmlformats.org/officeDocument/2006/relationships/hyperlink" Target="https://hmgroup.com/sustainability/leading-the-change/financing-our-transitio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ur-lex.europa.eu/eli/dir/2022/2464/oj" TargetMode="External"/><Relationship Id="rId22" Type="http://schemas.openxmlformats.org/officeDocument/2006/relationships/hyperlink" Target="https://sciencebasedtargets.org/companies-taking-action/case-studies/supplier-engagement-case-study-h-m-group"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7413ADB43144B019BD9492F97D298FB"/>
        <w:category>
          <w:name w:val="General"/>
          <w:gallery w:val="placeholder"/>
        </w:category>
        <w:types>
          <w:type w:val="bbPlcHdr"/>
        </w:types>
        <w:behaviors>
          <w:behavior w:val="content"/>
        </w:behaviors>
        <w:guid w:val="{2D4B6EA3-079D-4906-9D24-CE72CF87D328}"/>
      </w:docPartPr>
      <w:docPartBody>
        <w:p w:rsidR="0003572B" w:rsidRDefault="00321013" w:rsidP="00321013">
          <w:pPr>
            <w:pStyle w:val="97413ADB43144B019BD9492F97D298F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13"/>
    <w:rsid w:val="0003572B"/>
    <w:rsid w:val="00321013"/>
    <w:rsid w:val="00541F93"/>
    <w:rsid w:val="006C6193"/>
    <w:rsid w:val="00836E73"/>
    <w:rsid w:val="00A94AC3"/>
    <w:rsid w:val="00B91912"/>
    <w:rsid w:val="00DC1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413ADB43144B019BD9492F97D298FB">
    <w:name w:val="97413ADB43144B019BD9492F97D298FB"/>
    <w:rsid w:val="003210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2026-07-24T00:00:00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1358FE-DF21-4809-B27A-BF5BDFBFA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22</Pages>
  <Words>5488</Words>
  <Characters>31284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Luciana Stafi – 2130653</Company>
  <LinksUpToDate>false</LinksUpToDate>
  <CharactersWithSpaces>36699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 in a Global Business</dc:title>
  <dc:subject>Responsible Global Leadership and Environmental Sustainability. A Critical Evaluation of H&amp;M Group’s Commitments and Practice</dc:subject>
  <dc:creator>Andrei Stafi</dc:creator>
  <cp:keywords/>
  <dc:description/>
  <cp:lastModifiedBy>Andrei Stafi</cp:lastModifiedBy>
  <cp:revision>13</cp:revision>
  <dcterms:created xsi:type="dcterms:W3CDTF">2026-07-24T14:54:00Z</dcterms:created>
  <dcterms:modified xsi:type="dcterms:W3CDTF">2026-07-24T18:47:00Z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ce0c31f7-290b-4e04-899f-3d9eebea909b</vt:lpwstr>
  </property>
</Properties>
</file>