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0752F" w14:textId="77777777" w:rsidR="00C75478" w:rsidRDefault="00C75478">
      <w:pPr>
        <w:rPr>
          <w:color w:val="000000"/>
        </w:rPr>
      </w:pPr>
    </w:p>
    <w:p w14:paraId="77407530" w14:textId="77777777" w:rsidR="00C75478" w:rsidRDefault="00C75478">
      <w:pPr>
        <w:rPr>
          <w:color w:val="000000"/>
        </w:rPr>
      </w:pPr>
    </w:p>
    <w:p w14:paraId="15A6FE70" w14:textId="2E40F1C9" w:rsidR="0034633F" w:rsidRDefault="0034633F" w:rsidP="0034633F">
      <w:pPr>
        <w:ind w:left="2160" w:firstLine="720"/>
        <w:rPr>
          <w:color w:val="000000"/>
        </w:rPr>
      </w:pPr>
    </w:p>
    <w:p w14:paraId="77407532" w14:textId="77777777" w:rsidR="00C75478" w:rsidRPr="0034633F" w:rsidRDefault="00000000">
      <w:pPr>
        <w:jc w:val="center"/>
        <w:rPr>
          <w:b/>
          <w:i/>
          <w:iCs/>
          <w:color w:val="000000"/>
          <w:sz w:val="32"/>
          <w:szCs w:val="32"/>
        </w:rPr>
      </w:pPr>
      <w:r w:rsidRPr="0034633F">
        <w:rPr>
          <w:b/>
          <w:i/>
          <w:iCs/>
          <w:color w:val="000000"/>
          <w:sz w:val="32"/>
          <w:szCs w:val="32"/>
        </w:rPr>
        <w:t>Module: Criminal law</w:t>
      </w:r>
    </w:p>
    <w:p w14:paraId="77407533" w14:textId="77777777" w:rsidR="00C75478" w:rsidRPr="0034633F" w:rsidRDefault="00000000">
      <w:pPr>
        <w:jc w:val="center"/>
        <w:rPr>
          <w:b/>
          <w:i/>
          <w:iCs/>
          <w:color w:val="000000"/>
          <w:sz w:val="32"/>
          <w:szCs w:val="32"/>
        </w:rPr>
      </w:pPr>
      <w:r w:rsidRPr="0034633F">
        <w:rPr>
          <w:b/>
          <w:i/>
          <w:iCs/>
          <w:color w:val="000000"/>
          <w:sz w:val="32"/>
          <w:szCs w:val="32"/>
        </w:rPr>
        <w:t xml:space="preserve">Module code: BMLW4005 </w:t>
      </w:r>
    </w:p>
    <w:p w14:paraId="77407534" w14:textId="77777777" w:rsidR="00C75478" w:rsidRPr="0034633F" w:rsidRDefault="00000000">
      <w:pPr>
        <w:jc w:val="center"/>
        <w:rPr>
          <w:b/>
          <w:i/>
          <w:iCs/>
          <w:color w:val="000000"/>
          <w:sz w:val="32"/>
          <w:szCs w:val="32"/>
        </w:rPr>
      </w:pPr>
      <w:r w:rsidRPr="0034633F">
        <w:rPr>
          <w:b/>
          <w:i/>
          <w:iCs/>
          <w:color w:val="000000"/>
          <w:sz w:val="32"/>
          <w:szCs w:val="32"/>
        </w:rPr>
        <w:t>Assignment Title: Scenario question</w:t>
      </w:r>
    </w:p>
    <w:p w14:paraId="75151BA9" w14:textId="77777777" w:rsidR="0034633F" w:rsidRPr="0034633F" w:rsidRDefault="00000000">
      <w:pPr>
        <w:jc w:val="center"/>
        <w:rPr>
          <w:b/>
          <w:i/>
          <w:iCs/>
          <w:color w:val="000000"/>
          <w:sz w:val="32"/>
          <w:szCs w:val="32"/>
        </w:rPr>
      </w:pPr>
      <w:r w:rsidRPr="0034633F">
        <w:rPr>
          <w:b/>
          <w:i/>
          <w:iCs/>
          <w:color w:val="000000"/>
          <w:sz w:val="32"/>
          <w:szCs w:val="32"/>
        </w:rPr>
        <w:t>Word Count: 1500 words</w:t>
      </w:r>
    </w:p>
    <w:p w14:paraId="45D31D21" w14:textId="77777777" w:rsidR="0034633F" w:rsidRPr="0034633F" w:rsidRDefault="0034633F" w:rsidP="0034633F">
      <w:pPr>
        <w:ind w:left="2160" w:firstLine="720"/>
        <w:rPr>
          <w:b/>
          <w:i/>
          <w:iCs/>
          <w:color w:val="000000"/>
          <w:sz w:val="32"/>
          <w:szCs w:val="32"/>
        </w:rPr>
      </w:pPr>
      <w:r w:rsidRPr="0034633F">
        <w:rPr>
          <w:b/>
          <w:i/>
          <w:iCs/>
          <w:color w:val="000000"/>
          <w:sz w:val="32"/>
          <w:szCs w:val="32"/>
        </w:rPr>
        <w:t xml:space="preserve">Student </w:t>
      </w:r>
      <w:proofErr w:type="spellStart"/>
      <w:proofErr w:type="gramStart"/>
      <w:r w:rsidRPr="0034633F">
        <w:rPr>
          <w:b/>
          <w:i/>
          <w:iCs/>
          <w:color w:val="000000"/>
          <w:sz w:val="32"/>
          <w:szCs w:val="32"/>
        </w:rPr>
        <w:t>name:Iulian</w:t>
      </w:r>
      <w:proofErr w:type="spellEnd"/>
      <w:proofErr w:type="gramEnd"/>
      <w:r w:rsidRPr="0034633F">
        <w:rPr>
          <w:b/>
          <w:i/>
          <w:iCs/>
          <w:color w:val="000000"/>
          <w:sz w:val="32"/>
          <w:szCs w:val="32"/>
        </w:rPr>
        <w:t xml:space="preserve"> </w:t>
      </w:r>
      <w:proofErr w:type="spellStart"/>
      <w:r w:rsidRPr="0034633F">
        <w:rPr>
          <w:b/>
          <w:i/>
          <w:iCs/>
          <w:color w:val="000000"/>
          <w:sz w:val="32"/>
          <w:szCs w:val="32"/>
        </w:rPr>
        <w:t>Vasile</w:t>
      </w:r>
      <w:proofErr w:type="spellEnd"/>
      <w:r w:rsidRPr="0034633F">
        <w:rPr>
          <w:b/>
          <w:i/>
          <w:iCs/>
          <w:color w:val="000000"/>
          <w:sz w:val="32"/>
          <w:szCs w:val="32"/>
        </w:rPr>
        <w:t xml:space="preserve"> </w:t>
      </w:r>
      <w:proofErr w:type="spellStart"/>
      <w:r w:rsidRPr="0034633F">
        <w:rPr>
          <w:b/>
          <w:i/>
          <w:iCs/>
          <w:color w:val="000000"/>
          <w:sz w:val="32"/>
          <w:szCs w:val="32"/>
        </w:rPr>
        <w:t>Girtu</w:t>
      </w:r>
      <w:proofErr w:type="spellEnd"/>
    </w:p>
    <w:p w14:paraId="4F11507B" w14:textId="77777777" w:rsidR="0034633F" w:rsidRPr="0034633F" w:rsidRDefault="0034633F" w:rsidP="0034633F">
      <w:pPr>
        <w:ind w:left="2160" w:firstLine="720"/>
        <w:rPr>
          <w:b/>
          <w:i/>
          <w:iCs/>
          <w:color w:val="000000"/>
          <w:sz w:val="32"/>
          <w:szCs w:val="32"/>
        </w:rPr>
      </w:pPr>
      <w:r w:rsidRPr="0034633F">
        <w:rPr>
          <w:b/>
          <w:i/>
          <w:iCs/>
          <w:color w:val="000000"/>
          <w:sz w:val="32"/>
          <w:szCs w:val="32"/>
        </w:rPr>
        <w:t>Student id:2133038</w:t>
      </w:r>
    </w:p>
    <w:p w14:paraId="77407535" w14:textId="0013078B" w:rsidR="00C75478" w:rsidRDefault="00000000">
      <w:pPr>
        <w:jc w:val="center"/>
        <w:rPr>
          <w:color w:val="000000"/>
        </w:rPr>
      </w:pPr>
      <w:r>
        <w:br w:type="page"/>
      </w:r>
    </w:p>
    <w:p w14:paraId="77407536" w14:textId="77777777" w:rsidR="00C75478" w:rsidRDefault="00000000">
      <w:pPr>
        <w:keepNext/>
        <w:keepLines/>
        <w:pBdr>
          <w:top w:val="nil"/>
          <w:left w:val="nil"/>
          <w:bottom w:val="nil"/>
          <w:right w:val="nil"/>
          <w:between w:val="nil"/>
        </w:pBdr>
        <w:spacing w:before="480" w:after="0" w:line="276" w:lineRule="auto"/>
        <w:ind w:left="432" w:hanging="432"/>
        <w:jc w:val="center"/>
        <w:rPr>
          <w:b/>
          <w:color w:val="000000"/>
        </w:rPr>
      </w:pPr>
      <w:r>
        <w:rPr>
          <w:b/>
          <w:color w:val="000000"/>
        </w:rPr>
        <w:lastRenderedPageBreak/>
        <w:t>Table of Contents</w:t>
      </w:r>
    </w:p>
    <w:sdt>
      <w:sdtPr>
        <w:id w:val="97540281"/>
        <w:docPartObj>
          <w:docPartGallery w:val="Table of Contents"/>
          <w:docPartUnique/>
        </w:docPartObj>
      </w:sdtPr>
      <w:sdtContent>
        <w:p w14:paraId="77407537" w14:textId="77777777" w:rsidR="00C75478" w:rsidRDefault="00000000">
          <w:pPr>
            <w:pBdr>
              <w:top w:val="nil"/>
              <w:left w:val="nil"/>
              <w:bottom w:val="nil"/>
              <w:right w:val="nil"/>
              <w:between w:val="nil"/>
            </w:pBdr>
            <w:tabs>
              <w:tab w:val="left" w:pos="440"/>
              <w:tab w:val="right" w:pos="9350"/>
            </w:tabs>
            <w:spacing w:after="100"/>
            <w:jc w:val="center"/>
            <w:rPr>
              <w:color w:val="000000"/>
            </w:rPr>
          </w:pPr>
          <w:r>
            <w:fldChar w:fldCharType="begin"/>
          </w:r>
          <w:r>
            <w:instrText xml:space="preserve"> TOC \h \u \z </w:instrText>
          </w:r>
          <w:r>
            <w:fldChar w:fldCharType="separate"/>
          </w:r>
          <w:hyperlink w:anchor="_gjdgxs">
            <w:r>
              <w:rPr>
                <w:color w:val="000000"/>
              </w:rPr>
              <w:t>1</w:t>
            </w:r>
            <w:r>
              <w:rPr>
                <w:color w:val="000000"/>
              </w:rPr>
              <w:tab/>
              <w:t>Part A</w:t>
            </w:r>
            <w:r>
              <w:rPr>
                <w:color w:val="000000"/>
              </w:rPr>
              <w:tab/>
              <w:t>3</w:t>
            </w:r>
          </w:hyperlink>
        </w:p>
        <w:p w14:paraId="77407538" w14:textId="77777777" w:rsidR="00C75478" w:rsidRDefault="00000000">
          <w:pPr>
            <w:pBdr>
              <w:top w:val="nil"/>
              <w:left w:val="nil"/>
              <w:bottom w:val="nil"/>
              <w:right w:val="nil"/>
              <w:between w:val="nil"/>
            </w:pBdr>
            <w:tabs>
              <w:tab w:val="left" w:pos="440"/>
              <w:tab w:val="right" w:pos="9350"/>
            </w:tabs>
            <w:spacing w:after="100"/>
            <w:jc w:val="center"/>
            <w:rPr>
              <w:color w:val="000000"/>
            </w:rPr>
          </w:pPr>
          <w:hyperlink w:anchor="_30j0zll">
            <w:r>
              <w:rPr>
                <w:color w:val="000000"/>
              </w:rPr>
              <w:t>2</w:t>
            </w:r>
            <w:r>
              <w:rPr>
                <w:color w:val="000000"/>
              </w:rPr>
              <w:tab/>
              <w:t>Part B</w:t>
            </w:r>
            <w:r>
              <w:rPr>
                <w:color w:val="000000"/>
              </w:rPr>
              <w:tab/>
              <w:t>4</w:t>
            </w:r>
          </w:hyperlink>
        </w:p>
        <w:p w14:paraId="77407539" w14:textId="77777777" w:rsidR="00C75478" w:rsidRDefault="00000000">
          <w:pPr>
            <w:pBdr>
              <w:top w:val="nil"/>
              <w:left w:val="nil"/>
              <w:bottom w:val="nil"/>
              <w:right w:val="nil"/>
              <w:between w:val="nil"/>
            </w:pBdr>
            <w:tabs>
              <w:tab w:val="left" w:pos="440"/>
              <w:tab w:val="right" w:pos="9350"/>
            </w:tabs>
            <w:spacing w:after="100"/>
            <w:jc w:val="center"/>
            <w:rPr>
              <w:color w:val="000000"/>
            </w:rPr>
          </w:pPr>
          <w:hyperlink w:anchor="_1fob9te">
            <w:r>
              <w:rPr>
                <w:color w:val="000000"/>
              </w:rPr>
              <w:t>3</w:t>
            </w:r>
            <w:r>
              <w:rPr>
                <w:color w:val="000000"/>
              </w:rPr>
              <w:tab/>
              <w:t>References</w:t>
            </w:r>
            <w:r>
              <w:rPr>
                <w:color w:val="000000"/>
              </w:rPr>
              <w:tab/>
              <w:t>7</w:t>
            </w:r>
          </w:hyperlink>
        </w:p>
        <w:p w14:paraId="7740753A" w14:textId="77777777" w:rsidR="00C75478" w:rsidRDefault="00000000">
          <w:pPr>
            <w:jc w:val="center"/>
          </w:pPr>
          <w:r>
            <w:fldChar w:fldCharType="end"/>
          </w:r>
        </w:p>
      </w:sdtContent>
    </w:sdt>
    <w:p w14:paraId="7740753B" w14:textId="77777777" w:rsidR="00C75478" w:rsidRDefault="00000000">
      <w:pPr>
        <w:rPr>
          <w:b/>
          <w:color w:val="000000"/>
        </w:rPr>
      </w:pPr>
      <w:r>
        <w:br w:type="page"/>
      </w:r>
    </w:p>
    <w:p w14:paraId="7740753C" w14:textId="77777777" w:rsidR="00C75478" w:rsidRDefault="00000000">
      <w:pPr>
        <w:pStyle w:val="Heading1"/>
        <w:numPr>
          <w:ilvl w:val="0"/>
          <w:numId w:val="1"/>
        </w:numPr>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lastRenderedPageBreak/>
        <w:t xml:space="preserve">Part A </w:t>
      </w:r>
    </w:p>
    <w:p w14:paraId="7740753D" w14:textId="77777777" w:rsidR="00C75478" w:rsidRDefault="00000000">
      <w:r>
        <w:t xml:space="preserve">Ronan is a successful businessman and likes to flaunt expensive </w:t>
      </w:r>
      <w:proofErr w:type="spellStart"/>
      <w:r>
        <w:t>jewellery</w:t>
      </w:r>
      <w:proofErr w:type="spellEnd"/>
      <w:r>
        <w:t xml:space="preserve">, </w:t>
      </w:r>
      <w:proofErr w:type="gramStart"/>
      <w:r>
        <w:t>cars</w:t>
      </w:r>
      <w:proofErr w:type="gramEnd"/>
      <w:r>
        <w:t xml:space="preserve"> and clothes. He bought a limited edition Bucci shoes. On Friday, he bragged about his shoes and that he was going to the Maldives for the Holidays. Hadley overheard Ronan hate that he was a poser. After Ronan left the room and Hadley went to the house of Ronan's house to steal those shoes. When Hadley went to the house of Ronan, he tried to enter through the back garden. He jumped the fence and landed on a bench which snapped. To enter the house, Hadley uses a bamboo piece to open the cat flap to hood keys from inside to open the door of the house. From the case analysis, it is identified that Hadley is criminally liable for The Theft Act 1968, as he entered the house of Ronan without permission. From the case, it is further </w:t>
      </w:r>
      <w:proofErr w:type="spellStart"/>
      <w:r>
        <w:t>analysed</w:t>
      </w:r>
      <w:proofErr w:type="spellEnd"/>
      <w:r>
        <w:t xml:space="preserve"> that Hadley was trespassing as he did not have permission to enter the house. According to </w:t>
      </w:r>
      <w:proofErr w:type="spellStart"/>
      <w:r>
        <w:t>Gelber</w:t>
      </w:r>
      <w:proofErr w:type="spellEnd"/>
      <w:r>
        <w:t xml:space="preserve"> and O’Sullivan (2021), trespassing is not a criminal offence. There are offences in which trespassing can become a vital element which can lead towards further offences. From this, it is assessed that Hadley entered the Ronan property, which was trespassing from his side.</w:t>
      </w:r>
    </w:p>
    <w:p w14:paraId="7740753E" w14:textId="77777777" w:rsidR="00C75478" w:rsidRDefault="00000000">
      <w:r>
        <w:t xml:space="preserve">After entering, Hadley went to the dressing room, but could not find the trainers, so he stole </w:t>
      </w:r>
      <w:proofErr w:type="spellStart"/>
      <w:r>
        <w:t>Kolex</w:t>
      </w:r>
      <w:proofErr w:type="spellEnd"/>
      <w:r>
        <w:t xml:space="preserve">. This can be better assessed by </w:t>
      </w:r>
      <w:r>
        <w:rPr>
          <w:b/>
          <w:i/>
        </w:rPr>
        <w:t>R v Jones &amp; Smith [1976]</w:t>
      </w:r>
      <w:r>
        <w:t xml:space="preserve">. In this case, the appellants went to one's parent's house and stole televisions. The father provided evidence in Court that his son had permission to enter the house. It was held by Court that the appellants exceeded their permission by stealing and were trespassers (v Cheeseman and Crim, 2019). From this case, it is </w:t>
      </w:r>
      <w:proofErr w:type="spellStart"/>
      <w:r>
        <w:t>analysed</w:t>
      </w:r>
      <w:proofErr w:type="spellEnd"/>
      <w:r>
        <w:t xml:space="preserve"> that an individual who has permission to enter the premise may still be regarded as a trespasser if the individual knows that he is exceeding the permission and being reckless. Hadley, when entering the house of Ronan, was just a trespasser, but when he stole </w:t>
      </w:r>
      <w:proofErr w:type="spellStart"/>
      <w:r>
        <w:t>Kolex</w:t>
      </w:r>
      <w:proofErr w:type="spellEnd"/>
      <w:r>
        <w:t xml:space="preserve">, he broke the law, and it was a reckless move which can contribute to his conviction for burglary. In the case of </w:t>
      </w:r>
      <w:r>
        <w:rPr>
          <w:b/>
          <w:i/>
        </w:rPr>
        <w:t>R v Hale [1978],</w:t>
      </w:r>
      <w:r>
        <w:t xml:space="preserve"> two defendants broke into a house and stole </w:t>
      </w:r>
      <w:proofErr w:type="spellStart"/>
      <w:r>
        <w:t>jewellery</w:t>
      </w:r>
      <w:proofErr w:type="spellEnd"/>
      <w:r>
        <w:t xml:space="preserve"> items. After stealing, they </w:t>
      </w:r>
      <w:proofErr w:type="spellStart"/>
      <w:r>
        <w:t>realised</w:t>
      </w:r>
      <w:proofErr w:type="spellEnd"/>
      <w:r>
        <w:t xml:space="preserve"> that the women were at home, and they tied her up. </w:t>
      </w:r>
      <w:proofErr w:type="gramStart"/>
      <w:r>
        <w:t>Both of them</w:t>
      </w:r>
      <w:proofErr w:type="gramEnd"/>
      <w:r>
        <w:t xml:space="preserve"> were convicted of robbery (</w:t>
      </w:r>
      <w:proofErr w:type="spellStart"/>
      <w:r>
        <w:t>Chagnon</w:t>
      </w:r>
      <w:proofErr w:type="spellEnd"/>
      <w:r>
        <w:t xml:space="preserve"> and Chesney–Lind, 2015). Through this case, it is assessed that Hadley entered the property of Ronan and stole </w:t>
      </w:r>
      <w:proofErr w:type="spellStart"/>
      <w:r>
        <w:t>Kolex</w:t>
      </w:r>
      <w:proofErr w:type="spellEnd"/>
      <w:r>
        <w:t xml:space="preserve">, due to which he can be convicted of robbery under Theft Act 1968. If Hadley was convicted under this act, then he had to pay a penalty of around 6 months in prison or an unlimited fine, or it could be both punishments. </w:t>
      </w:r>
    </w:p>
    <w:p w14:paraId="7740753F" w14:textId="77777777" w:rsidR="00C75478" w:rsidRDefault="00000000">
      <w:r>
        <w:lastRenderedPageBreak/>
        <w:t xml:space="preserve">From the case, it is further identified that Hadley can be charged for </w:t>
      </w:r>
      <w:proofErr w:type="spellStart"/>
      <w:r>
        <w:t>Mens</w:t>
      </w:r>
      <w:proofErr w:type="spellEnd"/>
      <w:r>
        <w:t xml:space="preserve"> Rea. Hadley heard the conversation that Ronan had in the pub on Friday and had the intention of stealing his Bucci Trainers. He knew when he entered Ronan's property that he was trespassing. After stealing the </w:t>
      </w:r>
      <w:proofErr w:type="spellStart"/>
      <w:r>
        <w:t>Kolex</w:t>
      </w:r>
      <w:proofErr w:type="spellEnd"/>
      <w:r>
        <w:t xml:space="preserve"> as he cannot find the Bucci trainer. From the crimes that Hadley has committed, it is </w:t>
      </w:r>
      <w:proofErr w:type="spellStart"/>
      <w:r>
        <w:t>analysed</w:t>
      </w:r>
      <w:proofErr w:type="spellEnd"/>
      <w:r>
        <w:t xml:space="preserve"> that he has satisfied </w:t>
      </w:r>
      <w:proofErr w:type="spellStart"/>
      <w:r>
        <w:t>mens</w:t>
      </w:r>
      <w:proofErr w:type="spellEnd"/>
      <w:r>
        <w:t xml:space="preserve"> rea as he has established all three offences that are intended to steal, intent upon entering and knowing that he is trespassing. From the case scenario, it is further identified that he has satisfied Actus Reus as he entered Ronan's property as a trespasser and stole </w:t>
      </w:r>
      <w:proofErr w:type="spellStart"/>
      <w:r>
        <w:t>Kolex</w:t>
      </w:r>
      <w:proofErr w:type="spellEnd"/>
      <w:r>
        <w:t xml:space="preserve"> as well as inflicted harm to property. </w:t>
      </w:r>
    </w:p>
    <w:p w14:paraId="77407540" w14:textId="77777777" w:rsidR="00C75478" w:rsidRDefault="00000000">
      <w:r>
        <w:t xml:space="preserve">It is further </w:t>
      </w:r>
      <w:proofErr w:type="spellStart"/>
      <w:r>
        <w:t>analysed</w:t>
      </w:r>
      <w:proofErr w:type="spellEnd"/>
      <w:r>
        <w:t xml:space="preserve"> from the case scenario that Hadley poured aftershave into the dressing room dustbin and set it on fire. Due to this reason, He can be charged with Criminal Damage Act 1971. If this action arises from fire, Hadley would be liable under s.1(3) of this act as he has done criminal damage by Arson. From this act, it is assessed that Hadley has the intention of damaging Ronan's property without a legitimate excuse. Under this act, Hadley can attract a penalty of imprisonment not exceeding 10 years. In the case of </w:t>
      </w:r>
      <w:r>
        <w:rPr>
          <w:b/>
          <w:i/>
        </w:rPr>
        <w:t>R v Hunt [1977],</w:t>
      </w:r>
      <w:r>
        <w:t xml:space="preserve"> it is identified that the appellant was charged with criminal damage as he set fire to a bed in an isolated room. He was convicted by the Court. The acts of the defendant were not capable of protecting property. Moreover, the lawful excuse that he provided was insufficient (</w:t>
      </w:r>
      <w:proofErr w:type="spellStart"/>
      <w:r>
        <w:t>Benedet</w:t>
      </w:r>
      <w:proofErr w:type="spellEnd"/>
      <w:r>
        <w:t xml:space="preserve"> and Grant, 2020). From this case, it is assessed that the actions of Hadley cannot be justified as he had the intention of damaging the property of Ronan. His actions cannot be lawfully justified, and he can receive severe punishment for his actions.</w:t>
      </w:r>
    </w:p>
    <w:p w14:paraId="77407541" w14:textId="77777777" w:rsidR="00C75478" w:rsidRDefault="00000000">
      <w:pPr>
        <w:pStyle w:val="Heading1"/>
        <w:numPr>
          <w:ilvl w:val="0"/>
          <w:numId w:val="1"/>
        </w:numPr>
        <w:rPr>
          <w:rFonts w:ascii="Times New Roman" w:eastAsia="Times New Roman" w:hAnsi="Times New Roman" w:cs="Times New Roman"/>
          <w:color w:val="000000"/>
          <w:sz w:val="24"/>
          <w:szCs w:val="24"/>
        </w:rPr>
      </w:pPr>
      <w:bookmarkStart w:id="1" w:name="_30j0zll" w:colFirst="0" w:colLast="0"/>
      <w:bookmarkEnd w:id="1"/>
      <w:r>
        <w:rPr>
          <w:rFonts w:ascii="Times New Roman" w:eastAsia="Times New Roman" w:hAnsi="Times New Roman" w:cs="Times New Roman"/>
          <w:color w:val="000000"/>
          <w:sz w:val="24"/>
          <w:szCs w:val="24"/>
        </w:rPr>
        <w:t xml:space="preserve">Part B </w:t>
      </w:r>
    </w:p>
    <w:p w14:paraId="77407542" w14:textId="77777777" w:rsidR="00C75478" w:rsidRDefault="00000000">
      <w:r>
        <w:t xml:space="preserve">Offences Against the Person Act 1861 states that the offence that is committed when an individual recklessly or intentionally assaults another individual causing Bodily Harm. It needs to be proven that the individual has assaulted or caused bodily harm. Section 47 of this act describes Assault occasioning Actual Bodily Harm (Smith and Stockdale, 2015). Freya has been charged with this act. From the case, it is assessed that Nicky and Freya are students who met at university. Freya was diagnosed with epilepsy when she was a child, but in the past 10 years, she did not have a seizure, due to which she has stopped taking medicine. Both students drink gin and tonic before and at the party. After the party, Freya had a seizure attack, and Nicky woke Mike, who lives next </w:t>
      </w:r>
      <w:r>
        <w:lastRenderedPageBreak/>
        <w:t xml:space="preserve">door. Mike went to help, but Freya, while having a seizure, punched Mike and gave him a black eye. She later was charged with s.47 Offences Against the Person Act 1861. </w:t>
      </w:r>
    </w:p>
    <w:p w14:paraId="77407543" w14:textId="77777777" w:rsidR="00C75478" w:rsidRDefault="00000000">
      <w:r>
        <w:t xml:space="preserve">For better assessing the case scenario, case laws would be assessed. In </w:t>
      </w:r>
      <w:r>
        <w:rPr>
          <w:b/>
          <w:i/>
        </w:rPr>
        <w:t>R v Ireland [1997]</w:t>
      </w:r>
      <w:r>
        <w:t xml:space="preserve"> case, the question is whether the psychiatric injury can be considered bodily harm under s.47 or not. This case marked psychic assault emergence, which is an assault that does not involve immediate force. Fear and harm become a feature of assault (</w:t>
      </w:r>
      <w:proofErr w:type="spellStart"/>
      <w:r>
        <w:t>Bettinson</w:t>
      </w:r>
      <w:proofErr w:type="spellEnd"/>
      <w:r>
        <w:t xml:space="preserve"> and Bishop, 2015). In </w:t>
      </w:r>
      <w:r>
        <w:rPr>
          <w:b/>
          <w:i/>
        </w:rPr>
        <w:t>R v Savage [1991]</w:t>
      </w:r>
      <w:r>
        <w:t xml:space="preserve"> case, it was never the intention of the defendant to throw the glass and only the bear. The Court held that the unlawful act was deliberate and was aimed against the victim who caused the harm (</w:t>
      </w:r>
      <w:proofErr w:type="spellStart"/>
      <w:r>
        <w:t>Bussani</w:t>
      </w:r>
      <w:proofErr w:type="spellEnd"/>
      <w:r>
        <w:t xml:space="preserve"> and Infantino, 2015). From both these cases, it is assessed that it was never intention of Freya to harm Mike. She had a seizure attack which contributed to throwing a punch and giving Mike a black eye.</w:t>
      </w:r>
    </w:p>
    <w:p w14:paraId="77407544" w14:textId="77777777" w:rsidR="00C75478" w:rsidRDefault="00000000">
      <w:r>
        <w:t xml:space="preserve">From the case analysis, it is identified that Freya was under extreme intoxication, which can become a </w:t>
      </w:r>
      <w:proofErr w:type="spellStart"/>
      <w:r>
        <w:t>defence</w:t>
      </w:r>
      <w:proofErr w:type="spellEnd"/>
      <w:r>
        <w:t xml:space="preserve"> as she was in a state of automatism where she had no conscious control over her acts due to intoxication. Freya can </w:t>
      </w:r>
      <w:proofErr w:type="spellStart"/>
      <w:r>
        <w:t>utilise</w:t>
      </w:r>
      <w:proofErr w:type="spellEnd"/>
      <w:r>
        <w:t xml:space="preserve"> the extreme intoxication </w:t>
      </w:r>
      <w:proofErr w:type="spellStart"/>
      <w:r>
        <w:t>defence</w:t>
      </w:r>
      <w:proofErr w:type="spellEnd"/>
      <w:r>
        <w:t xml:space="preserve">, which means that she can be acquitted of the crime and avoid criminal responsibility. In the view of Miller (2015), recently, a frequent and populate </w:t>
      </w:r>
      <w:proofErr w:type="spellStart"/>
      <w:r>
        <w:t>utilised</w:t>
      </w:r>
      <w:proofErr w:type="spellEnd"/>
      <w:r>
        <w:t xml:space="preserve"> argument to deny liability for the incident have emerged, which is the automatism </w:t>
      </w:r>
      <w:proofErr w:type="spellStart"/>
      <w:r>
        <w:t>defence</w:t>
      </w:r>
      <w:proofErr w:type="spellEnd"/>
      <w:r>
        <w:t xml:space="preserve">. This is based on the allegation that an appellant was not in control of their actions at the time when the crime occurred. In the case of </w:t>
      </w:r>
      <w:r>
        <w:rPr>
          <w:b/>
          <w:i/>
        </w:rPr>
        <w:t>R v Sullivan [1984],</w:t>
      </w:r>
      <w:r>
        <w:t xml:space="preserve"> the appellant was prosecuted for kicking an individual. When the act happened, he was having a seizure. The Court, in this case, ruled that this was classed as an internal factor and this mind disease and stated that the temporary nature or duration of the suspension of the mental faculties of memory, reason and understanding, which is a recurrent issue (Memon, 2017). This case is very similar to Freya's situation as she also punched Mike in a state of suffering from epilepsy which is a mental disease, and due to this reason, the correct </w:t>
      </w:r>
      <w:proofErr w:type="spellStart"/>
      <w:r>
        <w:t>defence</w:t>
      </w:r>
      <w:proofErr w:type="spellEnd"/>
      <w:r>
        <w:t xml:space="preserve"> should be insanity. Under the intoxication </w:t>
      </w:r>
      <w:proofErr w:type="spellStart"/>
      <w:r>
        <w:t>defence</w:t>
      </w:r>
      <w:proofErr w:type="spellEnd"/>
      <w:r>
        <w:t>, Freya can argue that the intoxication of having a seizure prevented her from controlling her actions, due to which she hurt Mike. Automatism involves experiencing an epileptic seizure, which causes involuntary harm (</w:t>
      </w:r>
      <w:proofErr w:type="spellStart"/>
      <w:r>
        <w:t>Benbadis</w:t>
      </w:r>
      <w:proofErr w:type="spellEnd"/>
      <w:r>
        <w:t xml:space="preserve"> and </w:t>
      </w:r>
      <w:proofErr w:type="spellStart"/>
      <w:r>
        <w:t>Heriaud</w:t>
      </w:r>
      <w:proofErr w:type="spellEnd"/>
      <w:r>
        <w:t xml:space="preserve">, 2015). From the case analysis, it is identified that as Freya hurt Mike during a seizure, she cannot be charged under s.47 of OAPA. She should rely on </w:t>
      </w:r>
      <w:proofErr w:type="spellStart"/>
      <w:r>
        <w:t>defences</w:t>
      </w:r>
      <w:proofErr w:type="spellEnd"/>
      <w:r>
        <w:t xml:space="preserve"> of automatism and intoxication. By relying on these </w:t>
      </w:r>
      <w:proofErr w:type="spellStart"/>
      <w:r>
        <w:t>defences</w:t>
      </w:r>
      <w:proofErr w:type="spellEnd"/>
      <w:r>
        <w:t xml:space="preserve">, Freya would be of no fault and cannot be blamed for her will and actions. The only </w:t>
      </w:r>
      <w:r>
        <w:lastRenderedPageBreak/>
        <w:t xml:space="preserve">requirement is that the appellant is intoxicated so that she did not form requisite </w:t>
      </w:r>
      <w:proofErr w:type="spellStart"/>
      <w:r>
        <w:t>mens</w:t>
      </w:r>
      <w:proofErr w:type="spellEnd"/>
      <w:r>
        <w:t xml:space="preserve"> rea. Freya needs to prove that she was not in control of her actions, and the </w:t>
      </w:r>
      <w:proofErr w:type="spellStart"/>
      <w:r>
        <w:t>defence</w:t>
      </w:r>
      <w:proofErr w:type="spellEnd"/>
      <w:r>
        <w:t xml:space="preserve"> of voluntary intoxication does not resolve the liability of the defendant until or unless it has been proven that she was not in control. By proving intoxication, she may be charged with a lesser sentence or penalty. </w:t>
      </w:r>
    </w:p>
    <w:p w14:paraId="77407545" w14:textId="77777777" w:rsidR="00C75478" w:rsidRDefault="00000000">
      <w:r>
        <w:br w:type="page"/>
      </w:r>
    </w:p>
    <w:p w14:paraId="77407546" w14:textId="77777777" w:rsidR="00C75478" w:rsidRDefault="00000000">
      <w:pPr>
        <w:pStyle w:val="Heading1"/>
        <w:numPr>
          <w:ilvl w:val="0"/>
          <w:numId w:val="1"/>
        </w:numPr>
        <w:rPr>
          <w:rFonts w:ascii="Times New Roman" w:eastAsia="Times New Roman" w:hAnsi="Times New Roman" w:cs="Times New Roman"/>
          <w:color w:val="000000"/>
          <w:sz w:val="24"/>
          <w:szCs w:val="24"/>
        </w:rPr>
      </w:pPr>
      <w:bookmarkStart w:id="2" w:name="_1fob9te" w:colFirst="0" w:colLast="0"/>
      <w:bookmarkEnd w:id="2"/>
      <w:r>
        <w:rPr>
          <w:rFonts w:ascii="Times New Roman" w:eastAsia="Times New Roman" w:hAnsi="Times New Roman" w:cs="Times New Roman"/>
          <w:color w:val="000000"/>
          <w:sz w:val="24"/>
          <w:szCs w:val="24"/>
        </w:rPr>
        <w:lastRenderedPageBreak/>
        <w:t>References</w:t>
      </w:r>
    </w:p>
    <w:p w14:paraId="77407547" w14:textId="77777777" w:rsidR="00C75478" w:rsidRDefault="00000000">
      <w:pPr>
        <w:ind w:left="720" w:hanging="720"/>
      </w:pPr>
      <w:proofErr w:type="spellStart"/>
      <w:r>
        <w:t>Benbadis</w:t>
      </w:r>
      <w:proofErr w:type="spellEnd"/>
      <w:r>
        <w:t xml:space="preserve">, R. and </w:t>
      </w:r>
      <w:proofErr w:type="spellStart"/>
      <w:r>
        <w:t>Heriaud</w:t>
      </w:r>
      <w:proofErr w:type="spellEnd"/>
      <w:r>
        <w:t>, L., 2015. Understanding Seizures &amp; Epilepsy. </w:t>
      </w:r>
      <w:r>
        <w:rPr>
          <w:i/>
        </w:rPr>
        <w:t>Comprehensive Epilepsy Program</w:t>
      </w:r>
      <w:r>
        <w:t>, p.3.</w:t>
      </w:r>
    </w:p>
    <w:p w14:paraId="77407548" w14:textId="77777777" w:rsidR="00C75478" w:rsidRDefault="00000000">
      <w:pPr>
        <w:ind w:left="720" w:hanging="720"/>
      </w:pPr>
      <w:proofErr w:type="spellStart"/>
      <w:r>
        <w:t>Benedet</w:t>
      </w:r>
      <w:proofErr w:type="spellEnd"/>
      <w:r>
        <w:t>, J. and Grant, I., 2020. Breaking the Silence on Father-Daughter Sexual Abuse of Adolescent Girls: A Case Law Study. </w:t>
      </w:r>
      <w:r>
        <w:rPr>
          <w:i/>
        </w:rPr>
        <w:t>Canadian Journal of Women and the Law</w:t>
      </w:r>
      <w:r>
        <w:t>, </w:t>
      </w:r>
      <w:r>
        <w:rPr>
          <w:i/>
        </w:rPr>
        <w:t>32</w:t>
      </w:r>
      <w:r>
        <w:t>(2), pp.239-287.</w:t>
      </w:r>
    </w:p>
    <w:p w14:paraId="77407549" w14:textId="77777777" w:rsidR="00C75478" w:rsidRDefault="00000000">
      <w:pPr>
        <w:ind w:left="720" w:hanging="720"/>
      </w:pPr>
      <w:proofErr w:type="spellStart"/>
      <w:r>
        <w:t>Bettinson</w:t>
      </w:r>
      <w:proofErr w:type="spellEnd"/>
      <w:r>
        <w:t xml:space="preserve">, V. and Bishop, C., 2015. Is the creation of a discrete offence of coercive control necessary to combat domestic </w:t>
      </w:r>
      <w:proofErr w:type="gramStart"/>
      <w:r>
        <w:t>violence?.</w:t>
      </w:r>
      <w:proofErr w:type="gramEnd"/>
      <w:r>
        <w:t> </w:t>
      </w:r>
      <w:r>
        <w:rPr>
          <w:i/>
        </w:rPr>
        <w:t>N. Ir. Legal Q.</w:t>
      </w:r>
      <w:r>
        <w:t>, </w:t>
      </w:r>
      <w:r>
        <w:rPr>
          <w:i/>
        </w:rPr>
        <w:t>66</w:t>
      </w:r>
      <w:r>
        <w:t>, p.179.</w:t>
      </w:r>
    </w:p>
    <w:p w14:paraId="7740754A" w14:textId="77777777" w:rsidR="00C75478" w:rsidRDefault="00000000">
      <w:pPr>
        <w:ind w:left="720" w:hanging="720"/>
      </w:pPr>
      <w:proofErr w:type="spellStart"/>
      <w:r>
        <w:t>Bussani</w:t>
      </w:r>
      <w:proofErr w:type="spellEnd"/>
      <w:r>
        <w:t>, M. and Infantino, M., 2015. Tort law and legal cultures. </w:t>
      </w:r>
      <w:r>
        <w:rPr>
          <w:i/>
        </w:rPr>
        <w:t>The American Journal of Comparative Law</w:t>
      </w:r>
      <w:r>
        <w:t>, </w:t>
      </w:r>
      <w:r>
        <w:rPr>
          <w:i/>
        </w:rPr>
        <w:t>63</w:t>
      </w:r>
      <w:r>
        <w:t>(1), pp.77-108.</w:t>
      </w:r>
    </w:p>
    <w:p w14:paraId="7740754B" w14:textId="77777777" w:rsidR="00C75478" w:rsidRDefault="00000000">
      <w:pPr>
        <w:ind w:left="720" w:hanging="720"/>
      </w:pPr>
      <w:proofErr w:type="spellStart"/>
      <w:r>
        <w:t>Chagnon</w:t>
      </w:r>
      <w:proofErr w:type="spellEnd"/>
      <w:r>
        <w:t>, N. and Chesney–Lind, M., 2015. “Someone’s Been in the House:” a Tale of Burglary and Trial by Media. </w:t>
      </w:r>
      <w:r>
        <w:rPr>
          <w:i/>
        </w:rPr>
        <w:t>Crime, Media, Culture</w:t>
      </w:r>
      <w:r>
        <w:t>, </w:t>
      </w:r>
      <w:r>
        <w:rPr>
          <w:i/>
        </w:rPr>
        <w:t>11</w:t>
      </w:r>
      <w:r>
        <w:t>(1), pp.41-60.</w:t>
      </w:r>
    </w:p>
    <w:p w14:paraId="7740754C" w14:textId="77777777" w:rsidR="00C75478" w:rsidRDefault="00000000">
      <w:pPr>
        <w:ind w:left="720" w:hanging="720"/>
      </w:pPr>
      <w:proofErr w:type="spellStart"/>
      <w:r>
        <w:t>Gelber</w:t>
      </w:r>
      <w:proofErr w:type="spellEnd"/>
      <w:r>
        <w:t xml:space="preserve">, K. and O’Sullivan, S., 2021. Cat got your </w:t>
      </w:r>
      <w:proofErr w:type="gramStart"/>
      <w:r>
        <w:t>tongue?</w:t>
      </w:r>
      <w:proofErr w:type="gramEnd"/>
      <w:r>
        <w:t xml:space="preserve"> Free speech, </w:t>
      </w:r>
      <w:proofErr w:type="gramStart"/>
      <w:r>
        <w:t>democracy</w:t>
      </w:r>
      <w:proofErr w:type="gramEnd"/>
      <w:r>
        <w:t xml:space="preserve"> and Australia’s ‘ag-</w:t>
      </w:r>
      <w:proofErr w:type="spellStart"/>
      <w:r>
        <w:t>gag’laws</w:t>
      </w:r>
      <w:proofErr w:type="spellEnd"/>
      <w:r>
        <w:t>. </w:t>
      </w:r>
      <w:r>
        <w:rPr>
          <w:i/>
        </w:rPr>
        <w:t>Australian Journal of Political Science</w:t>
      </w:r>
      <w:r>
        <w:t>, </w:t>
      </w:r>
      <w:r>
        <w:rPr>
          <w:i/>
        </w:rPr>
        <w:t>56</w:t>
      </w:r>
      <w:r>
        <w:t>(1), pp.19-34.</w:t>
      </w:r>
    </w:p>
    <w:p w14:paraId="7740754D" w14:textId="77777777" w:rsidR="00C75478" w:rsidRDefault="00000000">
      <w:pPr>
        <w:ind w:left="720" w:hanging="720"/>
      </w:pPr>
      <w:r>
        <w:t>Memon, R., 2017. Not guilty by reason of insanity (</w:t>
      </w:r>
      <w:proofErr w:type="spellStart"/>
      <w:r>
        <w:t>McNaughten</w:t>
      </w:r>
      <w:proofErr w:type="spellEnd"/>
      <w:r>
        <w:t xml:space="preserve"> rules). In </w:t>
      </w:r>
      <w:r>
        <w:rPr>
          <w:i/>
        </w:rPr>
        <w:t>Forensic Psychiatry</w:t>
      </w:r>
      <w:r>
        <w:t> (pp. 503-506). CRC Press.</w:t>
      </w:r>
    </w:p>
    <w:p w14:paraId="7740754E" w14:textId="77777777" w:rsidR="00C75478" w:rsidRDefault="00000000">
      <w:pPr>
        <w:ind w:left="720" w:hanging="720"/>
      </w:pPr>
      <w:r>
        <w:t>Miller, L., 2015. PTSD in the criminal justice system II: the insanity defense and diminished capacity. In </w:t>
      </w:r>
      <w:r>
        <w:rPr>
          <w:i/>
        </w:rPr>
        <w:t>PTSD and Forensic Psychology</w:t>
      </w:r>
      <w:r>
        <w:t> (pp. 69-81). Springer, Cham.</w:t>
      </w:r>
    </w:p>
    <w:p w14:paraId="7740754F" w14:textId="77777777" w:rsidR="00C75478" w:rsidRDefault="00000000">
      <w:pPr>
        <w:ind w:left="720" w:hanging="720"/>
      </w:pPr>
      <w:r>
        <w:t>Smith, E. and Stockdale, M., 2015. Bad character evidence as evidence of identity: R v Richardson [2014] EWCA Crim 1785. </w:t>
      </w:r>
      <w:r>
        <w:rPr>
          <w:i/>
        </w:rPr>
        <w:t>The Journal of Criminal Law</w:t>
      </w:r>
      <w:r>
        <w:t>, </w:t>
      </w:r>
      <w:r>
        <w:rPr>
          <w:i/>
        </w:rPr>
        <w:t>79</w:t>
      </w:r>
      <w:r>
        <w:t>(1), pp.12-15.</w:t>
      </w:r>
    </w:p>
    <w:p w14:paraId="77407550" w14:textId="77777777" w:rsidR="00C75478" w:rsidRDefault="00000000">
      <w:pPr>
        <w:ind w:left="720" w:hanging="720"/>
      </w:pPr>
      <w:r>
        <w:t>v Cheeseman, R. and Crim, E.W.C.A., 2019. Householders and Self. </w:t>
      </w:r>
      <w:r>
        <w:rPr>
          <w:i/>
        </w:rPr>
        <w:t>The journal of Criminal Law</w:t>
      </w:r>
      <w:r>
        <w:t>, </w:t>
      </w:r>
      <w:r>
        <w:rPr>
          <w:i/>
        </w:rPr>
        <w:t>83</w:t>
      </w:r>
      <w:r>
        <w:t>(2), pp.116-120.</w:t>
      </w:r>
    </w:p>
    <w:p w14:paraId="77407551" w14:textId="77777777" w:rsidR="00C75478" w:rsidRDefault="00C75478"/>
    <w:sectPr w:rsidR="00C7547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B6D73"/>
    <w:multiLevelType w:val="multilevel"/>
    <w:tmpl w:val="46ACC1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57104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478"/>
    <w:rsid w:val="0034633F"/>
    <w:rsid w:val="00C75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752F"/>
  <w15:docId w15:val="{E89DC5B9-788E-4C60-83EA-035E6499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ind w:left="432" w:hanging="432"/>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keepNext/>
      <w:keepLines/>
      <w:spacing w:before="200" w:after="0"/>
      <w:ind w:left="576" w:hanging="576"/>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00" w:after="0"/>
      <w:ind w:left="720" w:hanging="72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200" w:after="0"/>
      <w:ind w:left="864" w:hanging="864"/>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00" w:after="0"/>
      <w:ind w:left="1008" w:hanging="1008"/>
      <w:outlineLvl w:val="4"/>
    </w:pPr>
    <w:rPr>
      <w:rFonts w:ascii="Cambria" w:eastAsia="Cambria" w:hAnsi="Cambria" w:cs="Cambria"/>
      <w:color w:val="243F61"/>
    </w:rPr>
  </w:style>
  <w:style w:type="paragraph" w:styleId="Heading6">
    <w:name w:val="heading 6"/>
    <w:basedOn w:val="Normal"/>
    <w:next w:val="Normal"/>
    <w:uiPriority w:val="9"/>
    <w:semiHidden/>
    <w:unhideWhenUsed/>
    <w:qFormat/>
    <w:pPr>
      <w:keepNext/>
      <w:keepLines/>
      <w:spacing w:before="200" w:after="0"/>
      <w:ind w:left="1152" w:hanging="1152"/>
      <w:outlineLvl w:val="5"/>
    </w:pPr>
    <w:rPr>
      <w:rFonts w:ascii="Cambria" w:eastAsia="Cambria" w:hAnsi="Cambria" w:cs="Cambria"/>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1522</Words>
  <Characters>8676</Characters>
  <Application>Microsoft Office Word</Application>
  <DocSecurity>0</DocSecurity>
  <Lines>72</Lines>
  <Paragraphs>20</Paragraphs>
  <ScaleCrop>false</ScaleCrop>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ferchiu</cp:lastModifiedBy>
  <cp:revision>2</cp:revision>
  <dcterms:created xsi:type="dcterms:W3CDTF">2023-01-12T19:22:00Z</dcterms:created>
  <dcterms:modified xsi:type="dcterms:W3CDTF">2023-01-12T19:24:00Z</dcterms:modified>
</cp:coreProperties>
</file>