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5D7A7C" w14:textId="69B70DE4" w:rsidR="00272192" w:rsidRDefault="00E213FE" w:rsidP="00E213FE">
      <w:pPr>
        <w:spacing w:line="480" w:lineRule="auto"/>
        <w:rPr>
          <w:rFonts w:ascii="Arial" w:hAnsi="Arial" w:cs="Arial"/>
          <w:sz w:val="40"/>
          <w:szCs w:val="40"/>
        </w:rPr>
      </w:pPr>
      <w:r>
        <w:rPr>
          <w:rFonts w:ascii="Arial" w:hAnsi="Arial" w:cs="Arial"/>
          <w:sz w:val="40"/>
          <w:szCs w:val="40"/>
        </w:rPr>
        <w:t xml:space="preserve">                       </w:t>
      </w:r>
      <w:r w:rsidRPr="00E213FE">
        <w:rPr>
          <w:rFonts w:ascii="Arial" w:hAnsi="Arial" w:cs="Arial"/>
          <w:sz w:val="40"/>
          <w:szCs w:val="40"/>
          <w:u w:val="single"/>
        </w:rPr>
        <w:t>Equity and Trusts</w:t>
      </w:r>
      <w:r>
        <w:rPr>
          <w:rFonts w:ascii="Arial" w:hAnsi="Arial" w:cs="Arial"/>
          <w:sz w:val="40"/>
          <w:szCs w:val="40"/>
        </w:rPr>
        <w:t>.</w:t>
      </w:r>
    </w:p>
    <w:p w14:paraId="5041827B" w14:textId="44DC1F3C" w:rsidR="00E213FE" w:rsidRPr="00E213FE" w:rsidRDefault="00E213FE" w:rsidP="00E213FE">
      <w:pPr>
        <w:spacing w:line="480" w:lineRule="auto"/>
        <w:rPr>
          <w:rFonts w:ascii="Arial" w:hAnsi="Arial" w:cs="Arial"/>
          <w:sz w:val="40"/>
          <w:szCs w:val="40"/>
          <w:u w:val="single"/>
        </w:rPr>
      </w:pPr>
      <w:r>
        <w:rPr>
          <w:rFonts w:ascii="Arial" w:hAnsi="Arial" w:cs="Arial"/>
          <w:sz w:val="40"/>
          <w:szCs w:val="40"/>
        </w:rPr>
        <w:t xml:space="preserve">                        </w:t>
      </w:r>
      <w:r w:rsidRPr="00E213FE">
        <w:rPr>
          <w:rFonts w:ascii="Arial" w:hAnsi="Arial" w:cs="Arial"/>
          <w:sz w:val="40"/>
          <w:szCs w:val="40"/>
          <w:u w:val="single"/>
        </w:rPr>
        <w:t>(BMLW6007).</w:t>
      </w:r>
    </w:p>
    <w:p w14:paraId="65034D65" w14:textId="6E43AB34" w:rsidR="00E213FE" w:rsidRDefault="00E213FE" w:rsidP="00E213FE">
      <w:pPr>
        <w:spacing w:line="480" w:lineRule="auto"/>
        <w:rPr>
          <w:rFonts w:ascii="Arial" w:hAnsi="Arial" w:cs="Arial"/>
          <w:sz w:val="40"/>
          <w:szCs w:val="40"/>
          <w:u w:val="single"/>
        </w:rPr>
      </w:pPr>
      <w:r>
        <w:rPr>
          <w:rFonts w:ascii="Arial" w:hAnsi="Arial" w:cs="Arial"/>
          <w:sz w:val="40"/>
          <w:szCs w:val="40"/>
        </w:rPr>
        <w:t xml:space="preserve">                   </w:t>
      </w:r>
      <w:r w:rsidRPr="00E213FE">
        <w:rPr>
          <w:rFonts w:ascii="Arial" w:hAnsi="Arial" w:cs="Arial"/>
          <w:sz w:val="40"/>
          <w:szCs w:val="40"/>
          <w:u w:val="single"/>
        </w:rPr>
        <w:t>The Development of Equity.</w:t>
      </w:r>
    </w:p>
    <w:p w14:paraId="238DFE93" w14:textId="795DD86B" w:rsidR="00E213FE" w:rsidRDefault="00E213FE" w:rsidP="00E213FE">
      <w:pPr>
        <w:spacing w:line="480" w:lineRule="auto"/>
        <w:rPr>
          <w:rFonts w:ascii="Arial" w:hAnsi="Arial" w:cs="Arial"/>
          <w:sz w:val="24"/>
          <w:szCs w:val="24"/>
        </w:rPr>
      </w:pPr>
      <w:r>
        <w:rPr>
          <w:rFonts w:ascii="Arial" w:hAnsi="Arial" w:cs="Arial"/>
          <w:sz w:val="24"/>
          <w:szCs w:val="24"/>
        </w:rPr>
        <w:t>If law is regarded in general terms as the rule enforced in courts for the promotion of justice, then equity is detailed as part of the law which prior is to the coming of the Supreme Court of Judicature, Acts of 1873 – 1875. On November 1</w:t>
      </w:r>
      <w:r w:rsidRPr="00E213FE">
        <w:rPr>
          <w:rFonts w:ascii="Arial" w:hAnsi="Arial" w:cs="Arial"/>
          <w:sz w:val="24"/>
          <w:szCs w:val="24"/>
          <w:vertAlign w:val="superscript"/>
        </w:rPr>
        <w:t>st</w:t>
      </w:r>
      <w:r>
        <w:rPr>
          <w:rFonts w:ascii="Arial" w:hAnsi="Arial" w:cs="Arial"/>
          <w:sz w:val="24"/>
          <w:szCs w:val="24"/>
        </w:rPr>
        <w:t>, 1875, this was enforced within the courts of the Chancery and not at all in the courts of Common law, Common pleas, Kings Bench or Exchequer. The jurisdiction for the court of Chancery was based</w:t>
      </w:r>
      <w:r w:rsidR="00EF42DF">
        <w:rPr>
          <w:rFonts w:ascii="Arial" w:hAnsi="Arial" w:cs="Arial"/>
          <w:sz w:val="24"/>
          <w:szCs w:val="24"/>
        </w:rPr>
        <w:t xml:space="preserve"> upon principles that were designed to be able to remove or relieve any injustices that were incapable of being dealt with within the Common law courts. Equity was used up until the enforcement of the Judicature Acts (1873 – 1875). It is not </w:t>
      </w:r>
      <w:proofErr w:type="gramStart"/>
      <w:r w:rsidR="00EF42DF">
        <w:rPr>
          <w:rFonts w:ascii="Arial" w:hAnsi="Arial" w:cs="Arial"/>
          <w:sz w:val="24"/>
          <w:szCs w:val="24"/>
        </w:rPr>
        <w:t>really possible</w:t>
      </w:r>
      <w:proofErr w:type="gramEnd"/>
      <w:r w:rsidR="00EF42DF">
        <w:rPr>
          <w:rFonts w:ascii="Arial" w:hAnsi="Arial" w:cs="Arial"/>
          <w:sz w:val="24"/>
          <w:szCs w:val="24"/>
        </w:rPr>
        <w:t xml:space="preserve"> to successfully define equity, but it can be described from its contents or its historical terms (Petit, 2006).</w:t>
      </w:r>
    </w:p>
    <w:p w14:paraId="1D1F8D83" w14:textId="6016DEC3" w:rsidR="000A2BB2" w:rsidRDefault="000A2BB2" w:rsidP="00E213FE">
      <w:pPr>
        <w:spacing w:line="480" w:lineRule="auto"/>
        <w:rPr>
          <w:rFonts w:ascii="Arial" w:hAnsi="Arial" w:cs="Arial"/>
          <w:sz w:val="24"/>
          <w:szCs w:val="24"/>
        </w:rPr>
      </w:pPr>
      <w:r>
        <w:rPr>
          <w:rFonts w:ascii="Arial" w:hAnsi="Arial" w:cs="Arial"/>
          <w:sz w:val="24"/>
          <w:szCs w:val="24"/>
        </w:rPr>
        <w:t>In the fourteenth century, the Kings Common law had been established. This would go on to cause unnecessary injustice for individual cases, which would lead to embarrassment of the conscience of the king. To provide a just remed</w:t>
      </w:r>
      <w:r w:rsidR="00027D97">
        <w:rPr>
          <w:rFonts w:ascii="Arial" w:hAnsi="Arial" w:cs="Arial"/>
          <w:sz w:val="24"/>
          <w:szCs w:val="24"/>
        </w:rPr>
        <w:t>y would then befall the Chancellor. By the end of the fourteenth century, the Chancellor was giving out justice upon his own authority from Westminster, his only concern was to remedy a strong common law position on the grounds of conscience (Watt, 2006).</w:t>
      </w:r>
    </w:p>
    <w:p w14:paraId="2EF2B181" w14:textId="3F03CEE4" w:rsidR="00027D97" w:rsidRDefault="00027D97" w:rsidP="00E213FE">
      <w:pPr>
        <w:spacing w:line="480" w:lineRule="auto"/>
        <w:rPr>
          <w:rFonts w:ascii="Arial" w:hAnsi="Arial" w:cs="Arial"/>
          <w:sz w:val="24"/>
          <w:szCs w:val="24"/>
        </w:rPr>
      </w:pPr>
      <w:r>
        <w:rPr>
          <w:rFonts w:ascii="Arial" w:hAnsi="Arial" w:cs="Arial"/>
          <w:sz w:val="24"/>
          <w:szCs w:val="24"/>
        </w:rPr>
        <w:t>Th</w:t>
      </w:r>
      <w:r w:rsidR="00E50439">
        <w:rPr>
          <w:rFonts w:ascii="Arial" w:hAnsi="Arial" w:cs="Arial"/>
          <w:sz w:val="24"/>
          <w:szCs w:val="24"/>
        </w:rPr>
        <w:t>e</w:t>
      </w:r>
      <w:r>
        <w:rPr>
          <w:rFonts w:ascii="Arial" w:hAnsi="Arial" w:cs="Arial"/>
          <w:sz w:val="24"/>
          <w:szCs w:val="24"/>
        </w:rPr>
        <w:t xml:space="preserve"> early common law system was expensive and rather complex, legal actions were only based upon writs and these had to be spoken in Latin. </w:t>
      </w:r>
      <w:r w:rsidR="00AD59AC">
        <w:rPr>
          <w:rFonts w:ascii="Arial" w:hAnsi="Arial" w:cs="Arial"/>
          <w:sz w:val="24"/>
          <w:szCs w:val="24"/>
        </w:rPr>
        <w:t>Many of</w:t>
      </w:r>
      <w:r w:rsidR="00BC33D8">
        <w:rPr>
          <w:rFonts w:ascii="Arial" w:hAnsi="Arial" w:cs="Arial"/>
          <w:sz w:val="24"/>
          <w:szCs w:val="24"/>
        </w:rPr>
        <w:t xml:space="preserve"> these cases were lost due to large mistakes being made within their delivery.</w:t>
      </w:r>
      <w:r w:rsidR="00AD59AC">
        <w:rPr>
          <w:rFonts w:ascii="Arial" w:hAnsi="Arial" w:cs="Arial"/>
          <w:sz w:val="24"/>
          <w:szCs w:val="24"/>
        </w:rPr>
        <w:t xml:space="preserve">  The problem </w:t>
      </w:r>
      <w:r w:rsidR="00AD59AC">
        <w:rPr>
          <w:rFonts w:ascii="Arial" w:hAnsi="Arial" w:cs="Arial"/>
          <w:sz w:val="24"/>
          <w:szCs w:val="24"/>
        </w:rPr>
        <w:lastRenderedPageBreak/>
        <w:t>was compounded by the Provisions of Oxford 1258, plus the statute of Westminster, this would limit the number of writs which precluded a legal action as there was no legal writ that was to cover this – no remedy without a writ. Common law rules would lead to injustice. If someone built a house upon land of the understanding that ownership of the land could be transferred to him when completed</w:t>
      </w:r>
      <w:r w:rsidR="00E65363">
        <w:rPr>
          <w:rFonts w:ascii="Arial" w:hAnsi="Arial" w:cs="Arial"/>
          <w:sz w:val="24"/>
          <w:szCs w:val="24"/>
        </w:rPr>
        <w:t>, or if the owner of the land</w:t>
      </w:r>
      <w:r w:rsidR="00B3214F">
        <w:rPr>
          <w:rFonts w:ascii="Arial" w:hAnsi="Arial" w:cs="Arial"/>
          <w:sz w:val="24"/>
          <w:szCs w:val="24"/>
        </w:rPr>
        <w:t xml:space="preserve"> did not carry out his promise, then the home builder did not have any action under the common law because legally the land did not belong to them. It was not always appropriate for the remedy of damages at common law. If your property was trespassed upon,</w:t>
      </w:r>
      <w:r w:rsidR="00CB6E95">
        <w:rPr>
          <w:rFonts w:ascii="Arial" w:hAnsi="Arial" w:cs="Arial"/>
          <w:sz w:val="24"/>
          <w:szCs w:val="24"/>
        </w:rPr>
        <w:t xml:space="preserve"> then an award of damages does not prevent this action from happening again (Mc Donald &amp; Street, 2016).</w:t>
      </w:r>
    </w:p>
    <w:p w14:paraId="49240AF9" w14:textId="500C91D1" w:rsidR="005F3F5A" w:rsidRDefault="00E64AC0" w:rsidP="00E213FE">
      <w:pPr>
        <w:spacing w:line="480" w:lineRule="auto"/>
        <w:rPr>
          <w:rFonts w:ascii="Arial" w:hAnsi="Arial" w:cs="Arial"/>
          <w:sz w:val="24"/>
          <w:szCs w:val="24"/>
        </w:rPr>
      </w:pPr>
      <w:r>
        <w:rPr>
          <w:rFonts w:ascii="Arial" w:hAnsi="Arial" w:cs="Arial"/>
          <w:sz w:val="24"/>
          <w:szCs w:val="24"/>
        </w:rPr>
        <w:t>Cook v Fountain (1676), states that the law of presumed resulting trusts is reflected upon an old rule that showed the fate of the beneficial interest in the property would be held upon the intention of the transferor. The presumption is of the intention to make or create a trust for the provider of said purchase. This is phrased in negative terms as a presumption that the intention of the transferor is to not pass on any of its beneficial interest to the transferee (Mee, 2014).</w:t>
      </w:r>
    </w:p>
    <w:p w14:paraId="1A2BFB24" w14:textId="09DC4468" w:rsidR="005F3F5A" w:rsidRDefault="005F3F5A" w:rsidP="00E213FE">
      <w:pPr>
        <w:spacing w:line="480" w:lineRule="auto"/>
        <w:rPr>
          <w:rFonts w:ascii="Arial" w:hAnsi="Arial" w:cs="Arial"/>
          <w:sz w:val="24"/>
          <w:szCs w:val="24"/>
        </w:rPr>
      </w:pPr>
      <w:r>
        <w:rPr>
          <w:rFonts w:ascii="Arial" w:hAnsi="Arial" w:cs="Arial"/>
          <w:sz w:val="24"/>
          <w:szCs w:val="24"/>
        </w:rPr>
        <w:t xml:space="preserve">The Earl of Oxford’s case (1615) 1 Rep CH 1 </w:t>
      </w:r>
      <w:r w:rsidR="00764F63">
        <w:rPr>
          <w:rFonts w:ascii="Arial" w:hAnsi="Arial" w:cs="Arial"/>
          <w:sz w:val="24"/>
          <w:szCs w:val="24"/>
        </w:rPr>
        <w:t>was where a defendant appealed against the judgment within the common law on the grounds that the judgment had been obtained by fraud. Lord Ellesmere agreed and gave a common injunction which would restrain the claimant from enforcing the judgment. These types of cases were to become a challenge to the authorities of the common law courts as they deprived the claimants any sort of ability to find a remedy through the common law courts. Due to this conflict, equity would prevail over the common law (</w:t>
      </w:r>
      <w:r w:rsidR="000C6501">
        <w:rPr>
          <w:rFonts w:ascii="Arial" w:hAnsi="Arial" w:cs="Arial"/>
          <w:sz w:val="24"/>
          <w:szCs w:val="24"/>
        </w:rPr>
        <w:t>Martin &amp; Turner,2006).</w:t>
      </w:r>
    </w:p>
    <w:p w14:paraId="76DA3ACD" w14:textId="2DAF7C90" w:rsidR="004D1E39" w:rsidRDefault="00886302" w:rsidP="00E213FE">
      <w:pPr>
        <w:spacing w:line="480" w:lineRule="auto"/>
        <w:rPr>
          <w:rFonts w:ascii="Arial" w:hAnsi="Arial" w:cs="Arial"/>
          <w:sz w:val="24"/>
          <w:szCs w:val="24"/>
        </w:rPr>
      </w:pPr>
      <w:r>
        <w:rPr>
          <w:rFonts w:ascii="Arial" w:hAnsi="Arial" w:cs="Arial"/>
          <w:sz w:val="24"/>
          <w:szCs w:val="24"/>
        </w:rPr>
        <w:lastRenderedPageBreak/>
        <w:t>Equity responds to many issues within the common law. People become vexed when they find out there would be no writ, which would have covered their claims. This also left them without a right to stand and fight in court. The claimants had to try to ask the King if this could be heard in court, or they required another remedy other than damages, or even a right under a mortgage or a trust, then remedy can be sought. The decisions which were proposed by the King were not always consistent. Today these could be regarded as being made upon merit rather than on any previous decisions (Bray,2012).</w:t>
      </w:r>
    </w:p>
    <w:p w14:paraId="3E084DC8" w14:textId="104CF46E" w:rsidR="000C6501" w:rsidRDefault="000C6501" w:rsidP="00E213FE">
      <w:pPr>
        <w:spacing w:line="480" w:lineRule="auto"/>
        <w:rPr>
          <w:rFonts w:ascii="Arial" w:hAnsi="Arial" w:cs="Arial"/>
          <w:sz w:val="24"/>
          <w:szCs w:val="24"/>
        </w:rPr>
      </w:pPr>
      <w:r>
        <w:rPr>
          <w:rFonts w:ascii="Arial" w:hAnsi="Arial" w:cs="Arial"/>
          <w:sz w:val="24"/>
          <w:szCs w:val="24"/>
        </w:rPr>
        <w:t>The distinction between law and equity should be understood at the function level, and not at form. Equity is distinct from the common law that approaches to law survived by the Acts of Judicature (1873 – 1875). These brought out the physical and jurisdictional coming together of the old court of Chancery and the courts of Common law.</w:t>
      </w:r>
      <w:r w:rsidR="0038064F">
        <w:rPr>
          <w:rFonts w:ascii="Arial" w:hAnsi="Arial" w:cs="Arial"/>
          <w:sz w:val="24"/>
          <w:szCs w:val="24"/>
        </w:rPr>
        <w:t xml:space="preserve"> In the case of Edwards v Lowndes (1852), Lord Campbell was to remind litigants that a trustee </w:t>
      </w:r>
      <w:proofErr w:type="gramStart"/>
      <w:r w:rsidR="0038064F">
        <w:rPr>
          <w:rFonts w:ascii="Arial" w:hAnsi="Arial" w:cs="Arial"/>
          <w:sz w:val="24"/>
          <w:szCs w:val="24"/>
        </w:rPr>
        <w:t>has to</w:t>
      </w:r>
      <w:proofErr w:type="gramEnd"/>
      <w:r w:rsidR="0038064F">
        <w:rPr>
          <w:rFonts w:ascii="Arial" w:hAnsi="Arial" w:cs="Arial"/>
          <w:sz w:val="24"/>
          <w:szCs w:val="24"/>
        </w:rPr>
        <w:t xml:space="preserve"> be made accountable to the beneficiaries of their trust in equity, but never within the common law. The 1850 court of Chancery Act and the 1852 court of Chancery Procedure Act, were early attempts to try and grapple with any procedural issues that may arise within the court of Chancery. The speeding up of the of chancery did not appear until Lord Chancellor Selbourne introduced the Judicature Act of 1873 within parliament. There was a two-year delay due to administrative issues, so did not come into force until 1875. It is now known as the Judicature Acts of 1873 – 1875 (Watts,2014). </w:t>
      </w:r>
    </w:p>
    <w:p w14:paraId="7485E73C" w14:textId="45869EA2" w:rsidR="0038064F" w:rsidRDefault="0038064F" w:rsidP="00E213FE">
      <w:pPr>
        <w:spacing w:line="480" w:lineRule="auto"/>
        <w:rPr>
          <w:rFonts w:ascii="Arial" w:hAnsi="Arial" w:cs="Arial"/>
          <w:sz w:val="24"/>
          <w:szCs w:val="24"/>
        </w:rPr>
      </w:pPr>
      <w:r>
        <w:rPr>
          <w:rFonts w:ascii="Arial" w:hAnsi="Arial" w:cs="Arial"/>
          <w:sz w:val="24"/>
          <w:szCs w:val="24"/>
        </w:rPr>
        <w:t>The development of equity was known to be highly discretionary and impromptu. In the case of Re Hallett’s Estate</w:t>
      </w:r>
      <w:r w:rsidR="00800762">
        <w:rPr>
          <w:rFonts w:ascii="Arial" w:hAnsi="Arial" w:cs="Arial"/>
          <w:sz w:val="24"/>
          <w:szCs w:val="24"/>
        </w:rPr>
        <w:t xml:space="preserve">: </w:t>
      </w:r>
      <w:proofErr w:type="spellStart"/>
      <w:r w:rsidR="00800762">
        <w:rPr>
          <w:rFonts w:ascii="Arial" w:hAnsi="Arial" w:cs="Arial"/>
          <w:sz w:val="24"/>
          <w:szCs w:val="24"/>
        </w:rPr>
        <w:t>Knatchbull</w:t>
      </w:r>
      <w:proofErr w:type="spellEnd"/>
      <w:r w:rsidR="00800762">
        <w:rPr>
          <w:rFonts w:ascii="Arial" w:hAnsi="Arial" w:cs="Arial"/>
          <w:sz w:val="24"/>
          <w:szCs w:val="24"/>
        </w:rPr>
        <w:t xml:space="preserve"> v Hallet (1880) 13 </w:t>
      </w:r>
      <w:proofErr w:type="spellStart"/>
      <w:r w:rsidR="00800762">
        <w:rPr>
          <w:rFonts w:ascii="Arial" w:hAnsi="Arial" w:cs="Arial"/>
          <w:sz w:val="24"/>
          <w:szCs w:val="24"/>
        </w:rPr>
        <w:t>ch</w:t>
      </w:r>
      <w:proofErr w:type="spellEnd"/>
      <w:r w:rsidR="00800762">
        <w:rPr>
          <w:rFonts w:ascii="Arial" w:hAnsi="Arial" w:cs="Arial"/>
          <w:sz w:val="24"/>
          <w:szCs w:val="24"/>
        </w:rPr>
        <w:t xml:space="preserve"> D 696, went on to note that common law, with the emphasis upon its rules existed ‘from time immemorial’. Whereas equity was or is made of the principles which were created </w:t>
      </w:r>
      <w:r w:rsidR="00800762">
        <w:rPr>
          <w:rFonts w:ascii="Arial" w:hAnsi="Arial" w:cs="Arial"/>
          <w:sz w:val="24"/>
          <w:szCs w:val="24"/>
        </w:rPr>
        <w:lastRenderedPageBreak/>
        <w:t>from time to time by the Chancellor. Common law came before equity; therefore, equity became a response to injustice being harsh or heavy handed. This was created by the common law’s outlook upon the rigid rules (Oxford University Press).</w:t>
      </w:r>
    </w:p>
    <w:p w14:paraId="43BADBFE" w14:textId="2EEF48B0" w:rsidR="001220CC" w:rsidRDefault="001220CC" w:rsidP="00E213FE">
      <w:pPr>
        <w:spacing w:line="480" w:lineRule="auto"/>
        <w:rPr>
          <w:rFonts w:ascii="Arial" w:hAnsi="Arial" w:cs="Arial"/>
          <w:sz w:val="24"/>
          <w:szCs w:val="24"/>
        </w:rPr>
      </w:pPr>
      <w:r>
        <w:rPr>
          <w:rFonts w:ascii="Arial" w:hAnsi="Arial" w:cs="Arial"/>
          <w:sz w:val="24"/>
          <w:szCs w:val="24"/>
        </w:rPr>
        <w:t>The law of trusts was assembled as part of equity which emerged from within the courts of Chancery, this was to correct the severity of the common law. The trust was also an addition to property law. This is where a person would hold a legal title to a piece of property, the courts would decide if it was fair just or equitable that a person may use this for a benefit of another person. There was a split between legal ownership and beneficial ownership, the legal owner is known as the trustee because they have been trusted with this property, and the beneficial owner is to be known as the beneficiary (Martin &amp; Turner, 2006).</w:t>
      </w:r>
    </w:p>
    <w:p w14:paraId="4D9840CE" w14:textId="2BC6D0C3" w:rsidR="001220CC" w:rsidRDefault="001220CC" w:rsidP="00E213FE">
      <w:pPr>
        <w:spacing w:line="480" w:lineRule="auto"/>
        <w:rPr>
          <w:rFonts w:ascii="Arial" w:hAnsi="Arial" w:cs="Arial"/>
          <w:sz w:val="24"/>
          <w:szCs w:val="24"/>
        </w:rPr>
      </w:pPr>
      <w:r>
        <w:rPr>
          <w:rFonts w:ascii="Arial" w:hAnsi="Arial" w:cs="Arial"/>
          <w:sz w:val="24"/>
          <w:szCs w:val="24"/>
        </w:rPr>
        <w:t xml:space="preserve">A declaration of trust can be found in section 53 (LPA – Law of Property Act 1925) (1) (b) which says that a declaration of trust of any land or any such interest within this </w:t>
      </w:r>
      <w:proofErr w:type="gramStart"/>
      <w:r>
        <w:rPr>
          <w:rFonts w:ascii="Arial" w:hAnsi="Arial" w:cs="Arial"/>
          <w:sz w:val="24"/>
          <w:szCs w:val="24"/>
        </w:rPr>
        <w:t>has to</w:t>
      </w:r>
      <w:proofErr w:type="gramEnd"/>
      <w:r>
        <w:rPr>
          <w:rFonts w:ascii="Arial" w:hAnsi="Arial" w:cs="Arial"/>
          <w:sz w:val="24"/>
          <w:szCs w:val="24"/>
        </w:rPr>
        <w:t xml:space="preserve"> be seen and also proved in writing. It must then be signed for by a person who can state that they are of sound mind and body</w:t>
      </w:r>
      <w:r w:rsidR="00DB138A">
        <w:rPr>
          <w:rFonts w:ascii="Arial" w:hAnsi="Arial" w:cs="Arial"/>
          <w:sz w:val="24"/>
          <w:szCs w:val="24"/>
        </w:rPr>
        <w:t xml:space="preserve"> to be able to declare such trust by their will. For a disposition of equitable interest / trust can be found in section 53 (1) (c), the disposition of an equitable trust / interest would remain in force at the time of this said disposition. This must also be done in writing and </w:t>
      </w:r>
      <w:proofErr w:type="gramStart"/>
      <w:r w:rsidR="00DB138A">
        <w:rPr>
          <w:rFonts w:ascii="Arial" w:hAnsi="Arial" w:cs="Arial"/>
          <w:sz w:val="24"/>
          <w:szCs w:val="24"/>
        </w:rPr>
        <w:t>has to</w:t>
      </w:r>
      <w:proofErr w:type="gramEnd"/>
      <w:r w:rsidR="00DB138A">
        <w:rPr>
          <w:rFonts w:ascii="Arial" w:hAnsi="Arial" w:cs="Arial"/>
          <w:sz w:val="24"/>
          <w:szCs w:val="24"/>
        </w:rPr>
        <w:t xml:space="preserve"> be signed by whomever is disposing, or the agent of a lawfully authorised will. A disposition can be found in the case of Timpson’s Executors v </w:t>
      </w:r>
      <w:proofErr w:type="spellStart"/>
      <w:r w:rsidR="00DB138A">
        <w:rPr>
          <w:rFonts w:ascii="Arial" w:hAnsi="Arial" w:cs="Arial"/>
          <w:sz w:val="24"/>
          <w:szCs w:val="24"/>
        </w:rPr>
        <w:t>Yerbury</w:t>
      </w:r>
      <w:proofErr w:type="spellEnd"/>
      <w:r w:rsidR="00DB138A">
        <w:rPr>
          <w:rFonts w:ascii="Arial" w:hAnsi="Arial" w:cs="Arial"/>
          <w:sz w:val="24"/>
          <w:szCs w:val="24"/>
        </w:rPr>
        <w:t xml:space="preserve"> (1936). This gives four ways that someone who has equitable interests can get rid of them or dispose of them. They could be assigned to a third party: Re Danish Bacon Co LTD Staff Pension Fund Trust (1971). A trustee may also hold a property for a third party in a trust. This can be seen in </w:t>
      </w:r>
      <w:proofErr w:type="gramStart"/>
      <w:r w:rsidR="00DB138A">
        <w:rPr>
          <w:rFonts w:ascii="Arial" w:hAnsi="Arial" w:cs="Arial"/>
          <w:sz w:val="24"/>
          <w:szCs w:val="24"/>
        </w:rPr>
        <w:t>Grey</w:t>
      </w:r>
      <w:proofErr w:type="gramEnd"/>
      <w:r w:rsidR="00DB138A">
        <w:rPr>
          <w:rFonts w:ascii="Arial" w:hAnsi="Arial" w:cs="Arial"/>
          <w:sz w:val="24"/>
          <w:szCs w:val="24"/>
        </w:rPr>
        <w:t xml:space="preserve"> v IRC (1960) (Haley &amp;Mc Murty, 2014).</w:t>
      </w:r>
    </w:p>
    <w:p w14:paraId="1B65C014" w14:textId="7279C819" w:rsidR="00714C81" w:rsidRDefault="00714C81" w:rsidP="00E213FE">
      <w:pPr>
        <w:spacing w:line="480" w:lineRule="auto"/>
        <w:rPr>
          <w:rFonts w:ascii="Arial" w:hAnsi="Arial" w:cs="Arial"/>
          <w:sz w:val="24"/>
          <w:szCs w:val="24"/>
        </w:rPr>
      </w:pPr>
      <w:r>
        <w:rPr>
          <w:rFonts w:ascii="Arial" w:hAnsi="Arial" w:cs="Arial"/>
          <w:sz w:val="24"/>
          <w:szCs w:val="24"/>
        </w:rPr>
        <w:lastRenderedPageBreak/>
        <w:t>A description of the trust can be found within the Recognition of Trusts Acts (1987), which confirmed the 1984 Hague convention on the law applicable to trusts and their recognition. This will put down a uniform conflict of law rules for the recognition of the trust (Davies &amp; Virgo, 2016).</w:t>
      </w:r>
    </w:p>
    <w:p w14:paraId="3F5A0CA7" w14:textId="12CFD701" w:rsidR="009A36A8" w:rsidRDefault="009A36A8" w:rsidP="00E213FE">
      <w:pPr>
        <w:spacing w:line="480" w:lineRule="auto"/>
        <w:rPr>
          <w:rFonts w:ascii="Arial" w:hAnsi="Arial" w:cs="Arial"/>
          <w:sz w:val="24"/>
          <w:szCs w:val="24"/>
        </w:rPr>
      </w:pPr>
      <w:r>
        <w:rPr>
          <w:rFonts w:ascii="Arial" w:hAnsi="Arial" w:cs="Arial"/>
          <w:sz w:val="24"/>
          <w:szCs w:val="24"/>
        </w:rPr>
        <w:t xml:space="preserve">The maxim of equity looks upon substance and not to form. It could be said that there are no conditions to the setting up of a trust, no words need to be applied or used to be able to create a trust (not even the word trust). The Wills Act (1873), and the LPA (1925) (Law of Property Act), have the need for documentary formalities that must be in accordance with so that records can be held of any dealings with regards to property. The Inland Revenue need to know who is entitled to claim the benefit of the property, so they are then able to tax this property. A declaration for a trust of land has no formality, a disposition of a trust of a subsisting equitable interest in land must firstly be proven by a document which has been signed by the settlor or proved by the testator’s will. A declaration of trust of subsisting equitable interest in land </w:t>
      </w:r>
      <w:proofErr w:type="gramStart"/>
      <w:r>
        <w:rPr>
          <w:rFonts w:ascii="Arial" w:hAnsi="Arial" w:cs="Arial"/>
          <w:sz w:val="24"/>
          <w:szCs w:val="24"/>
        </w:rPr>
        <w:t>has to</w:t>
      </w:r>
      <w:proofErr w:type="gramEnd"/>
      <w:r>
        <w:rPr>
          <w:rFonts w:ascii="Arial" w:hAnsi="Arial" w:cs="Arial"/>
          <w:sz w:val="24"/>
          <w:szCs w:val="24"/>
        </w:rPr>
        <w:t xml:space="preserve"> be made within a document that must be signed by the settlor or the agent of a settlor, or within the testator’s will. You can refer to the case of </w:t>
      </w:r>
      <w:proofErr w:type="gramStart"/>
      <w:r>
        <w:rPr>
          <w:rFonts w:ascii="Arial" w:hAnsi="Arial" w:cs="Arial"/>
          <w:sz w:val="24"/>
          <w:szCs w:val="24"/>
        </w:rPr>
        <w:t>Grey</w:t>
      </w:r>
      <w:proofErr w:type="gramEnd"/>
      <w:r>
        <w:rPr>
          <w:rFonts w:ascii="Arial" w:hAnsi="Arial" w:cs="Arial"/>
          <w:sz w:val="24"/>
          <w:szCs w:val="24"/>
        </w:rPr>
        <w:t xml:space="preserve"> v Inland Revenue Commissioners (1960) AC 1. This was a case</w:t>
      </w:r>
      <w:r w:rsidR="00E91855">
        <w:rPr>
          <w:rFonts w:ascii="Arial" w:hAnsi="Arial" w:cs="Arial"/>
          <w:sz w:val="24"/>
          <w:szCs w:val="24"/>
        </w:rPr>
        <w:t xml:space="preserve"> heard in the House of Lords where Grey was one of the trustees of the six settlements. This was to do with stamp duty, and the Inland Revenue declared it to be so, so Grey appealed. Grey lost the appeal, and it was known to be stamp duty (Watt,2006).</w:t>
      </w:r>
    </w:p>
    <w:p w14:paraId="79DE4C68" w14:textId="16B1FA5D" w:rsidR="00E91855" w:rsidRDefault="00AE7E60" w:rsidP="00E213FE">
      <w:pPr>
        <w:spacing w:line="480" w:lineRule="auto"/>
        <w:rPr>
          <w:rFonts w:ascii="Arial" w:hAnsi="Arial" w:cs="Arial"/>
          <w:sz w:val="24"/>
          <w:szCs w:val="24"/>
        </w:rPr>
      </w:pPr>
      <w:r>
        <w:rPr>
          <w:rFonts w:ascii="Arial" w:hAnsi="Arial" w:cs="Arial"/>
          <w:sz w:val="24"/>
          <w:szCs w:val="24"/>
        </w:rPr>
        <w:t xml:space="preserve">The ruling of Lord Langdale, in the case of Knight v Knight is looked back upon as the outlining proposition that would be in place for a trust to be valid. So, the three certainties are, present certainty of words, certainty of subject </w:t>
      </w:r>
      <w:proofErr w:type="gramStart"/>
      <w:r>
        <w:rPr>
          <w:rFonts w:ascii="Arial" w:hAnsi="Arial" w:cs="Arial"/>
          <w:sz w:val="24"/>
          <w:szCs w:val="24"/>
        </w:rPr>
        <w:t>and also</w:t>
      </w:r>
      <w:proofErr w:type="gramEnd"/>
      <w:r>
        <w:rPr>
          <w:rFonts w:ascii="Arial" w:hAnsi="Arial" w:cs="Arial"/>
          <w:sz w:val="24"/>
          <w:szCs w:val="24"/>
        </w:rPr>
        <w:t xml:space="preserve"> certainty of object. </w:t>
      </w:r>
      <w:proofErr w:type="gramStart"/>
      <w:r>
        <w:rPr>
          <w:rFonts w:ascii="Arial" w:hAnsi="Arial" w:cs="Arial"/>
          <w:sz w:val="24"/>
          <w:szCs w:val="24"/>
        </w:rPr>
        <w:t>In order for</w:t>
      </w:r>
      <w:proofErr w:type="gramEnd"/>
      <w:r>
        <w:rPr>
          <w:rFonts w:ascii="Arial" w:hAnsi="Arial" w:cs="Arial"/>
          <w:sz w:val="24"/>
          <w:szCs w:val="24"/>
        </w:rPr>
        <w:t xml:space="preserve"> a valid trust, the words must be of vital importance, then the </w:t>
      </w:r>
      <w:r>
        <w:rPr>
          <w:rFonts w:ascii="Arial" w:hAnsi="Arial" w:cs="Arial"/>
          <w:sz w:val="24"/>
          <w:szCs w:val="24"/>
        </w:rPr>
        <w:lastRenderedPageBreak/>
        <w:t xml:space="preserve">subject has to be certain, and lastly the object in question has to be certain like the subject </w:t>
      </w:r>
      <w:r w:rsidR="00BC0CD9">
        <w:rPr>
          <w:rFonts w:ascii="Arial" w:hAnsi="Arial" w:cs="Arial"/>
          <w:sz w:val="24"/>
          <w:szCs w:val="24"/>
        </w:rPr>
        <w:t>(Pettit</w:t>
      </w:r>
      <w:r>
        <w:rPr>
          <w:rFonts w:ascii="Arial" w:hAnsi="Arial" w:cs="Arial"/>
          <w:sz w:val="24"/>
          <w:szCs w:val="24"/>
        </w:rPr>
        <w:t>, 2006).</w:t>
      </w:r>
    </w:p>
    <w:p w14:paraId="3EF7F837" w14:textId="1573D831" w:rsidR="00BC0CD9" w:rsidRDefault="00BC0CD9" w:rsidP="00E213FE">
      <w:pPr>
        <w:spacing w:line="480" w:lineRule="auto"/>
        <w:rPr>
          <w:rFonts w:ascii="Arial" w:hAnsi="Arial" w:cs="Arial"/>
          <w:sz w:val="24"/>
          <w:szCs w:val="24"/>
        </w:rPr>
      </w:pPr>
      <w:r>
        <w:rPr>
          <w:rFonts w:ascii="Arial" w:hAnsi="Arial" w:cs="Arial"/>
          <w:sz w:val="24"/>
          <w:szCs w:val="24"/>
        </w:rPr>
        <w:t xml:space="preserve">Within the certainty or the deciding of intention you must make sure that the nature of the language used is correct, as in the case of Wright v </w:t>
      </w:r>
      <w:proofErr w:type="spellStart"/>
      <w:r>
        <w:rPr>
          <w:rFonts w:ascii="Arial" w:hAnsi="Arial" w:cs="Arial"/>
          <w:sz w:val="24"/>
          <w:szCs w:val="24"/>
        </w:rPr>
        <w:t>Atykns</w:t>
      </w:r>
      <w:proofErr w:type="spellEnd"/>
      <w:r>
        <w:rPr>
          <w:rFonts w:ascii="Arial" w:hAnsi="Arial" w:cs="Arial"/>
          <w:sz w:val="24"/>
          <w:szCs w:val="24"/>
        </w:rPr>
        <w:t xml:space="preserve">, this is of vital importance. There was no actual requirement that language used be particular in Re </w:t>
      </w:r>
      <w:proofErr w:type="spellStart"/>
      <w:r>
        <w:rPr>
          <w:rFonts w:ascii="Arial" w:hAnsi="Arial" w:cs="Arial"/>
          <w:sz w:val="24"/>
          <w:szCs w:val="24"/>
        </w:rPr>
        <w:t>Kayford</w:t>
      </w:r>
      <w:proofErr w:type="spellEnd"/>
      <w:r>
        <w:rPr>
          <w:rFonts w:ascii="Arial" w:hAnsi="Arial" w:cs="Arial"/>
          <w:sz w:val="24"/>
          <w:szCs w:val="24"/>
        </w:rPr>
        <w:t xml:space="preserve">. </w:t>
      </w:r>
      <w:proofErr w:type="spellStart"/>
      <w:r>
        <w:rPr>
          <w:rFonts w:ascii="Arial" w:hAnsi="Arial" w:cs="Arial"/>
          <w:sz w:val="24"/>
          <w:szCs w:val="24"/>
        </w:rPr>
        <w:t>Megarry</w:t>
      </w:r>
      <w:proofErr w:type="spellEnd"/>
      <w:r>
        <w:rPr>
          <w:rFonts w:ascii="Arial" w:hAnsi="Arial" w:cs="Arial"/>
          <w:sz w:val="24"/>
          <w:szCs w:val="24"/>
        </w:rPr>
        <w:t xml:space="preserve"> J stated that a trust could be constructed without having to use the word trust or confidence, it just requires an intention to create a trust. In the case of Paul v Constance, it was said that the phrase “the money is as much yours as it is mine” was enough to interpret a trust. A trust will and should not be formed if some other intention was behind this. Jones and Lock was where the intention was to make a pure gift. Precatory words like ‘desired or hoped’ are to be held valid. Since the case of Lambe v Eames, courts have taken on the approach of the reading of statements and the regarding of the </w:t>
      </w:r>
      <w:proofErr w:type="gramStart"/>
      <w:r>
        <w:rPr>
          <w:rFonts w:ascii="Arial" w:hAnsi="Arial" w:cs="Arial"/>
          <w:sz w:val="24"/>
          <w:szCs w:val="24"/>
        </w:rPr>
        <w:t>circumstances as a whole, and</w:t>
      </w:r>
      <w:proofErr w:type="gramEnd"/>
      <w:r>
        <w:rPr>
          <w:rFonts w:ascii="Arial" w:hAnsi="Arial" w:cs="Arial"/>
          <w:sz w:val="24"/>
          <w:szCs w:val="24"/>
        </w:rPr>
        <w:t xml:space="preserve"> that no distinct words obtrude a trust upon their own (Bray, 201</w:t>
      </w:r>
      <w:r w:rsidR="007022FC">
        <w:rPr>
          <w:rFonts w:ascii="Arial" w:hAnsi="Arial" w:cs="Arial"/>
          <w:sz w:val="24"/>
          <w:szCs w:val="24"/>
        </w:rPr>
        <w:t>2</w:t>
      </w:r>
      <w:r>
        <w:rPr>
          <w:rFonts w:ascii="Arial" w:hAnsi="Arial" w:cs="Arial"/>
          <w:sz w:val="24"/>
          <w:szCs w:val="24"/>
        </w:rPr>
        <w:t>).</w:t>
      </w:r>
    </w:p>
    <w:p w14:paraId="5415F19D" w14:textId="2B48A8E2" w:rsidR="00CB6C8F" w:rsidRDefault="00CB6C8F" w:rsidP="00E213FE">
      <w:pPr>
        <w:spacing w:line="480" w:lineRule="auto"/>
        <w:rPr>
          <w:rFonts w:ascii="Arial" w:hAnsi="Arial" w:cs="Arial"/>
          <w:sz w:val="24"/>
          <w:szCs w:val="24"/>
        </w:rPr>
      </w:pPr>
      <w:r>
        <w:rPr>
          <w:rFonts w:ascii="Arial" w:hAnsi="Arial" w:cs="Arial"/>
          <w:sz w:val="24"/>
          <w:szCs w:val="24"/>
        </w:rPr>
        <w:t xml:space="preserve">To show a trust, there </w:t>
      </w:r>
      <w:proofErr w:type="gramStart"/>
      <w:r>
        <w:rPr>
          <w:rFonts w:ascii="Arial" w:hAnsi="Arial" w:cs="Arial"/>
          <w:sz w:val="24"/>
          <w:szCs w:val="24"/>
        </w:rPr>
        <w:t>has to</w:t>
      </w:r>
      <w:proofErr w:type="gramEnd"/>
      <w:r>
        <w:rPr>
          <w:rFonts w:ascii="Arial" w:hAnsi="Arial" w:cs="Arial"/>
          <w:sz w:val="24"/>
          <w:szCs w:val="24"/>
        </w:rPr>
        <w:t xml:space="preserve"> be absolute interest like within the case of Comiskey v Bowring </w:t>
      </w:r>
      <w:proofErr w:type="spellStart"/>
      <w:r>
        <w:rPr>
          <w:rFonts w:ascii="Arial" w:hAnsi="Arial" w:cs="Arial"/>
          <w:sz w:val="24"/>
          <w:szCs w:val="24"/>
        </w:rPr>
        <w:t>Handbury</w:t>
      </w:r>
      <w:proofErr w:type="spellEnd"/>
      <w:r>
        <w:rPr>
          <w:rFonts w:ascii="Arial" w:hAnsi="Arial" w:cs="Arial"/>
          <w:sz w:val="24"/>
          <w:szCs w:val="24"/>
        </w:rPr>
        <w:t xml:space="preserve"> (1905).</w:t>
      </w:r>
      <w:r w:rsidR="00E01C2A">
        <w:rPr>
          <w:rFonts w:ascii="Arial" w:hAnsi="Arial" w:cs="Arial"/>
          <w:sz w:val="24"/>
          <w:szCs w:val="24"/>
        </w:rPr>
        <w:t xml:space="preserve"> </w:t>
      </w:r>
      <w:r w:rsidR="00026D7D">
        <w:rPr>
          <w:rFonts w:ascii="Arial" w:hAnsi="Arial" w:cs="Arial"/>
          <w:sz w:val="24"/>
          <w:szCs w:val="24"/>
        </w:rPr>
        <w:t>Basically,</w:t>
      </w:r>
      <w:r w:rsidR="00E01C2A">
        <w:rPr>
          <w:rFonts w:ascii="Arial" w:hAnsi="Arial" w:cs="Arial"/>
          <w:sz w:val="24"/>
          <w:szCs w:val="24"/>
        </w:rPr>
        <w:t xml:space="preserve"> the testator had not created a trust as he had left his property to his wife </w:t>
      </w:r>
      <w:r w:rsidR="00026D7D">
        <w:rPr>
          <w:rFonts w:ascii="Arial" w:hAnsi="Arial" w:cs="Arial"/>
          <w:sz w:val="24"/>
          <w:szCs w:val="24"/>
        </w:rPr>
        <w:t>absolutely (</w:t>
      </w:r>
      <w:r w:rsidR="00E01C2A">
        <w:rPr>
          <w:rFonts w:ascii="Arial" w:hAnsi="Arial" w:cs="Arial"/>
          <w:sz w:val="24"/>
          <w:szCs w:val="24"/>
        </w:rPr>
        <w:t>Todd</w:t>
      </w:r>
      <w:r w:rsidR="001C704C">
        <w:rPr>
          <w:rFonts w:ascii="Arial" w:hAnsi="Arial" w:cs="Arial"/>
          <w:sz w:val="24"/>
          <w:szCs w:val="24"/>
        </w:rPr>
        <w:t xml:space="preserve"> &amp;Watt</w:t>
      </w:r>
      <w:r w:rsidR="00EA4A9D">
        <w:rPr>
          <w:rFonts w:ascii="Arial" w:hAnsi="Arial" w:cs="Arial"/>
          <w:sz w:val="24"/>
          <w:szCs w:val="24"/>
        </w:rPr>
        <w:t>,2003).</w:t>
      </w:r>
    </w:p>
    <w:p w14:paraId="61F73744" w14:textId="3FC3A6CB" w:rsidR="00026D7D" w:rsidRDefault="00026D7D" w:rsidP="00E213FE">
      <w:pPr>
        <w:spacing w:line="480" w:lineRule="auto"/>
        <w:rPr>
          <w:rFonts w:ascii="Arial" w:hAnsi="Arial" w:cs="Arial"/>
          <w:sz w:val="24"/>
          <w:szCs w:val="24"/>
        </w:rPr>
      </w:pPr>
      <w:r>
        <w:rPr>
          <w:rFonts w:ascii="Arial" w:hAnsi="Arial" w:cs="Arial"/>
          <w:sz w:val="24"/>
          <w:szCs w:val="24"/>
        </w:rPr>
        <w:t xml:space="preserve">Equity should be a successful system and structure that works for all. For equity to reach its full potential, goals must be met to create this. The goal must be to identify inequalities that were unintended by design to reduce any or all adverse impacts upon the society in which we live. There are positive effects to equity, where everyone will receive the same treatment. There tends to be a see through to cause and effect, but everyone should be aware of the terms of rewards and </w:t>
      </w:r>
      <w:r>
        <w:rPr>
          <w:rFonts w:ascii="Arial" w:hAnsi="Arial" w:cs="Arial"/>
          <w:sz w:val="24"/>
          <w:szCs w:val="24"/>
        </w:rPr>
        <w:lastRenderedPageBreak/>
        <w:t>consequences. If equity did not exist then people would not have any equal access to opportunities</w:t>
      </w:r>
      <w:r w:rsidR="00BA0457">
        <w:rPr>
          <w:rFonts w:ascii="Arial" w:hAnsi="Arial" w:cs="Arial"/>
          <w:sz w:val="24"/>
          <w:szCs w:val="24"/>
        </w:rPr>
        <w:t xml:space="preserve"> (</w:t>
      </w:r>
      <w:r w:rsidR="009A0F9F">
        <w:rPr>
          <w:rFonts w:ascii="Arial" w:hAnsi="Arial" w:cs="Arial"/>
          <w:sz w:val="24"/>
          <w:szCs w:val="24"/>
        </w:rPr>
        <w:t>Davies &amp; Virgo, 2016).</w:t>
      </w:r>
    </w:p>
    <w:p w14:paraId="17A23F04" w14:textId="49601FD2" w:rsidR="00BA0457" w:rsidRDefault="00BA0457" w:rsidP="00E213FE">
      <w:pPr>
        <w:spacing w:line="480" w:lineRule="auto"/>
        <w:rPr>
          <w:rFonts w:ascii="Arial" w:hAnsi="Arial" w:cs="Arial"/>
          <w:sz w:val="24"/>
          <w:szCs w:val="24"/>
        </w:rPr>
      </w:pPr>
      <w:r>
        <w:rPr>
          <w:rFonts w:ascii="Arial" w:hAnsi="Arial" w:cs="Arial"/>
          <w:sz w:val="24"/>
          <w:szCs w:val="24"/>
        </w:rPr>
        <w:t xml:space="preserve">In conclusion, following the Norman conquest, law would have been administrated by the King’s council or the Curia Regis (Latin). At some point later, a system of courts was to be developed with specific jurisdiction. The major role in developing our legal system was down to Henry II, he went on to create a professional judiciary, administrating courts that gave out justice upon its circuits that were to travel up and down the land, </w:t>
      </w:r>
      <w:proofErr w:type="gramStart"/>
      <w:r>
        <w:rPr>
          <w:rFonts w:ascii="Arial" w:hAnsi="Arial" w:cs="Arial"/>
          <w:sz w:val="24"/>
          <w:szCs w:val="24"/>
        </w:rPr>
        <w:t>and also</w:t>
      </w:r>
      <w:proofErr w:type="gramEnd"/>
      <w:r>
        <w:rPr>
          <w:rFonts w:ascii="Arial" w:hAnsi="Arial" w:cs="Arial"/>
          <w:sz w:val="24"/>
          <w:szCs w:val="24"/>
        </w:rPr>
        <w:t xml:space="preserve"> at bench within Westminster. This was to be known as common law, but it was too formal, highly technical, plus was known to be slow moving too. There was also a variety of defects that were known to be out of a need to input fairness as well as justice into our legal system. From within this equity started to grow. A writ system had to be developed for judges, so that they were able to reach their decisions that were based upon established legal reasoning. This then became too formalised, so there would not be a remedy without a writ. Law became too bulky for lawyers</w:t>
      </w:r>
      <w:r w:rsidR="00312792">
        <w:rPr>
          <w:rFonts w:ascii="Arial" w:hAnsi="Arial" w:cs="Arial"/>
          <w:sz w:val="24"/>
          <w:szCs w:val="24"/>
        </w:rPr>
        <w:t xml:space="preserve"> who had to try to remember writs for oral pleadings. Due to this, the provisions of Oxford (1258) and the statute of Westminster (1285) stated that there would be no introduction of any new writ without a formal claim. Equity soon became as formalised as common law and had its own technicalities that were to be criticised within the nineteenth century due to its imprudent delays.</w:t>
      </w:r>
    </w:p>
    <w:p w14:paraId="19C72276" w14:textId="77777777" w:rsidR="00F54484" w:rsidRDefault="00F54484" w:rsidP="00E213FE">
      <w:pPr>
        <w:spacing w:line="480" w:lineRule="auto"/>
        <w:rPr>
          <w:rFonts w:ascii="Arial" w:hAnsi="Arial" w:cs="Arial"/>
          <w:sz w:val="24"/>
          <w:szCs w:val="24"/>
        </w:rPr>
      </w:pPr>
    </w:p>
    <w:p w14:paraId="1693941C" w14:textId="3C09EDFF" w:rsidR="00F54484" w:rsidRDefault="00F54484" w:rsidP="00E213FE">
      <w:pPr>
        <w:spacing w:line="480" w:lineRule="auto"/>
        <w:rPr>
          <w:rFonts w:ascii="Arial" w:hAnsi="Arial" w:cs="Arial"/>
          <w:sz w:val="40"/>
          <w:szCs w:val="40"/>
          <w:u w:val="single"/>
        </w:rPr>
      </w:pPr>
      <w:r>
        <w:rPr>
          <w:rFonts w:ascii="Arial" w:hAnsi="Arial" w:cs="Arial"/>
          <w:sz w:val="24"/>
          <w:szCs w:val="24"/>
        </w:rPr>
        <w:t xml:space="preserve">                                            </w:t>
      </w:r>
      <w:r w:rsidRPr="00F54484">
        <w:rPr>
          <w:rFonts w:ascii="Arial" w:hAnsi="Arial" w:cs="Arial"/>
          <w:sz w:val="40"/>
          <w:szCs w:val="40"/>
          <w:u w:val="single"/>
        </w:rPr>
        <w:t>Case Law.</w:t>
      </w:r>
    </w:p>
    <w:p w14:paraId="1E4579C5" w14:textId="1C05CCC5" w:rsidR="00F54484" w:rsidRDefault="00F54484" w:rsidP="00E213FE">
      <w:pPr>
        <w:spacing w:line="480" w:lineRule="auto"/>
        <w:rPr>
          <w:rFonts w:ascii="Arial" w:hAnsi="Arial" w:cs="Arial"/>
          <w:sz w:val="24"/>
          <w:szCs w:val="24"/>
        </w:rPr>
      </w:pPr>
      <w:r>
        <w:rPr>
          <w:rFonts w:ascii="Arial" w:hAnsi="Arial" w:cs="Arial"/>
          <w:sz w:val="24"/>
          <w:szCs w:val="24"/>
        </w:rPr>
        <w:t>Cook v Fountain (1676).</w:t>
      </w:r>
      <w:r w:rsidR="00796BE4">
        <w:rPr>
          <w:rFonts w:ascii="Arial" w:hAnsi="Arial" w:cs="Arial"/>
          <w:sz w:val="24"/>
          <w:szCs w:val="24"/>
        </w:rPr>
        <w:t xml:space="preserve"> (Accessed: 01/03/2024).</w:t>
      </w:r>
    </w:p>
    <w:p w14:paraId="3E76A575" w14:textId="5B8E61F7" w:rsidR="00796BE4" w:rsidRDefault="00796BE4" w:rsidP="00E213FE">
      <w:pPr>
        <w:spacing w:line="480" w:lineRule="auto"/>
        <w:rPr>
          <w:rFonts w:ascii="Arial" w:hAnsi="Arial" w:cs="Arial"/>
          <w:sz w:val="24"/>
          <w:szCs w:val="24"/>
        </w:rPr>
      </w:pPr>
      <w:r>
        <w:rPr>
          <w:rFonts w:ascii="Arial" w:hAnsi="Arial" w:cs="Arial"/>
          <w:sz w:val="24"/>
          <w:szCs w:val="24"/>
        </w:rPr>
        <w:t>Earl of Oxford’s case (1615). (Accessed:02/03/2024).</w:t>
      </w:r>
    </w:p>
    <w:p w14:paraId="578BA2BF" w14:textId="6F5D1BC8" w:rsidR="005242E6" w:rsidRDefault="005242E6" w:rsidP="00E213FE">
      <w:pPr>
        <w:spacing w:line="480" w:lineRule="auto"/>
        <w:rPr>
          <w:rFonts w:ascii="Arial" w:hAnsi="Arial" w:cs="Arial"/>
          <w:sz w:val="24"/>
          <w:szCs w:val="24"/>
        </w:rPr>
      </w:pPr>
      <w:r>
        <w:rPr>
          <w:rFonts w:ascii="Arial" w:hAnsi="Arial" w:cs="Arial"/>
          <w:sz w:val="24"/>
          <w:szCs w:val="24"/>
        </w:rPr>
        <w:lastRenderedPageBreak/>
        <w:t>Edwards v Lowndes (1852). (Accessed: 04/03/2024).</w:t>
      </w:r>
    </w:p>
    <w:p w14:paraId="29309C4C" w14:textId="6644AA1B" w:rsidR="005242E6" w:rsidRDefault="005242E6" w:rsidP="00E213FE">
      <w:pPr>
        <w:spacing w:line="480" w:lineRule="auto"/>
        <w:rPr>
          <w:rFonts w:ascii="Arial" w:hAnsi="Arial" w:cs="Arial"/>
          <w:sz w:val="24"/>
          <w:szCs w:val="24"/>
        </w:rPr>
      </w:pPr>
      <w:proofErr w:type="spellStart"/>
      <w:r>
        <w:rPr>
          <w:rFonts w:ascii="Arial" w:hAnsi="Arial" w:cs="Arial"/>
          <w:sz w:val="24"/>
          <w:szCs w:val="24"/>
        </w:rPr>
        <w:t>Knatchbull</w:t>
      </w:r>
      <w:proofErr w:type="spellEnd"/>
      <w:r>
        <w:rPr>
          <w:rFonts w:ascii="Arial" w:hAnsi="Arial" w:cs="Arial"/>
          <w:sz w:val="24"/>
          <w:szCs w:val="24"/>
        </w:rPr>
        <w:t xml:space="preserve"> v Hallet (1880). (Accessed: 06/03/2024).</w:t>
      </w:r>
    </w:p>
    <w:p w14:paraId="6A996128" w14:textId="5128280F" w:rsidR="005242E6" w:rsidRDefault="005242E6" w:rsidP="00E213FE">
      <w:pPr>
        <w:spacing w:line="480" w:lineRule="auto"/>
        <w:rPr>
          <w:rFonts w:ascii="Arial" w:hAnsi="Arial" w:cs="Arial"/>
          <w:sz w:val="24"/>
          <w:szCs w:val="24"/>
        </w:rPr>
      </w:pPr>
      <w:r>
        <w:rPr>
          <w:rFonts w:ascii="Arial" w:hAnsi="Arial" w:cs="Arial"/>
          <w:sz w:val="24"/>
          <w:szCs w:val="24"/>
        </w:rPr>
        <w:t xml:space="preserve">Timpson’s Executors v </w:t>
      </w:r>
      <w:proofErr w:type="spellStart"/>
      <w:r>
        <w:rPr>
          <w:rFonts w:ascii="Arial" w:hAnsi="Arial" w:cs="Arial"/>
          <w:sz w:val="24"/>
          <w:szCs w:val="24"/>
        </w:rPr>
        <w:t>Yerbury</w:t>
      </w:r>
      <w:proofErr w:type="spellEnd"/>
      <w:r>
        <w:rPr>
          <w:rFonts w:ascii="Arial" w:hAnsi="Arial" w:cs="Arial"/>
          <w:sz w:val="24"/>
          <w:szCs w:val="24"/>
        </w:rPr>
        <w:t xml:space="preserve"> (1936). (Accessed:08/03/2024).</w:t>
      </w:r>
    </w:p>
    <w:p w14:paraId="61E6AD3D" w14:textId="37778268" w:rsidR="005242E6" w:rsidRDefault="005242E6" w:rsidP="00E213FE">
      <w:pPr>
        <w:spacing w:line="480" w:lineRule="auto"/>
        <w:rPr>
          <w:rFonts w:ascii="Arial" w:hAnsi="Arial" w:cs="Arial"/>
          <w:sz w:val="24"/>
          <w:szCs w:val="24"/>
        </w:rPr>
      </w:pPr>
      <w:r>
        <w:rPr>
          <w:rFonts w:ascii="Arial" w:hAnsi="Arial" w:cs="Arial"/>
          <w:sz w:val="24"/>
          <w:szCs w:val="24"/>
        </w:rPr>
        <w:t>Re Danish Bacon Co LTD staff pension fund (1971). (Accessed: 09/03/2024).</w:t>
      </w:r>
    </w:p>
    <w:p w14:paraId="6EFC35E2" w14:textId="15B90E3D" w:rsidR="005242E6" w:rsidRDefault="005242E6" w:rsidP="00E213FE">
      <w:pPr>
        <w:spacing w:line="480" w:lineRule="auto"/>
        <w:rPr>
          <w:rFonts w:ascii="Arial" w:hAnsi="Arial" w:cs="Arial"/>
          <w:sz w:val="24"/>
          <w:szCs w:val="24"/>
        </w:rPr>
      </w:pPr>
      <w:r>
        <w:rPr>
          <w:rFonts w:ascii="Arial" w:hAnsi="Arial" w:cs="Arial"/>
          <w:sz w:val="24"/>
          <w:szCs w:val="24"/>
        </w:rPr>
        <w:t>Grey v Inland Revenue Commissioners (1960). (Accessed: 09/03/2024).</w:t>
      </w:r>
    </w:p>
    <w:p w14:paraId="527D56E8" w14:textId="350AA833" w:rsidR="005242E6" w:rsidRDefault="005242E6" w:rsidP="00E213FE">
      <w:pPr>
        <w:spacing w:line="480" w:lineRule="auto"/>
        <w:rPr>
          <w:rFonts w:ascii="Arial" w:hAnsi="Arial" w:cs="Arial"/>
          <w:sz w:val="24"/>
          <w:szCs w:val="24"/>
        </w:rPr>
      </w:pPr>
      <w:r>
        <w:rPr>
          <w:rFonts w:ascii="Arial" w:hAnsi="Arial" w:cs="Arial"/>
          <w:sz w:val="24"/>
          <w:szCs w:val="24"/>
        </w:rPr>
        <w:t>Knight v Knight (1840). (Accessed: 09/03/2024).</w:t>
      </w:r>
    </w:p>
    <w:p w14:paraId="5F1FFAE8" w14:textId="77777777" w:rsidR="007022FC" w:rsidRDefault="007022FC" w:rsidP="00E213FE">
      <w:pPr>
        <w:spacing w:line="480" w:lineRule="auto"/>
        <w:rPr>
          <w:rFonts w:ascii="Arial" w:hAnsi="Arial" w:cs="Arial"/>
          <w:sz w:val="24"/>
          <w:szCs w:val="24"/>
        </w:rPr>
      </w:pPr>
      <w:r>
        <w:rPr>
          <w:rFonts w:ascii="Arial" w:hAnsi="Arial" w:cs="Arial"/>
          <w:sz w:val="24"/>
          <w:szCs w:val="24"/>
        </w:rPr>
        <w:t xml:space="preserve">Wright v </w:t>
      </w:r>
      <w:proofErr w:type="spellStart"/>
      <w:r>
        <w:rPr>
          <w:rFonts w:ascii="Arial" w:hAnsi="Arial" w:cs="Arial"/>
          <w:sz w:val="24"/>
          <w:szCs w:val="24"/>
        </w:rPr>
        <w:t>Atykns</w:t>
      </w:r>
      <w:proofErr w:type="spellEnd"/>
      <w:r>
        <w:rPr>
          <w:rFonts w:ascii="Arial" w:hAnsi="Arial" w:cs="Arial"/>
          <w:sz w:val="24"/>
          <w:szCs w:val="24"/>
        </w:rPr>
        <w:t xml:space="preserve"> (1823). (Accessed:10/03/2024).</w:t>
      </w:r>
    </w:p>
    <w:p w14:paraId="59FB1351" w14:textId="77777777" w:rsidR="007022FC" w:rsidRDefault="007022FC" w:rsidP="00E213FE">
      <w:pPr>
        <w:spacing w:line="480" w:lineRule="auto"/>
        <w:rPr>
          <w:rFonts w:ascii="Arial" w:hAnsi="Arial" w:cs="Arial"/>
          <w:sz w:val="24"/>
          <w:szCs w:val="24"/>
        </w:rPr>
      </w:pPr>
      <w:r>
        <w:rPr>
          <w:rFonts w:ascii="Arial" w:hAnsi="Arial" w:cs="Arial"/>
          <w:sz w:val="24"/>
          <w:szCs w:val="24"/>
        </w:rPr>
        <w:t>Paul v Constance (1977). (Accessed: 11/03/2024).</w:t>
      </w:r>
    </w:p>
    <w:p w14:paraId="2A5377EB" w14:textId="77777777" w:rsidR="007022FC" w:rsidRDefault="007022FC" w:rsidP="00E213FE">
      <w:pPr>
        <w:spacing w:line="480" w:lineRule="auto"/>
        <w:rPr>
          <w:rFonts w:ascii="Arial" w:hAnsi="Arial" w:cs="Arial"/>
          <w:sz w:val="24"/>
          <w:szCs w:val="24"/>
        </w:rPr>
      </w:pPr>
      <w:r>
        <w:rPr>
          <w:rFonts w:ascii="Arial" w:hAnsi="Arial" w:cs="Arial"/>
          <w:sz w:val="24"/>
          <w:szCs w:val="24"/>
        </w:rPr>
        <w:t>Jones v Lock (1865). (Accessed: 11/03/2024).</w:t>
      </w:r>
    </w:p>
    <w:p w14:paraId="16567667" w14:textId="77777777" w:rsidR="007022FC" w:rsidRDefault="007022FC" w:rsidP="00E213FE">
      <w:pPr>
        <w:spacing w:line="480" w:lineRule="auto"/>
        <w:rPr>
          <w:rFonts w:ascii="Arial" w:hAnsi="Arial" w:cs="Arial"/>
          <w:sz w:val="24"/>
          <w:szCs w:val="24"/>
        </w:rPr>
      </w:pPr>
      <w:r>
        <w:rPr>
          <w:rFonts w:ascii="Arial" w:hAnsi="Arial" w:cs="Arial"/>
          <w:sz w:val="24"/>
          <w:szCs w:val="24"/>
        </w:rPr>
        <w:t>Lambe v Eames (1871). (Accessed:12/03/2024).</w:t>
      </w:r>
    </w:p>
    <w:p w14:paraId="4F49A50C" w14:textId="77777777" w:rsidR="007022FC" w:rsidRDefault="007022FC" w:rsidP="00E213FE">
      <w:pPr>
        <w:spacing w:line="480" w:lineRule="auto"/>
        <w:rPr>
          <w:rFonts w:ascii="Arial" w:hAnsi="Arial" w:cs="Arial"/>
          <w:sz w:val="24"/>
          <w:szCs w:val="24"/>
        </w:rPr>
      </w:pPr>
      <w:r>
        <w:rPr>
          <w:rFonts w:ascii="Arial" w:hAnsi="Arial" w:cs="Arial"/>
          <w:sz w:val="24"/>
          <w:szCs w:val="24"/>
        </w:rPr>
        <w:t xml:space="preserve">Comiskey v Bowing </w:t>
      </w:r>
      <w:proofErr w:type="spellStart"/>
      <w:r>
        <w:rPr>
          <w:rFonts w:ascii="Arial" w:hAnsi="Arial" w:cs="Arial"/>
          <w:sz w:val="24"/>
          <w:szCs w:val="24"/>
        </w:rPr>
        <w:t>Handbury</w:t>
      </w:r>
      <w:proofErr w:type="spellEnd"/>
      <w:r>
        <w:rPr>
          <w:rFonts w:ascii="Arial" w:hAnsi="Arial" w:cs="Arial"/>
          <w:sz w:val="24"/>
          <w:szCs w:val="24"/>
        </w:rPr>
        <w:t xml:space="preserve"> (1905). (Accessed: 13/03/2024).</w:t>
      </w:r>
    </w:p>
    <w:p w14:paraId="5A54872B" w14:textId="77777777" w:rsidR="007022FC" w:rsidRDefault="007022FC" w:rsidP="00E213FE">
      <w:pPr>
        <w:spacing w:line="480" w:lineRule="auto"/>
        <w:rPr>
          <w:rFonts w:ascii="Arial" w:hAnsi="Arial" w:cs="Arial"/>
          <w:sz w:val="24"/>
          <w:szCs w:val="24"/>
        </w:rPr>
      </w:pPr>
    </w:p>
    <w:p w14:paraId="55F1A97A" w14:textId="4BC210E5" w:rsidR="005242E6" w:rsidRDefault="007022FC" w:rsidP="00E213FE">
      <w:pPr>
        <w:spacing w:line="480" w:lineRule="auto"/>
        <w:rPr>
          <w:rFonts w:ascii="Arial" w:hAnsi="Arial" w:cs="Arial"/>
          <w:sz w:val="24"/>
          <w:szCs w:val="24"/>
          <w:u w:val="single"/>
        </w:rPr>
      </w:pPr>
      <w:r>
        <w:rPr>
          <w:rFonts w:ascii="Arial" w:hAnsi="Arial" w:cs="Arial"/>
          <w:sz w:val="24"/>
          <w:szCs w:val="24"/>
        </w:rPr>
        <w:t xml:space="preserve">                                         </w:t>
      </w:r>
      <w:r w:rsidRPr="007022FC">
        <w:rPr>
          <w:rFonts w:ascii="Arial" w:hAnsi="Arial" w:cs="Arial"/>
          <w:sz w:val="40"/>
          <w:szCs w:val="40"/>
          <w:u w:val="single"/>
        </w:rPr>
        <w:t>References.</w:t>
      </w:r>
      <w:r w:rsidRPr="007022FC">
        <w:rPr>
          <w:rFonts w:ascii="Arial" w:hAnsi="Arial" w:cs="Arial"/>
          <w:sz w:val="24"/>
          <w:szCs w:val="24"/>
          <w:u w:val="single"/>
        </w:rPr>
        <w:t xml:space="preserve"> </w:t>
      </w:r>
    </w:p>
    <w:p w14:paraId="2EF77A1A" w14:textId="091C7643" w:rsidR="007022FC" w:rsidRDefault="007022FC" w:rsidP="00E213FE">
      <w:pPr>
        <w:spacing w:line="480" w:lineRule="auto"/>
        <w:rPr>
          <w:rFonts w:ascii="Arial" w:hAnsi="Arial" w:cs="Arial"/>
          <w:sz w:val="24"/>
          <w:szCs w:val="24"/>
        </w:rPr>
      </w:pPr>
      <w:r>
        <w:rPr>
          <w:rFonts w:ascii="Arial" w:hAnsi="Arial" w:cs="Arial"/>
          <w:sz w:val="24"/>
          <w:szCs w:val="24"/>
        </w:rPr>
        <w:t>Mee (2017), The Past, Present and Future of Resulting Trusts.</w:t>
      </w:r>
    </w:p>
    <w:p w14:paraId="08E1DC5B" w14:textId="34A59058" w:rsidR="007022FC" w:rsidRDefault="007022FC" w:rsidP="00E213FE">
      <w:pPr>
        <w:spacing w:line="480" w:lineRule="auto"/>
        <w:rPr>
          <w:rFonts w:ascii="Arial" w:hAnsi="Arial" w:cs="Arial"/>
          <w:sz w:val="24"/>
          <w:szCs w:val="24"/>
        </w:rPr>
      </w:pPr>
      <w:r>
        <w:rPr>
          <w:rFonts w:ascii="Arial" w:hAnsi="Arial" w:cs="Arial"/>
          <w:sz w:val="24"/>
          <w:szCs w:val="24"/>
        </w:rPr>
        <w:t xml:space="preserve">Available at: </w:t>
      </w:r>
      <w:hyperlink r:id="rId4" w:history="1">
        <w:r w:rsidRPr="008D6B94">
          <w:rPr>
            <w:rStyle w:val="Hyperlink"/>
            <w:rFonts w:ascii="Arial" w:hAnsi="Arial" w:cs="Arial"/>
            <w:sz w:val="24"/>
            <w:szCs w:val="24"/>
          </w:rPr>
          <w:t>https://www.studocu.com/en-gb/document/university-of-london/equity-and-trusts/john-mee-the-pas</w:t>
        </w:r>
      </w:hyperlink>
      <w:r>
        <w:rPr>
          <w:rFonts w:ascii="Arial" w:hAnsi="Arial" w:cs="Arial"/>
          <w:sz w:val="24"/>
          <w:szCs w:val="24"/>
        </w:rPr>
        <w:t>...</w:t>
      </w:r>
    </w:p>
    <w:p w14:paraId="201FEB2B" w14:textId="46498F7F" w:rsidR="007022FC" w:rsidRDefault="007022FC" w:rsidP="00E213FE">
      <w:pPr>
        <w:spacing w:line="480" w:lineRule="auto"/>
        <w:rPr>
          <w:rFonts w:ascii="Arial" w:hAnsi="Arial" w:cs="Arial"/>
          <w:sz w:val="24"/>
          <w:szCs w:val="24"/>
        </w:rPr>
      </w:pPr>
      <w:r>
        <w:rPr>
          <w:rFonts w:ascii="Arial" w:hAnsi="Arial" w:cs="Arial"/>
          <w:sz w:val="24"/>
          <w:szCs w:val="24"/>
        </w:rPr>
        <w:t>Accessed: 01/03/2024.</w:t>
      </w:r>
    </w:p>
    <w:p w14:paraId="50E0BBE8" w14:textId="77777777" w:rsidR="007022FC" w:rsidRDefault="007022FC" w:rsidP="00E213FE">
      <w:pPr>
        <w:spacing w:line="480" w:lineRule="auto"/>
        <w:rPr>
          <w:rFonts w:ascii="Arial" w:hAnsi="Arial" w:cs="Arial"/>
          <w:sz w:val="24"/>
          <w:szCs w:val="24"/>
        </w:rPr>
      </w:pPr>
    </w:p>
    <w:p w14:paraId="7E19DB7F" w14:textId="5985929F" w:rsidR="007022FC" w:rsidRDefault="007022FC" w:rsidP="00E213FE">
      <w:pPr>
        <w:spacing w:line="480" w:lineRule="auto"/>
        <w:rPr>
          <w:rFonts w:ascii="Arial" w:hAnsi="Arial" w:cs="Arial"/>
          <w:sz w:val="24"/>
          <w:szCs w:val="24"/>
        </w:rPr>
      </w:pPr>
      <w:r>
        <w:rPr>
          <w:rFonts w:ascii="Arial" w:hAnsi="Arial" w:cs="Arial"/>
          <w:sz w:val="24"/>
          <w:szCs w:val="24"/>
        </w:rPr>
        <w:t>Mc Donald, I &amp; Street, A (2016) Concentrate Equity &amp;Trusts. Oxford: Oxford University Press.</w:t>
      </w:r>
    </w:p>
    <w:p w14:paraId="3D0AE969" w14:textId="283C39E3" w:rsidR="007022FC" w:rsidRDefault="007022FC" w:rsidP="00E213FE">
      <w:pPr>
        <w:spacing w:line="480" w:lineRule="auto"/>
        <w:rPr>
          <w:rFonts w:ascii="Arial" w:hAnsi="Arial" w:cs="Arial"/>
          <w:sz w:val="24"/>
          <w:szCs w:val="24"/>
        </w:rPr>
      </w:pPr>
      <w:r>
        <w:rPr>
          <w:rFonts w:ascii="Arial" w:hAnsi="Arial" w:cs="Arial"/>
          <w:sz w:val="24"/>
          <w:szCs w:val="24"/>
        </w:rPr>
        <w:lastRenderedPageBreak/>
        <w:t>Pettit, P (2006) Equity and the Law of Trusts. Oxford: Oxford University Press.</w:t>
      </w:r>
    </w:p>
    <w:p w14:paraId="035CF56D" w14:textId="45625BA5" w:rsidR="007022FC" w:rsidRDefault="007022FC" w:rsidP="00E213FE">
      <w:pPr>
        <w:spacing w:line="480" w:lineRule="auto"/>
        <w:rPr>
          <w:rFonts w:ascii="Arial" w:hAnsi="Arial" w:cs="Arial"/>
          <w:sz w:val="24"/>
          <w:szCs w:val="24"/>
        </w:rPr>
      </w:pPr>
      <w:r>
        <w:rPr>
          <w:rFonts w:ascii="Arial" w:hAnsi="Arial" w:cs="Arial"/>
          <w:sz w:val="24"/>
          <w:szCs w:val="24"/>
        </w:rPr>
        <w:t>Bray, J (2012)</w:t>
      </w:r>
      <w:r w:rsidR="00865863">
        <w:rPr>
          <w:rFonts w:ascii="Arial" w:hAnsi="Arial" w:cs="Arial"/>
          <w:sz w:val="24"/>
          <w:szCs w:val="24"/>
        </w:rPr>
        <w:t xml:space="preserve"> A Students Guide to Equity &amp; Trusts. Cambridge, Cambridge University Press.</w:t>
      </w:r>
    </w:p>
    <w:p w14:paraId="0AAC4612" w14:textId="363D9F1D" w:rsidR="00865863" w:rsidRDefault="00865863" w:rsidP="00E213FE">
      <w:pPr>
        <w:spacing w:line="480" w:lineRule="auto"/>
        <w:rPr>
          <w:rFonts w:ascii="Arial" w:hAnsi="Arial" w:cs="Arial"/>
          <w:sz w:val="24"/>
          <w:szCs w:val="24"/>
        </w:rPr>
      </w:pPr>
      <w:r>
        <w:rPr>
          <w:rFonts w:ascii="Arial" w:hAnsi="Arial" w:cs="Arial"/>
          <w:sz w:val="24"/>
          <w:szCs w:val="24"/>
        </w:rPr>
        <w:t>Watt, G (2014) Trusts &amp; Equity. Oxford: Oxford University Press.</w:t>
      </w:r>
    </w:p>
    <w:p w14:paraId="2F862F50" w14:textId="40C6F460" w:rsidR="00865863" w:rsidRDefault="00865863" w:rsidP="00E213FE">
      <w:pPr>
        <w:spacing w:line="480" w:lineRule="auto"/>
        <w:rPr>
          <w:rFonts w:ascii="Arial" w:hAnsi="Arial" w:cs="Arial"/>
          <w:sz w:val="24"/>
          <w:szCs w:val="24"/>
        </w:rPr>
      </w:pPr>
      <w:r>
        <w:rPr>
          <w:rFonts w:ascii="Arial" w:hAnsi="Arial" w:cs="Arial"/>
          <w:sz w:val="24"/>
          <w:szCs w:val="24"/>
        </w:rPr>
        <w:t xml:space="preserve">Haley, M &amp; Mc </w:t>
      </w:r>
      <w:proofErr w:type="spellStart"/>
      <w:r>
        <w:rPr>
          <w:rFonts w:ascii="Arial" w:hAnsi="Arial" w:cs="Arial"/>
          <w:sz w:val="24"/>
          <w:szCs w:val="24"/>
        </w:rPr>
        <w:t>Murtry</w:t>
      </w:r>
      <w:proofErr w:type="spellEnd"/>
      <w:r>
        <w:rPr>
          <w:rFonts w:ascii="Arial" w:hAnsi="Arial" w:cs="Arial"/>
          <w:sz w:val="24"/>
          <w:szCs w:val="24"/>
        </w:rPr>
        <w:t>, L (2014) Equity and Trusts. London: Sweet &amp; Maxwell.</w:t>
      </w:r>
    </w:p>
    <w:p w14:paraId="4B6B05D7" w14:textId="3C87F131" w:rsidR="00865863" w:rsidRDefault="00865863" w:rsidP="00E213FE">
      <w:pPr>
        <w:spacing w:line="480" w:lineRule="auto"/>
        <w:rPr>
          <w:rFonts w:ascii="Arial" w:hAnsi="Arial" w:cs="Arial"/>
          <w:sz w:val="24"/>
          <w:szCs w:val="24"/>
        </w:rPr>
      </w:pPr>
      <w:r>
        <w:rPr>
          <w:rFonts w:ascii="Arial" w:hAnsi="Arial" w:cs="Arial"/>
          <w:sz w:val="24"/>
          <w:szCs w:val="24"/>
        </w:rPr>
        <w:t>Todd, P &amp; Watt, G (2003) Cases &amp; Materials on Equity and Trusts. Oxford: Oxford University Press.</w:t>
      </w:r>
    </w:p>
    <w:p w14:paraId="244AA12A" w14:textId="31A7098D" w:rsidR="00865863" w:rsidRDefault="00865863" w:rsidP="00E213FE">
      <w:pPr>
        <w:spacing w:line="480" w:lineRule="auto"/>
        <w:rPr>
          <w:rFonts w:ascii="Arial" w:hAnsi="Arial" w:cs="Arial"/>
          <w:sz w:val="24"/>
          <w:szCs w:val="24"/>
        </w:rPr>
      </w:pPr>
      <w:r>
        <w:rPr>
          <w:rFonts w:ascii="Arial" w:hAnsi="Arial" w:cs="Arial"/>
          <w:sz w:val="24"/>
          <w:szCs w:val="24"/>
        </w:rPr>
        <w:t>Martin J &amp;Turner, C (2006) Equity &amp; Trusts Key Facts. London: Hodder Arnold.</w:t>
      </w:r>
    </w:p>
    <w:p w14:paraId="0629BADA" w14:textId="5E138069" w:rsidR="00865863" w:rsidRDefault="00865863" w:rsidP="00E213FE">
      <w:pPr>
        <w:spacing w:line="480" w:lineRule="auto"/>
        <w:rPr>
          <w:rFonts w:ascii="Arial" w:hAnsi="Arial" w:cs="Arial"/>
          <w:sz w:val="24"/>
          <w:szCs w:val="24"/>
        </w:rPr>
      </w:pPr>
      <w:r>
        <w:rPr>
          <w:rFonts w:ascii="Arial" w:hAnsi="Arial" w:cs="Arial"/>
          <w:sz w:val="24"/>
          <w:szCs w:val="24"/>
        </w:rPr>
        <w:t>Davies, P &amp; Virgo, G (2016) Equity &amp; Trusts, Text Cases and Materials. Oxford: Oxford University Press.</w:t>
      </w:r>
    </w:p>
    <w:p w14:paraId="5DE0AAC1" w14:textId="77777777" w:rsidR="007022FC" w:rsidRDefault="007022FC" w:rsidP="00E213FE">
      <w:pPr>
        <w:spacing w:line="480" w:lineRule="auto"/>
        <w:rPr>
          <w:rFonts w:ascii="Arial" w:hAnsi="Arial" w:cs="Arial"/>
          <w:sz w:val="24"/>
          <w:szCs w:val="24"/>
        </w:rPr>
      </w:pPr>
    </w:p>
    <w:p w14:paraId="163B650A" w14:textId="77777777" w:rsidR="007022FC" w:rsidRPr="007022FC" w:rsidRDefault="007022FC" w:rsidP="00E213FE">
      <w:pPr>
        <w:spacing w:line="480" w:lineRule="auto"/>
        <w:rPr>
          <w:rFonts w:ascii="Arial" w:hAnsi="Arial" w:cs="Arial"/>
          <w:sz w:val="24"/>
          <w:szCs w:val="24"/>
        </w:rPr>
      </w:pPr>
    </w:p>
    <w:p w14:paraId="1182C66E" w14:textId="77777777" w:rsidR="00026D7D" w:rsidRDefault="00026D7D" w:rsidP="00E213FE">
      <w:pPr>
        <w:spacing w:line="480" w:lineRule="auto"/>
        <w:rPr>
          <w:rFonts w:ascii="Arial" w:hAnsi="Arial" w:cs="Arial"/>
          <w:sz w:val="24"/>
          <w:szCs w:val="24"/>
        </w:rPr>
      </w:pPr>
    </w:p>
    <w:p w14:paraId="77E794D7" w14:textId="77777777" w:rsidR="00026D7D" w:rsidRDefault="00026D7D" w:rsidP="00E213FE">
      <w:pPr>
        <w:spacing w:line="480" w:lineRule="auto"/>
        <w:rPr>
          <w:rFonts w:ascii="Arial" w:hAnsi="Arial" w:cs="Arial"/>
          <w:sz w:val="24"/>
          <w:szCs w:val="24"/>
        </w:rPr>
      </w:pPr>
    </w:p>
    <w:p w14:paraId="6BC9E22D" w14:textId="77777777" w:rsidR="00E91855" w:rsidRDefault="00E91855" w:rsidP="00E213FE">
      <w:pPr>
        <w:spacing w:line="480" w:lineRule="auto"/>
        <w:rPr>
          <w:rFonts w:ascii="Arial" w:hAnsi="Arial" w:cs="Arial"/>
          <w:sz w:val="24"/>
          <w:szCs w:val="24"/>
        </w:rPr>
      </w:pPr>
    </w:p>
    <w:p w14:paraId="3869880D" w14:textId="77777777" w:rsidR="00372D54" w:rsidRPr="00E213FE" w:rsidRDefault="00372D54" w:rsidP="00E213FE">
      <w:pPr>
        <w:spacing w:line="480" w:lineRule="auto"/>
        <w:rPr>
          <w:rFonts w:ascii="Arial" w:hAnsi="Arial" w:cs="Arial"/>
          <w:sz w:val="24"/>
          <w:szCs w:val="24"/>
        </w:rPr>
      </w:pPr>
    </w:p>
    <w:sectPr w:rsidR="00372D54" w:rsidRPr="00E213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E213FE"/>
    <w:rsid w:val="00026D7D"/>
    <w:rsid w:val="00027D97"/>
    <w:rsid w:val="000A2BB2"/>
    <w:rsid w:val="000C6501"/>
    <w:rsid w:val="001220CC"/>
    <w:rsid w:val="00127343"/>
    <w:rsid w:val="00166484"/>
    <w:rsid w:val="001C704C"/>
    <w:rsid w:val="00271E5A"/>
    <w:rsid w:val="00272192"/>
    <w:rsid w:val="002D7FFC"/>
    <w:rsid w:val="00312792"/>
    <w:rsid w:val="00372D54"/>
    <w:rsid w:val="0038064F"/>
    <w:rsid w:val="004D1E39"/>
    <w:rsid w:val="005242E6"/>
    <w:rsid w:val="005F3F5A"/>
    <w:rsid w:val="007022FC"/>
    <w:rsid w:val="00714C81"/>
    <w:rsid w:val="00764F63"/>
    <w:rsid w:val="00796BE4"/>
    <w:rsid w:val="00800762"/>
    <w:rsid w:val="008244CC"/>
    <w:rsid w:val="00865863"/>
    <w:rsid w:val="0087633E"/>
    <w:rsid w:val="00886302"/>
    <w:rsid w:val="009A0F9F"/>
    <w:rsid w:val="009A36A8"/>
    <w:rsid w:val="00AD59AC"/>
    <w:rsid w:val="00AE7E60"/>
    <w:rsid w:val="00B3214F"/>
    <w:rsid w:val="00B40B48"/>
    <w:rsid w:val="00BA0457"/>
    <w:rsid w:val="00BC0CD9"/>
    <w:rsid w:val="00BC33D8"/>
    <w:rsid w:val="00BF6739"/>
    <w:rsid w:val="00CB6C8F"/>
    <w:rsid w:val="00CB6E95"/>
    <w:rsid w:val="00DB138A"/>
    <w:rsid w:val="00DC6FCA"/>
    <w:rsid w:val="00E01C2A"/>
    <w:rsid w:val="00E213FE"/>
    <w:rsid w:val="00E50439"/>
    <w:rsid w:val="00E64AC0"/>
    <w:rsid w:val="00E65363"/>
    <w:rsid w:val="00E91855"/>
    <w:rsid w:val="00EA4A9D"/>
    <w:rsid w:val="00EF42DF"/>
    <w:rsid w:val="00F544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64AE95"/>
  <w15:chartTrackingRefBased/>
  <w15:docId w15:val="{4EB6005D-0069-4833-B533-5E68437740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13F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213F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213F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213F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213F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213F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213F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213F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213F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13F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213F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213F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213F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213F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213F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213F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213F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213FE"/>
    <w:rPr>
      <w:rFonts w:eastAsiaTheme="majorEastAsia" w:cstheme="majorBidi"/>
      <w:color w:val="272727" w:themeColor="text1" w:themeTint="D8"/>
    </w:rPr>
  </w:style>
  <w:style w:type="paragraph" w:styleId="Title">
    <w:name w:val="Title"/>
    <w:basedOn w:val="Normal"/>
    <w:next w:val="Normal"/>
    <w:link w:val="TitleChar"/>
    <w:uiPriority w:val="10"/>
    <w:qFormat/>
    <w:rsid w:val="00E213F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13F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213F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213F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213FE"/>
    <w:pPr>
      <w:spacing w:before="160"/>
      <w:jc w:val="center"/>
    </w:pPr>
    <w:rPr>
      <w:i/>
      <w:iCs/>
      <w:color w:val="404040" w:themeColor="text1" w:themeTint="BF"/>
    </w:rPr>
  </w:style>
  <w:style w:type="character" w:customStyle="1" w:styleId="QuoteChar">
    <w:name w:val="Quote Char"/>
    <w:basedOn w:val="DefaultParagraphFont"/>
    <w:link w:val="Quote"/>
    <w:uiPriority w:val="29"/>
    <w:rsid w:val="00E213FE"/>
    <w:rPr>
      <w:i/>
      <w:iCs/>
      <w:color w:val="404040" w:themeColor="text1" w:themeTint="BF"/>
    </w:rPr>
  </w:style>
  <w:style w:type="paragraph" w:styleId="ListParagraph">
    <w:name w:val="List Paragraph"/>
    <w:basedOn w:val="Normal"/>
    <w:uiPriority w:val="34"/>
    <w:qFormat/>
    <w:rsid w:val="00E213FE"/>
    <w:pPr>
      <w:ind w:left="720"/>
      <w:contextualSpacing/>
    </w:pPr>
  </w:style>
  <w:style w:type="character" w:styleId="IntenseEmphasis">
    <w:name w:val="Intense Emphasis"/>
    <w:basedOn w:val="DefaultParagraphFont"/>
    <w:uiPriority w:val="21"/>
    <w:qFormat/>
    <w:rsid w:val="00E213FE"/>
    <w:rPr>
      <w:i/>
      <w:iCs/>
      <w:color w:val="0F4761" w:themeColor="accent1" w:themeShade="BF"/>
    </w:rPr>
  </w:style>
  <w:style w:type="paragraph" w:styleId="IntenseQuote">
    <w:name w:val="Intense Quote"/>
    <w:basedOn w:val="Normal"/>
    <w:next w:val="Normal"/>
    <w:link w:val="IntenseQuoteChar"/>
    <w:uiPriority w:val="30"/>
    <w:qFormat/>
    <w:rsid w:val="00E213F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213FE"/>
    <w:rPr>
      <w:i/>
      <w:iCs/>
      <w:color w:val="0F4761" w:themeColor="accent1" w:themeShade="BF"/>
    </w:rPr>
  </w:style>
  <w:style w:type="character" w:styleId="IntenseReference">
    <w:name w:val="Intense Reference"/>
    <w:basedOn w:val="DefaultParagraphFont"/>
    <w:uiPriority w:val="32"/>
    <w:qFormat/>
    <w:rsid w:val="00E213FE"/>
    <w:rPr>
      <w:b/>
      <w:bCs/>
      <w:smallCaps/>
      <w:color w:val="0F4761" w:themeColor="accent1" w:themeShade="BF"/>
      <w:spacing w:val="5"/>
    </w:rPr>
  </w:style>
  <w:style w:type="character" w:styleId="Hyperlink">
    <w:name w:val="Hyperlink"/>
    <w:basedOn w:val="DefaultParagraphFont"/>
    <w:uiPriority w:val="99"/>
    <w:unhideWhenUsed/>
    <w:rsid w:val="007022FC"/>
    <w:rPr>
      <w:color w:val="467886" w:themeColor="hyperlink"/>
      <w:u w:val="single"/>
    </w:rPr>
  </w:style>
  <w:style w:type="character" w:styleId="UnresolvedMention">
    <w:name w:val="Unresolved Mention"/>
    <w:basedOn w:val="DefaultParagraphFont"/>
    <w:uiPriority w:val="99"/>
    <w:semiHidden/>
    <w:unhideWhenUsed/>
    <w:rsid w:val="007022F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studocu.com/en-gb/document/university-of-london/equity-and-trusts/john-mee-the-pa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9</Pages>
  <Words>2162</Words>
  <Characters>12324</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Melenie Jane Box</dc:creator>
  <cp:keywords/>
  <dc:description/>
  <cp:lastModifiedBy>Melenie Jane Box</cp:lastModifiedBy>
  <cp:revision>2</cp:revision>
  <dcterms:created xsi:type="dcterms:W3CDTF">2024-03-14T16:54:00Z</dcterms:created>
  <dcterms:modified xsi:type="dcterms:W3CDTF">2024-03-14T16:54:00Z</dcterms:modified>
</cp:coreProperties>
</file>