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798"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880984" cy="1133855"/>
            <wp:effectExtent b="0" l="0" r="0" t="0"/>
            <wp:docPr id="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880984" cy="11338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widowControl w:val="1"/>
        <w:spacing w:after="200" w:before="240"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widowControl w:val="1"/>
        <w:spacing w:after="200" w:before="240"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pStyle w:val="Heading1"/>
        <w:widowControl w:val="1"/>
        <w:spacing w:after="200" w:before="240" w:line="360" w:lineRule="auto"/>
        <w:jc w:val="center"/>
        <w:rPr/>
      </w:pPr>
      <w:bookmarkStart w:colFirst="0" w:colLast="0" w:name="_heading=h.h7elzk4lz7e9" w:id="0"/>
      <w:bookmarkEnd w:id="0"/>
      <w:r w:rsidDel="00000000" w:rsidR="00000000" w:rsidRPr="00000000">
        <w:rPr>
          <w:b w:val="1"/>
          <w:rtl w:val="0"/>
        </w:rPr>
        <w:t xml:space="preserve">STUDENT NAME: </w:t>
      </w:r>
      <w:r w:rsidDel="00000000" w:rsidR="00000000" w:rsidRPr="00000000">
        <w:rPr>
          <w:rtl w:val="0"/>
        </w:rPr>
        <w:t xml:space="preserve">Ayah Abdullah</w:t>
      </w:r>
    </w:p>
    <w:p w:rsidR="00000000" w:rsidDel="00000000" w:rsidP="00000000" w:rsidRDefault="00000000" w:rsidRPr="00000000" w14:paraId="00000009">
      <w:pPr>
        <w:pStyle w:val="Heading1"/>
        <w:widowControl w:val="1"/>
        <w:spacing w:after="200" w:before="240" w:line="360" w:lineRule="auto"/>
        <w:jc w:val="center"/>
        <w:rPr/>
      </w:pPr>
      <w:bookmarkStart w:colFirst="0" w:colLast="0" w:name="_heading=h.ugvtputcu58u" w:id="1"/>
      <w:bookmarkEnd w:id="1"/>
      <w:r w:rsidDel="00000000" w:rsidR="00000000" w:rsidRPr="00000000">
        <w:rPr>
          <w:b w:val="1"/>
          <w:rtl w:val="0"/>
        </w:rPr>
        <w:t xml:space="preserve">STUDENT ID: </w:t>
      </w:r>
      <w:r w:rsidDel="00000000" w:rsidR="00000000" w:rsidRPr="00000000">
        <w:rPr>
          <w:rtl w:val="0"/>
        </w:rPr>
        <w:t xml:space="preserve">2103991</w:t>
      </w:r>
    </w:p>
    <w:p w:rsidR="00000000" w:rsidDel="00000000" w:rsidP="00000000" w:rsidRDefault="00000000" w:rsidRPr="00000000" w14:paraId="0000000A">
      <w:pPr>
        <w:pStyle w:val="Heading1"/>
        <w:widowControl w:val="1"/>
        <w:spacing w:after="200" w:before="240" w:line="360" w:lineRule="auto"/>
        <w:jc w:val="center"/>
        <w:rPr/>
      </w:pPr>
      <w:bookmarkStart w:colFirst="0" w:colLast="0" w:name="_heading=h.f2882kvs9010" w:id="2"/>
      <w:bookmarkEnd w:id="2"/>
      <w:r w:rsidDel="00000000" w:rsidR="00000000" w:rsidRPr="00000000">
        <w:rPr>
          <w:b w:val="1"/>
          <w:rtl w:val="0"/>
        </w:rPr>
        <w:t xml:space="preserve">MODULE TITLE: </w:t>
      </w:r>
      <w:r w:rsidDel="00000000" w:rsidR="00000000" w:rsidRPr="00000000">
        <w:rPr>
          <w:rtl w:val="0"/>
        </w:rPr>
        <w:t xml:space="preserve"> Managing Organisations in Nursing</w:t>
      </w:r>
    </w:p>
    <w:p w:rsidR="00000000" w:rsidDel="00000000" w:rsidP="00000000" w:rsidRDefault="00000000" w:rsidRPr="00000000" w14:paraId="0000000B">
      <w:pPr>
        <w:pStyle w:val="Heading1"/>
        <w:widowControl w:val="1"/>
        <w:spacing w:after="200" w:before="240" w:line="360" w:lineRule="auto"/>
        <w:jc w:val="center"/>
        <w:rPr/>
      </w:pPr>
      <w:bookmarkStart w:colFirst="0" w:colLast="0" w:name="_heading=h.r1bjpbowvcrd" w:id="3"/>
      <w:bookmarkEnd w:id="3"/>
      <w:r w:rsidDel="00000000" w:rsidR="00000000" w:rsidRPr="00000000">
        <w:rPr>
          <w:b w:val="1"/>
          <w:rtl w:val="0"/>
        </w:rPr>
        <w:t xml:space="preserve">MODULE CODE: </w:t>
      </w:r>
      <w:r w:rsidDel="00000000" w:rsidR="00000000" w:rsidRPr="00000000">
        <w:rPr>
          <w:rtl w:val="0"/>
        </w:rPr>
        <w:t xml:space="preserve">BMNS4008</w:t>
      </w:r>
    </w:p>
    <w:p w:rsidR="00000000" w:rsidDel="00000000" w:rsidP="00000000" w:rsidRDefault="00000000" w:rsidRPr="00000000" w14:paraId="0000000C">
      <w:pPr>
        <w:pStyle w:val="Heading1"/>
        <w:widowControl w:val="1"/>
        <w:spacing w:after="200" w:before="240" w:line="360" w:lineRule="auto"/>
        <w:jc w:val="center"/>
        <w:rPr/>
      </w:pPr>
      <w:bookmarkStart w:colFirst="0" w:colLast="0" w:name="_heading=h.fzysopfnl4x8" w:id="4"/>
      <w:bookmarkEnd w:id="4"/>
      <w:r w:rsidDel="00000000" w:rsidR="00000000" w:rsidRPr="00000000">
        <w:rPr>
          <w:b w:val="1"/>
          <w:rtl w:val="0"/>
        </w:rPr>
        <w:t xml:space="preserve">DATE OF SUBMISSION: </w:t>
      </w:r>
      <w:r w:rsidDel="00000000" w:rsidR="00000000" w:rsidRPr="00000000">
        <w:rPr>
          <w:rtl w:val="0"/>
        </w:rPr>
        <w:t xml:space="preserve">3/5/2024</w:t>
      </w:r>
    </w:p>
    <w:p w:rsidR="00000000" w:rsidDel="00000000" w:rsidP="00000000" w:rsidRDefault="00000000" w:rsidRPr="00000000" w14:paraId="0000000D">
      <w:pPr>
        <w:pStyle w:val="Heading1"/>
        <w:widowControl w:val="1"/>
        <w:spacing w:after="200" w:before="240" w:line="360" w:lineRule="auto"/>
        <w:jc w:val="center"/>
        <w:rPr/>
      </w:pPr>
      <w:bookmarkStart w:colFirst="0" w:colLast="0" w:name="_heading=h.avgm6p3a64ug" w:id="5"/>
      <w:bookmarkEnd w:id="5"/>
      <w:r w:rsidDel="00000000" w:rsidR="00000000" w:rsidRPr="00000000">
        <w:rPr>
          <w:b w:val="1"/>
          <w:rtl w:val="0"/>
        </w:rPr>
        <w:t xml:space="preserve">ASSIGNMENT TITLE:</w:t>
      </w:r>
      <w:r w:rsidDel="00000000" w:rsidR="00000000" w:rsidRPr="00000000">
        <w:rPr>
          <w:rtl w:val="0"/>
        </w:rPr>
        <w:t xml:space="preserve"> Event Risk Assessment </w:t>
      </w:r>
    </w:p>
    <w:p w:rsidR="00000000" w:rsidDel="00000000" w:rsidP="00000000" w:rsidRDefault="00000000" w:rsidRPr="00000000" w14:paraId="0000000E">
      <w:pPr>
        <w:pStyle w:val="Heading1"/>
        <w:widowControl w:val="1"/>
        <w:spacing w:after="200" w:before="240" w:line="360" w:lineRule="auto"/>
        <w:jc w:val="center"/>
        <w:rPr/>
        <w:sectPr>
          <w:footerReference r:id="rId8" w:type="default"/>
          <w:pgSz w:h="15840" w:w="12240" w:orient="portrait"/>
          <w:pgMar w:bottom="1240" w:top="520" w:left="500" w:right="840" w:header="720" w:footer="1053"/>
          <w:pgNumType w:start="1"/>
        </w:sectPr>
      </w:pPr>
      <w:bookmarkStart w:colFirst="0" w:colLast="0" w:name="_heading=h.3xvboexberzp" w:id="6"/>
      <w:bookmarkEnd w:id="6"/>
      <w:r w:rsidDel="00000000" w:rsidR="00000000" w:rsidRPr="00000000">
        <w:rPr>
          <w:rtl w:val="0"/>
        </w:rPr>
      </w:r>
    </w:p>
    <w:p w:rsidR="00000000" w:rsidDel="00000000" w:rsidP="00000000" w:rsidRDefault="00000000" w:rsidRPr="00000000" w14:paraId="0000000F">
      <w:pPr>
        <w:pStyle w:val="Heading1"/>
        <w:rPr/>
      </w:pPr>
      <w:bookmarkStart w:colFirst="0" w:colLast="0" w:name="_heading=h.lwxsymuponfz" w:id="7"/>
      <w:bookmarkEnd w:id="7"/>
      <w:r w:rsidDel="00000000" w:rsidR="00000000" w:rsidRPr="00000000">
        <w:rPr>
          <w:b w:val="1"/>
          <w:rtl w:val="0"/>
        </w:rPr>
        <w:t xml:space="preserve">Introduction</w:t>
      </w:r>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all-inclusive risk report examines the multi-layered undertaking of organising a fundraising occurrence at our native hospital. Through the objective of increasing reserves through many activities like a bake sale, raffle, and entertaining, this occasion transmits a range of possible risks that require thorough assessment and proactive organisation. The report traverses through all phases of the event, from its beginning to its conclusion, aiming to classify, analyse, and alleviate risks efficiently (Georgi Popov, 2016).</w:t>
      </w:r>
    </w:p>
    <w:p w:rsidR="00000000" w:rsidDel="00000000" w:rsidP="00000000" w:rsidRDefault="00000000" w:rsidRPr="00000000" w14:paraId="00000012">
      <w:pPr>
        <w:pStyle w:val="Heading2"/>
        <w:spacing w:line="360" w:lineRule="auto"/>
        <w:rPr>
          <w:b w:val="1"/>
        </w:rPr>
      </w:pPr>
      <w:bookmarkStart w:colFirst="0" w:colLast="0" w:name="_heading=h.tfa7qioosdeh" w:id="8"/>
      <w:bookmarkEnd w:id="8"/>
      <w:r w:rsidDel="00000000" w:rsidR="00000000" w:rsidRPr="00000000">
        <w:rPr>
          <w:b w:val="1"/>
          <w:rtl w:val="0"/>
        </w:rPr>
        <w:t xml:space="preserve">Context</w:t>
      </w:r>
    </w:p>
    <w:p w:rsidR="00000000" w:rsidDel="00000000" w:rsidP="00000000" w:rsidRDefault="00000000" w:rsidRPr="00000000" w14:paraId="0000001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choice to establish a fundraising occasion at our local hospital arises from the noble purpose of supporting the organisation's creativity and facilities. In light of the hospital's dynamic role in the group's comfort, such proceedings serve not only as monetary assistance but also as chances for community appointments and provision. Though the implementation of such proceedings is not an empty task, From logistical obstacles to regulatory obedience, numerous factors come into play, demanding a planned and cautious method (Gros, 2000). These reports aim  to give a structured valuation of the risks related to the occasions, confirming their achievement while safeguarding the interests of all shareholders involved.</w:t>
      </w:r>
    </w:p>
    <w:p w:rsidR="00000000" w:rsidDel="00000000" w:rsidP="00000000" w:rsidRDefault="00000000" w:rsidRPr="00000000" w14:paraId="00000014">
      <w:pPr>
        <w:pStyle w:val="Heading2"/>
        <w:spacing w:line="360" w:lineRule="auto"/>
        <w:rPr>
          <w:b w:val="1"/>
        </w:rPr>
      </w:pPr>
      <w:bookmarkStart w:colFirst="0" w:colLast="0" w:name="_heading=h.9fl92kzgw1l5" w:id="9"/>
      <w:bookmarkEnd w:id="9"/>
      <w:r w:rsidDel="00000000" w:rsidR="00000000" w:rsidRPr="00000000">
        <w:rPr>
          <w:b w:val="1"/>
          <w:rtl w:val="0"/>
        </w:rPr>
        <w:t xml:space="preserve">Key Definitions</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Risk: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In the setting of this report, risk </w:t>
      </w:r>
      <w:r w:rsidDel="00000000" w:rsidR="00000000" w:rsidRPr="00000000">
        <w:rPr>
          <w:rFonts w:ascii="Arial" w:cs="Arial" w:eastAsia="Arial" w:hAnsi="Arial"/>
          <w:sz w:val="24"/>
          <w:szCs w:val="24"/>
          <w:rtl w:val="0"/>
        </w:rPr>
        <w:t xml:space="preserve">refers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to any possible event or situation that could have diverse </w:t>
      </w:r>
      <w:r w:rsidDel="00000000" w:rsidR="00000000" w:rsidRPr="00000000">
        <w:rPr>
          <w:rFonts w:ascii="Arial" w:cs="Arial" w:eastAsia="Arial" w:hAnsi="Arial"/>
          <w:sz w:val="24"/>
          <w:szCs w:val="24"/>
          <w:rtl w:val="0"/>
        </w:rPr>
        <w:t xml:space="preserve">effects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on the effective implementation of the fundraising occasion. Risks may vary in </w:t>
      </w:r>
      <w:r w:rsidDel="00000000" w:rsidR="00000000" w:rsidRPr="00000000">
        <w:rPr>
          <w:rFonts w:ascii="Arial" w:cs="Arial" w:eastAsia="Arial" w:hAnsi="Arial"/>
          <w:sz w:val="24"/>
          <w:szCs w:val="24"/>
          <w:rtl w:val="0"/>
        </w:rPr>
        <w:t xml:space="preserve">terms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of likelihood and impact, fluctuating from negligible problems to significant disturbances.</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Likelihood: Likelihood </w:t>
      </w:r>
      <w:r w:rsidDel="00000000" w:rsidR="00000000" w:rsidRPr="00000000">
        <w:rPr>
          <w:rFonts w:ascii="Arial" w:cs="Arial" w:eastAsia="Arial" w:hAnsi="Arial"/>
          <w:sz w:val="24"/>
          <w:szCs w:val="24"/>
          <w:rtl w:val="0"/>
        </w:rPr>
        <w:t xml:space="preserve">symbolises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the chance of a precise risk eventuating throughout the course of the occasion. Evaluating the likelihood permits us to de</w:t>
      </w:r>
      <w:r w:rsidDel="00000000" w:rsidR="00000000" w:rsidRPr="00000000">
        <w:rPr>
          <w:rFonts w:ascii="Arial" w:cs="Arial" w:eastAsia="Arial" w:hAnsi="Arial"/>
          <w:sz w:val="24"/>
          <w:szCs w:val="24"/>
          <w:rtl w:val="0"/>
        </w:rPr>
        <w:t xml:space="preserve">termine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the chance of incidence and order risk management efforts </w:t>
      </w:r>
      <w:r w:rsidDel="00000000" w:rsidR="00000000" w:rsidRPr="00000000">
        <w:rPr>
          <w:rFonts w:ascii="Arial" w:cs="Arial" w:eastAsia="Arial" w:hAnsi="Arial"/>
          <w:sz w:val="24"/>
          <w:szCs w:val="24"/>
          <w:rtl w:val="0"/>
        </w:rPr>
        <w:t xml:space="preserve">accordingly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(Ankley et al., 2010).</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Impact:  Impact relates to the magnitude of the </w:t>
      </w:r>
      <w:r w:rsidDel="00000000" w:rsidR="00000000" w:rsidRPr="00000000">
        <w:rPr>
          <w:rFonts w:ascii="Arial" w:cs="Arial" w:eastAsia="Arial" w:hAnsi="Arial"/>
          <w:sz w:val="24"/>
          <w:szCs w:val="24"/>
          <w:rtl w:val="0"/>
        </w:rPr>
        <w:t xml:space="preserve">significance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result</w:t>
      </w:r>
      <w:r w:rsidDel="00000000" w:rsidR="00000000" w:rsidRPr="00000000">
        <w:rPr>
          <w:rFonts w:ascii="Arial" w:cs="Arial" w:eastAsia="Arial" w:hAnsi="Arial"/>
          <w:sz w:val="24"/>
          <w:szCs w:val="24"/>
          <w:rtl w:val="0"/>
        </w:rPr>
        <w:t xml:space="preserve">ing</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from the appearance of a risk. </w:t>
      </w:r>
      <w:r w:rsidDel="00000000" w:rsidR="00000000" w:rsidRPr="00000000">
        <w:rPr>
          <w:rFonts w:ascii="Arial" w:cs="Arial" w:eastAsia="Arial" w:hAnsi="Arial"/>
          <w:sz w:val="24"/>
          <w:szCs w:val="24"/>
          <w:rtl w:val="0"/>
        </w:rPr>
        <w:t xml:space="preserve">Considering</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the potential impact of risks allows us to assess their severity and plan suitable mitigation strategies.</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Mitigation Strategies:  Mitigation strategies include proactive events aimed at decreasing the likelihood of risks happening or reducing their impact if they do. These strategies may include preventive movements, contingency strategies, or risk transfer mechanisms (Holzmann &amp; Jørgensen, 2001).</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pStyle w:val="Heading1"/>
        <w:spacing w:line="360" w:lineRule="auto"/>
        <w:rPr>
          <w:b w:val="1"/>
        </w:rPr>
      </w:pPr>
      <w:bookmarkStart w:colFirst="0" w:colLast="0" w:name="_heading=h.2oispxlrfxht" w:id="10"/>
      <w:bookmarkEnd w:id="10"/>
      <w:r w:rsidDel="00000000" w:rsidR="00000000" w:rsidRPr="00000000">
        <w:rPr>
          <w:b w:val="1"/>
          <w:rtl w:val="0"/>
        </w:rPr>
        <w:t xml:space="preserve">Method</w:t>
      </w:r>
      <w:r w:rsidDel="00000000" w:rsidR="00000000" w:rsidRPr="00000000">
        <w:rPr>
          <w:rtl w:val="0"/>
        </w:rPr>
      </w:r>
    </w:p>
    <w:p w:rsidR="00000000" w:rsidDel="00000000" w:rsidP="00000000" w:rsidRDefault="00000000" w:rsidRPr="00000000" w14:paraId="0000001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undertaking this risk valuation, a methodical approach was assumed and planned to comprehensively classify, assess, and mitigate potential risks related to the fundraising event at the local hospital. This methodology includes several key steps:</w:t>
      </w:r>
    </w:p>
    <w:p w:rsidR="00000000" w:rsidDel="00000000" w:rsidP="00000000" w:rsidRDefault="00000000" w:rsidRPr="00000000" w14:paraId="0000001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pStyle w:val="Heading2"/>
        <w:spacing w:line="360" w:lineRule="auto"/>
        <w:rPr>
          <w:b w:val="1"/>
          <w:vertAlign w:val="baseline"/>
        </w:rPr>
      </w:pPr>
      <w:bookmarkStart w:colFirst="0" w:colLast="0" w:name="_heading=h.1nmzws5b2ba5" w:id="11"/>
      <w:bookmarkEnd w:id="11"/>
      <w:r w:rsidDel="00000000" w:rsidR="00000000" w:rsidRPr="00000000">
        <w:rPr>
          <w:b w:val="1"/>
          <w:vertAlign w:val="baseline"/>
          <w:rtl w:val="0"/>
        </w:rPr>
        <w:t xml:space="preserve">Identifying Potential Risks</w:t>
      </w:r>
    </w:p>
    <w:p w:rsidR="00000000" w:rsidDel="00000000" w:rsidP="00000000" w:rsidRDefault="00000000" w:rsidRPr="00000000" w14:paraId="0000001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Introducing </w:t>
      </w:r>
      <w:r w:rsidDel="00000000" w:rsidR="00000000" w:rsidRPr="00000000">
        <w:rPr>
          <w:rFonts w:ascii="Arial" w:cs="Arial" w:eastAsia="Arial" w:hAnsi="Arial"/>
          <w:sz w:val="24"/>
          <w:szCs w:val="24"/>
          <w:rtl w:val="0"/>
        </w:rPr>
        <w:t xml:space="preserve">the risk assessment method by leading a thorough analysis of all features of the event, inspecting elements such as the site, planned activities (such as the bake sale, raffle, and entertaining), expected members, and external issues that might influence the event's achievement (Kasperson et.al., 2005). By thinking about potential risks related to each of these fundamentals, a complete assessment was confirmed, accounting for a wide range of situations. </w:t>
      </w:r>
    </w:p>
    <w:p w:rsidR="00000000" w:rsidDel="00000000" w:rsidP="00000000" w:rsidRDefault="00000000" w:rsidRPr="00000000" w14:paraId="0000001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pStyle w:val="Heading2"/>
        <w:spacing w:line="360" w:lineRule="auto"/>
        <w:rPr>
          <w:b w:val="1"/>
        </w:rPr>
      </w:pPr>
      <w:bookmarkStart w:colFirst="0" w:colLast="0" w:name="_heading=h.r02mpvc98gqs" w:id="12"/>
      <w:bookmarkEnd w:id="12"/>
      <w:r w:rsidDel="00000000" w:rsidR="00000000" w:rsidRPr="00000000">
        <w:rPr>
          <w:b w:val="1"/>
          <w:rtl w:val="0"/>
        </w:rPr>
        <w:t xml:space="preserve">Assessing Likelihood and Impact</w:t>
      </w:r>
    </w:p>
    <w:p w:rsidR="00000000" w:rsidDel="00000000" w:rsidP="00000000" w:rsidRDefault="00000000" w:rsidRPr="00000000" w14:paraId="0000002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Following the identification of possible risks, continue to assess the likelihood of each risk appearing and the potential influence it could have on both the achievement of the occasion and the safety of members. This valuation involved considering issues such as historical data, expert judgement, and the precise features of the event. By including the likelihood and influence of each risk, one can continue to instruct risk management efforts effectively (Varshavsky et al., 2023).</w:t>
      </w:r>
    </w:p>
    <w:p w:rsidR="00000000" w:rsidDel="00000000" w:rsidP="00000000" w:rsidRDefault="00000000" w:rsidRPr="00000000" w14:paraId="00000022">
      <w:pPr>
        <w:pStyle w:val="Heading2"/>
        <w:spacing w:line="360" w:lineRule="auto"/>
        <w:rPr>
          <w:b w:val="1"/>
        </w:rPr>
      </w:pPr>
      <w:bookmarkStart w:colFirst="0" w:colLast="0" w:name="_heading=h.nu3pvh9orjhn" w:id="13"/>
      <w:bookmarkEnd w:id="13"/>
      <w:r w:rsidDel="00000000" w:rsidR="00000000" w:rsidRPr="00000000">
        <w:rPr>
          <w:rtl w:val="0"/>
        </w:rPr>
      </w:r>
    </w:p>
    <w:p w:rsidR="00000000" w:rsidDel="00000000" w:rsidP="00000000" w:rsidRDefault="00000000" w:rsidRPr="00000000" w14:paraId="00000023">
      <w:pPr>
        <w:pStyle w:val="Heading2"/>
        <w:spacing w:line="360" w:lineRule="auto"/>
        <w:rPr>
          <w:b w:val="1"/>
        </w:rPr>
      </w:pPr>
      <w:bookmarkStart w:colFirst="0" w:colLast="0" w:name="_heading=h.5rj0ylam95et" w:id="14"/>
      <w:bookmarkEnd w:id="14"/>
      <w:r w:rsidDel="00000000" w:rsidR="00000000" w:rsidRPr="00000000">
        <w:rPr>
          <w:b w:val="1"/>
          <w:rtl w:val="0"/>
        </w:rPr>
        <w:t xml:space="preserve">Developing Mitigation Strategies</w:t>
      </w:r>
    </w:p>
    <w:p w:rsidR="00000000" w:rsidDel="00000000" w:rsidP="00000000" w:rsidRDefault="00000000" w:rsidRPr="00000000" w14:paraId="0000002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Armed with insights into the likelihood as well as the influence of recognised risks, proactive mitigation plans were articulated aimed at reducing the chance of incidence or minimising the adverse effects if the risks were to clear (Jagiello et al., 2022). </w:t>
      </w:r>
    </w:p>
    <w:p w:rsidR="00000000" w:rsidDel="00000000" w:rsidP="00000000" w:rsidRDefault="00000000" w:rsidRPr="00000000" w14:paraId="0000002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These extenuation strategies were commissioned to address the unique structures of each risk and comprised a variety of methods, including counting preventive events, eventuality strategies, and risk transfer plans (Kasperson et al., 1988). By proactively addressing potential promises, it is noticeable to recover the occasion's flexibility and authorise its smooth application.</w:t>
      </w:r>
    </w:p>
    <w:p w:rsidR="00000000" w:rsidDel="00000000" w:rsidP="00000000" w:rsidRDefault="00000000" w:rsidRPr="00000000" w14:paraId="0000002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pStyle w:val="Heading2"/>
        <w:spacing w:line="360" w:lineRule="auto"/>
        <w:rPr>
          <w:b w:val="1"/>
        </w:rPr>
      </w:pPr>
      <w:bookmarkStart w:colFirst="0" w:colLast="0" w:name="_heading=h.757m0qyzkh11" w:id="15"/>
      <w:bookmarkEnd w:id="15"/>
      <w:r w:rsidDel="00000000" w:rsidR="00000000" w:rsidRPr="00000000">
        <w:rPr>
          <w:b w:val="1"/>
          <w:rtl w:val="0"/>
        </w:rPr>
        <w:t xml:space="preserve">Checking and Review</w:t>
      </w:r>
    </w:p>
    <w:p w:rsidR="00000000" w:rsidDel="00000000" w:rsidP="00000000" w:rsidRDefault="00000000" w:rsidRPr="00000000" w14:paraId="0000002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Meaningful the dynamic nature of risk, to know a robust plan for on-going discerning and appraisal through the groundwork and implementation stages of the event. This complex regularly assesses the efficiency of functional mitigation strategies, checks vicissitudes in the risk set, and continues to be attentive to developing dangers. By presenting proactive checking as well as a review process, it is targeted to prompt classify and answer any departures from the planned risk group approach, allowing for proper adjustments and evaluations (Landis, 2004).</w:t>
      </w:r>
    </w:p>
    <w:p w:rsidR="00000000" w:rsidDel="00000000" w:rsidP="00000000" w:rsidRDefault="00000000" w:rsidRPr="00000000" w14:paraId="00000029">
      <w:pPr>
        <w:spacing w:line="360" w:lineRule="auto"/>
        <w:rPr>
          <w:rFonts w:ascii="Arial" w:cs="Arial" w:eastAsia="Arial" w:hAnsi="Arial"/>
          <w:sz w:val="24"/>
          <w:szCs w:val="24"/>
        </w:rPr>
      </w:pPr>
      <w:bookmarkStart w:colFirst="0" w:colLast="0" w:name="_heading=h.gjdgxs" w:id="16"/>
      <w:bookmarkEnd w:id="16"/>
      <w:r w:rsidDel="00000000" w:rsidR="00000000" w:rsidRPr="00000000">
        <w:rPr>
          <w:rFonts w:ascii="Arial" w:cs="Arial" w:eastAsia="Arial" w:hAnsi="Arial"/>
          <w:sz w:val="24"/>
          <w:szCs w:val="24"/>
          <w:rtl w:val="0"/>
        </w:rPr>
        <w:t xml:space="preserve">Overall, the methodical approach to risk valuation, encompassing identification, evaluation, extenuation, and on-going checking, served as a basis for effective risk organisation and contributed to the successful implementation of the fundraising while confirming the safety and satisfaction of all contributors (Jean-Lou et al., 2010).</w:t>
      </w:r>
    </w:p>
    <w:p w:rsidR="00000000" w:rsidDel="00000000" w:rsidP="00000000" w:rsidRDefault="00000000" w:rsidRPr="00000000" w14:paraId="0000002A">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2B">
      <w:pPr>
        <w:pStyle w:val="Heading1"/>
        <w:spacing w:line="360" w:lineRule="auto"/>
        <w:rPr>
          <w:rFonts w:ascii="Calibri" w:cs="Calibri" w:eastAsia="Calibri" w:hAnsi="Calibri"/>
        </w:rPr>
      </w:pPr>
      <w:bookmarkStart w:colFirst="0" w:colLast="0" w:name="_heading=h.tf0vld1xpr9g" w:id="17"/>
      <w:bookmarkEnd w:id="17"/>
      <w:r w:rsidDel="00000000" w:rsidR="00000000" w:rsidRPr="00000000">
        <w:rPr>
          <w:b w:val="1"/>
          <w:rtl w:val="0"/>
        </w:rPr>
        <w:t xml:space="preserve">Compliance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Conducting a complete risk valuation plays a vital role in confirming compliance with significant legislative necessities, industry-specific values, and best practices. By methodically identifying, estimating, and mitigating possible risks, organisations can proactively address obedience obligations and diminish the likelihood of controlling violations (Lyon &amp; Georgi Popov, 2018). In the context of a fundraising incident at the local hospital, devotion to various values and the legislature is paramount, and the risk valuation process helps as a tool to ease compliance in the following ways:</w:t>
      </w:r>
    </w:p>
    <w:p w:rsidR="00000000" w:rsidDel="00000000" w:rsidP="00000000" w:rsidRDefault="00000000" w:rsidRPr="00000000" w14:paraId="0000002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pStyle w:val="Heading2"/>
        <w:spacing w:line="360" w:lineRule="auto"/>
        <w:rPr>
          <w:b w:val="1"/>
        </w:rPr>
      </w:pPr>
      <w:bookmarkStart w:colFirst="0" w:colLast="0" w:name="_heading=h.k0cr5epym1w3" w:id="18"/>
      <w:bookmarkEnd w:id="18"/>
      <w:r w:rsidDel="00000000" w:rsidR="00000000" w:rsidRPr="00000000">
        <w:rPr>
          <w:b w:val="1"/>
          <w:rtl w:val="0"/>
        </w:rPr>
        <w:t xml:space="preserve">Health and Safety Regulations</w:t>
      </w:r>
    </w:p>
    <w:p w:rsidR="00000000" w:rsidDel="00000000" w:rsidP="00000000" w:rsidRDefault="00000000" w:rsidRPr="00000000" w14:paraId="0000002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risk valuation process allows us to identify possible health and care risks linked with the event, such as insufficient venue substructure, gathering congestion, or emergency reaction inadequacies. By assessing the probability and influence of these risks, one can implement suitable mitigation measures, such as showing safety reviews, providing first aid services, and applying crowd control events. Through these active efforts, the occasion fulfils health and safety regulations, thus maintaining the well-being of members and reducing the risk of accidents or injuries (Lackey, 1997).</w:t>
      </w:r>
    </w:p>
    <w:p w:rsidR="00000000" w:rsidDel="00000000" w:rsidP="00000000" w:rsidRDefault="00000000" w:rsidRPr="00000000" w14:paraId="0000003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pStyle w:val="Heading2"/>
        <w:spacing w:line="360" w:lineRule="auto"/>
        <w:rPr>
          <w:b w:val="1"/>
        </w:rPr>
      </w:pPr>
      <w:bookmarkStart w:colFirst="0" w:colLast="0" w:name="_heading=h.700ad9mt8ij9" w:id="19"/>
      <w:bookmarkEnd w:id="19"/>
      <w:r w:rsidDel="00000000" w:rsidR="00000000" w:rsidRPr="00000000">
        <w:rPr>
          <w:b w:val="1"/>
          <w:rtl w:val="0"/>
        </w:rPr>
        <w:t xml:space="preserve">Food Safety Regulations</w:t>
      </w:r>
    </w:p>
    <w:p w:rsidR="00000000" w:rsidDel="00000000" w:rsidP="00000000" w:rsidRDefault="00000000" w:rsidRPr="00000000" w14:paraId="0000003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Specifying the presence of a bake sale on the occasion, obedience to food safety rules is chiefly necessary to prevent foodborne sickness and confirm the health of attendees. During the risk assessment procedure, it is possible to identify possible risks related to inappropriate food treatment, contamination, or allergen contact (Ostrom &amp; Wilhelmsen, 2019). By applying mitigation strategies such as obeying appropriate food handling processes, maintaining hygiene values, and exhibiting food expiration dates, individuals can prove compliance with food safety rules and mitigate the risk of foodborne diseases, thereby caring for the health and  safety of event members (Suter, 1992).</w:t>
      </w:r>
    </w:p>
    <w:p w:rsidR="00000000" w:rsidDel="00000000" w:rsidP="00000000" w:rsidRDefault="00000000" w:rsidRPr="00000000" w14:paraId="00000033">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4">
      <w:pPr>
        <w:pStyle w:val="Heading2"/>
        <w:spacing w:line="360" w:lineRule="auto"/>
        <w:rPr>
          <w:b w:val="1"/>
        </w:rPr>
      </w:pPr>
      <w:bookmarkStart w:colFirst="0" w:colLast="0" w:name="_heading=h.rf3n0l27epp9" w:id="20"/>
      <w:bookmarkEnd w:id="20"/>
      <w:r w:rsidDel="00000000" w:rsidR="00000000" w:rsidRPr="00000000">
        <w:rPr>
          <w:b w:val="1"/>
          <w:rtl w:val="0"/>
        </w:rPr>
        <w:t xml:space="preserve">Gambling Laws Compliance</w:t>
      </w:r>
    </w:p>
    <w:p w:rsidR="00000000" w:rsidDel="00000000" w:rsidP="00000000" w:rsidRDefault="00000000" w:rsidRPr="00000000" w14:paraId="0000003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presence of raffles as a portion of the fundraising actions presents an important dimension of regulatory obedience, particularly about gambling rules and guidelines leading to games of coincidence. It's crucial to know that any form of gambling, even when led for generous purposes, is subject to strict legal outlines aimed at confirming fairness, clarity, and accountable gaming practices. Disappointment to follow these rules can result in severe drawbacks and legal consequences for the organising object.</w:t>
      </w:r>
    </w:p>
    <w:p w:rsidR="00000000" w:rsidDel="00000000" w:rsidP="00000000" w:rsidRDefault="00000000" w:rsidRPr="00000000" w14:paraId="0000003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One of the main risks related to the non-fulfilment of gambling laws is the possibility of improper voucher sales and prize supply practices. Without suitable mistakes and obedience to regulatory supplies, there is a risk of unintentionally appealing actions that could be interpreted as illegal gambling, principally to regulatory inspection and latent legal action (Rausand 2011a). Furthermore, non-compliance weakens the truthfulness of the fundraising event and corrodes trust between participants and followers.</w:t>
      </w:r>
    </w:p>
    <w:p w:rsidR="00000000" w:rsidDel="00000000" w:rsidP="00000000" w:rsidRDefault="00000000" w:rsidRPr="00000000" w14:paraId="0000003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alleviate these risks as well as ensure acquiescence with gambling laws, it's authoritative to develop healthy mitigation strategies as part of the risk assessment procedure. This includes obtaining essential licences from related controlling establishments to improve the event. These certificates typically outline detailed conditions and supplies that must be encountered to conduct raffles lawfully, including limitations on ticket pricing, prize prices, and reporting responsibilities (Large &amp; Nielssen, 2011). Also, clear communication of raffle directions and rules to members is vital to ensure slide and justice. By nurturing transparency and clarity in the conduct of raffles, managers can prove their pledge to obedience and support the integrity of the fundraising occasion.</w:t>
      </w:r>
    </w:p>
    <w:p w:rsidR="00000000" w:rsidDel="00000000" w:rsidP="00000000" w:rsidRDefault="00000000" w:rsidRPr="00000000" w14:paraId="0000003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Another critical stage of agreement with gambling laws is the exact certification and record-keeping of ticket auctions and prize movement. Maintaining detailed minutes not only eases unambiguousness and accountability but also promotes them as crucial suggestions of compliance at the juncture of regulatory soundings or reviews. Managers should apply robust arrangements for tracking ticket skills, film prize champions, and footage of all financial contacts linked to the raffle (Martens et al., 2018).</w:t>
      </w:r>
    </w:p>
    <w:p w:rsidR="00000000" w:rsidDel="00000000" w:rsidP="00000000" w:rsidRDefault="00000000" w:rsidRPr="00000000" w14:paraId="0000003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agreement with gambling laws is a significant aspect of founding raffles as part of fundraising movements. Through the implementation of active mitigation strategies, such as attaining permits, communicating strong instructions, and upholding accurate archives, managers can confirm compliance with regulatory necessities and mitigate the risk of lawful destruction. By ordering adherence to gambling laws, managers uphold the reliability of the fundraising event and maintain the interests of members and groups (Rausand, 2011b).</w:t>
      </w:r>
    </w:p>
    <w:p w:rsidR="00000000" w:rsidDel="00000000" w:rsidP="00000000" w:rsidRDefault="00000000" w:rsidRPr="00000000" w14:paraId="0000003A">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pStyle w:val="Heading2"/>
        <w:spacing w:line="360" w:lineRule="auto"/>
        <w:rPr>
          <w:b w:val="1"/>
        </w:rPr>
      </w:pPr>
      <w:bookmarkStart w:colFirst="0" w:colLast="0" w:name="_heading=h.89gendiao27n" w:id="21"/>
      <w:bookmarkEnd w:id="21"/>
      <w:r w:rsidDel="00000000" w:rsidR="00000000" w:rsidRPr="00000000">
        <w:rPr>
          <w:b w:val="1"/>
          <w:rtl w:val="0"/>
        </w:rPr>
        <w:t xml:space="preserve">Entertainment Licensing</w:t>
      </w:r>
    </w:p>
    <w:p w:rsidR="00000000" w:rsidDel="00000000" w:rsidP="00000000" w:rsidRDefault="00000000" w:rsidRPr="00000000" w14:paraId="0000003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Any live presentations or entertainment activities included in the event need to comply with licensing supplies and rules. Through the risk valuation process, we classify potential risks linked to unlicensed presentations or inadequate licences. By emerging mitigation policies such as obtaining necessary entertaining licences and authorisations well in advance of the event to prove compliance with entertaining licensing rules and lessen the risk of legal consequences (Monahan &amp; Skeem, 2016).</w:t>
      </w:r>
    </w:p>
    <w:p w:rsidR="00000000" w:rsidDel="00000000" w:rsidP="00000000" w:rsidRDefault="00000000" w:rsidRPr="00000000" w14:paraId="0000003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summary, leading a complete risk valuation not only helps classify and mitigate possible risks but also settles compliance with appropriate legislative supplies, industry-specific values, and best practices. By proactively lecturing obedience obligations through the risk estimate process, organisations can lessen legal risks, defend the interests of investors, and improve the overall attainment and safety of time.</w:t>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1"/>
        <w:tblpPr w:leftFromText="180" w:rightFromText="180" w:topFromText="0" w:bottomFromText="0" w:vertAnchor="text" w:horzAnchor="text" w:tblpX="0" w:tblpY="626"/>
        <w:tblW w:w="105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8"/>
        <w:gridCol w:w="4075"/>
        <w:gridCol w:w="1538"/>
        <w:gridCol w:w="1318"/>
        <w:gridCol w:w="1428"/>
        <w:gridCol w:w="1540"/>
        <w:tblGridChange w:id="0">
          <w:tblGrid>
            <w:gridCol w:w="648"/>
            <w:gridCol w:w="4075"/>
            <w:gridCol w:w="1538"/>
            <w:gridCol w:w="1318"/>
            <w:gridCol w:w="1428"/>
            <w:gridCol w:w="1540"/>
          </w:tblGrid>
        </w:tblGridChange>
      </w:tblGrid>
      <w:tr>
        <w:trPr>
          <w:cantSplit w:val="0"/>
          <w:trHeight w:val="163" w:hRule="atLeast"/>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03F">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Ref</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040">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Risk Description</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041">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Likelihood of occurrence (Score 1-5)</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042">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Impact of Risk occurrence (Score 1-5)</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043">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Risk Score (Likelihood x Occurrence)</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044">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Risk Severity (High, Medium, or Low)</w:t>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spacing w:line="360" w:lineRule="auto"/>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Venue Safety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Medium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High</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High</w:t>
            </w:r>
          </w:p>
        </w:tc>
      </w:tr>
      <w:tr>
        <w:trPr>
          <w:cantSplit w:val="0"/>
          <w:trHeight w:val="3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Food Safety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High</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Medium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High</w:t>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spacing w:line="360" w:lineRule="auto"/>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Raffle Compliance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Low</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Medium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Medium</w:t>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spacing w:line="360" w:lineRule="auto"/>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Entertainment Logistics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Medium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Low</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0">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Medium </w:t>
            </w:r>
          </w:p>
        </w:tc>
      </w:tr>
    </w:tbl>
    <w:p w:rsidR="00000000" w:rsidDel="00000000" w:rsidP="00000000" w:rsidRDefault="00000000" w:rsidRPr="00000000" w14:paraId="00000061">
      <w:pPr>
        <w:pStyle w:val="Heading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Calibri" w:cs="Calibri" w:eastAsia="Calibri" w:hAnsi="Calibri"/>
          <w:b w:val="1"/>
          <w:sz w:val="28"/>
          <w:szCs w:val="28"/>
        </w:rPr>
        <w:sectPr>
          <w:headerReference r:id="rId9" w:type="default"/>
          <w:footerReference r:id="rId10" w:type="default"/>
          <w:type w:val="nextPage"/>
          <w:pgSz w:h="15840" w:w="12240" w:orient="portrait"/>
          <w:pgMar w:bottom="1440" w:top="1440" w:left="1440" w:right="1440" w:header="708" w:footer="708"/>
        </w:sectPr>
      </w:pPr>
      <w:bookmarkStart w:colFirst="0" w:colLast="0" w:name="_heading=h.s2wflyx7dort" w:id="22"/>
      <w:bookmarkEnd w:id="22"/>
      <w:r w:rsidDel="00000000" w:rsidR="00000000" w:rsidRPr="00000000">
        <w:rPr>
          <w:b w:val="1"/>
          <w:rtl w:val="0"/>
        </w:rPr>
        <w:t xml:space="preserve">Risk Assessment Register </w:t>
      </w:r>
      <w:r w:rsidDel="00000000" w:rsidR="00000000" w:rsidRPr="00000000">
        <w:rPr>
          <w:rtl w:val="0"/>
        </w:rPr>
      </w:r>
    </w:p>
    <w:p w:rsidR="00000000" w:rsidDel="00000000" w:rsidP="00000000" w:rsidRDefault="00000000" w:rsidRPr="00000000" w14:paraId="00000062">
      <w:pPr>
        <w:pStyle w:val="Heading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pPr>
      <w:bookmarkStart w:colFirst="0" w:colLast="0" w:name="_heading=h.m6qn6hqagbjg" w:id="23"/>
      <w:bookmarkEnd w:id="23"/>
      <w:r w:rsidDel="00000000" w:rsidR="00000000" w:rsidRPr="00000000">
        <w:rPr>
          <w:rFonts w:ascii="Arial" w:cs="Arial" w:eastAsia="Arial" w:hAnsi="Arial"/>
          <w:b w:val="1"/>
          <w:rtl w:val="0"/>
        </w:rPr>
        <w:t xml:space="preserve">Conclusion and Recommendations</w:t>
      </w:r>
      <w:r w:rsidDel="00000000" w:rsidR="00000000" w:rsidRPr="00000000">
        <w:rPr>
          <w:rtl w:val="0"/>
        </w:rPr>
        <w:t xml:space="preserve"> </w:t>
      </w:r>
    </w:p>
    <w:p w:rsidR="00000000" w:rsidDel="00000000" w:rsidP="00000000" w:rsidRDefault="00000000" w:rsidRPr="00000000" w14:paraId="00000063">
      <w:pPr>
        <w:tabs>
          <w:tab w:val="left" w:leader="none" w:pos="0"/>
        </w:tabs>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the risk estimate lead for the fundraising occasion at our local hospital has several key potentials that could influence the attainment and care of the occasion.  The valuation shows safety poses the topmost risks due to its imaginable and important impact. Mitigation plans, such as leading detailed safety reviews, given that passable signage for emergency leavings, confirming compliance with food safety rules, and approving hand washing locations are optional to address these risks professionally, additionally, while Raffle Compliance and Amusing Logistics have lower likelihoods of occurrence, they still need a proactive group to mitigate their impact on time. Gaining essential certificates for the raffle, collaborating rules with members, and confirming agreements with performers well in progress are essential events to ensure obedience and smooth implementation (Nicholson et al., 2014).</w:t>
      </w:r>
    </w:p>
    <w:p w:rsidR="00000000" w:rsidDel="00000000" w:rsidP="00000000" w:rsidRDefault="00000000" w:rsidRPr="00000000" w14:paraId="0000006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confirm the accomplishment and care of the fundraising event, it is authoritative to establish a devoted risk management team accountable for administration risk mitigation efforts and applying contingency strategies as needed. The team must unceasingly check and review risks through the organisation and implementation stages, allowing for opportune changes and optimisations (Rausand, 2011a). By proactively addressing potential risks and applying suggested mitigation strategies, one can maximise the achievement of the occasion, attain fundraising aims, and uphold obedience to  relevant values and laws. This complete risk management approach will not only maintain the interests of all participants involved but also contribute to the overall achievement and influence of the occasion within the community.</w:t>
      </w:r>
    </w:p>
    <w:p w:rsidR="00000000" w:rsidDel="00000000" w:rsidP="00000000" w:rsidRDefault="00000000" w:rsidRPr="00000000" w14:paraId="0000006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b w:val="1"/>
          <w:sz w:val="28"/>
          <w:szCs w:val="28"/>
        </w:rPr>
      </w:pPr>
      <w:r w:rsidDel="00000000" w:rsidR="00000000" w:rsidRPr="00000000">
        <w:rPr>
          <w:rtl w:val="0"/>
        </w:rPr>
      </w:r>
    </w:p>
    <w:p w:rsidR="00000000" w:rsidDel="00000000" w:rsidP="00000000" w:rsidRDefault="00000000" w:rsidRPr="00000000" w14:paraId="0000006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b w:val="1"/>
          <w:sz w:val="28"/>
          <w:szCs w:val="28"/>
        </w:rPr>
      </w:pPr>
      <w:r w:rsidDel="00000000" w:rsidR="00000000" w:rsidRPr="00000000">
        <w:rPr>
          <w:rtl w:val="0"/>
        </w:rPr>
      </w:r>
    </w:p>
    <w:p w:rsidR="00000000" w:rsidDel="00000000" w:rsidP="00000000" w:rsidRDefault="00000000" w:rsidRPr="00000000" w14:paraId="00000067">
      <w:pPr>
        <w:widowControl w:val="1"/>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widowControl w:val="1"/>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widowControl w:val="1"/>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widowControl w:val="1"/>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pStyle w:val="Heading1"/>
        <w:widowControl w:val="1"/>
        <w:spacing w:after="240" w:line="360" w:lineRule="auto"/>
        <w:rPr>
          <w:rFonts w:ascii="Times New Roman" w:cs="Times New Roman" w:eastAsia="Times New Roman" w:hAnsi="Times New Roman"/>
        </w:rPr>
      </w:pPr>
      <w:bookmarkStart w:colFirst="0" w:colLast="0" w:name="_heading=h.vg80uziojlpi" w:id="24"/>
      <w:bookmarkEnd w:id="24"/>
      <w:r w:rsidDel="00000000" w:rsidR="00000000" w:rsidRPr="00000000">
        <w:rPr>
          <w:rFonts w:ascii="Arial" w:cs="Arial" w:eastAsia="Arial" w:hAnsi="Arial"/>
          <w:b w:val="1"/>
          <w:rtl w:val="0"/>
        </w:rPr>
        <w:t xml:space="preserve">References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C">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Ankley, GT, Bennett, RS, Erickson, RJ, Hoff, DJ, Hornung, MW, Johnson, RD, Mount, DR, Nichols, JW, Russom, CL, Schmieder, PK, Serrrano, JA, Tietge, JE &amp; Villeneuve, DL 2010, ‘Adverse outcome pathways: A conceptual framework to support ecotoxicology research and risk assessment’, </w:t>
      </w:r>
      <w:r w:rsidDel="00000000" w:rsidR="00000000" w:rsidRPr="00000000">
        <w:rPr>
          <w:rFonts w:ascii="Arial" w:cs="Arial" w:eastAsia="Arial" w:hAnsi="Arial"/>
          <w:i w:val="1"/>
          <w:sz w:val="24"/>
          <w:szCs w:val="24"/>
          <w:rtl w:val="0"/>
        </w:rPr>
        <w:t xml:space="preserve">Environmental Toxicology and Chemistry</w:t>
      </w:r>
      <w:r w:rsidDel="00000000" w:rsidR="00000000" w:rsidRPr="00000000">
        <w:rPr>
          <w:rFonts w:ascii="Arial" w:cs="Arial" w:eastAsia="Arial" w:hAnsi="Arial"/>
          <w:sz w:val="24"/>
          <w:szCs w:val="24"/>
          <w:rtl w:val="0"/>
        </w:rPr>
        <w:t xml:space="preserve">, vol. 29, no. 3, pp. 730–741.</w:t>
      </w:r>
    </w:p>
    <w:p w:rsidR="00000000" w:rsidDel="00000000" w:rsidP="00000000" w:rsidRDefault="00000000" w:rsidRPr="00000000" w14:paraId="0000006D">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Georgi Popov, (Engineer, Lyon, BK &amp; Hollcroft, B 2016, </w:t>
      </w:r>
      <w:r w:rsidDel="00000000" w:rsidR="00000000" w:rsidRPr="00000000">
        <w:rPr>
          <w:rFonts w:ascii="Arial" w:cs="Arial" w:eastAsia="Arial" w:hAnsi="Arial"/>
          <w:i w:val="1"/>
          <w:sz w:val="24"/>
          <w:szCs w:val="24"/>
          <w:rtl w:val="0"/>
        </w:rPr>
        <w:t xml:space="preserve">Risk assessment: a practical guide to assessing operational risks</w:t>
      </w:r>
      <w:r w:rsidDel="00000000" w:rsidR="00000000" w:rsidRPr="00000000">
        <w:rPr>
          <w:rFonts w:ascii="Arial" w:cs="Arial" w:eastAsia="Arial" w:hAnsi="Arial"/>
          <w:sz w:val="24"/>
          <w:szCs w:val="24"/>
          <w:rtl w:val="0"/>
        </w:rPr>
        <w:t xml:space="preserve">, Wiley, Hoboken, New Jersey.</w:t>
      </w:r>
    </w:p>
    <w:p w:rsidR="00000000" w:rsidDel="00000000" w:rsidP="00000000" w:rsidRDefault="00000000" w:rsidRPr="00000000" w14:paraId="0000006E">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Gros, XE 2000, ‘Making Better Environmental Decisions: An Alternative to Risk Assessment’, </w:t>
      </w:r>
      <w:r w:rsidDel="00000000" w:rsidR="00000000" w:rsidRPr="00000000">
        <w:rPr>
          <w:rFonts w:ascii="Arial" w:cs="Arial" w:eastAsia="Arial" w:hAnsi="Arial"/>
          <w:i w:val="1"/>
          <w:sz w:val="24"/>
          <w:szCs w:val="24"/>
          <w:rtl w:val="0"/>
        </w:rPr>
        <w:t xml:space="preserve">Electronic Green Journal</w:t>
      </w:r>
      <w:r w:rsidDel="00000000" w:rsidR="00000000" w:rsidRPr="00000000">
        <w:rPr>
          <w:rFonts w:ascii="Arial" w:cs="Arial" w:eastAsia="Arial" w:hAnsi="Arial"/>
          <w:sz w:val="24"/>
          <w:szCs w:val="24"/>
          <w:rtl w:val="0"/>
        </w:rPr>
        <w:t xml:space="preserve">, vol. 1, no. 13.</w:t>
      </w:r>
    </w:p>
    <w:p w:rsidR="00000000" w:rsidDel="00000000" w:rsidP="00000000" w:rsidRDefault="00000000" w:rsidRPr="00000000" w14:paraId="0000006F">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Holzmann, R &amp; Jørgensen, S 2001, ‘Social Risk Management: A New Conceptual Framework for Social Protection, and Beyond’, </w:t>
      </w:r>
      <w:r w:rsidDel="00000000" w:rsidR="00000000" w:rsidRPr="00000000">
        <w:rPr>
          <w:rFonts w:ascii="Arial" w:cs="Arial" w:eastAsia="Arial" w:hAnsi="Arial"/>
          <w:i w:val="1"/>
          <w:sz w:val="24"/>
          <w:szCs w:val="24"/>
          <w:rtl w:val="0"/>
        </w:rPr>
        <w:t xml:space="preserve">International Tax and Public Finance</w:t>
      </w:r>
      <w:r w:rsidDel="00000000" w:rsidR="00000000" w:rsidRPr="00000000">
        <w:rPr>
          <w:rFonts w:ascii="Arial" w:cs="Arial" w:eastAsia="Arial" w:hAnsi="Arial"/>
          <w:sz w:val="24"/>
          <w:szCs w:val="24"/>
          <w:rtl w:val="0"/>
        </w:rPr>
        <w:t xml:space="preserve">, vol. 8, no. 4, pp. 529–556.</w:t>
      </w:r>
    </w:p>
    <w:p w:rsidR="00000000" w:rsidDel="00000000" w:rsidP="00000000" w:rsidRDefault="00000000" w:rsidRPr="00000000" w14:paraId="00000070">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Jagiello, K, Judzinska, B, Sosnowska, A, Lynch, I, Halappanavar, S &amp; Puzyn, T 2022, ‘Using AOP-Wiki to support the ecotoxicological risk assessment of nanomaterials: first steps in the development of novel adverse outcome pathways’, </w:t>
      </w:r>
      <w:r w:rsidDel="00000000" w:rsidR="00000000" w:rsidRPr="00000000">
        <w:rPr>
          <w:rFonts w:ascii="Arial" w:cs="Arial" w:eastAsia="Arial" w:hAnsi="Arial"/>
          <w:i w:val="1"/>
          <w:sz w:val="24"/>
          <w:szCs w:val="24"/>
          <w:rtl w:val="0"/>
        </w:rPr>
        <w:t xml:space="preserve">Environmental Science: Nano</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71">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Jean-Lou C.M. Dorne, George E.N. Kass, Bordajandi, LR, Amzal, B, Bertelsen, U, Castoldi, AF, Heppner, C, Eskola, M, Fabiansson, S, Ferrari, P, Scaravelli, E, Dogliotti, E, Fuerst, PG, Boobis, AR &amp; Verger, P 2010, ‘2. Human Risk Assessment of Heavy Metals: Principles and Applications’, pp. 27–60.</w:t>
      </w:r>
    </w:p>
    <w:p w:rsidR="00000000" w:rsidDel="00000000" w:rsidP="00000000" w:rsidRDefault="00000000" w:rsidRPr="00000000" w14:paraId="00000072">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Kasperson, JX, Kasperson, RE &amp; Berberian, M 2005, </w:t>
      </w:r>
      <w:r w:rsidDel="00000000" w:rsidR="00000000" w:rsidRPr="00000000">
        <w:rPr>
          <w:rFonts w:ascii="Arial" w:cs="Arial" w:eastAsia="Arial" w:hAnsi="Arial"/>
          <w:i w:val="1"/>
          <w:sz w:val="24"/>
          <w:szCs w:val="24"/>
          <w:rtl w:val="0"/>
        </w:rPr>
        <w:t xml:space="preserve">The social contours of risk</w:t>
      </w:r>
      <w:r w:rsidDel="00000000" w:rsidR="00000000" w:rsidRPr="00000000">
        <w:rPr>
          <w:rFonts w:ascii="Arial" w:cs="Arial" w:eastAsia="Arial" w:hAnsi="Arial"/>
          <w:sz w:val="24"/>
          <w:szCs w:val="24"/>
          <w:rtl w:val="0"/>
        </w:rPr>
        <w:t xml:space="preserve">, Earthscan, London.</w:t>
      </w:r>
    </w:p>
    <w:p w:rsidR="00000000" w:rsidDel="00000000" w:rsidP="00000000" w:rsidRDefault="00000000" w:rsidRPr="00000000" w14:paraId="00000073">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Kasperson, RE, Renn, O, Slovic, P, Brown, HS, Emel, J, Goble, R, Kasperson, JX &amp; Ratick, S 1988, ‘The Social Amplification of Risk: A Conceptual Framework’, </w:t>
      </w:r>
      <w:r w:rsidDel="00000000" w:rsidR="00000000" w:rsidRPr="00000000">
        <w:rPr>
          <w:rFonts w:ascii="Arial" w:cs="Arial" w:eastAsia="Arial" w:hAnsi="Arial"/>
          <w:i w:val="1"/>
          <w:sz w:val="24"/>
          <w:szCs w:val="24"/>
          <w:rtl w:val="0"/>
        </w:rPr>
        <w:t xml:space="preserve">Risk Analysis</w:t>
      </w:r>
      <w:r w:rsidDel="00000000" w:rsidR="00000000" w:rsidRPr="00000000">
        <w:rPr>
          <w:rFonts w:ascii="Arial" w:cs="Arial" w:eastAsia="Arial" w:hAnsi="Arial"/>
          <w:sz w:val="24"/>
          <w:szCs w:val="24"/>
          <w:rtl w:val="0"/>
        </w:rPr>
        <w:t xml:space="preserve">, vol. 8, no. 2, pp. 177–187.</w:t>
      </w:r>
    </w:p>
    <w:p w:rsidR="00000000" w:rsidDel="00000000" w:rsidP="00000000" w:rsidRDefault="00000000" w:rsidRPr="00000000" w14:paraId="00000074">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Lackey, RT 1997, ‘If ecological risk assessment is the answer, what is the question?’ </w:t>
      </w:r>
      <w:r w:rsidDel="00000000" w:rsidR="00000000" w:rsidRPr="00000000">
        <w:rPr>
          <w:rFonts w:ascii="Arial" w:cs="Arial" w:eastAsia="Arial" w:hAnsi="Arial"/>
          <w:i w:val="1"/>
          <w:sz w:val="24"/>
          <w:szCs w:val="24"/>
          <w:rtl w:val="0"/>
        </w:rPr>
        <w:t xml:space="preserve">Human and Ecological Risk Assessment: An International Journal</w:t>
      </w:r>
      <w:r w:rsidDel="00000000" w:rsidR="00000000" w:rsidRPr="00000000">
        <w:rPr>
          <w:rFonts w:ascii="Arial" w:cs="Arial" w:eastAsia="Arial" w:hAnsi="Arial"/>
          <w:sz w:val="24"/>
          <w:szCs w:val="24"/>
          <w:rtl w:val="0"/>
        </w:rPr>
        <w:t xml:space="preserve">, vol. 3, no. 6, pp. 921–928.</w:t>
      </w:r>
    </w:p>
    <w:p w:rsidR="00000000" w:rsidDel="00000000" w:rsidP="00000000" w:rsidRDefault="00000000" w:rsidRPr="00000000" w14:paraId="00000075">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Landis, WG 2004, </w:t>
      </w:r>
      <w:r w:rsidDel="00000000" w:rsidR="00000000" w:rsidRPr="00000000">
        <w:rPr>
          <w:rFonts w:ascii="Arial" w:cs="Arial" w:eastAsia="Arial" w:hAnsi="Arial"/>
          <w:i w:val="1"/>
          <w:sz w:val="24"/>
          <w:szCs w:val="24"/>
          <w:rtl w:val="0"/>
        </w:rPr>
        <w:t xml:space="preserve">Regional Scale Ecological Risk Assessment</w:t>
      </w:r>
      <w:r w:rsidDel="00000000" w:rsidR="00000000" w:rsidRPr="00000000">
        <w:rPr>
          <w:rFonts w:ascii="Arial" w:cs="Arial" w:eastAsia="Arial" w:hAnsi="Arial"/>
          <w:sz w:val="24"/>
          <w:szCs w:val="24"/>
          <w:rtl w:val="0"/>
        </w:rPr>
        <w:t xml:space="preserve">, CRC Press.</w:t>
      </w:r>
    </w:p>
    <w:p w:rsidR="00000000" w:rsidDel="00000000" w:rsidP="00000000" w:rsidRDefault="00000000" w:rsidRPr="00000000" w14:paraId="00000076">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Large, MM &amp; Nielssen, OB 2011, ‘Probability and loss: two sides of the risk assessment coin’, </w:t>
      </w:r>
      <w:r w:rsidDel="00000000" w:rsidR="00000000" w:rsidRPr="00000000">
        <w:rPr>
          <w:rFonts w:ascii="Arial" w:cs="Arial" w:eastAsia="Arial" w:hAnsi="Arial"/>
          <w:i w:val="1"/>
          <w:sz w:val="24"/>
          <w:szCs w:val="24"/>
          <w:rtl w:val="0"/>
        </w:rPr>
        <w:t xml:space="preserve">The Psychiatrist</w:t>
      </w:r>
      <w:r w:rsidDel="00000000" w:rsidR="00000000" w:rsidRPr="00000000">
        <w:rPr>
          <w:rFonts w:ascii="Arial" w:cs="Arial" w:eastAsia="Arial" w:hAnsi="Arial"/>
          <w:sz w:val="24"/>
          <w:szCs w:val="24"/>
          <w:rtl w:val="0"/>
        </w:rPr>
        <w:t xml:space="preserve">, vol. 35, no. 11, pp. 413–418.</w:t>
      </w:r>
    </w:p>
    <w:p w:rsidR="00000000" w:rsidDel="00000000" w:rsidP="00000000" w:rsidRDefault="00000000" w:rsidRPr="00000000" w14:paraId="00000077">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Lyon, BK &amp; Georgi Popov, (Engineer 2018, </w:t>
      </w:r>
      <w:r w:rsidDel="00000000" w:rsidR="00000000" w:rsidRPr="00000000">
        <w:rPr>
          <w:rFonts w:ascii="Arial" w:cs="Arial" w:eastAsia="Arial" w:hAnsi="Arial"/>
          <w:i w:val="1"/>
          <w:sz w:val="24"/>
          <w:szCs w:val="24"/>
          <w:rtl w:val="0"/>
        </w:rPr>
        <w:t xml:space="preserve">Risk management tools for safety professionals</w:t>
      </w:r>
      <w:r w:rsidDel="00000000" w:rsidR="00000000" w:rsidRPr="00000000">
        <w:rPr>
          <w:rFonts w:ascii="Arial" w:cs="Arial" w:eastAsia="Arial" w:hAnsi="Arial"/>
          <w:sz w:val="24"/>
          <w:szCs w:val="24"/>
          <w:rtl w:val="0"/>
        </w:rPr>
        <w:t xml:space="preserve">, American Society Of Safety Professionals, Park Ridge, Il.</w:t>
      </w:r>
    </w:p>
    <w:p w:rsidR="00000000" w:rsidDel="00000000" w:rsidP="00000000" w:rsidRDefault="00000000" w:rsidRPr="00000000" w14:paraId="00000078">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Martens, M, Verbruggen, T, Nymark, P, Grafström, R, Burgoon, LD, Aladjov, H, Torres Andón, F, Evelo, CT &amp; Willighagen, EL 2018, ‘Introducing WikiPathways as a Data-Source to Support Adverse Outcome Pathways for Regulatory Risk Assessment of Chemicals and Nanomaterials’, </w:t>
      </w:r>
      <w:r w:rsidDel="00000000" w:rsidR="00000000" w:rsidRPr="00000000">
        <w:rPr>
          <w:rFonts w:ascii="Arial" w:cs="Arial" w:eastAsia="Arial" w:hAnsi="Arial"/>
          <w:i w:val="1"/>
          <w:sz w:val="24"/>
          <w:szCs w:val="24"/>
          <w:rtl w:val="0"/>
        </w:rPr>
        <w:t xml:space="preserve">Frontiers in Genetics</w:t>
      </w:r>
      <w:r w:rsidDel="00000000" w:rsidR="00000000" w:rsidRPr="00000000">
        <w:rPr>
          <w:rFonts w:ascii="Arial" w:cs="Arial" w:eastAsia="Arial" w:hAnsi="Arial"/>
          <w:sz w:val="24"/>
          <w:szCs w:val="24"/>
          <w:rtl w:val="0"/>
        </w:rPr>
        <w:t xml:space="preserve">, vol. 9.</w:t>
      </w:r>
    </w:p>
    <w:p w:rsidR="00000000" w:rsidDel="00000000" w:rsidP="00000000" w:rsidRDefault="00000000" w:rsidRPr="00000000" w14:paraId="00000079">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Monahan, J &amp; Skeem, JL 2016, ‘Risk Assessment in Criminal Sentencing’, </w:t>
      </w:r>
      <w:r w:rsidDel="00000000" w:rsidR="00000000" w:rsidRPr="00000000">
        <w:rPr>
          <w:rFonts w:ascii="Arial" w:cs="Arial" w:eastAsia="Arial" w:hAnsi="Arial"/>
          <w:i w:val="1"/>
          <w:sz w:val="24"/>
          <w:szCs w:val="24"/>
          <w:rtl w:val="0"/>
        </w:rPr>
        <w:t xml:space="preserve">Annual Review of Clinical Psychology</w:t>
      </w:r>
      <w:r w:rsidDel="00000000" w:rsidR="00000000" w:rsidRPr="00000000">
        <w:rPr>
          <w:rFonts w:ascii="Arial" w:cs="Arial" w:eastAsia="Arial" w:hAnsi="Arial"/>
          <w:sz w:val="24"/>
          <w:szCs w:val="24"/>
          <w:rtl w:val="0"/>
        </w:rPr>
        <w:t xml:space="preserve">, vol. 12, no. 1, pp. 489–513.</w:t>
      </w:r>
    </w:p>
    <w:p w:rsidR="00000000" w:rsidDel="00000000" w:rsidP="00000000" w:rsidRDefault="00000000" w:rsidRPr="00000000" w14:paraId="0000007A">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Nicholson, E, Regan, TJ, Auld, TD, Burns, EL, Chisholm, LA, English, V, Harris, S, Harrison, P, Kingsford, RT, Leishman, MR, Metcalfe, DJ, Pisanu, P, Watson, CJ, White, M, White, MD, Williams, RJ, Wilson, B &amp; Keith, DA 2014, ‘Towards consistency, rigour and compatibility of risk assessments for ecosystems and ecological communities’, </w:t>
      </w:r>
      <w:r w:rsidDel="00000000" w:rsidR="00000000" w:rsidRPr="00000000">
        <w:rPr>
          <w:rFonts w:ascii="Arial" w:cs="Arial" w:eastAsia="Arial" w:hAnsi="Arial"/>
          <w:i w:val="1"/>
          <w:sz w:val="24"/>
          <w:szCs w:val="24"/>
          <w:rtl w:val="0"/>
        </w:rPr>
        <w:t xml:space="preserve">Austral Ecology</w:t>
      </w:r>
      <w:r w:rsidDel="00000000" w:rsidR="00000000" w:rsidRPr="00000000">
        <w:rPr>
          <w:rFonts w:ascii="Arial" w:cs="Arial" w:eastAsia="Arial" w:hAnsi="Arial"/>
          <w:sz w:val="24"/>
          <w:szCs w:val="24"/>
          <w:rtl w:val="0"/>
        </w:rPr>
        <w:t xml:space="preserve">, vol. 40, no. 4, pp. 347–363.</w:t>
      </w:r>
    </w:p>
    <w:p w:rsidR="00000000" w:rsidDel="00000000" w:rsidP="00000000" w:rsidRDefault="00000000" w:rsidRPr="00000000" w14:paraId="0000007B">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Ostrom, LT &amp; Wilhelmsen, CA 2019, </w:t>
      </w:r>
      <w:r w:rsidDel="00000000" w:rsidR="00000000" w:rsidRPr="00000000">
        <w:rPr>
          <w:rFonts w:ascii="Arial" w:cs="Arial" w:eastAsia="Arial" w:hAnsi="Arial"/>
          <w:i w:val="1"/>
          <w:sz w:val="24"/>
          <w:szCs w:val="24"/>
          <w:rtl w:val="0"/>
        </w:rPr>
        <w:t xml:space="preserve">Risk Assessment : Tools, Techniques, and Their Applications</w:t>
      </w:r>
      <w:r w:rsidDel="00000000" w:rsidR="00000000" w:rsidRPr="00000000">
        <w:rPr>
          <w:rFonts w:ascii="Arial" w:cs="Arial" w:eastAsia="Arial" w:hAnsi="Arial"/>
          <w:sz w:val="24"/>
          <w:szCs w:val="24"/>
          <w:rtl w:val="0"/>
        </w:rPr>
        <w:t xml:space="preserve">, John Wiley &amp; Sons, Incorporated, Newark.</w:t>
      </w:r>
    </w:p>
    <w:p w:rsidR="00000000" w:rsidDel="00000000" w:rsidP="00000000" w:rsidRDefault="00000000" w:rsidRPr="00000000" w14:paraId="0000007C">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Rausand, M 2011a, </w:t>
      </w:r>
      <w:r w:rsidDel="00000000" w:rsidR="00000000" w:rsidRPr="00000000">
        <w:rPr>
          <w:rFonts w:ascii="Arial" w:cs="Arial" w:eastAsia="Arial" w:hAnsi="Arial"/>
          <w:i w:val="1"/>
          <w:sz w:val="24"/>
          <w:szCs w:val="24"/>
          <w:rtl w:val="0"/>
        </w:rPr>
        <w:t xml:space="preserve">Risk assessment : theory, methods, and applications</w:t>
      </w:r>
      <w:r w:rsidDel="00000000" w:rsidR="00000000" w:rsidRPr="00000000">
        <w:rPr>
          <w:rFonts w:ascii="Arial" w:cs="Arial" w:eastAsia="Arial" w:hAnsi="Arial"/>
          <w:sz w:val="24"/>
          <w:szCs w:val="24"/>
          <w:rtl w:val="0"/>
        </w:rPr>
        <w:t xml:space="preserve">, Wiley, Hoboken, N.J.</w:t>
      </w:r>
    </w:p>
    <w:p w:rsidR="00000000" w:rsidDel="00000000" w:rsidP="00000000" w:rsidRDefault="00000000" w:rsidRPr="00000000" w14:paraId="0000007D">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 2011b, </w:t>
      </w:r>
      <w:r w:rsidDel="00000000" w:rsidR="00000000" w:rsidRPr="00000000">
        <w:rPr>
          <w:rFonts w:ascii="Arial" w:cs="Arial" w:eastAsia="Arial" w:hAnsi="Arial"/>
          <w:i w:val="1"/>
          <w:sz w:val="24"/>
          <w:szCs w:val="24"/>
          <w:rtl w:val="0"/>
        </w:rPr>
        <w:t xml:space="preserve">Risk Assessment Rausand/Risk Assessment</w:t>
      </w:r>
      <w:r w:rsidDel="00000000" w:rsidR="00000000" w:rsidRPr="00000000">
        <w:rPr>
          <w:rFonts w:ascii="Arial" w:cs="Arial" w:eastAsia="Arial" w:hAnsi="Arial"/>
          <w:sz w:val="24"/>
          <w:szCs w:val="24"/>
          <w:rtl w:val="0"/>
        </w:rPr>
        <w:t xml:space="preserve">, Hoboken, New Jersey John Wiley &amp; Sons, Inc.</w:t>
      </w:r>
    </w:p>
    <w:p w:rsidR="00000000" w:rsidDel="00000000" w:rsidP="00000000" w:rsidRDefault="00000000" w:rsidRPr="00000000" w14:paraId="0000007E">
      <w:pPr>
        <w:widowControl w:val="1"/>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Suter, GW 1992, </w:t>
      </w:r>
      <w:r w:rsidDel="00000000" w:rsidR="00000000" w:rsidRPr="00000000">
        <w:rPr>
          <w:rFonts w:ascii="Arial" w:cs="Arial" w:eastAsia="Arial" w:hAnsi="Arial"/>
          <w:i w:val="1"/>
          <w:sz w:val="24"/>
          <w:szCs w:val="24"/>
          <w:rtl w:val="0"/>
        </w:rPr>
        <w:t xml:space="preserve">Ecological Risk Assessment</w:t>
      </w:r>
      <w:r w:rsidDel="00000000" w:rsidR="00000000" w:rsidRPr="00000000">
        <w:rPr>
          <w:rFonts w:ascii="Arial" w:cs="Arial" w:eastAsia="Arial" w:hAnsi="Arial"/>
          <w:sz w:val="24"/>
          <w:szCs w:val="24"/>
          <w:rtl w:val="0"/>
        </w:rPr>
        <w:t xml:space="preserve">, CRC Press.</w:t>
      </w:r>
    </w:p>
    <w:p w:rsidR="00000000" w:rsidDel="00000000" w:rsidP="00000000" w:rsidRDefault="00000000" w:rsidRPr="00000000" w14:paraId="0000007F">
      <w:pPr>
        <w:widowControl w:val="1"/>
        <w:numPr>
          <w:ilvl w:val="0"/>
          <w:numId w:val="2"/>
        </w:numPr>
        <w:spacing w:after="24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Varshavsky, JR, Rayasam, SDG, Sass, JB, Axelrad, DA, Cranor, CF, Hattis, D, Hauser, R, Koman, PD, Marquez, EC, Morello-Frosch, R, Oksas, C, Patton, S, Robinson, JF, Sathyanarayana, S, Shepard, PM &amp; Woodruff, TJ 2023, ‘Current practice and recommendations for advancing how human variability and susceptibility are considered in chemical risk assessment’, </w:t>
      </w:r>
      <w:r w:rsidDel="00000000" w:rsidR="00000000" w:rsidRPr="00000000">
        <w:rPr>
          <w:rFonts w:ascii="Arial" w:cs="Arial" w:eastAsia="Arial" w:hAnsi="Arial"/>
          <w:i w:val="1"/>
          <w:sz w:val="24"/>
          <w:szCs w:val="24"/>
          <w:rtl w:val="0"/>
        </w:rPr>
        <w:t xml:space="preserve">Environmental Health</w:t>
      </w:r>
      <w:r w:rsidDel="00000000" w:rsidR="00000000" w:rsidRPr="00000000">
        <w:rPr>
          <w:rFonts w:ascii="Arial" w:cs="Arial" w:eastAsia="Arial" w:hAnsi="Arial"/>
          <w:sz w:val="24"/>
          <w:szCs w:val="24"/>
          <w:rtl w:val="0"/>
        </w:rPr>
        <w:t xml:space="preserve">, vol. 21, no. S1.</w:t>
      </w:r>
    </w:p>
    <w:p w:rsidR="00000000" w:rsidDel="00000000" w:rsidP="00000000" w:rsidRDefault="00000000" w:rsidRPr="00000000" w14:paraId="0000008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rPr>
          <w:rFonts w:ascii="Calibri" w:cs="Calibri" w:eastAsia="Calibri" w:hAnsi="Calibri"/>
        </w:rPr>
      </w:pPr>
      <w:r w:rsidDel="00000000" w:rsidR="00000000" w:rsidRPr="00000000">
        <w:rPr>
          <w:rtl w:val="0"/>
        </w:rPr>
      </w:r>
    </w:p>
    <w:sectPr>
      <w:type w:val="nextPage"/>
      <w:pgSz w:h="15840" w:w="12240" w:orient="portrait"/>
      <w:pgMar w:bottom="1440" w:top="144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2857500</wp:posOffset>
              </wp:positionH>
              <wp:positionV relativeFrom="paragraph">
                <wp:posOffset>9232900</wp:posOffset>
              </wp:positionV>
              <wp:extent cx="212725" cy="203835"/>
              <wp:effectExtent b="0" l="0" r="0" t="0"/>
              <wp:wrapNone/>
              <wp:docPr id="3" name=""/>
              <a:graphic>
                <a:graphicData uri="http://schemas.microsoft.com/office/word/2010/wordprocessingShape">
                  <wps:wsp>
                    <wps:cNvSpPr/>
                    <wps:cNvPr id="2" name="Shape 2"/>
                    <wps:spPr>
                      <a:xfrm>
                        <a:off x="5244400" y="3682845"/>
                        <a:ext cx="203200" cy="194310"/>
                      </a:xfrm>
                      <a:prstGeom prst="rect">
                        <a:avLst/>
                      </a:prstGeom>
                      <a:noFill/>
                      <a:ln>
                        <a:noFill/>
                      </a:ln>
                    </wps:spPr>
                    <wps:txbx>
                      <w:txbxContent>
                        <w:p w:rsidR="00000000" w:rsidDel="00000000" w:rsidP="00000000" w:rsidRDefault="00000000" w:rsidRPr="00000000">
                          <w:pPr>
                            <w:spacing w:after="0" w:before="10" w:line="240"/>
                            <w:ind w:left="40" w:right="0" w:firstLine="4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2857500</wp:posOffset>
              </wp:positionH>
              <wp:positionV relativeFrom="paragraph">
                <wp:posOffset>9232900</wp:posOffset>
              </wp:positionV>
              <wp:extent cx="212725" cy="203835"/>
              <wp:effectExtent b="0" l="0" r="0" t="0"/>
              <wp:wrapNone/>
              <wp:docPr id="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12725" cy="20383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220"/>
    </w:pPr>
    <w:rPr>
      <w:sz w:val="32"/>
      <w:szCs w:val="32"/>
    </w:rPr>
  </w:style>
  <w:style w:type="paragraph" w:styleId="Heading2">
    <w:name w:val="heading 2"/>
    <w:basedOn w:val="Normal"/>
    <w:next w:val="Normal"/>
    <w:pPr>
      <w:ind w:left="220"/>
    </w:pPr>
    <w:rPr>
      <w:sz w:val="28"/>
      <w:szCs w:val="28"/>
    </w:rPr>
  </w:style>
  <w:style w:type="paragraph" w:styleId="Heading3">
    <w:name w:val="heading 3"/>
    <w:basedOn w:val="Normal"/>
    <w:next w:val="Normal"/>
    <w:pPr>
      <w:spacing w:before="10" w:lineRule="auto"/>
      <w:ind w:left="40"/>
    </w:pPr>
    <w:rPr>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Pr>
      <w:rFonts w:ascii="Calibri Light" w:cs="Calibri Light" w:eastAsia="Calibri Light" w:hAnsi="Calibri Light"/>
      <w:lang w:bidi="en-GB" w:eastAsia="en-GB" w:val="en-GB"/>
    </w:rPr>
  </w:style>
  <w:style w:type="paragraph" w:styleId="Heading1">
    <w:name w:val="heading 1"/>
    <w:basedOn w:val="Normal"/>
    <w:uiPriority w:val="1"/>
    <w:qFormat w:val="1"/>
    <w:pPr>
      <w:ind w:left="220"/>
      <w:outlineLvl w:val="0"/>
    </w:pPr>
    <w:rPr>
      <w:sz w:val="32"/>
      <w:szCs w:val="32"/>
    </w:rPr>
  </w:style>
  <w:style w:type="paragraph" w:styleId="Heading2">
    <w:name w:val="heading 2"/>
    <w:basedOn w:val="Normal"/>
    <w:uiPriority w:val="1"/>
    <w:qFormat w:val="1"/>
    <w:pPr>
      <w:ind w:left="220"/>
      <w:outlineLvl w:val="1"/>
    </w:pPr>
    <w:rPr>
      <w:sz w:val="28"/>
      <w:szCs w:val="28"/>
    </w:rPr>
  </w:style>
  <w:style w:type="paragraph" w:styleId="Heading3">
    <w:name w:val="heading 3"/>
    <w:basedOn w:val="Normal"/>
    <w:uiPriority w:val="1"/>
    <w:qFormat w:val="1"/>
    <w:pPr>
      <w:spacing w:before="10"/>
      <w:ind w:left="40"/>
      <w:outlineLvl w:val="2"/>
    </w:pPr>
    <w:rPr>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style>
  <w:style w:type="paragraph" w:styleId="ListParagraph">
    <w:name w:val="List Paragraph"/>
    <w:basedOn w:val="Normal"/>
    <w:uiPriority w:val="34"/>
    <w:qFormat w:val="1"/>
    <w:pPr>
      <w:ind w:left="940" w:hanging="360"/>
    </w:pPr>
  </w:style>
  <w:style w:type="paragraph" w:styleId="TableParagraph" w:customStyle="1">
    <w:name w:val="Table Paragraph"/>
    <w:basedOn w:val="Normal"/>
    <w:uiPriority w:val="1"/>
    <w:qFormat w:val="1"/>
    <w:pPr>
      <w:ind w:left="107"/>
    </w:pPr>
  </w:style>
  <w:style w:type="table" w:styleId="TableGrid">
    <w:name w:val="Table Grid"/>
    <w:basedOn w:val="TableNormal"/>
    <w:uiPriority w:val="59"/>
    <w:rsid w:val="005C2C7A"/>
    <w:pPr>
      <w:widowControl w:val="1"/>
      <w:autoSpaceDE w:val="1"/>
      <w:autoSpaceDN w:val="1"/>
    </w:pPr>
    <w:rPr>
      <w:lang w:val="en-GB"/>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NormalWeb">
    <w:name w:val="Normal (Web)"/>
    <w:basedOn w:val="Normal"/>
    <w:uiPriority w:val="99"/>
    <w:semiHidden w:val="1"/>
    <w:unhideWhenUsed w:val="1"/>
    <w:rsid w:val="005C2C7A"/>
    <w:pPr>
      <w:widowControl w:val="1"/>
      <w:autoSpaceDE w:val="1"/>
      <w:autoSpaceDN w:val="1"/>
      <w:spacing w:after="100" w:afterAutospacing="1" w:before="100" w:beforeAutospacing="1"/>
    </w:pPr>
    <w:rPr>
      <w:rFonts w:ascii="Times New Roman" w:cs="Times New Roman" w:eastAsia="Times New Roman" w:hAnsi="Times New Roman"/>
      <w:sz w:val="24"/>
      <w:szCs w:val="24"/>
      <w:lang w:bidi="ar-SA"/>
    </w:rPr>
  </w:style>
  <w:style w:type="paragraph" w:styleId="Header">
    <w:name w:val="header"/>
    <w:basedOn w:val="Normal"/>
    <w:link w:val="HeaderChar"/>
    <w:uiPriority w:val="99"/>
    <w:unhideWhenUsed w:val="1"/>
    <w:rsid w:val="005C2C7A"/>
    <w:pPr>
      <w:widowControl w:val="1"/>
      <w:tabs>
        <w:tab w:val="center" w:pos="4513"/>
        <w:tab w:val="right" w:pos="9026"/>
      </w:tabs>
      <w:autoSpaceDE w:val="1"/>
      <w:autoSpaceDN w:val="1"/>
    </w:pPr>
    <w:rPr>
      <w:rFonts w:asciiTheme="minorHAnsi" w:cstheme="minorBidi" w:eastAsiaTheme="minorHAnsi" w:hAnsiTheme="minorHAnsi"/>
      <w:lang w:bidi="ar-SA" w:eastAsia="en-US"/>
    </w:rPr>
  </w:style>
  <w:style w:type="character" w:styleId="HeaderChar" w:customStyle="1">
    <w:name w:val="Header Char"/>
    <w:basedOn w:val="DefaultParagraphFont"/>
    <w:link w:val="Header"/>
    <w:uiPriority w:val="99"/>
    <w:rsid w:val="005C2C7A"/>
    <w:rPr>
      <w:lang w:val="en-GB"/>
    </w:rPr>
  </w:style>
  <w:style w:type="paragraph" w:styleId="Footer">
    <w:name w:val="footer"/>
    <w:basedOn w:val="Normal"/>
    <w:link w:val="FooterChar"/>
    <w:uiPriority w:val="99"/>
    <w:unhideWhenUsed w:val="1"/>
    <w:rsid w:val="005C2C7A"/>
    <w:pPr>
      <w:widowControl w:val="1"/>
      <w:tabs>
        <w:tab w:val="center" w:pos="4513"/>
        <w:tab w:val="right" w:pos="9026"/>
      </w:tabs>
      <w:autoSpaceDE w:val="1"/>
      <w:autoSpaceDN w:val="1"/>
    </w:pPr>
    <w:rPr>
      <w:rFonts w:asciiTheme="minorHAnsi" w:cstheme="minorBidi" w:eastAsiaTheme="minorHAnsi" w:hAnsiTheme="minorHAnsi"/>
      <w:lang w:bidi="ar-SA" w:eastAsia="en-US"/>
    </w:rPr>
  </w:style>
  <w:style w:type="character" w:styleId="FooterChar" w:customStyle="1">
    <w:name w:val="Footer Char"/>
    <w:basedOn w:val="DefaultParagraphFont"/>
    <w:link w:val="Footer"/>
    <w:uiPriority w:val="99"/>
    <w:rsid w:val="005C2C7A"/>
    <w:rPr>
      <w:lang w:val="en-GB"/>
    </w:rPr>
  </w:style>
  <w:style w:type="character" w:styleId="Hyperlink">
    <w:name w:val="Hyperlink"/>
    <w:basedOn w:val="DefaultParagraphFont"/>
    <w:uiPriority w:val="99"/>
    <w:unhideWhenUsed w:val="1"/>
    <w:rsid w:val="00AA064B"/>
    <w:rPr>
      <w:color w:val="0000ff" w:themeColor="hyperlink"/>
      <w:u w:val="single"/>
    </w:rPr>
  </w:style>
  <w:style w:type="paragraph" w:styleId="BalloonText">
    <w:name w:val="Balloon Text"/>
    <w:basedOn w:val="Normal"/>
    <w:link w:val="BalloonTextChar"/>
    <w:uiPriority w:val="99"/>
    <w:semiHidden w:val="1"/>
    <w:unhideWhenUsed w:val="1"/>
    <w:rsid w:val="007D26FC"/>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D26FC"/>
    <w:rPr>
      <w:rFonts w:ascii="Tahoma" w:cs="Tahoma" w:eastAsia="Calibri Light" w:hAnsi="Tahoma"/>
      <w:sz w:val="16"/>
      <w:szCs w:val="16"/>
      <w:lang w:bidi="en-GB"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vEoL9EQMuFKLUZymn9dO6tZdhw==">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2023-02-09T15:39:00Z</dcterms:created>
  <dc:creator>bus-sh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