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24892" w14:textId="77777777" w:rsidR="006111B7" w:rsidRDefault="006111B7" w:rsidP="006111B7">
      <w:pPr>
        <w:jc w:val="center"/>
        <w:rPr>
          <w:b/>
          <w:sz w:val="32"/>
        </w:rPr>
      </w:pPr>
    </w:p>
    <w:p w14:paraId="2E96BE64" w14:textId="77777777" w:rsidR="006111B7" w:rsidRDefault="006111B7" w:rsidP="006111B7">
      <w:pPr>
        <w:jc w:val="center"/>
        <w:rPr>
          <w:b/>
          <w:sz w:val="32"/>
        </w:rPr>
      </w:pPr>
    </w:p>
    <w:p w14:paraId="6812C264" w14:textId="77777777" w:rsidR="006111B7" w:rsidRDefault="006111B7" w:rsidP="006111B7">
      <w:pPr>
        <w:jc w:val="center"/>
        <w:rPr>
          <w:b/>
          <w:sz w:val="32"/>
        </w:rPr>
      </w:pPr>
    </w:p>
    <w:p w14:paraId="32B85BC8" w14:textId="77777777" w:rsidR="006111B7" w:rsidRDefault="006111B7" w:rsidP="006111B7">
      <w:pPr>
        <w:jc w:val="center"/>
        <w:rPr>
          <w:b/>
          <w:sz w:val="32"/>
        </w:rPr>
      </w:pPr>
    </w:p>
    <w:p w14:paraId="65A5DF3F" w14:textId="77777777" w:rsidR="006111B7" w:rsidRDefault="006111B7" w:rsidP="006111B7">
      <w:pPr>
        <w:jc w:val="center"/>
        <w:rPr>
          <w:b/>
          <w:sz w:val="32"/>
        </w:rPr>
      </w:pPr>
    </w:p>
    <w:p w14:paraId="27725AB1" w14:textId="77777777" w:rsidR="006111B7" w:rsidRDefault="006111B7" w:rsidP="006111B7">
      <w:pPr>
        <w:jc w:val="center"/>
        <w:rPr>
          <w:b/>
          <w:sz w:val="32"/>
        </w:rPr>
      </w:pPr>
    </w:p>
    <w:p w14:paraId="690DF3DE" w14:textId="77777777" w:rsidR="006111B7" w:rsidRDefault="006111B7" w:rsidP="006111B7">
      <w:pPr>
        <w:jc w:val="center"/>
        <w:rPr>
          <w:b/>
          <w:sz w:val="32"/>
        </w:rPr>
      </w:pPr>
    </w:p>
    <w:p w14:paraId="575174FF" w14:textId="77777777" w:rsidR="006111B7" w:rsidRDefault="006111B7" w:rsidP="006111B7">
      <w:pPr>
        <w:jc w:val="center"/>
        <w:rPr>
          <w:b/>
          <w:sz w:val="32"/>
        </w:rPr>
      </w:pPr>
    </w:p>
    <w:p w14:paraId="6B02434F" w14:textId="77777777" w:rsidR="006111B7" w:rsidRDefault="006111B7" w:rsidP="006111B7">
      <w:pPr>
        <w:jc w:val="center"/>
        <w:rPr>
          <w:b/>
          <w:sz w:val="32"/>
        </w:rPr>
      </w:pPr>
    </w:p>
    <w:p w14:paraId="50DD2463" w14:textId="77777777" w:rsidR="006D5429" w:rsidRPr="006111B7" w:rsidRDefault="006D5429" w:rsidP="006111B7">
      <w:pPr>
        <w:jc w:val="center"/>
        <w:rPr>
          <w:b/>
          <w:sz w:val="32"/>
        </w:rPr>
      </w:pPr>
      <w:r w:rsidRPr="006111B7">
        <w:rPr>
          <w:b/>
          <w:sz w:val="32"/>
        </w:rPr>
        <w:t>CareLink Family Navigator: Written Pitch</w:t>
      </w:r>
    </w:p>
    <w:p w14:paraId="4EC9B903" w14:textId="77777777" w:rsidR="006D5429" w:rsidRDefault="006D5429" w:rsidP="006111B7">
      <w:pPr>
        <w:jc w:val="center"/>
        <w:rPr>
          <w:b/>
          <w:sz w:val="32"/>
        </w:rPr>
      </w:pPr>
      <w:r w:rsidRPr="006111B7">
        <w:rPr>
          <w:b/>
          <w:sz w:val="32"/>
        </w:rPr>
        <w:t>Changemakers: Creativity and Value Creation</w:t>
      </w:r>
    </w:p>
    <w:p w14:paraId="6FDFECFB" w14:textId="77777777" w:rsidR="00243BD1" w:rsidRDefault="00243BD1">
      <w:pPr>
        <w:pStyle w:val="s8"/>
        <w:spacing w:before="60" w:beforeAutospacing="0" w:after="0" w:afterAutospacing="0"/>
        <w:jc w:val="center"/>
        <w:divId w:val="93787116"/>
        <w:rPr>
          <w:rFonts w:ascii="-webkit-standard" w:hAnsi="-webkit-standard"/>
          <w:color w:val="000000"/>
          <w:sz w:val="27"/>
          <w:szCs w:val="27"/>
        </w:rPr>
      </w:pPr>
      <w:r>
        <w:rPr>
          <w:rStyle w:val="bumpedfont15"/>
          <w:rFonts w:ascii="-webkit-standard" w:hAnsi="-webkit-standard"/>
          <w:color w:val="000000"/>
          <w:sz w:val="30"/>
          <w:szCs w:val="30"/>
        </w:rPr>
        <w:t>Name: Henry Wiredu</w:t>
      </w:r>
    </w:p>
    <w:p w14:paraId="7C9355DC" w14:textId="77777777" w:rsidR="00243BD1" w:rsidRDefault="00243BD1">
      <w:pPr>
        <w:pStyle w:val="s8"/>
        <w:spacing w:before="60" w:beforeAutospacing="0" w:after="0" w:afterAutospacing="0"/>
        <w:jc w:val="center"/>
        <w:divId w:val="93787116"/>
        <w:rPr>
          <w:rFonts w:ascii="-webkit-standard" w:hAnsi="-webkit-standard"/>
          <w:color w:val="000000"/>
          <w:sz w:val="27"/>
          <w:szCs w:val="27"/>
        </w:rPr>
      </w:pPr>
      <w:r>
        <w:rPr>
          <w:rStyle w:val="bumpedfont15"/>
          <w:rFonts w:ascii="-webkit-standard" w:hAnsi="-webkit-standard"/>
          <w:color w:val="000000"/>
          <w:sz w:val="30"/>
          <w:szCs w:val="30"/>
        </w:rPr>
        <w:t>ID 2429459</w:t>
      </w:r>
    </w:p>
    <w:p w14:paraId="3B51E2B7" w14:textId="77777777" w:rsidR="00243BD1" w:rsidRDefault="00243BD1">
      <w:pPr>
        <w:pStyle w:val="s8"/>
        <w:spacing w:before="60" w:beforeAutospacing="0" w:after="0" w:afterAutospacing="0"/>
        <w:jc w:val="center"/>
        <w:divId w:val="93787116"/>
        <w:rPr>
          <w:rFonts w:ascii="-webkit-standard" w:hAnsi="-webkit-standard"/>
          <w:color w:val="000000"/>
          <w:sz w:val="27"/>
          <w:szCs w:val="27"/>
        </w:rPr>
      </w:pPr>
      <w:r>
        <w:rPr>
          <w:rStyle w:val="bumpedfont15"/>
          <w:rFonts w:ascii="Calibri" w:hAnsi="Calibri"/>
          <w:color w:val="000000"/>
          <w:sz w:val="30"/>
          <w:szCs w:val="30"/>
        </w:rPr>
        <w:t>Lecture: </w:t>
      </w:r>
      <w:r>
        <w:rPr>
          <w:rStyle w:val="bumpedfont15"/>
          <w:rFonts w:ascii="Calibri" w:hAnsi="Calibri"/>
          <w:color w:val="000000"/>
          <w:sz w:val="26"/>
          <w:szCs w:val="26"/>
        </w:rPr>
        <w:t>Carolina</w:t>
      </w:r>
      <w:r>
        <w:rPr>
          <w:rStyle w:val="apple-converted-space"/>
          <w:rFonts w:ascii="Calibri" w:hAnsi="Calibri"/>
          <w:color w:val="000000"/>
          <w:sz w:val="26"/>
          <w:szCs w:val="26"/>
        </w:rPr>
        <w:t> </w:t>
      </w:r>
      <w:r>
        <w:rPr>
          <w:rStyle w:val="bumpedfont15"/>
          <w:rFonts w:ascii="Calibri" w:hAnsi="Calibri"/>
          <w:color w:val="000000"/>
          <w:sz w:val="26"/>
          <w:szCs w:val="26"/>
        </w:rPr>
        <w:t>Salami</w:t>
      </w:r>
    </w:p>
    <w:p w14:paraId="171BE6BF" w14:textId="77777777" w:rsidR="006111B7" w:rsidRDefault="006111B7">
      <w:pPr>
        <w:spacing w:before="0" w:after="160" w:line="259" w:lineRule="auto"/>
        <w:jc w:val="left"/>
        <w:rPr>
          <w:rFonts w:eastAsia="Times New Roman" w:cs="Times New Roman"/>
          <w:b/>
          <w:bCs/>
          <w:kern w:val="36"/>
          <w:szCs w:val="48"/>
        </w:rPr>
      </w:pPr>
      <w:r>
        <w:br w:type="page"/>
      </w:r>
    </w:p>
    <w:p w14:paraId="246FE031" w14:textId="77777777" w:rsidR="006D5429" w:rsidRDefault="006D5429" w:rsidP="006D5429">
      <w:pPr>
        <w:pStyle w:val="Heading1"/>
      </w:pPr>
      <w:r>
        <w:lastRenderedPageBreak/>
        <w:t>Pitch to local authority, NHS and voluntary-sector commissioners</w:t>
      </w:r>
    </w:p>
    <w:p w14:paraId="72F8711E" w14:textId="77777777" w:rsidR="006111B7" w:rsidRDefault="006111B7" w:rsidP="006111B7">
      <w:r>
        <w:t>Commissioners, practitioners and community partners are encouraged to pilot a CareLink Family Navigator to provide a hybrid “front door” to help families locate the right Early Help or family-support service at the earliest opportunity, and to prevent problems getting out of hand. The proposal addresses the need which is simple yet serious. There is support available, but it is often arranged around institutional structures rather than around families' description of their lives. The parent might be experiencing anxiety, absence from school, debt, pressure on housing, conflict with family, etc. and be expected to understand discrete webpages, service names and thresholds. This creates delay, repeated storytelling and avoidable escalation.</w:t>
      </w:r>
    </w:p>
    <w:p w14:paraId="40188A61" w14:textId="77777777" w:rsidR="006111B7" w:rsidRDefault="006111B7" w:rsidP="006111B7">
      <w:r>
        <w:t>CareLink is not a directory, it is not an automated social worker. It is comprised of four elements. Firstly, a mobile-friendly site poses simple questions and queries a local verified services directory. Second, a freephone/callback option and community navigators who are trained take a similar path for those who are unable or unwilling to use digital tools. Third, families can develo</w:t>
      </w:r>
      <w:r w:rsidR="00501E11">
        <w:t>p a brief document that summaris</w:t>
      </w:r>
      <w:r>
        <w:t>es their strengths, concerns, and preferred method of contact, and have the option of sharing this document with a service. Fourth, professionals know what the existing service levels are, where to contact people and if they have been referred or not. CareLink does not act as a gatekeeper, but rather smooths out the path for families to reach services.</w:t>
      </w:r>
    </w:p>
    <w:p w14:paraId="08817618" w14:textId="77777777" w:rsidR="006111B7" w:rsidRDefault="006111B7" w:rsidP="006111B7">
      <w:r>
        <w:t>The target group is families with children aged from pregnancy to 19 years (or 25 years for those with SEND) and given special priority, those who experience multiple disadvantages or are less confident in using digital technologies, or have a disability or language barrier. The broader beneficiaries are schools, primary care, family hubs, social care and voluntary organisations which spend time directing queries. The common-good contribution is getting access sooner, making choices more transparent and using public services more equitably. Family Hubs policy is already trying to connect support and share the messages with the most vulnerable (Department for Education and Department of Health and Social Care, 2022). CareLink is a layer of access that enables this vision to be realised by families.</w:t>
      </w:r>
    </w:p>
    <w:p w14:paraId="699C3BCD" w14:textId="77777777" w:rsidR="006111B7" w:rsidRDefault="006111B7" w:rsidP="006111B7">
      <w:r>
        <w:t xml:space="preserve">The innovation has been developed using a human-centred Double Diamond process of discovery of real access barriers, definition of the problem from the family perspective, development of several digital and non-digital alternatives and delivery after testing (Design Council, 2024). This is important because if families fail to trust this platform, or practitioners do not keep the service information, the platform will be technically elegant but fail to serve its purpose. Co-design champions, training, visible feedback and local adaptation will therefore be offered with assistance to support adoption. Rogers' diffusion </w:t>
      </w:r>
      <w:r>
        <w:lastRenderedPageBreak/>
        <w:t>theory argues that adoption is facilitated when an innovation is perceived as having a clear relative advantage, is compatible with use and can be tried prior to adoption (Rogers, 2003).</w:t>
      </w:r>
    </w:p>
    <w:p w14:paraId="29AF1372" w14:textId="77777777" w:rsidR="006111B7" w:rsidRDefault="006111B7" w:rsidP="006111B7">
      <w:r>
        <w:t>The pilot would start with three months of co-design in three local authorities. They would outline the actual trips that parents, young people and practitioners would undertake to map, as well as safety rules that are non-negotiable. There would be a minimum viable service built in months 4-6, directories would be verified, accessibility testing would be done and a Data Protection Impact Assessment would be carried out. A controlled pilot would be conducted over six months (September to December) across a small number of family hubs, schools and GP practices. By month 10-12, outcomes would be assessed and a scaling decision would be made, along with redesign or cessation. Incidents and near misses would be reviewed by an independent safeguarding lead.</w:t>
      </w:r>
    </w:p>
    <w:p w14:paraId="3C89CC70" w14:textId="77777777" w:rsidR="006111B7" w:rsidRDefault="006111B7" w:rsidP="006111B7">
      <w:r>
        <w:t>Personalisation and speed are enhanced with technology, but human judgment still plays a vital role. AI can be helpful in search matching and drafting translation but will not be used to assess risk, deny support and/or make a safeguarding decision. Directing to emergency services will be via immediate danger prompts and safeguarding concerns will be via the relevant local route and human contact. There will be a clear differentiation between submission, review, acceptance and appointment in the status messages. This will help to avoid the dreaded “help has been secured” assumption when travelling online.</w:t>
      </w:r>
    </w:p>
    <w:p w14:paraId="0D74BE3B" w14:textId="77777777" w:rsidR="006111B7" w:rsidRDefault="006111B7" w:rsidP="006111B7">
      <w:r>
        <w:t>The governance system is purposeful and robust. The service is required to meet the requirements of the Children Act 1989, Equality Act 2010, Data Protection Act 2018 and UK GDPR. Public facing pages will be compliant with WCAG 2.2 AA and the Public Sector Bodies Accessibility Regulations 2018. Minimal, encrypted, role-based data collection, retention periods and audit logs will be in place. Early DPIA is recommended where children's data is processed, and the child's best interests are at the centre (ICO, 2023). There will usually be sharing of information with informed consent, and where required, the sharing of information for lawful safeguarding purposes will continue to be allowed. CareLink will provide privacy information that is easy to understand, and an explanation of routing rules.</w:t>
      </w:r>
    </w:p>
    <w:p w14:paraId="52B2933B" w14:textId="77777777" w:rsidR="006111B7" w:rsidRDefault="006111B7" w:rsidP="006111B7">
      <w:r>
        <w:t>Workforce change will also be a component of implementation. A service owner for the accuracy of the directory, a safeguarding lead, a community-access lead and a data-quality lead will be nominated at each pilot site. The staff at the frontline will be trained in scenarios and have a process in place for mismatching. Monthly learning meetings will be held to review complaints, inequitable outcomes and instances of users changing channels. CareLink is not a software product, but a service model.</w:t>
      </w:r>
    </w:p>
    <w:p w14:paraId="27C7284F" w14:textId="77777777" w:rsidR="006111B7" w:rsidRDefault="006111B7" w:rsidP="006111B7">
      <w:r>
        <w:t xml:space="preserve">There will be no judge based on downloads, it will be judged based on benefit and safety. Core measures include time needed from first contact to connection to appropriate services, referrals completed, number </w:t>
      </w:r>
      <w:r>
        <w:lastRenderedPageBreak/>
        <w:t>of times explained, user confidence, abandonment, response time and cost per successful connection. Outcomes will be compared by language, disability, age and channel and equity measures will be used. Safeguarding aspects to be considered will include: correct urgent routing, missed escalation, false reassurance and complaints. Progress will be supported by a minimum of 80% task completion in the Usability Test and a reduction in the inappropriate redirection measured, but will be reviewed for any significant safety failure regardless of popularity.</w:t>
      </w:r>
    </w:p>
    <w:p w14:paraId="1E622B6E" w14:textId="77777777" w:rsidR="006111B7" w:rsidRDefault="006111B7" w:rsidP="006111B7">
      <w:r>
        <w:t xml:space="preserve">The idea also generates value in a sustainable way. The platform could be co-commissioned by the local authority, NHS and safeguarding partnerships, and free directory access and training will be provided to voluntary organisations. The use of </w:t>
      </w:r>
      <w:r w:rsidR="00501E11">
        <w:t>open data standards will minimis</w:t>
      </w:r>
      <w:r>
        <w:t>e vendor lock-in. The highest dollar value will likely be when duplication is avoided and intervention is made earlier, but claims of cashable savings will not be made until independently evaluated. There is no commercial growth as the governing purpose just public value (Moore, 1995).</w:t>
      </w:r>
    </w:p>
    <w:p w14:paraId="3728CE70" w14:textId="77777777" w:rsidR="006D5429" w:rsidRDefault="006111B7" w:rsidP="006111B7">
      <w:r>
        <w:t>Dissemination will be via professional and community resources: family-hub demonstrations, school and GP information, multilingual social media, voluntary-sector ambassadors, local radio, accessible print cards and an open outcomes dashboard. The service will be tested, challenged and improved upon by residents. Public support of CareLink should be encouraged since it is not necessary for those asking for help to know the "insider" details. Today's request is approval for a co-designed, safety-governed pilot, in which families are the decision makers. The practical promise CareLink makes to families: the right help, at the right time, in a way all families can access.</w:t>
      </w:r>
    </w:p>
    <w:tbl>
      <w:tblPr>
        <w:tblW w:w="0" w:type="auto"/>
        <w:jc w:val="center"/>
        <w:tblLook w:val="04A0" w:firstRow="1" w:lastRow="0" w:firstColumn="1" w:lastColumn="0" w:noHBand="0" w:noVBand="1"/>
      </w:tblPr>
      <w:tblGrid>
        <w:gridCol w:w="9859"/>
      </w:tblGrid>
      <w:tr w:rsidR="006D5429" w14:paraId="3190C3CA" w14:textId="77777777" w:rsidTr="005B3449">
        <w:trPr>
          <w:cantSplit/>
          <w:jc w:val="center"/>
        </w:trPr>
        <w:tc>
          <w:tcPr>
            <w:tcW w:w="9859" w:type="dxa"/>
            <w:tcBorders>
              <w:top w:val="nil"/>
              <w:left w:val="single" w:sz="24" w:space="0" w:color="E67E22"/>
              <w:bottom w:val="nil"/>
              <w:right w:val="nil"/>
            </w:tcBorders>
            <w:shd w:val="clear" w:color="auto" w:fill="FFF2E6"/>
            <w:tcMar>
              <w:top w:w="130" w:type="dxa"/>
              <w:left w:w="160" w:type="dxa"/>
              <w:bottom w:w="130" w:type="dxa"/>
              <w:right w:w="160" w:type="dxa"/>
            </w:tcMar>
          </w:tcPr>
          <w:p w14:paraId="3384705C" w14:textId="77777777" w:rsidR="006D5429" w:rsidRDefault="006D5429" w:rsidP="005B3449">
            <w:pPr>
              <w:spacing w:after="60"/>
            </w:pPr>
            <w:r>
              <w:rPr>
                <w:b/>
                <w:color w:val="E67E22"/>
                <w:sz w:val="22"/>
              </w:rPr>
              <w:t>Decision requested</w:t>
            </w:r>
          </w:p>
          <w:p w14:paraId="7AD752CF" w14:textId="77777777" w:rsidR="006D5429" w:rsidRDefault="006D5429" w:rsidP="006111B7">
            <w:pPr>
              <w:pStyle w:val="Callout"/>
              <w:ind w:left="0"/>
            </w:pPr>
            <w:r>
              <w:t>Approve a 12-month, three-area co-designed pilot with independent safeguarding, accessibility and outcome evaluation.</w:t>
            </w:r>
          </w:p>
        </w:tc>
      </w:tr>
    </w:tbl>
    <w:p w14:paraId="19B3E823" w14:textId="77777777" w:rsidR="006D5429" w:rsidRDefault="006D5429" w:rsidP="00BE7298"/>
    <w:p w14:paraId="25DD52B2" w14:textId="77777777" w:rsidR="006D5429" w:rsidRDefault="006D5429">
      <w:pPr>
        <w:spacing w:after="160" w:line="259" w:lineRule="auto"/>
        <w:rPr>
          <w:rFonts w:eastAsia="Times New Roman" w:cs="Times New Roman"/>
          <w:b/>
          <w:bCs/>
          <w:color w:val="222222"/>
          <w:kern w:val="36"/>
          <w:szCs w:val="48"/>
        </w:rPr>
      </w:pPr>
      <w:r>
        <w:br w:type="page"/>
      </w:r>
    </w:p>
    <w:p w14:paraId="36BA312F" w14:textId="77777777" w:rsidR="006D5429" w:rsidRDefault="00BE7298" w:rsidP="006111B7">
      <w:pPr>
        <w:pStyle w:val="Heading1"/>
      </w:pPr>
      <w:r>
        <w:lastRenderedPageBreak/>
        <w:t>References</w:t>
      </w:r>
    </w:p>
    <w:p w14:paraId="1FFDAC98"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Children Act 1989, c.41. London: The Stationery Office.</w:t>
      </w:r>
    </w:p>
    <w:p w14:paraId="61D318DC"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Data Protection Act 2018, c.12. London: The Stationery Office.</w:t>
      </w:r>
    </w:p>
    <w:p w14:paraId="7A6DA15C"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Department for Education and Department of Health and Social Care (2022) Family Hubs and Start for Life programme: Local authority guide 2022 to 2025. London: DfE and DHSC.</w:t>
      </w:r>
    </w:p>
    <w:p w14:paraId="5AD446C6"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Design Council (2024) The Double Diamond. Available at: https://www.designcouncil.org.uk/our-resources/the-double-diamond/ (Accessed: 21 July 2026).</w:t>
      </w:r>
    </w:p>
    <w:p w14:paraId="1CABF99E"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Equality Act 2010, c.15. London: The Stationery Office.</w:t>
      </w:r>
    </w:p>
    <w:p w14:paraId="0C93D427"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Information Commissioner’s Office (ICO) (2023) Age appropriate design: a code of practice for online services. Wilmslow: ICO.</w:t>
      </w:r>
    </w:p>
    <w:p w14:paraId="1E3EA706"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Moore, M.H. (1995) Creating public value: Strategic management in government. Cambridge, MA: Harvard University Press.</w:t>
      </w:r>
    </w:p>
    <w:p w14:paraId="649A5643"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National Institute for Health and Care Excellence (NICE) (2021) Shared decision making (NG197). London: NICE.</w:t>
      </w:r>
    </w:p>
    <w:p w14:paraId="0FEC3451"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NHS England (2023) Inclusive digital healthcare: a framework for NHS action on digital inclusion. London: NHS England.</w:t>
      </w:r>
    </w:p>
    <w:p w14:paraId="739FB115"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Public Sector Bodies (Websites and Mobile Applications) (No. 2) Accessibility Regulations 2018, SI 2018/952.</w:t>
      </w:r>
    </w:p>
    <w:p w14:paraId="50597288"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Rogers, E.M. (2003) Diffusion of innovations. 5th edn. New York: Free Press.</w:t>
      </w:r>
    </w:p>
    <w:p w14:paraId="128BA7A5" w14:textId="77777777" w:rsidR="006D5429" w:rsidRPr="006111B7" w:rsidRDefault="006D5429" w:rsidP="006111B7">
      <w:pPr>
        <w:pStyle w:val="Reference"/>
        <w:spacing w:before="120" w:after="0" w:line="360" w:lineRule="auto"/>
        <w:rPr>
          <w:rFonts w:ascii="Times New Roman" w:hAnsi="Times New Roman" w:cs="Times New Roman"/>
          <w:color w:val="auto"/>
          <w:sz w:val="24"/>
          <w:szCs w:val="24"/>
        </w:rPr>
      </w:pPr>
      <w:r w:rsidRPr="006111B7">
        <w:rPr>
          <w:rFonts w:ascii="Times New Roman" w:hAnsi="Times New Roman" w:cs="Times New Roman"/>
          <w:color w:val="auto"/>
          <w:sz w:val="24"/>
          <w:szCs w:val="24"/>
        </w:rPr>
        <w:t>West, M., Eckert, R., Collins, B. and Chowla, R. (2017) Caring to change: How compassionate leadership can stimulate innovation in health care. London: The King’s Fund.</w:t>
      </w:r>
    </w:p>
    <w:p w14:paraId="12AB2F6C" w14:textId="77777777" w:rsidR="00CC502E" w:rsidRDefault="00CC502E"/>
    <w:sectPr w:rsidR="00CC502E" w:rsidSect="00034616">
      <w:pgSz w:w="12240" w:h="15840"/>
      <w:pgMar w:top="1020" w:right="1134" w:bottom="907" w:left="1191"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17273" w14:textId="77777777" w:rsidR="009F17A4" w:rsidRDefault="009F17A4" w:rsidP="006111B7">
      <w:pPr>
        <w:spacing w:before="0" w:line="240" w:lineRule="auto"/>
      </w:pPr>
      <w:r>
        <w:separator/>
      </w:r>
    </w:p>
  </w:endnote>
  <w:endnote w:type="continuationSeparator" w:id="0">
    <w:p w14:paraId="15E44F14" w14:textId="77777777" w:rsidR="009F17A4" w:rsidRDefault="009F17A4" w:rsidP="006111B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D7BF0" w14:textId="77777777" w:rsidR="009F17A4" w:rsidRDefault="009F17A4" w:rsidP="006111B7">
      <w:pPr>
        <w:spacing w:before="0" w:line="240" w:lineRule="auto"/>
      </w:pPr>
      <w:r>
        <w:separator/>
      </w:r>
    </w:p>
  </w:footnote>
  <w:footnote w:type="continuationSeparator" w:id="0">
    <w:p w14:paraId="620C6057" w14:textId="77777777" w:rsidR="009F17A4" w:rsidRDefault="009F17A4" w:rsidP="006111B7">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429"/>
    <w:rsid w:val="000C3BC3"/>
    <w:rsid w:val="00114E17"/>
    <w:rsid w:val="00243BD1"/>
    <w:rsid w:val="004E0E35"/>
    <w:rsid w:val="00501E11"/>
    <w:rsid w:val="006111B7"/>
    <w:rsid w:val="00635917"/>
    <w:rsid w:val="006D5429"/>
    <w:rsid w:val="0072183F"/>
    <w:rsid w:val="00851048"/>
    <w:rsid w:val="009F17A4"/>
    <w:rsid w:val="00B279D7"/>
    <w:rsid w:val="00BA4E92"/>
    <w:rsid w:val="00BB402B"/>
    <w:rsid w:val="00BE7298"/>
    <w:rsid w:val="00CC502E"/>
    <w:rsid w:val="00CE1B57"/>
    <w:rsid w:val="00DC647C"/>
    <w:rsid w:val="00DD28FA"/>
    <w:rsid w:val="00DF150A"/>
    <w:rsid w:val="00EC0FB1"/>
    <w:rsid w:val="00EE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88DF"/>
  <w15:chartTrackingRefBased/>
  <w15:docId w15:val="{62250E21-EE16-45A4-9F0E-83B60ED90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Arial"/>
        <w:color w:val="222222"/>
        <w:sz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1B7"/>
    <w:pPr>
      <w:spacing w:before="120" w:after="0" w:line="360" w:lineRule="auto"/>
      <w:jc w:val="both"/>
    </w:pPr>
    <w:rPr>
      <w:rFonts w:eastAsiaTheme="minorEastAsia" w:cstheme="minorBidi"/>
      <w:color w:val="auto"/>
      <w:szCs w:val="22"/>
      <w:lang w:val="en-GB"/>
    </w:rPr>
  </w:style>
  <w:style w:type="paragraph" w:styleId="Heading1">
    <w:name w:val="heading 1"/>
    <w:basedOn w:val="Normal"/>
    <w:link w:val="Heading1Char"/>
    <w:uiPriority w:val="9"/>
    <w:qFormat/>
    <w:rsid w:val="00851048"/>
    <w:pPr>
      <w:jc w:val="center"/>
      <w:outlineLvl w:val="0"/>
    </w:pPr>
    <w:rPr>
      <w:rFonts w:eastAsia="Times New Roman" w:cs="Times New Roman"/>
      <w:b/>
      <w:bCs/>
      <w:kern w:val="36"/>
      <w:szCs w:val="48"/>
    </w:rPr>
  </w:style>
  <w:style w:type="paragraph" w:styleId="Heading2">
    <w:name w:val="heading 2"/>
    <w:basedOn w:val="Normal"/>
    <w:link w:val="Heading2Char"/>
    <w:uiPriority w:val="9"/>
    <w:qFormat/>
    <w:rsid w:val="00851048"/>
    <w:pPr>
      <w:jc w:val="left"/>
      <w:outlineLvl w:val="1"/>
    </w:pPr>
    <w:rPr>
      <w:rFonts w:eastAsia="Times New Roman" w:cs="Times New Roman"/>
      <w:b/>
      <w:bCs/>
      <w:szCs w:val="36"/>
    </w:rPr>
  </w:style>
  <w:style w:type="paragraph" w:styleId="Heading3">
    <w:name w:val="heading 3"/>
    <w:basedOn w:val="Normal"/>
    <w:link w:val="Heading3Char"/>
    <w:uiPriority w:val="9"/>
    <w:qFormat/>
    <w:rsid w:val="00851048"/>
    <w:pPr>
      <w:jc w:val="left"/>
      <w:outlineLvl w:val="2"/>
    </w:pPr>
    <w:rPr>
      <w:rFonts w:eastAsia="Times New Roman" w:cs="Times New Roman"/>
      <w:bCs/>
      <w:i/>
      <w:szCs w:val="27"/>
    </w:rPr>
  </w:style>
  <w:style w:type="paragraph" w:styleId="Heading4">
    <w:name w:val="heading 4"/>
    <w:basedOn w:val="Normal"/>
    <w:link w:val="Heading4Char"/>
    <w:uiPriority w:val="9"/>
    <w:qFormat/>
    <w:rsid w:val="00851048"/>
    <w:pPr>
      <w:outlineLvl w:val="3"/>
    </w:pPr>
    <w:rPr>
      <w:rFonts w:eastAsia="Times New Roman" w:cs="Times New Roman"/>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048"/>
    <w:rPr>
      <w:rFonts w:ascii="Times New Roman" w:eastAsia="Times New Roman" w:hAnsi="Times New Roman" w:cs="Times New Roman"/>
      <w:b/>
      <w:bCs/>
      <w:kern w:val="36"/>
      <w:sz w:val="24"/>
      <w:szCs w:val="48"/>
    </w:rPr>
  </w:style>
  <w:style w:type="character" w:customStyle="1" w:styleId="Heading2Char">
    <w:name w:val="Heading 2 Char"/>
    <w:basedOn w:val="DefaultParagraphFont"/>
    <w:link w:val="Heading2"/>
    <w:uiPriority w:val="9"/>
    <w:rsid w:val="00851048"/>
    <w:rPr>
      <w:rFonts w:ascii="Times New Roman" w:eastAsia="Times New Roman" w:hAnsi="Times New Roman" w:cs="Times New Roman"/>
      <w:b/>
      <w:bCs/>
      <w:sz w:val="24"/>
      <w:szCs w:val="36"/>
    </w:rPr>
  </w:style>
  <w:style w:type="character" w:customStyle="1" w:styleId="Heading3Char">
    <w:name w:val="Heading 3 Char"/>
    <w:basedOn w:val="DefaultParagraphFont"/>
    <w:link w:val="Heading3"/>
    <w:uiPriority w:val="9"/>
    <w:rsid w:val="00851048"/>
    <w:rPr>
      <w:rFonts w:ascii="Times New Roman" w:eastAsia="Times New Roman" w:hAnsi="Times New Roman" w:cs="Times New Roman"/>
      <w:bCs/>
      <w:i/>
      <w:sz w:val="24"/>
      <w:szCs w:val="27"/>
    </w:rPr>
  </w:style>
  <w:style w:type="character" w:customStyle="1" w:styleId="Heading4Char">
    <w:name w:val="Heading 4 Char"/>
    <w:basedOn w:val="DefaultParagraphFont"/>
    <w:link w:val="Heading4"/>
    <w:uiPriority w:val="9"/>
    <w:rsid w:val="00851048"/>
    <w:rPr>
      <w:rFonts w:ascii="Times New Roman" w:eastAsia="Times New Roman" w:hAnsi="Times New Roman" w:cs="Times New Roman"/>
      <w:bCs/>
      <w:sz w:val="24"/>
      <w:szCs w:val="24"/>
    </w:rPr>
  </w:style>
  <w:style w:type="paragraph" w:styleId="FootnoteText">
    <w:name w:val="footnote text"/>
    <w:basedOn w:val="Normal"/>
    <w:link w:val="FootnoteTextChar"/>
    <w:uiPriority w:val="9"/>
    <w:unhideWhenUsed/>
    <w:qFormat/>
    <w:rsid w:val="00EC0FB1"/>
    <w:pPr>
      <w:spacing w:before="0" w:line="240" w:lineRule="auto"/>
      <w:contextualSpacing/>
      <w:jc w:val="left"/>
    </w:pPr>
    <w:rPr>
      <w:sz w:val="20"/>
      <w:szCs w:val="24"/>
      <w:lang w:val="en"/>
    </w:rPr>
  </w:style>
  <w:style w:type="character" w:customStyle="1" w:styleId="FootnoteTextChar">
    <w:name w:val="Footnote Text Char"/>
    <w:basedOn w:val="DefaultParagraphFont"/>
    <w:link w:val="FootnoteText"/>
    <w:uiPriority w:val="9"/>
    <w:rsid w:val="00EC0FB1"/>
    <w:rPr>
      <w:rFonts w:cstheme="minorBidi"/>
      <w:color w:val="auto"/>
      <w:sz w:val="20"/>
      <w:szCs w:val="24"/>
      <w:lang w:val="en"/>
    </w:rPr>
  </w:style>
  <w:style w:type="paragraph" w:styleId="Caption">
    <w:name w:val="caption"/>
    <w:basedOn w:val="Normal"/>
    <w:next w:val="Normal"/>
    <w:uiPriority w:val="35"/>
    <w:unhideWhenUsed/>
    <w:qFormat/>
    <w:rsid w:val="000C3BC3"/>
    <w:pPr>
      <w:spacing w:after="120"/>
      <w:jc w:val="left"/>
    </w:pPr>
    <w:rPr>
      <w:rFonts w:eastAsia="Times New Roman" w:cs="Times New Roman"/>
      <w:iCs/>
      <w:sz w:val="20"/>
      <w:szCs w:val="18"/>
      <w:lang w:eastAsia="en-GB"/>
    </w:rPr>
  </w:style>
  <w:style w:type="paragraph" w:styleId="Header">
    <w:name w:val="header"/>
    <w:basedOn w:val="Normal"/>
    <w:link w:val="HeaderChar"/>
    <w:uiPriority w:val="99"/>
    <w:unhideWhenUsed/>
    <w:rsid w:val="006D5429"/>
    <w:pPr>
      <w:tabs>
        <w:tab w:val="center" w:pos="4680"/>
        <w:tab w:val="right" w:pos="9360"/>
      </w:tabs>
      <w:spacing w:line="240" w:lineRule="auto"/>
    </w:pPr>
  </w:style>
  <w:style w:type="character" w:customStyle="1" w:styleId="HeaderChar">
    <w:name w:val="Header Char"/>
    <w:basedOn w:val="DefaultParagraphFont"/>
    <w:link w:val="Header"/>
    <w:uiPriority w:val="99"/>
    <w:rsid w:val="006D5429"/>
    <w:rPr>
      <w:rFonts w:ascii="Arial" w:eastAsiaTheme="minorEastAsia" w:hAnsi="Arial" w:cstheme="minorBidi"/>
      <w:color w:val="1F2933"/>
      <w:sz w:val="21"/>
      <w:szCs w:val="22"/>
    </w:rPr>
  </w:style>
  <w:style w:type="paragraph" w:styleId="Subtitle">
    <w:name w:val="Subtitle"/>
    <w:basedOn w:val="Normal"/>
    <w:next w:val="Normal"/>
    <w:link w:val="SubtitleChar"/>
    <w:uiPriority w:val="11"/>
    <w:qFormat/>
    <w:rsid w:val="006D5429"/>
    <w:pPr>
      <w:numPr>
        <w:ilvl w:val="1"/>
      </w:numPr>
      <w:spacing w:before="200" w:after="100"/>
    </w:pPr>
    <w:rPr>
      <w:rFonts w:asciiTheme="majorHAnsi" w:eastAsiaTheme="majorEastAsia" w:hAnsiTheme="majorHAnsi" w:cstheme="majorBidi"/>
      <w:b/>
      <w:i/>
      <w:iCs/>
      <w:color w:val="5C6770"/>
      <w:spacing w:val="15"/>
      <w:sz w:val="26"/>
      <w:szCs w:val="24"/>
    </w:rPr>
  </w:style>
  <w:style w:type="character" w:customStyle="1" w:styleId="SubtitleChar">
    <w:name w:val="Subtitle Char"/>
    <w:basedOn w:val="DefaultParagraphFont"/>
    <w:link w:val="Subtitle"/>
    <w:uiPriority w:val="11"/>
    <w:rsid w:val="006D5429"/>
    <w:rPr>
      <w:rFonts w:asciiTheme="majorHAnsi" w:eastAsiaTheme="majorEastAsia" w:hAnsiTheme="majorHAnsi" w:cstheme="majorBidi"/>
      <w:b/>
      <w:i/>
      <w:iCs/>
      <w:color w:val="5C6770"/>
      <w:spacing w:val="15"/>
      <w:sz w:val="26"/>
      <w:szCs w:val="24"/>
    </w:rPr>
  </w:style>
  <w:style w:type="paragraph" w:customStyle="1" w:styleId="AssessmentTitle">
    <w:name w:val="Assessment Title"/>
    <w:rsid w:val="006D5429"/>
    <w:pPr>
      <w:keepNext/>
      <w:spacing w:after="200" w:line="276" w:lineRule="auto"/>
    </w:pPr>
    <w:rPr>
      <w:rFonts w:ascii="Arial" w:eastAsiaTheme="minorEastAsia" w:hAnsi="Arial" w:cstheme="minorBidi"/>
      <w:b/>
      <w:color w:val="17324D"/>
      <w:sz w:val="48"/>
      <w:szCs w:val="22"/>
    </w:rPr>
  </w:style>
  <w:style w:type="paragraph" w:customStyle="1" w:styleId="Callout">
    <w:name w:val="Callout"/>
    <w:rsid w:val="006D5429"/>
    <w:pPr>
      <w:spacing w:before="100" w:after="100" w:line="276" w:lineRule="auto"/>
      <w:ind w:left="198" w:right="198"/>
    </w:pPr>
    <w:rPr>
      <w:rFonts w:ascii="Arial" w:eastAsiaTheme="minorEastAsia" w:hAnsi="Arial" w:cstheme="minorBidi"/>
      <w:color w:val="1F2933"/>
      <w:sz w:val="20"/>
      <w:szCs w:val="22"/>
    </w:rPr>
  </w:style>
  <w:style w:type="paragraph" w:customStyle="1" w:styleId="Reference">
    <w:name w:val="Reference"/>
    <w:rsid w:val="006D5429"/>
    <w:pPr>
      <w:spacing w:after="60" w:line="240" w:lineRule="auto"/>
      <w:ind w:left="369" w:hanging="369"/>
    </w:pPr>
    <w:rPr>
      <w:rFonts w:ascii="Arial" w:eastAsiaTheme="minorEastAsia" w:hAnsi="Arial" w:cstheme="minorBidi"/>
      <w:color w:val="1F2933"/>
      <w:sz w:val="18"/>
      <w:szCs w:val="22"/>
    </w:rPr>
  </w:style>
  <w:style w:type="paragraph" w:customStyle="1" w:styleId="Small">
    <w:name w:val="Small"/>
    <w:rsid w:val="006D5429"/>
    <w:pPr>
      <w:spacing w:after="60" w:line="276" w:lineRule="auto"/>
    </w:pPr>
    <w:rPr>
      <w:rFonts w:ascii="Arial" w:eastAsiaTheme="minorEastAsia" w:hAnsi="Arial" w:cstheme="minorBidi"/>
      <w:color w:val="5C6770"/>
      <w:sz w:val="17"/>
      <w:szCs w:val="22"/>
    </w:rPr>
  </w:style>
  <w:style w:type="paragraph" w:styleId="Footer">
    <w:name w:val="footer"/>
    <w:basedOn w:val="Normal"/>
    <w:link w:val="FooterChar"/>
    <w:uiPriority w:val="99"/>
    <w:unhideWhenUsed/>
    <w:rsid w:val="006111B7"/>
    <w:pPr>
      <w:tabs>
        <w:tab w:val="center" w:pos="4680"/>
        <w:tab w:val="right" w:pos="9360"/>
      </w:tabs>
      <w:spacing w:line="240" w:lineRule="auto"/>
    </w:pPr>
  </w:style>
  <w:style w:type="character" w:customStyle="1" w:styleId="FooterChar">
    <w:name w:val="Footer Char"/>
    <w:basedOn w:val="DefaultParagraphFont"/>
    <w:link w:val="Footer"/>
    <w:uiPriority w:val="99"/>
    <w:rsid w:val="006111B7"/>
    <w:rPr>
      <w:rFonts w:ascii="Arial" w:eastAsiaTheme="minorEastAsia" w:hAnsi="Arial" w:cstheme="minorBidi"/>
      <w:color w:val="1F2933"/>
      <w:sz w:val="21"/>
      <w:szCs w:val="22"/>
    </w:rPr>
  </w:style>
  <w:style w:type="paragraph" w:customStyle="1" w:styleId="s8">
    <w:name w:val="s8"/>
    <w:basedOn w:val="Normal"/>
    <w:rsid w:val="00243BD1"/>
    <w:pPr>
      <w:spacing w:before="100" w:beforeAutospacing="1" w:after="100" w:afterAutospacing="1" w:line="240" w:lineRule="auto"/>
      <w:jc w:val="left"/>
    </w:pPr>
    <w:rPr>
      <w:rFonts w:cs="Times New Roman"/>
      <w:szCs w:val="24"/>
      <w:lang w:eastAsia="en-GB"/>
    </w:rPr>
  </w:style>
  <w:style w:type="character" w:customStyle="1" w:styleId="bumpedfont15">
    <w:name w:val="bumpedfont15"/>
    <w:basedOn w:val="DefaultParagraphFont"/>
    <w:rsid w:val="00243BD1"/>
  </w:style>
  <w:style w:type="character" w:customStyle="1" w:styleId="apple-converted-space">
    <w:name w:val="apple-converted-space"/>
    <w:basedOn w:val="DefaultParagraphFont"/>
    <w:rsid w:val="00243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8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1421</Words>
  <Characters>8106</Characters>
  <Application>Microsoft Office Word</Application>
  <DocSecurity>0</DocSecurity>
  <Lines>67</Lines>
  <Paragraphs>19</Paragraphs>
  <ScaleCrop>false</ScaleCrop>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HENRY WIREDU</cp:lastModifiedBy>
  <cp:revision>2</cp:revision>
  <dcterms:created xsi:type="dcterms:W3CDTF">2026-07-23T13:15:00Z</dcterms:created>
  <dcterms:modified xsi:type="dcterms:W3CDTF">2026-07-23T13:15:00Z</dcterms:modified>
</cp:coreProperties>
</file>