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38F850" w14:textId="1325FB31" w:rsidR="00D429BA" w:rsidRDefault="00D429BA" w:rsidP="00D429BA">
      <w:pPr>
        <w:pStyle w:val="TOCHeading"/>
        <w:rPr>
          <w:rFonts w:ascii="Times New Roman" w:eastAsiaTheme="minorHAnsi" w:hAnsi="Times New Roman" w:cstheme="minorBidi"/>
          <w:color w:val="auto"/>
          <w:sz w:val="24"/>
          <w:szCs w:val="22"/>
        </w:rPr>
      </w:pPr>
      <w:r w:rsidRPr="004B43A2">
        <w:rPr>
          <w:rFonts w:ascii="Times New Roman" w:eastAsiaTheme="minorHAnsi" w:hAnsi="Times New Roman" w:cstheme="minorBidi"/>
          <w:noProof/>
          <w:color w:val="auto"/>
          <w:sz w:val="24"/>
          <w:szCs w:val="22"/>
        </w:rPr>
        <w:drawing>
          <wp:anchor distT="0" distB="0" distL="114300" distR="114300" simplePos="0" relativeHeight="251665408" behindDoc="0" locked="0" layoutInCell="1" allowOverlap="1" wp14:anchorId="6C9AF964" wp14:editId="3FE2DF3D">
            <wp:simplePos x="0" y="0"/>
            <wp:positionH relativeFrom="column">
              <wp:posOffset>476250</wp:posOffset>
            </wp:positionH>
            <wp:positionV relativeFrom="paragraph">
              <wp:posOffset>0</wp:posOffset>
            </wp:positionV>
            <wp:extent cx="1809524" cy="723810"/>
            <wp:effectExtent l="0" t="0" r="635" b="0"/>
            <wp:wrapSquare wrapText="bothSides"/>
            <wp:docPr id="900433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117432" name=""/>
                    <pic:cNvPicPr/>
                  </pic:nvPicPr>
                  <pic:blipFill>
                    <a:blip r:embed="rId7">
                      <a:extLst>
                        <a:ext uri="{28A0092B-C50C-407E-A947-70E740481C1C}">
                          <a14:useLocalDpi xmlns:a14="http://schemas.microsoft.com/office/drawing/2010/main" val="0"/>
                        </a:ext>
                      </a:extLst>
                    </a:blip>
                    <a:stretch>
                      <a:fillRect/>
                    </a:stretch>
                  </pic:blipFill>
                  <pic:spPr>
                    <a:xfrm>
                      <a:off x="0" y="0"/>
                      <a:ext cx="1809524" cy="723810"/>
                    </a:xfrm>
                    <a:prstGeom prst="rect">
                      <a:avLst/>
                    </a:prstGeom>
                  </pic:spPr>
                </pic:pic>
              </a:graphicData>
            </a:graphic>
          </wp:anchor>
        </w:drawing>
      </w:r>
      <w:r w:rsidRPr="004B43A2">
        <w:rPr>
          <w:rFonts w:ascii="Times New Roman" w:eastAsiaTheme="minorHAnsi" w:hAnsi="Times New Roman" w:cstheme="minorBidi"/>
          <w:noProof/>
          <w:color w:val="auto"/>
          <w:sz w:val="24"/>
          <w:szCs w:val="22"/>
        </w:rPr>
        <w:drawing>
          <wp:anchor distT="0" distB="0" distL="114300" distR="114300" simplePos="0" relativeHeight="251659264" behindDoc="0" locked="0" layoutInCell="1" allowOverlap="1" wp14:anchorId="79FCF42D" wp14:editId="78304DDE">
            <wp:simplePos x="2981325" y="1409700"/>
            <wp:positionH relativeFrom="column">
              <wp:posOffset>2981325</wp:posOffset>
            </wp:positionH>
            <wp:positionV relativeFrom="paragraph">
              <wp:align>top</wp:align>
            </wp:positionV>
            <wp:extent cx="1809524" cy="723810"/>
            <wp:effectExtent l="0" t="0" r="635" b="0"/>
            <wp:wrapSquare wrapText="bothSides"/>
            <wp:docPr id="1570117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117432" name=""/>
                    <pic:cNvPicPr/>
                  </pic:nvPicPr>
                  <pic:blipFill>
                    <a:blip r:embed="rId7">
                      <a:extLst>
                        <a:ext uri="{28A0092B-C50C-407E-A947-70E740481C1C}">
                          <a14:useLocalDpi xmlns:a14="http://schemas.microsoft.com/office/drawing/2010/main" val="0"/>
                        </a:ext>
                      </a:extLst>
                    </a:blip>
                    <a:stretch>
                      <a:fillRect/>
                    </a:stretch>
                  </pic:blipFill>
                  <pic:spPr>
                    <a:xfrm>
                      <a:off x="0" y="0"/>
                      <a:ext cx="1809524" cy="723810"/>
                    </a:xfrm>
                    <a:prstGeom prst="rect">
                      <a:avLst/>
                    </a:prstGeom>
                  </pic:spPr>
                </pic:pic>
              </a:graphicData>
            </a:graphic>
          </wp:anchor>
        </w:drawing>
      </w:r>
      <w:r w:rsidRPr="004B43A2">
        <w:rPr>
          <w:rFonts w:ascii="Times New Roman" w:eastAsiaTheme="minorHAnsi" w:hAnsi="Times New Roman" w:cstheme="minorBidi"/>
          <w:noProof/>
          <w:color w:val="auto"/>
          <w:sz w:val="24"/>
          <w:szCs w:val="22"/>
        </w:rPr>
        <w:drawing>
          <wp:anchor distT="0" distB="0" distL="114300" distR="114300" simplePos="0" relativeHeight="251661312" behindDoc="0" locked="0" layoutInCell="1" allowOverlap="1" wp14:anchorId="50DFBCB4" wp14:editId="3257223A">
            <wp:simplePos x="2981325" y="1409700"/>
            <wp:positionH relativeFrom="column">
              <wp:posOffset>2981325</wp:posOffset>
            </wp:positionH>
            <wp:positionV relativeFrom="paragraph">
              <wp:align>top</wp:align>
            </wp:positionV>
            <wp:extent cx="1809524" cy="723810"/>
            <wp:effectExtent l="0" t="0" r="635" b="0"/>
            <wp:wrapSquare wrapText="bothSides"/>
            <wp:docPr id="55129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117432" name=""/>
                    <pic:cNvPicPr/>
                  </pic:nvPicPr>
                  <pic:blipFill>
                    <a:blip r:embed="rId7">
                      <a:extLst>
                        <a:ext uri="{28A0092B-C50C-407E-A947-70E740481C1C}">
                          <a14:useLocalDpi xmlns:a14="http://schemas.microsoft.com/office/drawing/2010/main" val="0"/>
                        </a:ext>
                      </a:extLst>
                    </a:blip>
                    <a:stretch>
                      <a:fillRect/>
                    </a:stretch>
                  </pic:blipFill>
                  <pic:spPr>
                    <a:xfrm>
                      <a:off x="0" y="0"/>
                      <a:ext cx="1809524" cy="723810"/>
                    </a:xfrm>
                    <a:prstGeom prst="rect">
                      <a:avLst/>
                    </a:prstGeom>
                  </pic:spPr>
                </pic:pic>
              </a:graphicData>
            </a:graphic>
          </wp:anchor>
        </w:drawing>
      </w:r>
      <w:r>
        <w:rPr>
          <w:rFonts w:ascii="Times New Roman" w:eastAsiaTheme="minorHAnsi" w:hAnsi="Times New Roman" w:cstheme="minorBidi"/>
          <w:color w:val="auto"/>
          <w:sz w:val="24"/>
          <w:szCs w:val="22"/>
        </w:rPr>
        <w:br w:type="textWrapping" w:clear="all"/>
      </w:r>
    </w:p>
    <w:p w14:paraId="00000001" w14:textId="77777777" w:rsidR="00E641AA" w:rsidRDefault="00E641AA">
      <w:pPr>
        <w:spacing w:after="200"/>
        <w:jc w:val="center"/>
        <w:rPr>
          <w:b/>
          <w:sz w:val="32"/>
          <w:szCs w:val="32"/>
        </w:rPr>
      </w:pPr>
    </w:p>
    <w:p w14:paraId="6A5C5481" w14:textId="77777777" w:rsidR="0040002E" w:rsidRDefault="00B027C8">
      <w:pPr>
        <w:spacing w:after="200"/>
        <w:jc w:val="center"/>
        <w:rPr>
          <w:b/>
          <w:sz w:val="32"/>
          <w:szCs w:val="32"/>
        </w:rPr>
      </w:pPr>
      <w:r>
        <w:rPr>
          <w:b/>
          <w:sz w:val="32"/>
          <w:szCs w:val="32"/>
        </w:rPr>
        <w:t>Master of Business Administration Marketing Management LCMB7024</w:t>
      </w:r>
    </w:p>
    <w:p w14:paraId="7898FA2F" w14:textId="0F8E0157" w:rsidR="0040002E" w:rsidRDefault="0040002E" w:rsidP="00D429BA">
      <w:pPr>
        <w:spacing w:after="200"/>
        <w:rPr>
          <w:b/>
          <w:sz w:val="32"/>
          <w:szCs w:val="32"/>
        </w:rPr>
      </w:pPr>
      <w:r>
        <w:rPr>
          <w:b/>
          <w:sz w:val="32"/>
          <w:szCs w:val="32"/>
        </w:rPr>
        <w:t>Student Name: HEET MANGUKIYA</w:t>
      </w:r>
    </w:p>
    <w:p w14:paraId="4BB82E32" w14:textId="55D61A3B" w:rsidR="0040002E" w:rsidRDefault="0040002E" w:rsidP="00D429BA">
      <w:pPr>
        <w:spacing w:after="200"/>
        <w:rPr>
          <w:b/>
          <w:sz w:val="32"/>
          <w:szCs w:val="32"/>
        </w:rPr>
      </w:pPr>
      <w:r>
        <w:rPr>
          <w:b/>
          <w:sz w:val="32"/>
          <w:szCs w:val="32"/>
        </w:rPr>
        <w:t>Student ID: 2336342</w:t>
      </w:r>
    </w:p>
    <w:p w14:paraId="6C768D3F" w14:textId="77777777" w:rsidR="0040002E" w:rsidRDefault="0040002E" w:rsidP="00D429BA">
      <w:pPr>
        <w:spacing w:after="200"/>
        <w:rPr>
          <w:b/>
          <w:sz w:val="32"/>
          <w:szCs w:val="32"/>
        </w:rPr>
      </w:pPr>
      <w:r>
        <w:rPr>
          <w:b/>
          <w:sz w:val="32"/>
          <w:szCs w:val="32"/>
        </w:rPr>
        <w:t>LEVEL 7 ASSESSMENT SPECIFICATION</w:t>
      </w:r>
    </w:p>
    <w:p w14:paraId="2BE352C8" w14:textId="77777777" w:rsidR="0040002E" w:rsidRDefault="0040002E" w:rsidP="00D429BA">
      <w:pPr>
        <w:spacing w:after="200"/>
        <w:rPr>
          <w:b/>
          <w:sz w:val="32"/>
          <w:szCs w:val="32"/>
        </w:rPr>
      </w:pPr>
      <w:r>
        <w:rPr>
          <w:b/>
          <w:sz w:val="32"/>
          <w:szCs w:val="32"/>
        </w:rPr>
        <w:t>PROGRAMME MASTER OF BUSINESS ADMINISTRATION</w:t>
      </w:r>
    </w:p>
    <w:p w14:paraId="033E82E6" w14:textId="6E21F463" w:rsidR="0040002E" w:rsidRDefault="0040002E" w:rsidP="00D429BA">
      <w:pPr>
        <w:spacing w:after="200"/>
        <w:rPr>
          <w:b/>
          <w:sz w:val="32"/>
          <w:szCs w:val="32"/>
        </w:rPr>
      </w:pPr>
      <w:r>
        <w:rPr>
          <w:b/>
          <w:sz w:val="32"/>
          <w:szCs w:val="32"/>
        </w:rPr>
        <w:t xml:space="preserve">MODULE: </w:t>
      </w:r>
      <w:r w:rsidR="00D429BA">
        <w:rPr>
          <w:b/>
          <w:sz w:val="32"/>
          <w:szCs w:val="32"/>
        </w:rPr>
        <w:t>MARKETING MANAGEMENT</w:t>
      </w:r>
      <w:r>
        <w:rPr>
          <w:b/>
          <w:sz w:val="32"/>
          <w:szCs w:val="32"/>
        </w:rPr>
        <w:t xml:space="preserve"> </w:t>
      </w:r>
    </w:p>
    <w:p w14:paraId="265C24E6" w14:textId="529CBD78" w:rsidR="0040002E" w:rsidRDefault="0040002E" w:rsidP="00D429BA">
      <w:pPr>
        <w:spacing w:after="200"/>
        <w:rPr>
          <w:b/>
          <w:sz w:val="32"/>
          <w:szCs w:val="32"/>
        </w:rPr>
      </w:pPr>
      <w:r>
        <w:rPr>
          <w:b/>
          <w:sz w:val="32"/>
          <w:szCs w:val="32"/>
        </w:rPr>
        <w:t>MODULE CODE: LCMB</w:t>
      </w:r>
      <w:r w:rsidR="00D429BA">
        <w:rPr>
          <w:b/>
          <w:sz w:val="32"/>
          <w:szCs w:val="32"/>
        </w:rPr>
        <w:t>7024</w:t>
      </w:r>
    </w:p>
    <w:p w14:paraId="42A4D8FA" w14:textId="3CF3CA9B" w:rsidR="0040002E" w:rsidRDefault="0040002E" w:rsidP="00D429BA">
      <w:pPr>
        <w:spacing w:after="200"/>
        <w:rPr>
          <w:b/>
          <w:sz w:val="32"/>
          <w:szCs w:val="32"/>
        </w:rPr>
      </w:pPr>
      <w:r>
        <w:rPr>
          <w:b/>
          <w:sz w:val="32"/>
          <w:szCs w:val="32"/>
        </w:rPr>
        <w:t xml:space="preserve">LECTURER: </w:t>
      </w:r>
      <w:r w:rsidR="00D429BA">
        <w:rPr>
          <w:b/>
          <w:sz w:val="32"/>
          <w:szCs w:val="32"/>
        </w:rPr>
        <w:t>LAILA MAAZOUZ</w:t>
      </w:r>
    </w:p>
    <w:p w14:paraId="1A063B59" w14:textId="5E1653F8" w:rsidR="0040002E" w:rsidRDefault="0040002E" w:rsidP="00D429BA">
      <w:pPr>
        <w:spacing w:after="200"/>
        <w:rPr>
          <w:b/>
          <w:sz w:val="32"/>
          <w:szCs w:val="32"/>
        </w:rPr>
      </w:pPr>
      <w:r>
        <w:rPr>
          <w:b/>
          <w:sz w:val="32"/>
          <w:szCs w:val="32"/>
        </w:rPr>
        <w:t>ASSIGNMENT</w:t>
      </w:r>
      <w:r w:rsidR="00D429BA">
        <w:rPr>
          <w:b/>
          <w:sz w:val="32"/>
          <w:szCs w:val="32"/>
        </w:rPr>
        <w:t xml:space="preserve"> </w:t>
      </w:r>
      <w:r>
        <w:rPr>
          <w:b/>
          <w:sz w:val="32"/>
          <w:szCs w:val="32"/>
        </w:rPr>
        <w:t xml:space="preserve">TITLE: ASSESMENT COMPONENT 1- INDIVIDUAL REPORT </w:t>
      </w:r>
    </w:p>
    <w:p w14:paraId="00000008" w14:textId="6624B163" w:rsidR="00E641AA" w:rsidRPr="0040002E" w:rsidRDefault="0040002E" w:rsidP="00D429BA">
      <w:pPr>
        <w:spacing w:after="200"/>
        <w:rPr>
          <w:b/>
          <w:sz w:val="32"/>
          <w:szCs w:val="32"/>
        </w:rPr>
      </w:pPr>
      <w:r>
        <w:rPr>
          <w:b/>
          <w:sz w:val="32"/>
          <w:szCs w:val="32"/>
        </w:rPr>
        <w:t>WORD COUNT: 2,500 WORDS</w:t>
      </w:r>
      <w:r w:rsidR="00B027C8">
        <w:br w:type="page"/>
      </w:r>
    </w:p>
    <w:p w14:paraId="00000009" w14:textId="77777777" w:rsidR="00E641AA" w:rsidRDefault="00B027C8">
      <w:pPr>
        <w:jc w:val="center"/>
        <w:rPr>
          <w:b/>
          <w:sz w:val="28"/>
          <w:szCs w:val="28"/>
        </w:rPr>
      </w:pPr>
      <w:r>
        <w:rPr>
          <w:b/>
          <w:sz w:val="28"/>
          <w:szCs w:val="28"/>
        </w:rPr>
        <w:lastRenderedPageBreak/>
        <w:t>Table of Contents</w:t>
      </w:r>
    </w:p>
    <w:sdt>
      <w:sdtPr>
        <w:id w:val="-1287811855"/>
        <w:docPartObj>
          <w:docPartGallery w:val="Table of Contents"/>
          <w:docPartUnique/>
        </w:docPartObj>
      </w:sdtPr>
      <w:sdtContent>
        <w:p w14:paraId="0000000A" w14:textId="77777777" w:rsidR="00E641AA" w:rsidRDefault="00B027C8">
          <w:pPr>
            <w:widowControl w:val="0"/>
            <w:tabs>
              <w:tab w:val="right" w:leader="dot" w:pos="9360"/>
            </w:tabs>
            <w:spacing w:before="60" w:after="200"/>
            <w:jc w:val="left"/>
            <w:rPr>
              <w:color w:val="000000"/>
            </w:rPr>
          </w:pPr>
          <w:r>
            <w:fldChar w:fldCharType="begin"/>
          </w:r>
          <w:r>
            <w:instrText xml:space="preserve"> TOC \h \u \z \t "Heading 1,1,Heading 2,2,Heading 3,3,Heading 4,4,Heading 5,5,Heading 6,6,"</w:instrText>
          </w:r>
          <w:r>
            <w:fldChar w:fldCharType="separate"/>
          </w:r>
          <w:hyperlink w:anchor="_h03b6qxuhqnv">
            <w:r>
              <w:rPr>
                <w:color w:val="000000"/>
              </w:rPr>
              <w:t>1. “What are the advantages of being a pioneer and follower company? Provide examples of successful pioneer and follower companies.”</w:t>
            </w:r>
            <w:r>
              <w:rPr>
                <w:color w:val="000000"/>
              </w:rPr>
              <w:tab/>
            </w:r>
          </w:hyperlink>
          <w:r>
            <w:fldChar w:fldCharType="begin"/>
          </w:r>
          <w:r>
            <w:instrText xml:space="preserve"> PAGEREF _h03b6qxuhqnv \h </w:instrText>
          </w:r>
          <w:r>
            <w:fldChar w:fldCharType="separate"/>
          </w:r>
          <w:r>
            <w:t>3</w:t>
          </w:r>
          <w:r>
            <w:fldChar w:fldCharType="end"/>
          </w:r>
        </w:p>
        <w:p w14:paraId="0000000B" w14:textId="77777777" w:rsidR="00E641AA" w:rsidRDefault="00B027C8">
          <w:pPr>
            <w:widowControl w:val="0"/>
            <w:tabs>
              <w:tab w:val="right" w:leader="dot" w:pos="9360"/>
            </w:tabs>
            <w:spacing w:before="60" w:after="200"/>
            <w:jc w:val="left"/>
            <w:rPr>
              <w:color w:val="000000"/>
            </w:rPr>
          </w:pPr>
          <w:hyperlink w:anchor="_trjq5fqwhf1d">
            <w:r>
              <w:rPr>
                <w:color w:val="000000"/>
              </w:rPr>
              <w:t>Introduction</w:t>
            </w:r>
            <w:r>
              <w:rPr>
                <w:color w:val="000000"/>
              </w:rPr>
              <w:tab/>
            </w:r>
          </w:hyperlink>
          <w:r>
            <w:fldChar w:fldCharType="begin"/>
          </w:r>
          <w:r>
            <w:instrText xml:space="preserve"> PAGEREF _trjq5fqwhf1d \h </w:instrText>
          </w:r>
          <w:r>
            <w:fldChar w:fldCharType="separate"/>
          </w:r>
          <w:r>
            <w:t>3</w:t>
          </w:r>
          <w:r>
            <w:fldChar w:fldCharType="end"/>
          </w:r>
        </w:p>
        <w:p w14:paraId="0000000C" w14:textId="77777777" w:rsidR="00E641AA" w:rsidRDefault="00B027C8">
          <w:pPr>
            <w:widowControl w:val="0"/>
            <w:tabs>
              <w:tab w:val="right" w:leader="dot" w:pos="9360"/>
            </w:tabs>
            <w:spacing w:before="60" w:after="200"/>
            <w:jc w:val="left"/>
            <w:rPr>
              <w:color w:val="000000"/>
            </w:rPr>
          </w:pPr>
          <w:hyperlink w:anchor="_kmlx68nw1vj5">
            <w:r>
              <w:rPr>
                <w:color w:val="000000"/>
              </w:rPr>
              <w:t>Advantages of being a Pioneer company</w:t>
            </w:r>
            <w:r>
              <w:rPr>
                <w:color w:val="000000"/>
              </w:rPr>
              <w:tab/>
            </w:r>
          </w:hyperlink>
          <w:r>
            <w:fldChar w:fldCharType="begin"/>
          </w:r>
          <w:r>
            <w:instrText xml:space="preserve"> PAGEREF _kmlx68nw1vj5 \h </w:instrText>
          </w:r>
          <w:r>
            <w:fldChar w:fldCharType="separate"/>
          </w:r>
          <w:r>
            <w:t>4</w:t>
          </w:r>
          <w:r>
            <w:fldChar w:fldCharType="end"/>
          </w:r>
        </w:p>
        <w:p w14:paraId="0000000D" w14:textId="77777777" w:rsidR="00E641AA" w:rsidRDefault="00B027C8">
          <w:pPr>
            <w:widowControl w:val="0"/>
            <w:tabs>
              <w:tab w:val="right" w:leader="dot" w:pos="9360"/>
            </w:tabs>
            <w:spacing w:before="60" w:after="200"/>
            <w:jc w:val="left"/>
            <w:rPr>
              <w:color w:val="000000"/>
            </w:rPr>
          </w:pPr>
          <w:hyperlink w:anchor="_7fra0lyn17tg">
            <w:r>
              <w:rPr>
                <w:color w:val="000000"/>
              </w:rPr>
              <w:t>Advantages of being a follower company</w:t>
            </w:r>
            <w:r>
              <w:rPr>
                <w:color w:val="000000"/>
              </w:rPr>
              <w:tab/>
            </w:r>
          </w:hyperlink>
          <w:r>
            <w:fldChar w:fldCharType="begin"/>
          </w:r>
          <w:r>
            <w:instrText xml:space="preserve"> PAGEREF _7fra0lyn17tg \h </w:instrText>
          </w:r>
          <w:r>
            <w:fldChar w:fldCharType="separate"/>
          </w:r>
          <w:r>
            <w:t>5</w:t>
          </w:r>
          <w:r>
            <w:fldChar w:fldCharType="end"/>
          </w:r>
        </w:p>
        <w:p w14:paraId="0000000E" w14:textId="77777777" w:rsidR="00E641AA" w:rsidRDefault="00B027C8">
          <w:pPr>
            <w:widowControl w:val="0"/>
            <w:tabs>
              <w:tab w:val="right" w:leader="dot" w:pos="9360"/>
            </w:tabs>
            <w:spacing w:before="60" w:after="200"/>
            <w:jc w:val="left"/>
            <w:rPr>
              <w:color w:val="000000"/>
            </w:rPr>
          </w:pPr>
          <w:hyperlink w:anchor="_ie0t04249t7x">
            <w:r>
              <w:rPr>
                <w:color w:val="000000"/>
              </w:rPr>
              <w:t xml:space="preserve">2. </w:t>
            </w:r>
          </w:hyperlink>
          <w:hyperlink w:anchor="_ie0t04249t7x">
            <w:r>
              <w:t>“</w:t>
            </w:r>
          </w:hyperlink>
          <w:hyperlink w:anchor="_ie0t04249t7x">
            <w:r>
              <w:rPr>
                <w:color w:val="000000"/>
              </w:rPr>
              <w:t>What product life cycle strategies do successful pioneer and follower companies implement to increase growth and maintain a strong competitive advantage? Provide examples of companies to support statements made</w:t>
            </w:r>
          </w:hyperlink>
          <w:hyperlink w:anchor="_ie0t04249t7x">
            <w:r>
              <w:t>”</w:t>
            </w:r>
          </w:hyperlink>
          <w:hyperlink w:anchor="_ie0t04249t7x">
            <w:r>
              <w:rPr>
                <w:color w:val="000000"/>
              </w:rPr>
              <w:t>.</w:t>
            </w:r>
            <w:r>
              <w:rPr>
                <w:color w:val="000000"/>
              </w:rPr>
              <w:tab/>
            </w:r>
          </w:hyperlink>
          <w:r>
            <w:fldChar w:fldCharType="begin"/>
          </w:r>
          <w:r>
            <w:instrText xml:space="preserve"> PAGEREF _ie0t04249t7x \h </w:instrText>
          </w:r>
          <w:r>
            <w:fldChar w:fldCharType="separate"/>
          </w:r>
          <w:r>
            <w:t>7</w:t>
          </w:r>
          <w:r>
            <w:fldChar w:fldCharType="end"/>
          </w:r>
        </w:p>
        <w:p w14:paraId="0000000F" w14:textId="77777777" w:rsidR="00E641AA" w:rsidRDefault="00B027C8">
          <w:pPr>
            <w:widowControl w:val="0"/>
            <w:tabs>
              <w:tab w:val="right" w:leader="dot" w:pos="9360"/>
            </w:tabs>
            <w:spacing w:before="60" w:after="200"/>
            <w:jc w:val="left"/>
            <w:rPr>
              <w:color w:val="000000"/>
            </w:rPr>
          </w:pPr>
          <w:hyperlink w:anchor="_nxcgzmuvnh5o">
            <w:r>
              <w:rPr>
                <w:color w:val="000000"/>
              </w:rPr>
              <w:t>Product Life Cycle Strategies for Pioneers and Followers</w:t>
            </w:r>
            <w:r>
              <w:rPr>
                <w:color w:val="000000"/>
              </w:rPr>
              <w:tab/>
            </w:r>
          </w:hyperlink>
          <w:r>
            <w:fldChar w:fldCharType="begin"/>
          </w:r>
          <w:r>
            <w:instrText xml:space="preserve"> PAGEREF _nxcgzmuvnh5o \h </w:instrText>
          </w:r>
          <w:r>
            <w:fldChar w:fldCharType="separate"/>
          </w:r>
          <w:r>
            <w:t>7</w:t>
          </w:r>
          <w:r>
            <w:fldChar w:fldCharType="end"/>
          </w:r>
        </w:p>
        <w:p w14:paraId="00000010" w14:textId="77777777" w:rsidR="00E641AA" w:rsidRDefault="00B027C8">
          <w:pPr>
            <w:widowControl w:val="0"/>
            <w:tabs>
              <w:tab w:val="right" w:leader="dot" w:pos="9360"/>
            </w:tabs>
            <w:spacing w:before="60" w:after="200"/>
            <w:ind w:left="360"/>
            <w:jc w:val="left"/>
            <w:rPr>
              <w:color w:val="000000"/>
            </w:rPr>
          </w:pPr>
          <w:hyperlink w:anchor="_pg7yw8mzrg5w">
            <w:r>
              <w:rPr>
                <w:color w:val="000000"/>
              </w:rPr>
              <w:t>Growth Stage Strategies</w:t>
            </w:r>
            <w:r>
              <w:rPr>
                <w:color w:val="000000"/>
              </w:rPr>
              <w:tab/>
            </w:r>
          </w:hyperlink>
          <w:r>
            <w:fldChar w:fldCharType="begin"/>
          </w:r>
          <w:r>
            <w:instrText xml:space="preserve"> PAGEREF _pg7yw8mzrg5w \h </w:instrText>
          </w:r>
          <w:r>
            <w:fldChar w:fldCharType="separate"/>
          </w:r>
          <w:r>
            <w:t>7</w:t>
          </w:r>
          <w:r>
            <w:fldChar w:fldCharType="end"/>
          </w:r>
        </w:p>
        <w:p w14:paraId="00000011" w14:textId="77777777" w:rsidR="00E641AA" w:rsidRDefault="00B027C8">
          <w:pPr>
            <w:widowControl w:val="0"/>
            <w:tabs>
              <w:tab w:val="right" w:leader="dot" w:pos="9360"/>
            </w:tabs>
            <w:spacing w:before="60" w:after="200"/>
            <w:ind w:left="360"/>
            <w:jc w:val="left"/>
            <w:rPr>
              <w:color w:val="000000"/>
            </w:rPr>
          </w:pPr>
          <w:hyperlink w:anchor="_vcqoh4rk60og">
            <w:r>
              <w:rPr>
                <w:color w:val="000000"/>
              </w:rPr>
              <w:t>Maturity Stage Strategies</w:t>
            </w:r>
            <w:r>
              <w:rPr>
                <w:color w:val="000000"/>
              </w:rPr>
              <w:tab/>
            </w:r>
          </w:hyperlink>
          <w:r>
            <w:fldChar w:fldCharType="begin"/>
          </w:r>
          <w:r>
            <w:instrText xml:space="preserve"> PAGEREF _vcqoh4rk60og \h </w:instrText>
          </w:r>
          <w:r>
            <w:fldChar w:fldCharType="separate"/>
          </w:r>
          <w:r>
            <w:t>9</w:t>
          </w:r>
          <w:r>
            <w:fldChar w:fldCharType="end"/>
          </w:r>
        </w:p>
        <w:p w14:paraId="00000012" w14:textId="77777777" w:rsidR="00E641AA" w:rsidRDefault="00B027C8">
          <w:pPr>
            <w:widowControl w:val="0"/>
            <w:tabs>
              <w:tab w:val="right" w:leader="dot" w:pos="9360"/>
            </w:tabs>
            <w:spacing w:before="60" w:after="200"/>
            <w:jc w:val="left"/>
            <w:rPr>
              <w:color w:val="000000"/>
            </w:rPr>
          </w:pPr>
          <w:hyperlink w:anchor="_gz03in1ecn5w">
            <w:r>
              <w:rPr>
                <w:color w:val="000000"/>
              </w:rPr>
              <w:t>Conclusion</w:t>
            </w:r>
            <w:r>
              <w:rPr>
                <w:color w:val="000000"/>
              </w:rPr>
              <w:tab/>
            </w:r>
          </w:hyperlink>
          <w:r>
            <w:fldChar w:fldCharType="begin"/>
          </w:r>
          <w:r>
            <w:instrText xml:space="preserve"> PAGEREF _gz03in1ecn5w \h </w:instrText>
          </w:r>
          <w:r>
            <w:fldChar w:fldCharType="separate"/>
          </w:r>
          <w:r>
            <w:t>11</w:t>
          </w:r>
          <w:r>
            <w:fldChar w:fldCharType="end"/>
          </w:r>
        </w:p>
        <w:p w14:paraId="00000013" w14:textId="77777777" w:rsidR="00E641AA" w:rsidRDefault="00B027C8">
          <w:pPr>
            <w:widowControl w:val="0"/>
            <w:tabs>
              <w:tab w:val="right" w:leader="dot" w:pos="9360"/>
            </w:tabs>
            <w:spacing w:before="60" w:after="200"/>
            <w:jc w:val="left"/>
            <w:rPr>
              <w:color w:val="000000"/>
            </w:rPr>
          </w:pPr>
          <w:hyperlink w:anchor="_tt5tngluzjwr">
            <w:r>
              <w:rPr>
                <w:color w:val="000000"/>
              </w:rPr>
              <w:t>Reference list</w:t>
            </w:r>
            <w:r>
              <w:rPr>
                <w:color w:val="000000"/>
              </w:rPr>
              <w:tab/>
            </w:r>
          </w:hyperlink>
          <w:r>
            <w:fldChar w:fldCharType="begin"/>
          </w:r>
          <w:r>
            <w:instrText xml:space="preserve"> PAGEREF _tt5tngluzjwr \h </w:instrText>
          </w:r>
          <w:r>
            <w:fldChar w:fldCharType="separate"/>
          </w:r>
          <w:r>
            <w:t>12</w:t>
          </w:r>
          <w:r>
            <w:fldChar w:fldCharType="end"/>
          </w:r>
          <w:r>
            <w:fldChar w:fldCharType="end"/>
          </w:r>
        </w:p>
      </w:sdtContent>
    </w:sdt>
    <w:p w14:paraId="00000014" w14:textId="77777777" w:rsidR="00E641AA" w:rsidRDefault="00B027C8">
      <w:r>
        <w:br w:type="page"/>
      </w:r>
    </w:p>
    <w:p w14:paraId="00000015" w14:textId="77777777" w:rsidR="00E641AA" w:rsidRDefault="00B027C8">
      <w:pPr>
        <w:pStyle w:val="Heading1"/>
      </w:pPr>
      <w:bookmarkStart w:id="0" w:name="_h03b6qxuhqnv" w:colFirst="0" w:colLast="0"/>
      <w:bookmarkEnd w:id="0"/>
      <w:r>
        <w:lastRenderedPageBreak/>
        <w:t>1. “What are the advantages of being a pioneer and follower company? Provide examples of successful pioneer and follower companies.”</w:t>
      </w:r>
    </w:p>
    <w:p w14:paraId="00000016" w14:textId="77777777" w:rsidR="00E641AA" w:rsidRDefault="00B027C8">
      <w:pPr>
        <w:pStyle w:val="Heading1"/>
      </w:pPr>
      <w:bookmarkStart w:id="1" w:name="_trjq5fqwhf1d" w:colFirst="0" w:colLast="0"/>
      <w:bookmarkEnd w:id="1"/>
      <w:r>
        <w:t>Introduction</w:t>
      </w:r>
    </w:p>
    <w:p w14:paraId="00000017" w14:textId="77777777" w:rsidR="00E641AA" w:rsidRDefault="00B027C8">
      <w:pPr>
        <w:spacing w:after="200"/>
      </w:pPr>
      <w:r>
        <w:t>In the business world, a company can opt to be a pioneer to introduce a new product and create a new market or a follower improving an existing product and exploiting existing demand. The Pioneer companies enjoy first mover advantage, building brand loyalty, shaping industry trends and enjoying technological leadership. Despite that, follower companies can enjoy less risk, accelerated product development, and cost efficiencies (Kamp and Ruiz de Apodaca 2023). In different markets and with different technological dynamics and customers’ preferences some strategies have been proven successful, while other strategies have worked in different industries.</w:t>
      </w:r>
    </w:p>
    <w:p w14:paraId="00000018" w14:textId="77777777" w:rsidR="00E641AA" w:rsidRDefault="00B027C8">
      <w:pPr>
        <w:spacing w:after="200"/>
      </w:pPr>
      <w:r>
        <w:t xml:space="preserve">The business world is split between a pioneer who introduces a new product onto an uncharted market or a follower who enhances an existing product and </w:t>
      </w:r>
      <w:proofErr w:type="spellStart"/>
      <w:r>
        <w:t>capitalises</w:t>
      </w:r>
      <w:proofErr w:type="spellEnd"/>
      <w:r>
        <w:t xml:space="preserve"> on a pre-established market. First-mover advantages are enjoyed by the pioneer companies, which include, among others, building strong brand loyalty, shaping industry trends, and attaining technological leadership (Feng et al., 2020). Like all medical devices, they also have their own challenges — such as high research and development (R&amp;D) costs, unknown markets and educating consumers about a new product.</w:t>
      </w:r>
    </w:p>
    <w:p w14:paraId="00000019" w14:textId="77777777" w:rsidR="00E641AA" w:rsidRDefault="00B027C8">
      <w:pPr>
        <w:spacing w:after="200"/>
      </w:pPr>
      <w:r>
        <w:t>Conversely, follower companies are shielded from higher risks, lower development costs and learning from pioneers’ errors. Pioneering or following, the companies must be very mindful of the industry conditions, technological innovations and consumer preferences. This essay analyses the merits of each pioneer and follower strategy supported with a sample of different real-world examples that illustrate how each approach can become the basis of business success in different industries.</w:t>
      </w:r>
    </w:p>
    <w:p w14:paraId="0000001A" w14:textId="77777777" w:rsidR="00E641AA" w:rsidRDefault="00B027C8">
      <w:pPr>
        <w:pStyle w:val="Heading1"/>
      </w:pPr>
      <w:bookmarkStart w:id="2" w:name="_kmlx68nw1vj5" w:colFirst="0" w:colLast="0"/>
      <w:bookmarkEnd w:id="2"/>
      <w:r>
        <w:t xml:space="preserve">Advantages of being a Pioneer company </w:t>
      </w:r>
    </w:p>
    <w:p w14:paraId="0000001B" w14:textId="77777777" w:rsidR="00E641AA" w:rsidRDefault="00B027C8">
      <w:pPr>
        <w:spacing w:after="200"/>
      </w:pPr>
      <w:r>
        <w:t xml:space="preserve">Entering a market before others means that it has a first-mover advantage. It allows the pioneer company to build strong and loyal customers. For instance, an early leader at Coca-Cola in the soft drink industry created an enduring and globally renowned brand, </w:t>
      </w:r>
      <w:r>
        <w:lastRenderedPageBreak/>
        <w:t>which still maintains dominance today (</w:t>
      </w:r>
      <w:r>
        <w:rPr>
          <w:color w:val="222222"/>
          <w:highlight w:val="white"/>
        </w:rPr>
        <w:t>Dai, 2021</w:t>
      </w:r>
      <w:r>
        <w:t>). Industry leaders also benefit from technological leadership and help to pioneer standards in the industry. For instance, Tesla, being an EV company, totally changed the electricity of the EV market due to the way they invested in battery technology and provided charging infrastructure, thus securing a strong competitive edge (</w:t>
      </w:r>
      <w:r>
        <w:rPr>
          <w:color w:val="222222"/>
          <w:highlight w:val="white"/>
        </w:rPr>
        <w:t>Hopkins</w:t>
      </w:r>
      <w:r>
        <w:rPr>
          <w:color w:val="222222"/>
          <w:sz w:val="28"/>
          <w:szCs w:val="28"/>
          <w:highlight w:val="white"/>
        </w:rPr>
        <w:t xml:space="preserve"> </w:t>
      </w:r>
      <w:r>
        <w:rPr>
          <w:color w:val="222222"/>
          <w:highlight w:val="white"/>
        </w:rPr>
        <w:t xml:space="preserve">and </w:t>
      </w:r>
      <w:proofErr w:type="spellStart"/>
      <w:r>
        <w:rPr>
          <w:color w:val="222222"/>
          <w:highlight w:val="white"/>
        </w:rPr>
        <w:t>Lazonick</w:t>
      </w:r>
      <w:proofErr w:type="spellEnd"/>
      <w:r>
        <w:rPr>
          <w:color w:val="222222"/>
          <w:highlight w:val="white"/>
        </w:rPr>
        <w:t>, 2024</w:t>
      </w:r>
      <w:r>
        <w:t>).</w:t>
      </w:r>
    </w:p>
    <w:p w14:paraId="0000001C" w14:textId="77777777" w:rsidR="00E641AA" w:rsidRDefault="00B027C8">
      <w:pPr>
        <w:spacing w:after="200"/>
      </w:pPr>
      <w:r>
        <w:t>Pioneers also have the ability to achieve economies of scale if they are the first to develop ways to optimize production processes, and so in which case they would have an operational cost edge over their upcoming competitors. They can also patent innovations, as it is cumbersome for followers to replicate their products. In 2007, Apple introduced the iPhone, which changed the smartphone industry and gave it high margins and a loyal customer base (</w:t>
      </w:r>
      <w:r>
        <w:rPr>
          <w:color w:val="222222"/>
          <w:highlight w:val="white"/>
        </w:rPr>
        <w:t>Lin et al. 2023</w:t>
      </w:r>
      <w:r>
        <w:t xml:space="preserve">). Of course, pioneering involves risks. It is hard with high research and development (R&amp;D) costs, market uncertainty and educating consumers on what the product is. While these challenges make it difficult for companies to cross the pioneer path, achieving success on the pioneer path can justify companies taking a leadership position in an industry and creating long-term profit (Kalathas and </w:t>
      </w:r>
      <w:proofErr w:type="spellStart"/>
      <w:r>
        <w:t>Papoutsidakis</w:t>
      </w:r>
      <w:proofErr w:type="spellEnd"/>
      <w:r>
        <w:t xml:space="preserve"> 2021). Pioneering involves risks. However, bad conducts are attributed to their high research and development (R&amp;D) costs, market uncertainty as well as educating consumers on what the product is.</w:t>
      </w:r>
    </w:p>
    <w:p w14:paraId="0000001D" w14:textId="77777777" w:rsidR="00E641AA" w:rsidRDefault="00B027C8">
      <w:pPr>
        <w:spacing w:after="200"/>
      </w:pPr>
      <w:r>
        <w:t xml:space="preserve">One of the other benefits of pioneering is that can shape customers' preference and the standards of an industry. Often, this is when product categories get pioneered and the consumer expectations set, and there is little that followers can do to change things radically (Battisti et al., 2020). Amazon set the standard for e-commerce logistics, customer service and </w:t>
      </w:r>
      <w:proofErr w:type="spellStart"/>
      <w:r>
        <w:t>personalised</w:t>
      </w:r>
      <w:proofErr w:type="spellEnd"/>
      <w:r>
        <w:t xml:space="preserve"> recommendations in what it did in online shopping, and whether people learn from their fans, the follower had to achieve these in order to gain acceptance (Andreoli-</w:t>
      </w:r>
      <w:proofErr w:type="spellStart"/>
      <w:r>
        <w:t>Versbach</w:t>
      </w:r>
      <w:proofErr w:type="spellEnd"/>
      <w:r>
        <w:t xml:space="preserve"> and Gans 2024).</w:t>
      </w:r>
    </w:p>
    <w:p w14:paraId="0000001E" w14:textId="77777777" w:rsidR="00E641AA" w:rsidRDefault="00B027C8">
      <w:pPr>
        <w:spacing w:after="200"/>
      </w:pPr>
      <w:r>
        <w:t xml:space="preserve">Moreover, in such a case, pioneers enjoy supplier and distributor benefits with an advantage since they often gain exclusive agreements to go with the trailblazers. This is better access to raw material prices, </w:t>
      </w:r>
      <w:proofErr w:type="spellStart"/>
      <w:r>
        <w:t>favourable</w:t>
      </w:r>
      <w:proofErr w:type="spellEnd"/>
      <w:r>
        <w:t xml:space="preserve"> prices and a powerful distribution network. For example, Intel, being the first to the microprocessor, had long-term </w:t>
      </w:r>
      <w:r>
        <w:lastRenderedPageBreak/>
        <w:t>agreements with PC manufacturers, to stay unchallenged in the semiconductor industry (Miller 2023).</w:t>
      </w:r>
    </w:p>
    <w:p w14:paraId="0000001F" w14:textId="77777777" w:rsidR="00E641AA" w:rsidRDefault="00B027C8">
      <w:pPr>
        <w:spacing w:after="200"/>
      </w:pPr>
      <w:r>
        <w:t xml:space="preserve">Additionally, the pioneer status allows a company to enjoy premium pricing. Apple used this to its advantage and priced its iPhones and MacBooks at premium levels, promoting a brand that was exclusive and for which it made high-profit margins (Forbes 2022). Continuous product development and customer loyalty </w:t>
      </w:r>
      <w:proofErr w:type="spellStart"/>
      <w:r>
        <w:t>programmes</w:t>
      </w:r>
      <w:proofErr w:type="spellEnd"/>
      <w:r>
        <w:t xml:space="preserve"> can keep the pioneers ahead in product development, leading customers to be consumers for the pioneers only, even if the followers arrive in the market.</w:t>
      </w:r>
    </w:p>
    <w:p w14:paraId="00000020" w14:textId="77777777" w:rsidR="00E641AA" w:rsidRDefault="00B027C8">
      <w:pPr>
        <w:pStyle w:val="Heading1"/>
      </w:pPr>
      <w:bookmarkStart w:id="3" w:name="_7fra0lyn17tg" w:colFirst="0" w:colLast="0"/>
      <w:bookmarkEnd w:id="3"/>
      <w:r>
        <w:t>Advantages of being a follower company</w:t>
      </w:r>
    </w:p>
    <w:p w14:paraId="00000021" w14:textId="77777777" w:rsidR="00E641AA" w:rsidRDefault="00B027C8">
      <w:pPr>
        <w:spacing w:after="200"/>
      </w:pPr>
      <w:r>
        <w:t>Reduced risks benefit follower companies since they can learn from the successes and failures of pioneers. They glance at the market response and refine and improve on the existing products. For instance, Apple came up with the smartphone market and Samsung as well came in lamenting the market share and started gaining it swiftly by improving design, offering multiple price points, and having a robust marketing strategy (</w:t>
      </w:r>
      <w:r>
        <w:rPr>
          <w:color w:val="222222"/>
          <w:highlight w:val="white"/>
        </w:rPr>
        <w:t>Bajarin, 2021</w:t>
      </w:r>
      <w:r>
        <w:t>).</w:t>
      </w:r>
    </w:p>
    <w:p w14:paraId="00000022" w14:textId="77777777" w:rsidR="00E641AA" w:rsidRDefault="00B027C8">
      <w:pPr>
        <w:spacing w:after="200"/>
      </w:pPr>
      <w:r>
        <w:t>Another advantage is cost efficiency. Pioneers deal with the high R&amp;D expenses and followers do not bear them, serving instead to optimize the production and distribution processes. For example besides the phone industry, a Chinese smartphone maker Xiaomi became a prominent player in the smartphone market primarily due to the fact that it offered high quality but cheap devices or in other words cheap but high quality devices and undercut premium brands (</w:t>
      </w:r>
      <w:r>
        <w:rPr>
          <w:color w:val="222222"/>
          <w:highlight w:val="white"/>
        </w:rPr>
        <w:t>Yang et al. 2021</w:t>
      </w:r>
      <w:r>
        <w:t>).</w:t>
      </w:r>
    </w:p>
    <w:p w14:paraId="00000023" w14:textId="77777777" w:rsidR="00E641AA" w:rsidRDefault="00B027C8">
      <w:pPr>
        <w:spacing w:after="200"/>
      </w:pPr>
      <w:r>
        <w:t xml:space="preserve">Market expansion opportunities can also be taken up by followers. It is not the first social media platform, </w:t>
      </w:r>
      <w:proofErr w:type="spellStart"/>
      <w:r>
        <w:t>MySpace</w:t>
      </w:r>
      <w:proofErr w:type="spellEnd"/>
      <w:r>
        <w:t xml:space="preserve"> and Friendster are even older, but </w:t>
      </w:r>
      <w:proofErr w:type="spellStart"/>
      <w:r>
        <w:t>facebook</w:t>
      </w:r>
      <w:proofErr w:type="spellEnd"/>
      <w:r>
        <w:t xml:space="preserve"> managed to be the dominant social media network by improving presentation for users, improving features and it could monetize this well. Furthermore, follower companies can reach </w:t>
      </w:r>
      <w:proofErr w:type="spellStart"/>
      <w:r>
        <w:t>underutilised</w:t>
      </w:r>
      <w:proofErr w:type="spellEnd"/>
      <w:r>
        <w:t xml:space="preserve"> customer segments with variations of existing offerings that meet customer needs (</w:t>
      </w:r>
      <w:proofErr w:type="spellStart"/>
      <w:r>
        <w:t>Kotkova</w:t>
      </w:r>
      <w:proofErr w:type="spellEnd"/>
      <w:r>
        <w:t xml:space="preserve"> </w:t>
      </w:r>
      <w:proofErr w:type="spellStart"/>
      <w:r>
        <w:t>Striteska</w:t>
      </w:r>
      <w:proofErr w:type="spellEnd"/>
      <w:r>
        <w:t xml:space="preserve"> and Prokop 2020). For instance, Netflix didn't invent the streaming business Blockbuster did, but it took a playing field of other companies and perfected it, albeit uniquely, in order to outshine them all, including Blockbuster, with </w:t>
      </w:r>
      <w:proofErr w:type="spellStart"/>
      <w:r>
        <w:lastRenderedPageBreak/>
        <w:t>personalised</w:t>
      </w:r>
      <w:proofErr w:type="spellEnd"/>
      <w:r>
        <w:t xml:space="preserve"> recommendations and a straightforward platform for a monkey (Satell 2024). Strategic partnerships also benefit followers; they can absorb the cost of growing rapidly, through established supply chains and customer bases, while keeping expenses low.</w:t>
      </w:r>
    </w:p>
    <w:p w14:paraId="00000024" w14:textId="77777777" w:rsidR="00E641AA" w:rsidRDefault="00B027C8">
      <w:pPr>
        <w:spacing w:after="200"/>
      </w:pPr>
      <w:r>
        <w:t xml:space="preserve">Also, followers can use reverse engineering and incremental innovation that involves improving an existing product by eliminating flaws, adding benefits, or trimming off cost structures. One relevant example could be that Google wasn’t the first search engine, however, it </w:t>
      </w:r>
      <w:proofErr w:type="spellStart"/>
      <w:r>
        <w:t>analysed</w:t>
      </w:r>
      <w:proofErr w:type="spellEnd"/>
      <w:r>
        <w:t xml:space="preserve"> its predecessors, improved search algorithms and invented better indexing techniques to become the market leader in this industry (Behal 2023).</w:t>
      </w:r>
    </w:p>
    <w:p w14:paraId="00000025" w14:textId="77777777" w:rsidR="00E641AA" w:rsidRDefault="00B027C8">
      <w:pPr>
        <w:spacing w:after="200"/>
      </w:pPr>
      <w:r>
        <w:t>The other point is that flexibility on market positioning and pricing strategies is also a very important one. Therefore, followers can adopt a cost leaders strategy of offering similar products at lower prices to lure higher-priced customers. Can see this in how Huawei and Oppo have done to the smartphone industry not by vending disparate products but by putting high-quality products at affordable prices and challenged the king in the industry, Apple and Samsung (</w:t>
      </w:r>
      <w:proofErr w:type="spellStart"/>
      <w:r>
        <w:t>Mynews</w:t>
      </w:r>
      <w:proofErr w:type="spellEnd"/>
      <w:r>
        <w:t xml:space="preserve"> 2021).</w:t>
      </w:r>
    </w:p>
    <w:p w14:paraId="00000026" w14:textId="77777777" w:rsidR="00E641AA" w:rsidRDefault="00B027C8">
      <w:pPr>
        <w:spacing w:after="200"/>
      </w:pPr>
      <w:r>
        <w:t xml:space="preserve">Additionally, follower companies can enjoy late-mover technological advancement, which means that they benefit from incorporating the latest innovations into their manufactured products at a reduced development cost (Xie et al., 2024). </w:t>
      </w:r>
    </w:p>
    <w:p w14:paraId="00000027" w14:textId="77777777" w:rsidR="00E641AA" w:rsidRDefault="00B027C8">
      <w:pPr>
        <w:spacing w:after="200"/>
      </w:pPr>
      <w:r>
        <w:t>Lastly, the market entry barriers are fewer, when compared to the pioneers, already having created awareness and demand for the product. Instead, they can spend very little on educating consumers, while making their marketing and distribution aggressive (Feng et al., 2020). Android smartphones developed this way, quickly becoming the dominant market point by taking advantage of the demand provoked by Apple’s iPhone while providing options at different price levels.</w:t>
      </w:r>
    </w:p>
    <w:p w14:paraId="00000028" w14:textId="77777777" w:rsidR="00E641AA" w:rsidRDefault="00B027C8">
      <w:pPr>
        <w:pStyle w:val="Heading1"/>
      </w:pPr>
      <w:bookmarkStart w:id="4" w:name="_48z70z1df4r7" w:colFirst="0" w:colLast="0"/>
      <w:bookmarkEnd w:id="4"/>
      <w:r>
        <w:br w:type="page"/>
      </w:r>
    </w:p>
    <w:p w14:paraId="00000029" w14:textId="77777777" w:rsidR="00E641AA" w:rsidRDefault="00B027C8">
      <w:pPr>
        <w:pStyle w:val="Heading1"/>
      </w:pPr>
      <w:bookmarkStart w:id="5" w:name="_ie0t04249t7x" w:colFirst="0" w:colLast="0"/>
      <w:bookmarkEnd w:id="5"/>
      <w:r>
        <w:lastRenderedPageBreak/>
        <w:t>2. “What product life cycle strategies do successful pioneer and follower companies implement to increase growth and maintain a strong competitive advantage? Provide examples of companies to support statements made.”</w:t>
      </w:r>
    </w:p>
    <w:p w14:paraId="0000002A" w14:textId="77777777" w:rsidR="00E641AA" w:rsidRDefault="00B027C8">
      <w:pPr>
        <w:pStyle w:val="Heading1"/>
      </w:pPr>
      <w:bookmarkStart w:id="6" w:name="_nxcgzmuvnh5o" w:colFirst="0" w:colLast="0"/>
      <w:bookmarkEnd w:id="6"/>
      <w:r>
        <w:t>Product Life Cycle Strategies for Pioneers and Followers</w:t>
      </w:r>
    </w:p>
    <w:p w14:paraId="0000002B" w14:textId="77777777" w:rsidR="00E641AA" w:rsidRDefault="00B027C8">
      <w:pPr>
        <w:spacing w:after="200"/>
      </w:pPr>
      <w:r>
        <w:t xml:space="preserve">Product Life Cycle (PLC) is a strategic framework of describing the stages that a product goes through from introduction to decline. The constitution of the lifecycle of a business contains four main key phases – Introduction, growth, maturity and decline. The pioneers and followers take different paths at different stages but their ultimate aim is to increase growth, maintain market leadership and remain competitive </w:t>
      </w:r>
      <w:proofErr w:type="gramStart"/>
      <w:r>
        <w:t>( Pike</w:t>
      </w:r>
      <w:proofErr w:type="gramEnd"/>
      <w:r>
        <w:t xml:space="preserve"> et al., 2023). The latter section of the presentation discusses the growth and maturity stages of an enterprise, during which companies employ specific strategies that would help them conservatism hold a strong market position.</w:t>
      </w:r>
    </w:p>
    <w:p w14:paraId="0000002C" w14:textId="77777777" w:rsidR="00E641AA" w:rsidRDefault="00B027C8">
      <w:pPr>
        <w:pStyle w:val="Heading2"/>
      </w:pPr>
      <w:bookmarkStart w:id="7" w:name="_pg7yw8mzrg5w" w:colFirst="0" w:colLast="0"/>
      <w:bookmarkEnd w:id="7"/>
      <w:r>
        <w:t>Growth Stage Strategies</w:t>
      </w:r>
    </w:p>
    <w:p w14:paraId="0000002D" w14:textId="77777777" w:rsidR="00E641AA" w:rsidRDefault="00B027C8">
      <w:pPr>
        <w:spacing w:after="200"/>
      </w:pPr>
      <w:r>
        <w:t>The product phase of the Product Life Cycle (PLC) is the growth stage when consumer demand is increasing, market presence is expanding and competition is increasing. During this phase, companies implement specific strategies so as to benefit from opportunities on the market and establish a firm competitive advantage.</w:t>
      </w:r>
    </w:p>
    <w:p w14:paraId="0000002E" w14:textId="77777777" w:rsidR="00E641AA" w:rsidRDefault="00B027C8">
      <w:pPr>
        <w:spacing w:after="200"/>
        <w:rPr>
          <w:b/>
        </w:rPr>
      </w:pPr>
      <w:r>
        <w:rPr>
          <w:b/>
        </w:rPr>
        <w:t>1. Market Penetration:</w:t>
      </w:r>
    </w:p>
    <w:p w14:paraId="0000002F" w14:textId="77777777" w:rsidR="00E641AA" w:rsidRDefault="00B027C8">
      <w:pPr>
        <w:spacing w:after="200"/>
      </w:pPr>
      <w:r>
        <w:t xml:space="preserve">There are many attempts by companies to increase its market share by enticing customers away from competitors or inducing non-users into users. This can be done by doing aggressive marketing, being competitive in prices, and increasing product availability. For example, Coca-Cola, with its 42.8% market share in the U.S. carbonated beverage market faces competitors like Pepsi, and Sprite using such strategies as penetration strategy via capturing a larger share of the market (Brand </w:t>
      </w:r>
      <w:proofErr w:type="gramStart"/>
      <w:r>
        <w:t>Finance  2024</w:t>
      </w:r>
      <w:proofErr w:type="gramEnd"/>
      <w:r>
        <w:t>).</w:t>
      </w:r>
    </w:p>
    <w:p w14:paraId="00000030" w14:textId="77777777" w:rsidR="00E641AA" w:rsidRDefault="00B027C8">
      <w:pPr>
        <w:spacing w:after="200"/>
        <w:rPr>
          <w:b/>
        </w:rPr>
      </w:pPr>
      <w:r>
        <w:rPr>
          <w:b/>
        </w:rPr>
        <w:t>2. Product Development and Innovation:</w:t>
      </w:r>
    </w:p>
    <w:p w14:paraId="00000031" w14:textId="77777777" w:rsidR="00E641AA" w:rsidRDefault="00B027C8">
      <w:pPr>
        <w:spacing w:after="200"/>
      </w:pPr>
      <w:r>
        <w:lastRenderedPageBreak/>
        <w:t xml:space="preserve">It can attract a new customer base by introducing new features or improvement in the existing products. For example, although ASOS was built as a clothing retailer, ASOS expanded </w:t>
      </w:r>
      <w:proofErr w:type="spellStart"/>
      <w:proofErr w:type="gramStart"/>
      <w:r>
        <w:t>it’s</w:t>
      </w:r>
      <w:proofErr w:type="spellEnd"/>
      <w:proofErr w:type="gramEnd"/>
      <w:r>
        <w:t xml:space="preserve"> product line to include face and body products appealing to the one stop shopping demand (Tadros 2024). The company’s diversification ensured ASOS braced itself among U.K. competitors with revenues in excess of £1 billion a year.</w:t>
      </w:r>
    </w:p>
    <w:p w14:paraId="00000032" w14:textId="77777777" w:rsidR="00E641AA" w:rsidRDefault="00B027C8">
      <w:pPr>
        <w:spacing w:after="200"/>
        <w:rPr>
          <w:b/>
        </w:rPr>
      </w:pPr>
      <w:r>
        <w:rPr>
          <w:b/>
        </w:rPr>
        <w:t>3. Market Development:</w:t>
      </w:r>
    </w:p>
    <w:p w14:paraId="00000033" w14:textId="77777777" w:rsidR="00E641AA" w:rsidRDefault="00B027C8">
      <w:pPr>
        <w:spacing w:after="200"/>
      </w:pPr>
      <w:r>
        <w:t xml:space="preserve">Improving market share or getting into a new market can bring growth, too. </w:t>
      </w:r>
      <w:proofErr w:type="spellStart"/>
      <w:r>
        <w:t>UberEats</w:t>
      </w:r>
      <w:proofErr w:type="spellEnd"/>
      <w:r>
        <w:t xml:space="preserve"> was the food delivery side of Uber’s business that launched in 2015 when Uber started as a rideshare company and then used its infrastructure to bring people a new customer base (HubSpot 2024).</w:t>
      </w:r>
    </w:p>
    <w:p w14:paraId="00000034" w14:textId="77777777" w:rsidR="00E641AA" w:rsidRDefault="00B027C8">
      <w:pPr>
        <w:spacing w:after="200"/>
        <w:rPr>
          <w:b/>
        </w:rPr>
      </w:pPr>
      <w:r>
        <w:rPr>
          <w:b/>
        </w:rPr>
        <w:t>4. Strategic Acquisitions:</w:t>
      </w:r>
    </w:p>
    <w:p w14:paraId="00000035" w14:textId="77777777" w:rsidR="00E641AA" w:rsidRDefault="00B027C8">
      <w:pPr>
        <w:spacing w:after="200"/>
      </w:pPr>
      <w:r>
        <w:t xml:space="preserve">Companies buy other businesses to quickly get into new markets or expand product line. Procter &amp; Gamble (P&amp;G) is founded in 1837 and </w:t>
      </w:r>
      <w:proofErr w:type="spellStart"/>
      <w:r>
        <w:t>as</w:t>
      </w:r>
      <w:proofErr w:type="spellEnd"/>
      <w:r>
        <w:t xml:space="preserve"> become net sales worth $82 billion for 2023 by acquiring 65 companies including Pampers, Tide and Old Spice (</w:t>
      </w:r>
      <w:proofErr w:type="spellStart"/>
      <w:r>
        <w:t>businessabc</w:t>
      </w:r>
      <w:proofErr w:type="spellEnd"/>
      <w:r>
        <w:t xml:space="preserve"> 2025).</w:t>
      </w:r>
    </w:p>
    <w:p w14:paraId="00000036" w14:textId="77777777" w:rsidR="00E641AA" w:rsidRDefault="00B027C8">
      <w:pPr>
        <w:spacing w:after="200"/>
        <w:rPr>
          <w:b/>
        </w:rPr>
      </w:pPr>
      <w:r>
        <w:rPr>
          <w:b/>
        </w:rPr>
        <w:t>5. Leveraging Artificial Intelligence (AI):</w:t>
      </w:r>
    </w:p>
    <w:p w14:paraId="00000037" w14:textId="77777777" w:rsidR="00E641AA" w:rsidRDefault="00B027C8">
      <w:pPr>
        <w:spacing w:after="200"/>
      </w:pPr>
      <w:r>
        <w:t xml:space="preserve">Companies native to AI can do this fast and efficiently. To name an example: Supernatural AI builds its “Supercharger” platform to </w:t>
      </w:r>
      <w:proofErr w:type="spellStart"/>
      <w:r>
        <w:t>optimise</w:t>
      </w:r>
      <w:proofErr w:type="spellEnd"/>
      <w:r>
        <w:t xml:space="preserve"> branding strategies for clients, doubling revenue with half of a staff, compared to the usual agencies (Rosenbush 2025). </w:t>
      </w:r>
      <w:proofErr w:type="spellStart"/>
      <w:r>
        <w:t>StackBlitz</w:t>
      </w:r>
      <w:proofErr w:type="spellEnd"/>
      <w:r>
        <w:t xml:space="preserve"> also became $20 million in annual revenue within eight weeks of product launch by </w:t>
      </w:r>
      <w:proofErr w:type="spellStart"/>
      <w:r>
        <w:t>utilising</w:t>
      </w:r>
      <w:proofErr w:type="spellEnd"/>
      <w:r>
        <w:t xml:space="preserve"> AI technologies.</w:t>
      </w:r>
    </w:p>
    <w:p w14:paraId="00000038" w14:textId="77777777" w:rsidR="00E641AA" w:rsidRDefault="00B027C8">
      <w:pPr>
        <w:spacing w:after="200"/>
        <w:rPr>
          <w:b/>
        </w:rPr>
      </w:pPr>
      <w:r>
        <w:rPr>
          <w:b/>
        </w:rPr>
        <w:t>6. Serial Acquisitions:</w:t>
      </w:r>
    </w:p>
    <w:p w14:paraId="00000039" w14:textId="77777777" w:rsidR="00E641AA" w:rsidRDefault="00B027C8">
      <w:pPr>
        <w:spacing w:after="200"/>
      </w:pPr>
      <w:r>
        <w:t xml:space="preserve">Companies such as </w:t>
      </w:r>
      <w:proofErr w:type="spellStart"/>
      <w:r>
        <w:t>DiscoverIE</w:t>
      </w:r>
      <w:proofErr w:type="spellEnd"/>
      <w:r>
        <w:t xml:space="preserve"> have used serial acquisitions to grow their geographic reach and increase product offers. However this approach depends upon really holding hand-in-hand with new businesses whilst keeping hold of strong core businesses. The shares of </w:t>
      </w:r>
      <w:proofErr w:type="spellStart"/>
      <w:r>
        <w:t>DiscoverIE</w:t>
      </w:r>
      <w:proofErr w:type="spellEnd"/>
      <w:r>
        <w:t xml:space="preserve"> rose on better-than-expected operating margins as the group </w:t>
      </w:r>
      <w:r>
        <w:lastRenderedPageBreak/>
        <w:t>targets a 15% operating margin by 2028 through higher-margin acquisitions and increased operational efficiencies (Carr 2024).</w:t>
      </w:r>
    </w:p>
    <w:p w14:paraId="0000003A" w14:textId="77777777" w:rsidR="00E641AA" w:rsidRDefault="00B027C8">
      <w:pPr>
        <w:spacing w:after="200"/>
        <w:rPr>
          <w:b/>
        </w:rPr>
      </w:pPr>
      <w:r>
        <w:rPr>
          <w:b/>
        </w:rPr>
        <w:t>7. Strategic Partnerships:</w:t>
      </w:r>
    </w:p>
    <w:p w14:paraId="0000003B" w14:textId="77777777" w:rsidR="00E641AA" w:rsidRDefault="00B027C8">
      <w:pPr>
        <w:spacing w:after="200"/>
      </w:pPr>
      <w:r>
        <w:t xml:space="preserve">It is possible to grow by cooperating with other businesses. A good example of this is the JCPenney and Sephora partnership; this made both companies reach to new customers and to expand in the market. Just as Target seeks to pair up with </w:t>
      </w:r>
      <w:proofErr w:type="spellStart"/>
      <w:r>
        <w:t>Ulta</w:t>
      </w:r>
      <w:proofErr w:type="spellEnd"/>
      <w:r>
        <w:t xml:space="preserve"> Beauty for dedicated shop spaces in at least 800 stores, so too does </w:t>
      </w:r>
      <w:proofErr w:type="spellStart"/>
      <w:r>
        <w:t>Ulta</w:t>
      </w:r>
      <w:proofErr w:type="spellEnd"/>
      <w:r>
        <w:t xml:space="preserve"> Beauty want to open up to Target (HubSpot 2024).</w:t>
      </w:r>
    </w:p>
    <w:p w14:paraId="0000003C" w14:textId="77777777" w:rsidR="00E641AA" w:rsidRDefault="00B027C8">
      <w:pPr>
        <w:pStyle w:val="Heading2"/>
      </w:pPr>
      <w:bookmarkStart w:id="8" w:name="_vcqoh4rk60og" w:colFirst="0" w:colLast="0"/>
      <w:bookmarkEnd w:id="8"/>
      <w:r>
        <w:t>Maturity Stage Strategies</w:t>
      </w:r>
    </w:p>
    <w:p w14:paraId="0000003D" w14:textId="77777777" w:rsidR="00E641AA" w:rsidRDefault="00B027C8">
      <w:pPr>
        <w:spacing w:after="200"/>
      </w:pPr>
      <w:r>
        <w:t>Stage of maturity of the Product Life Cycle (PLC), like sales growth is in a plateau which means the market is saturated and more competition for the product is expected. During this phase, several strategic approaches can be taken for the company to sustain profitability and extend the product’s lifecycle (Watanabe et al., 2023).</w:t>
      </w:r>
    </w:p>
    <w:p w14:paraId="0000003E" w14:textId="77777777" w:rsidR="00E641AA" w:rsidRDefault="00B027C8">
      <w:pPr>
        <w:spacing w:after="200"/>
        <w:rPr>
          <w:b/>
        </w:rPr>
      </w:pPr>
      <w:r>
        <w:rPr>
          <w:b/>
        </w:rPr>
        <w:t>1. Product Differentiation and Enhancement:</w:t>
      </w:r>
    </w:p>
    <w:p w14:paraId="0000003F" w14:textId="77777777" w:rsidR="00E641AA" w:rsidRDefault="00B027C8">
      <w:pPr>
        <w:spacing w:after="200"/>
      </w:pPr>
      <w:r>
        <w:t xml:space="preserve">It's critical to stand out in a market that's crowded with awes and for that continuous refining &amp; innovation is mandatory. Normal fashion to cheque out and enhance product functions, design, and also capability is by complying with changing consumer needs. However, this doesn’t have to be taken by the company alone; it can be done through gathering customer feedback, market research, and R&amp;D. A unique selling proposition can also positively enhance the user experience (UX) by </w:t>
      </w:r>
      <w:proofErr w:type="spellStart"/>
      <w:r>
        <w:t>optimising</w:t>
      </w:r>
      <w:proofErr w:type="spellEnd"/>
      <w:r>
        <w:t xml:space="preserve"> usability and providing high-quality customer support, even in highly mature markets, attracting new customers (</w:t>
      </w:r>
      <w:proofErr w:type="spellStart"/>
      <w:r>
        <w:t>OriginUX</w:t>
      </w:r>
      <w:proofErr w:type="spellEnd"/>
      <w:r>
        <w:t xml:space="preserve"> </w:t>
      </w:r>
      <w:proofErr w:type="gramStart"/>
      <w:r>
        <w:t>Studio  2023</w:t>
      </w:r>
      <w:proofErr w:type="gramEnd"/>
      <w:r>
        <w:t>).</w:t>
      </w:r>
    </w:p>
    <w:p w14:paraId="00000040" w14:textId="77777777" w:rsidR="00E641AA" w:rsidRDefault="00B027C8">
      <w:pPr>
        <w:spacing w:after="200"/>
        <w:rPr>
          <w:b/>
        </w:rPr>
      </w:pPr>
      <w:r>
        <w:rPr>
          <w:b/>
        </w:rPr>
        <w:t>2. Market Expansion:</w:t>
      </w:r>
    </w:p>
    <w:p w14:paraId="00000041" w14:textId="77777777" w:rsidR="00E641AA" w:rsidRDefault="00B027C8">
      <w:pPr>
        <w:spacing w:after="200"/>
      </w:pPr>
      <w:r>
        <w:t xml:space="preserve">It can take an investigation into new markets to counteract saturation. This basically involves targeting a new customer segment, moving into new geography or identifying a new application of the product. For instance, when the market in the U.S. was saturated, McDonald’s moved to an international expansion through adapting its menu to local </w:t>
      </w:r>
      <w:r>
        <w:lastRenderedPageBreak/>
        <w:t xml:space="preserve">tastes. Likewise, financial institutions and automobile dealers began marketing to women because they have started </w:t>
      </w:r>
      <w:proofErr w:type="spellStart"/>
      <w:r>
        <w:t>recognising</w:t>
      </w:r>
      <w:proofErr w:type="spellEnd"/>
      <w:r>
        <w:t xml:space="preserve"> women as a more powerful buying force.</w:t>
      </w:r>
    </w:p>
    <w:p w14:paraId="00000042" w14:textId="77777777" w:rsidR="00E641AA" w:rsidRDefault="00B027C8">
      <w:pPr>
        <w:spacing w:after="200"/>
        <w:rPr>
          <w:b/>
        </w:rPr>
      </w:pPr>
      <w:r>
        <w:rPr>
          <w:b/>
        </w:rPr>
        <w:t>3. Diversification of Product Portfolio:</w:t>
      </w:r>
    </w:p>
    <w:p w14:paraId="00000043" w14:textId="77777777" w:rsidR="00E641AA" w:rsidRDefault="00B027C8">
      <w:pPr>
        <w:spacing w:after="200"/>
      </w:pPr>
      <w:r>
        <w:t>It eases dependence on just one product or offering by introducing new products or variations. This not only helps you to mitigate your risk but also caters to different customer tastes and revenue streams sustained.</w:t>
      </w:r>
    </w:p>
    <w:p w14:paraId="00000044" w14:textId="77777777" w:rsidR="00E641AA" w:rsidRDefault="00B027C8">
      <w:pPr>
        <w:spacing w:after="200"/>
        <w:rPr>
          <w:b/>
        </w:rPr>
      </w:pPr>
      <w:r>
        <w:rPr>
          <w:b/>
        </w:rPr>
        <w:t>4. Operational Efficiency and Flexible Pricing:</w:t>
      </w:r>
    </w:p>
    <w:p w14:paraId="00000045" w14:textId="77777777" w:rsidR="00E641AA" w:rsidRDefault="00B027C8">
      <w:pPr>
        <w:spacing w:after="200"/>
      </w:pPr>
      <w:r>
        <w:t xml:space="preserve">To cope with intense competition in its environment, a firm can </w:t>
      </w:r>
      <w:proofErr w:type="spellStart"/>
      <w:r>
        <w:t>optimise</w:t>
      </w:r>
      <w:proofErr w:type="spellEnd"/>
      <w:r>
        <w:t xml:space="preserve"> operations in order to </w:t>
      </w:r>
      <w:proofErr w:type="spellStart"/>
      <w:r>
        <w:t>minimise</w:t>
      </w:r>
      <w:proofErr w:type="spellEnd"/>
      <w:r>
        <w:t xml:space="preserve"> costs and also create flexible pricing strategies to sustain profitability. However, companies have to avoid price wars that could result in a bleeding of profit margins (Symon et al., 2022). For example, during tough economic times, online </w:t>
      </w:r>
      <w:proofErr w:type="gramStart"/>
      <w:r>
        <w:t xml:space="preserve">retailers‘ </w:t>
      </w:r>
      <w:proofErr w:type="spellStart"/>
      <w:r>
        <w:t>practise</w:t>
      </w:r>
      <w:proofErr w:type="spellEnd"/>
      <w:proofErr w:type="gramEnd"/>
      <w:r>
        <w:t xml:space="preserve"> of pricing down on products and goods and cutting parcel prices all steer towards damaging idealistic mass retailers.</w:t>
      </w:r>
    </w:p>
    <w:p w14:paraId="00000046" w14:textId="77777777" w:rsidR="00E641AA" w:rsidRDefault="00B027C8">
      <w:pPr>
        <w:spacing w:after="200"/>
        <w:rPr>
          <w:b/>
        </w:rPr>
      </w:pPr>
      <w:r>
        <w:rPr>
          <w:b/>
        </w:rPr>
        <w:t>5. Strengthening Customer Relationships:</w:t>
      </w:r>
    </w:p>
    <w:p w14:paraId="00000047" w14:textId="77777777" w:rsidR="00E641AA" w:rsidRDefault="00B027C8">
      <w:pPr>
        <w:spacing w:after="200"/>
      </w:pPr>
      <w:r>
        <w:t>Loyal programs and personalized marketing can build strong customer relationships and improve customer retention. If a company understands and responds to customer needs, it will create lover and assure repeat purchases.</w:t>
      </w:r>
    </w:p>
    <w:p w14:paraId="00000048" w14:textId="77777777" w:rsidR="00E641AA" w:rsidRDefault="00B027C8">
      <w:pPr>
        <w:spacing w:after="200"/>
        <w:rPr>
          <w:b/>
        </w:rPr>
      </w:pPr>
      <w:r>
        <w:rPr>
          <w:b/>
        </w:rPr>
        <w:t>6. Leveraging Data and Analytics:</w:t>
      </w:r>
    </w:p>
    <w:p w14:paraId="00000049" w14:textId="77777777" w:rsidR="00E641AA" w:rsidRDefault="00B027C8">
      <w:pPr>
        <w:spacing w:after="200"/>
      </w:pPr>
      <w:r>
        <w:t>This allows companies to react proactively to unmet needs and emerging trends by using data and analytics to identify such needs. A data driven approach to this will guarantee that the offerings remain fresh and relevant in a mature market (Rehman 2024).</w:t>
      </w:r>
    </w:p>
    <w:p w14:paraId="0000004A" w14:textId="77777777" w:rsidR="00E641AA" w:rsidRDefault="00B027C8">
      <w:pPr>
        <w:spacing w:after="200"/>
        <w:rPr>
          <w:b/>
        </w:rPr>
      </w:pPr>
      <w:r>
        <w:rPr>
          <w:b/>
        </w:rPr>
        <w:t>7. Modifying Marketing Strategies:</w:t>
      </w:r>
    </w:p>
    <w:p w14:paraId="0000004B" w14:textId="77777777" w:rsidR="00E641AA" w:rsidRDefault="00B027C8">
      <w:pPr>
        <w:spacing w:after="200"/>
      </w:pPr>
      <w:r>
        <w:t xml:space="preserve">The focus of marketing strategies should be to adjust to value and benefits that will give a competitive advantage. In the maturity stage, promotions may be increased to thrill the product from competitors. Starbucks responded back by modifying its stock and store environment to regain the traditional coffee shop components to what the patrons wished </w:t>
      </w:r>
      <w:r>
        <w:lastRenderedPageBreak/>
        <w:t xml:space="preserve">for and just wanted by adapting to competitive pressures (Payam </w:t>
      </w:r>
      <w:proofErr w:type="spellStart"/>
      <w:r>
        <w:t>Hanafizadeh</w:t>
      </w:r>
      <w:proofErr w:type="spellEnd"/>
      <w:r>
        <w:t xml:space="preserve"> and Sepideh Shafia 2021).</w:t>
      </w:r>
    </w:p>
    <w:p w14:paraId="0000004C" w14:textId="77777777" w:rsidR="00E641AA" w:rsidRDefault="00B027C8">
      <w:pPr>
        <w:pStyle w:val="Heading1"/>
      </w:pPr>
      <w:bookmarkStart w:id="9" w:name="_gz03in1ecn5w" w:colFirst="0" w:colLast="0"/>
      <w:bookmarkEnd w:id="9"/>
      <w:r>
        <w:t>Conclusion</w:t>
      </w:r>
    </w:p>
    <w:p w14:paraId="0000004D" w14:textId="77777777" w:rsidR="00E641AA" w:rsidRDefault="00B027C8">
      <w:pPr>
        <w:spacing w:after="200"/>
      </w:pPr>
      <w:r>
        <w:t xml:space="preserve">The choice to be a pioneer or a follower in the market has a great impact on a company long-term success. Therefore, the first-mover advantage bestowed by pioneer companies can allow them to gain brand recognition, technological leadership, and economies of scale. They have also high R&amp;D costs, market uncertainties and difficulty of educating consumers, however. However, follower companies rely on the pioneering companies’ successes and failures to </w:t>
      </w:r>
      <w:proofErr w:type="spellStart"/>
      <w:r>
        <w:t>capitalise</w:t>
      </w:r>
      <w:proofErr w:type="spellEnd"/>
      <w:r>
        <w:t xml:space="preserve"> on existing market demand and </w:t>
      </w:r>
      <w:proofErr w:type="spellStart"/>
      <w:r>
        <w:t>minimise</w:t>
      </w:r>
      <w:proofErr w:type="spellEnd"/>
      <w:r>
        <w:t xml:space="preserve"> the risk of new market entry and improve their product offers. The pioneering companies such as Tesla, Apple, and Coca-Cola led the way by using their advantages, while Samsung, Xiaomi, and Facebook showed that it is easy to follow and perfect the existing innovations.</w:t>
      </w:r>
    </w:p>
    <w:p w14:paraId="0000004E" w14:textId="77777777" w:rsidR="00E641AA" w:rsidRDefault="00B027C8">
      <w:pPr>
        <w:spacing w:after="200"/>
      </w:pPr>
      <w:r>
        <w:t xml:space="preserve">Both the pioneers and their follow-ups must have occur to growth and maturity stage strategy to sustain the competitiveness in the period of the Product Life Cycle. Pioneers and followers perform creatively during growth stage by either focusing on market expansion and innovation or using cost leadership and aggressive marketing. The maturity stage consists of pioneers in which the themes are product diversification, customer loyalty and operational efficiency, and followed by the theme of market repositioning and strategic differentiation as being </w:t>
      </w:r>
      <w:proofErr w:type="spellStart"/>
      <w:r>
        <w:t>emphasised</w:t>
      </w:r>
      <w:proofErr w:type="spellEnd"/>
      <w:r>
        <w:t xml:space="preserve"> by the followers.</w:t>
      </w:r>
    </w:p>
    <w:p w14:paraId="0000004F" w14:textId="77777777" w:rsidR="00E641AA" w:rsidRDefault="00B027C8">
      <w:pPr>
        <w:spacing w:after="200"/>
      </w:pPr>
      <w:r>
        <w:br w:type="page"/>
      </w:r>
    </w:p>
    <w:p w14:paraId="00000050" w14:textId="77777777" w:rsidR="00E641AA" w:rsidRDefault="00B027C8">
      <w:pPr>
        <w:pStyle w:val="Heading1"/>
      </w:pPr>
      <w:bookmarkStart w:id="10" w:name="_tt5tngluzjwr" w:colFirst="0" w:colLast="0"/>
      <w:bookmarkEnd w:id="10"/>
      <w:r>
        <w:lastRenderedPageBreak/>
        <w:t xml:space="preserve">Reference list </w:t>
      </w:r>
    </w:p>
    <w:p w14:paraId="00000051" w14:textId="77777777" w:rsidR="00E641AA" w:rsidRDefault="00B027C8">
      <w:pPr>
        <w:spacing w:before="240" w:after="200"/>
        <w:rPr>
          <w:color w:val="222222"/>
          <w:highlight w:val="white"/>
        </w:rPr>
      </w:pPr>
      <w:bookmarkStart w:id="11" w:name="_jiuyprnth3dx" w:colFirst="0" w:colLast="0"/>
      <w:bookmarkEnd w:id="11"/>
      <w:r>
        <w:rPr>
          <w:color w:val="222222"/>
          <w:highlight w:val="white"/>
        </w:rPr>
        <w:t xml:space="preserve">Bajarin, T. 2021. </w:t>
      </w:r>
      <w:r>
        <w:rPr>
          <w:i/>
          <w:color w:val="222222"/>
          <w:highlight w:val="white"/>
        </w:rPr>
        <w:t>Why Apple and Samsung’s Device Competition Is Great for Consumers</w:t>
      </w:r>
      <w:r>
        <w:rPr>
          <w:color w:val="222222"/>
          <w:highlight w:val="white"/>
        </w:rPr>
        <w:t xml:space="preserve">, </w:t>
      </w:r>
      <w:r>
        <w:rPr>
          <w:i/>
          <w:color w:val="222222"/>
          <w:highlight w:val="white"/>
        </w:rPr>
        <w:t>Forbes</w:t>
      </w:r>
      <w:r>
        <w:rPr>
          <w:color w:val="222222"/>
          <w:highlight w:val="white"/>
        </w:rPr>
        <w:t>. Available at: https://www.forbes.com/sites/timbajarin/2021/08/12/why-apple-and-samsungs-device-competition-is-great-for-consumers/ (Accessed: 10 March 2025).</w:t>
      </w:r>
    </w:p>
    <w:p w14:paraId="00000052" w14:textId="77777777" w:rsidR="00E641AA" w:rsidRDefault="00B027C8">
      <w:pPr>
        <w:spacing w:before="240" w:after="200"/>
        <w:rPr>
          <w:color w:val="222222"/>
          <w:highlight w:val="white"/>
        </w:rPr>
      </w:pPr>
      <w:r>
        <w:rPr>
          <w:color w:val="222222"/>
          <w:highlight w:val="white"/>
        </w:rPr>
        <w:t xml:space="preserve">Dai, Y., 2021, March. Comparison of emphasis point towards marketing strategies between Pepsi &amp; </w:t>
      </w:r>
      <w:proofErr w:type="spellStart"/>
      <w:r>
        <w:rPr>
          <w:color w:val="222222"/>
          <w:highlight w:val="white"/>
        </w:rPr>
        <w:t>Coca-cola</w:t>
      </w:r>
      <w:proofErr w:type="spellEnd"/>
      <w:r>
        <w:rPr>
          <w:color w:val="222222"/>
          <w:highlight w:val="white"/>
        </w:rPr>
        <w:t xml:space="preserve">. In </w:t>
      </w:r>
      <w:r>
        <w:rPr>
          <w:i/>
          <w:color w:val="222222"/>
          <w:highlight w:val="white"/>
        </w:rPr>
        <w:t>6th international conference on financial innovation and economic development (ICFIED 2021)</w:t>
      </w:r>
      <w:r>
        <w:rPr>
          <w:color w:val="222222"/>
          <w:highlight w:val="white"/>
        </w:rPr>
        <w:t xml:space="preserve"> (pp. 79-83). Atlantis Press.</w:t>
      </w:r>
    </w:p>
    <w:p w14:paraId="00000053" w14:textId="77777777" w:rsidR="00E641AA" w:rsidRDefault="00B027C8">
      <w:pPr>
        <w:spacing w:before="240" w:after="200"/>
        <w:rPr>
          <w:color w:val="222222"/>
          <w:highlight w:val="white"/>
        </w:rPr>
      </w:pPr>
      <w:r>
        <w:rPr>
          <w:color w:val="222222"/>
          <w:highlight w:val="white"/>
        </w:rPr>
        <w:t xml:space="preserve">Hopkins, M. and </w:t>
      </w:r>
      <w:proofErr w:type="spellStart"/>
      <w:r>
        <w:rPr>
          <w:color w:val="222222"/>
          <w:highlight w:val="white"/>
        </w:rPr>
        <w:t>Lazonick</w:t>
      </w:r>
      <w:proofErr w:type="spellEnd"/>
      <w:r>
        <w:rPr>
          <w:color w:val="222222"/>
          <w:highlight w:val="white"/>
        </w:rPr>
        <w:t xml:space="preserve">, W., 2024. Tesla as a Global Competitor: Strategic Control in the EV Transition. </w:t>
      </w:r>
      <w:r>
        <w:rPr>
          <w:i/>
          <w:color w:val="222222"/>
          <w:highlight w:val="white"/>
        </w:rPr>
        <w:t>Institute for New Economic Thinking Working Paper Series</w:t>
      </w:r>
      <w:r>
        <w:rPr>
          <w:color w:val="222222"/>
          <w:highlight w:val="white"/>
        </w:rPr>
        <w:t>, (225).</w:t>
      </w:r>
    </w:p>
    <w:p w14:paraId="00000054" w14:textId="77777777" w:rsidR="00E641AA" w:rsidRDefault="00B027C8">
      <w:pPr>
        <w:spacing w:before="240" w:after="200"/>
        <w:rPr>
          <w:color w:val="222222"/>
          <w:highlight w:val="white"/>
        </w:rPr>
      </w:pPr>
      <w:r>
        <w:rPr>
          <w:color w:val="222222"/>
          <w:highlight w:val="white"/>
        </w:rPr>
        <w:t xml:space="preserve">Lin, Q., Xiaoyu, L. and </w:t>
      </w:r>
      <w:proofErr w:type="spellStart"/>
      <w:r>
        <w:rPr>
          <w:color w:val="222222"/>
          <w:highlight w:val="white"/>
        </w:rPr>
        <w:t>Jianqiang</w:t>
      </w:r>
      <w:proofErr w:type="spellEnd"/>
      <w:r>
        <w:rPr>
          <w:color w:val="222222"/>
          <w:highlight w:val="white"/>
        </w:rPr>
        <w:t xml:space="preserve">, Z., 2023. The Apple Company's Foreign Expansion and Market Entry Strategy. </w:t>
      </w:r>
      <w:r>
        <w:rPr>
          <w:i/>
          <w:color w:val="222222"/>
          <w:highlight w:val="white"/>
        </w:rPr>
        <w:t>International Journal on Recent Trends in Business and Tourism (IJRTBT)</w:t>
      </w:r>
      <w:r>
        <w:rPr>
          <w:color w:val="222222"/>
          <w:highlight w:val="white"/>
        </w:rPr>
        <w:t xml:space="preserve">, </w:t>
      </w:r>
      <w:r>
        <w:rPr>
          <w:i/>
          <w:color w:val="222222"/>
          <w:highlight w:val="white"/>
        </w:rPr>
        <w:t>7</w:t>
      </w:r>
      <w:r>
        <w:rPr>
          <w:color w:val="222222"/>
          <w:highlight w:val="white"/>
        </w:rPr>
        <w:t>(3), pp.47-60.</w:t>
      </w:r>
    </w:p>
    <w:p w14:paraId="00000055" w14:textId="77777777" w:rsidR="00E641AA" w:rsidRDefault="00B027C8">
      <w:pPr>
        <w:spacing w:before="240" w:after="200"/>
        <w:rPr>
          <w:color w:val="222222"/>
          <w:highlight w:val="white"/>
        </w:rPr>
      </w:pPr>
      <w:r>
        <w:rPr>
          <w:color w:val="222222"/>
          <w:highlight w:val="white"/>
        </w:rPr>
        <w:t xml:space="preserve">Yang, H., Ma, J. and Chattopadhyay, A. 2021. </w:t>
      </w:r>
      <w:r>
        <w:rPr>
          <w:i/>
          <w:color w:val="222222"/>
          <w:highlight w:val="white"/>
        </w:rPr>
        <w:t>How Xiaomi Became an Internet-of-Things Powerhouse</w:t>
      </w:r>
      <w:r>
        <w:rPr>
          <w:color w:val="222222"/>
          <w:highlight w:val="white"/>
        </w:rPr>
        <w:t xml:space="preserve">, </w:t>
      </w:r>
      <w:r>
        <w:rPr>
          <w:i/>
          <w:color w:val="222222"/>
          <w:highlight w:val="white"/>
        </w:rPr>
        <w:t>Harvard Business Review</w:t>
      </w:r>
      <w:r>
        <w:rPr>
          <w:color w:val="222222"/>
          <w:highlight w:val="white"/>
        </w:rPr>
        <w:t>. Available at: https://hbr.org/2021/04/how-xiaomi-became-an-internet-of-things-powerhouse (Accessed: 10 March 2025).</w:t>
      </w:r>
    </w:p>
    <w:p w14:paraId="00000056" w14:textId="77777777" w:rsidR="00E641AA" w:rsidRDefault="00B027C8">
      <w:pPr>
        <w:spacing w:before="240" w:after="240"/>
        <w:rPr>
          <w:color w:val="222222"/>
          <w:highlight w:val="white"/>
        </w:rPr>
      </w:pPr>
      <w:r>
        <w:rPr>
          <w:color w:val="222222"/>
          <w:highlight w:val="white"/>
        </w:rPr>
        <w:t>Andreoli-</w:t>
      </w:r>
      <w:proofErr w:type="spellStart"/>
      <w:r>
        <w:rPr>
          <w:color w:val="222222"/>
          <w:highlight w:val="white"/>
        </w:rPr>
        <w:t>Versbach</w:t>
      </w:r>
      <w:proofErr w:type="spellEnd"/>
      <w:r>
        <w:rPr>
          <w:color w:val="222222"/>
          <w:highlight w:val="white"/>
        </w:rPr>
        <w:t xml:space="preserve">, P. and Gans, J. (2024) </w:t>
      </w:r>
      <w:r>
        <w:rPr>
          <w:i/>
          <w:color w:val="222222"/>
          <w:highlight w:val="white"/>
        </w:rPr>
        <w:t>Interplay between Amazon store and logistics</w:t>
      </w:r>
      <w:r>
        <w:rPr>
          <w:color w:val="222222"/>
          <w:highlight w:val="white"/>
        </w:rPr>
        <w:t xml:space="preserve">, </w:t>
      </w:r>
      <w:r>
        <w:rPr>
          <w:i/>
          <w:color w:val="222222"/>
          <w:highlight w:val="white"/>
        </w:rPr>
        <w:t xml:space="preserve">Taylor and Francis </w:t>
      </w:r>
      <w:proofErr w:type="gramStart"/>
      <w:r>
        <w:rPr>
          <w:i/>
          <w:color w:val="222222"/>
          <w:highlight w:val="white"/>
        </w:rPr>
        <w:t xml:space="preserve">Online </w:t>
      </w:r>
      <w:r>
        <w:rPr>
          <w:color w:val="222222"/>
          <w:highlight w:val="white"/>
        </w:rPr>
        <w:t>.</w:t>
      </w:r>
      <w:proofErr w:type="gramEnd"/>
      <w:r>
        <w:rPr>
          <w:color w:val="222222"/>
          <w:highlight w:val="white"/>
        </w:rPr>
        <w:t xml:space="preserve"> Available at: https://doi.org/10.1080/17441056.2024.2312494 (Accessed: 20 March 2025).</w:t>
      </w:r>
    </w:p>
    <w:p w14:paraId="00000057" w14:textId="77777777" w:rsidR="00E641AA" w:rsidRDefault="00B027C8">
      <w:pPr>
        <w:spacing w:before="240" w:after="240"/>
        <w:rPr>
          <w:color w:val="222222"/>
          <w:highlight w:val="white"/>
        </w:rPr>
      </w:pPr>
      <w:r>
        <w:rPr>
          <w:color w:val="222222"/>
          <w:highlight w:val="white"/>
        </w:rPr>
        <w:t xml:space="preserve">Battisti, E. </w:t>
      </w:r>
      <w:r>
        <w:rPr>
          <w:i/>
          <w:color w:val="222222"/>
          <w:highlight w:val="white"/>
        </w:rPr>
        <w:t>et al.</w:t>
      </w:r>
      <w:r>
        <w:rPr>
          <w:color w:val="222222"/>
          <w:highlight w:val="white"/>
        </w:rPr>
        <w:t xml:space="preserve"> (2020) ‘Value creation, innovation practice, and competitive advantage: Evidence from the FTSE MIB index’, </w:t>
      </w:r>
      <w:r>
        <w:rPr>
          <w:i/>
          <w:color w:val="222222"/>
          <w:highlight w:val="white"/>
        </w:rPr>
        <w:t>European journal of innovation management</w:t>
      </w:r>
      <w:r>
        <w:rPr>
          <w:color w:val="222222"/>
          <w:highlight w:val="white"/>
        </w:rPr>
        <w:t>, 23(2), pp. 273–290. Available at: https://doi.org/10.1108/EJIM-09-2018-0211.</w:t>
      </w:r>
    </w:p>
    <w:p w14:paraId="00000058" w14:textId="77777777" w:rsidR="00E641AA" w:rsidRDefault="00B027C8">
      <w:pPr>
        <w:spacing w:before="240" w:after="240"/>
        <w:rPr>
          <w:color w:val="222222"/>
          <w:highlight w:val="white"/>
        </w:rPr>
      </w:pPr>
      <w:r>
        <w:rPr>
          <w:color w:val="222222"/>
          <w:highlight w:val="white"/>
        </w:rPr>
        <w:t xml:space="preserve">Behal, G. (2023) </w:t>
      </w:r>
      <w:r>
        <w:rPr>
          <w:i/>
          <w:color w:val="222222"/>
          <w:highlight w:val="white"/>
        </w:rPr>
        <w:t>The Complete History &amp; Evolution of Web Search</w:t>
      </w:r>
      <w:r>
        <w:rPr>
          <w:color w:val="222222"/>
          <w:highlight w:val="white"/>
        </w:rPr>
        <w:t xml:space="preserve">, </w:t>
      </w:r>
      <w:r>
        <w:rPr>
          <w:i/>
          <w:color w:val="222222"/>
          <w:highlight w:val="white"/>
        </w:rPr>
        <w:t>RSS</w:t>
      </w:r>
      <w:r>
        <w:rPr>
          <w:color w:val="222222"/>
          <w:highlight w:val="white"/>
        </w:rPr>
        <w:t>. Available at: https://www.oslash.com/blog/history-evolution-of-web-search (Accessed: 20 March 2025).</w:t>
      </w:r>
    </w:p>
    <w:p w14:paraId="00000059" w14:textId="77777777" w:rsidR="00E641AA" w:rsidRDefault="00B027C8">
      <w:pPr>
        <w:spacing w:before="240" w:after="240"/>
        <w:rPr>
          <w:color w:val="222222"/>
          <w:highlight w:val="white"/>
        </w:rPr>
      </w:pPr>
      <w:r>
        <w:rPr>
          <w:color w:val="222222"/>
          <w:highlight w:val="white"/>
        </w:rPr>
        <w:lastRenderedPageBreak/>
        <w:t xml:space="preserve">Brand Finance (2024) </w:t>
      </w:r>
      <w:r>
        <w:rPr>
          <w:i/>
          <w:color w:val="222222"/>
          <w:highlight w:val="white"/>
        </w:rPr>
        <w:t xml:space="preserve">Coca-Cola and Pepsi lead the non-alcoholic drinks </w:t>
      </w:r>
      <w:proofErr w:type="gramStart"/>
      <w:r>
        <w:rPr>
          <w:i/>
          <w:color w:val="222222"/>
          <w:highlight w:val="white"/>
        </w:rPr>
        <w:t>market :</w:t>
      </w:r>
      <w:proofErr w:type="gramEnd"/>
      <w:r>
        <w:rPr>
          <w:i/>
          <w:color w:val="222222"/>
          <w:highlight w:val="white"/>
        </w:rPr>
        <w:t xml:space="preserve"> Press release</w:t>
      </w:r>
      <w:r>
        <w:rPr>
          <w:color w:val="222222"/>
          <w:highlight w:val="white"/>
        </w:rPr>
        <w:t xml:space="preserve">, </w:t>
      </w:r>
      <w:r>
        <w:rPr>
          <w:i/>
          <w:color w:val="222222"/>
          <w:highlight w:val="white"/>
        </w:rPr>
        <w:t>Brand Finance</w:t>
      </w:r>
      <w:r>
        <w:rPr>
          <w:color w:val="222222"/>
          <w:highlight w:val="white"/>
        </w:rPr>
        <w:t>. Available at: https://brandfinance.com/press-releases/coca-cola-and-pepsi-lead-the-non-alcoholic-drinks-market (Accessed: 20 March 2025).</w:t>
      </w:r>
    </w:p>
    <w:p w14:paraId="0000005A" w14:textId="77777777" w:rsidR="00E641AA" w:rsidRDefault="00B027C8">
      <w:pPr>
        <w:spacing w:before="240" w:after="240"/>
        <w:rPr>
          <w:color w:val="222222"/>
          <w:highlight w:val="white"/>
        </w:rPr>
      </w:pPr>
      <w:proofErr w:type="spellStart"/>
      <w:r>
        <w:rPr>
          <w:color w:val="222222"/>
          <w:highlight w:val="white"/>
        </w:rPr>
        <w:t>businessabc</w:t>
      </w:r>
      <w:proofErr w:type="spellEnd"/>
      <w:r>
        <w:rPr>
          <w:color w:val="222222"/>
          <w:highlight w:val="white"/>
        </w:rPr>
        <w:t xml:space="preserve"> (2025) </w:t>
      </w:r>
      <w:r>
        <w:rPr>
          <w:i/>
          <w:color w:val="222222"/>
          <w:highlight w:val="white"/>
        </w:rPr>
        <w:t>Procter &amp; Gamble (P&amp;G)</w:t>
      </w:r>
      <w:r>
        <w:rPr>
          <w:color w:val="222222"/>
          <w:highlight w:val="white"/>
        </w:rPr>
        <w:t xml:space="preserve">, </w:t>
      </w:r>
      <w:r>
        <w:rPr>
          <w:i/>
          <w:color w:val="222222"/>
          <w:highlight w:val="white"/>
        </w:rPr>
        <w:t>businessabc.net</w:t>
      </w:r>
      <w:r>
        <w:rPr>
          <w:color w:val="222222"/>
          <w:highlight w:val="white"/>
        </w:rPr>
        <w:t>. Available at: https://businessabc.net/wiki/procter-gamble (Accessed: 20 March 2025).</w:t>
      </w:r>
    </w:p>
    <w:p w14:paraId="0000005B" w14:textId="77777777" w:rsidR="00E641AA" w:rsidRDefault="00B027C8">
      <w:pPr>
        <w:spacing w:before="240" w:after="240"/>
        <w:rPr>
          <w:color w:val="222222"/>
          <w:highlight w:val="white"/>
        </w:rPr>
      </w:pPr>
      <w:r>
        <w:rPr>
          <w:color w:val="222222"/>
          <w:highlight w:val="white"/>
        </w:rPr>
        <w:t xml:space="preserve">Carr, R. (2024) </w:t>
      </w:r>
      <w:proofErr w:type="spellStart"/>
      <w:r>
        <w:rPr>
          <w:i/>
          <w:color w:val="222222"/>
          <w:highlight w:val="white"/>
        </w:rPr>
        <w:t>Stockpickers</w:t>
      </w:r>
      <w:proofErr w:type="spellEnd"/>
      <w:r>
        <w:rPr>
          <w:i/>
          <w:color w:val="222222"/>
          <w:highlight w:val="white"/>
        </w:rPr>
        <w:t xml:space="preserve">: Acquisitive groups such as </w:t>
      </w:r>
      <w:proofErr w:type="spellStart"/>
      <w:r>
        <w:rPr>
          <w:i/>
          <w:color w:val="222222"/>
          <w:highlight w:val="white"/>
        </w:rPr>
        <w:t>Discoverie</w:t>
      </w:r>
      <w:proofErr w:type="spellEnd"/>
      <w:r>
        <w:rPr>
          <w:i/>
          <w:color w:val="222222"/>
          <w:highlight w:val="white"/>
        </w:rPr>
        <w:t xml:space="preserve"> Reap Rewards</w:t>
      </w:r>
      <w:r>
        <w:rPr>
          <w:color w:val="222222"/>
          <w:highlight w:val="white"/>
        </w:rPr>
        <w:t xml:space="preserve">, </w:t>
      </w:r>
      <w:r>
        <w:rPr>
          <w:i/>
          <w:color w:val="222222"/>
          <w:highlight w:val="white"/>
        </w:rPr>
        <w:t>Subscribe to read</w:t>
      </w:r>
      <w:r>
        <w:rPr>
          <w:color w:val="222222"/>
          <w:highlight w:val="white"/>
        </w:rPr>
        <w:t>. Available at: https://www.ft.com/content/dc0faf9d-8028-447f-a2a8-051c57277d09 (Accessed: 20 March 2025).</w:t>
      </w:r>
    </w:p>
    <w:p w14:paraId="0000005C" w14:textId="77777777" w:rsidR="00E641AA" w:rsidRDefault="00B027C8">
      <w:pPr>
        <w:spacing w:before="240" w:after="240"/>
        <w:rPr>
          <w:color w:val="222222"/>
          <w:highlight w:val="white"/>
        </w:rPr>
      </w:pPr>
      <w:r>
        <w:rPr>
          <w:color w:val="222222"/>
          <w:highlight w:val="white"/>
        </w:rPr>
        <w:t xml:space="preserve">Feng, H. </w:t>
      </w:r>
      <w:r>
        <w:rPr>
          <w:i/>
          <w:color w:val="222222"/>
          <w:highlight w:val="white"/>
        </w:rPr>
        <w:t>et al.</w:t>
      </w:r>
      <w:r>
        <w:rPr>
          <w:color w:val="222222"/>
          <w:highlight w:val="white"/>
        </w:rPr>
        <w:t xml:space="preserve"> (2020) ‘First- or Second-Mover Advantage? The Case of IT-Enabled Platform Markets’, </w:t>
      </w:r>
      <w:r>
        <w:rPr>
          <w:i/>
          <w:color w:val="222222"/>
          <w:highlight w:val="white"/>
        </w:rPr>
        <w:t>MIS quarterly</w:t>
      </w:r>
      <w:r>
        <w:rPr>
          <w:color w:val="222222"/>
          <w:highlight w:val="white"/>
        </w:rPr>
        <w:t>, 44(3), pp. 1107-. Available at: https://doi.org/10.25300/MISQ/2020/15273.</w:t>
      </w:r>
    </w:p>
    <w:p w14:paraId="0000005D" w14:textId="77777777" w:rsidR="00E641AA" w:rsidRDefault="00B027C8">
      <w:pPr>
        <w:spacing w:before="240" w:after="240"/>
        <w:rPr>
          <w:color w:val="222222"/>
          <w:highlight w:val="white"/>
        </w:rPr>
      </w:pPr>
      <w:r>
        <w:rPr>
          <w:color w:val="222222"/>
          <w:highlight w:val="white"/>
        </w:rPr>
        <w:t xml:space="preserve">Feng, H. </w:t>
      </w:r>
      <w:r>
        <w:rPr>
          <w:i/>
          <w:color w:val="222222"/>
          <w:highlight w:val="white"/>
        </w:rPr>
        <w:t>et al.</w:t>
      </w:r>
      <w:r>
        <w:rPr>
          <w:color w:val="222222"/>
          <w:highlight w:val="white"/>
        </w:rPr>
        <w:t xml:space="preserve"> (2020) ‘First- or Second-Mover Advantage? The Case of IT-Enabled Platform Markets’, </w:t>
      </w:r>
      <w:r>
        <w:rPr>
          <w:i/>
          <w:color w:val="222222"/>
          <w:highlight w:val="white"/>
        </w:rPr>
        <w:t>MIS quarterly</w:t>
      </w:r>
      <w:r>
        <w:rPr>
          <w:color w:val="222222"/>
          <w:highlight w:val="white"/>
        </w:rPr>
        <w:t>, 44(3), pp. 1107-. Available at: https://doi.org/10.25300/MISQ/2020/15273.</w:t>
      </w:r>
    </w:p>
    <w:p w14:paraId="0000005E" w14:textId="77777777" w:rsidR="00E641AA" w:rsidRDefault="00B027C8">
      <w:pPr>
        <w:spacing w:before="240" w:after="240"/>
        <w:rPr>
          <w:color w:val="222222"/>
          <w:highlight w:val="white"/>
        </w:rPr>
      </w:pPr>
      <w:r>
        <w:rPr>
          <w:color w:val="222222"/>
          <w:highlight w:val="white"/>
        </w:rPr>
        <w:t xml:space="preserve">Forbes (2022) </w:t>
      </w:r>
      <w:r>
        <w:rPr>
          <w:i/>
          <w:color w:val="222222"/>
          <w:highlight w:val="white"/>
        </w:rPr>
        <w:t>How Apple is squeezing out more profit from its iPhones</w:t>
      </w:r>
      <w:r>
        <w:rPr>
          <w:color w:val="222222"/>
          <w:highlight w:val="white"/>
        </w:rPr>
        <w:t xml:space="preserve">, </w:t>
      </w:r>
      <w:r>
        <w:rPr>
          <w:i/>
          <w:color w:val="222222"/>
          <w:highlight w:val="white"/>
        </w:rPr>
        <w:t>Forbes</w:t>
      </w:r>
      <w:r>
        <w:rPr>
          <w:color w:val="222222"/>
          <w:highlight w:val="white"/>
        </w:rPr>
        <w:t>. Available at: https://www.forbes.com/sites/greatspeculations/2021/02/03/how-apple-is-squeezing-out-more-profit-from-its-iphones/ (Accessed: 20 March 2025).</w:t>
      </w:r>
    </w:p>
    <w:p w14:paraId="0000005F" w14:textId="77777777" w:rsidR="00E641AA" w:rsidRDefault="00B027C8">
      <w:pPr>
        <w:spacing w:before="240" w:after="240"/>
        <w:rPr>
          <w:color w:val="222222"/>
          <w:highlight w:val="white"/>
        </w:rPr>
      </w:pPr>
      <w:r>
        <w:rPr>
          <w:color w:val="222222"/>
          <w:highlight w:val="white"/>
        </w:rPr>
        <w:t xml:space="preserve">HubSpot (2024) </w:t>
      </w:r>
      <w:r>
        <w:rPr>
          <w:i/>
          <w:color w:val="222222"/>
          <w:highlight w:val="white"/>
        </w:rPr>
        <w:t>Company growth strategy: 7 key steps for business growth &amp; expansion</w:t>
      </w:r>
      <w:r>
        <w:rPr>
          <w:color w:val="222222"/>
          <w:highlight w:val="white"/>
        </w:rPr>
        <w:t xml:space="preserve">, </w:t>
      </w:r>
      <w:r>
        <w:rPr>
          <w:i/>
          <w:color w:val="222222"/>
          <w:highlight w:val="white"/>
        </w:rPr>
        <w:t>HubSpot Blog</w:t>
      </w:r>
      <w:r>
        <w:rPr>
          <w:color w:val="222222"/>
          <w:highlight w:val="white"/>
        </w:rPr>
        <w:t>. Available at: https://blog.hubspot.com/sales/growth-strategy (Accessed: 20 March 2025).</w:t>
      </w:r>
    </w:p>
    <w:p w14:paraId="00000060" w14:textId="77777777" w:rsidR="00E641AA" w:rsidRDefault="00B027C8">
      <w:pPr>
        <w:spacing w:before="240" w:after="240"/>
        <w:rPr>
          <w:color w:val="222222"/>
          <w:highlight w:val="white"/>
        </w:rPr>
      </w:pPr>
      <w:r>
        <w:rPr>
          <w:color w:val="222222"/>
          <w:highlight w:val="white"/>
        </w:rPr>
        <w:t xml:space="preserve">Kalathas, I. and </w:t>
      </w:r>
      <w:proofErr w:type="spellStart"/>
      <w:r>
        <w:rPr>
          <w:color w:val="222222"/>
          <w:highlight w:val="white"/>
        </w:rPr>
        <w:t>Papoutsidakis</w:t>
      </w:r>
      <w:proofErr w:type="spellEnd"/>
      <w:r>
        <w:rPr>
          <w:color w:val="222222"/>
          <w:highlight w:val="white"/>
        </w:rPr>
        <w:t xml:space="preserve">, M. (2021) ‘Predictive Maintenance Using Machine Learning and Data Mining: A Pioneer Method Implemented to Greek Railways’, </w:t>
      </w:r>
      <w:r>
        <w:rPr>
          <w:i/>
          <w:color w:val="222222"/>
          <w:highlight w:val="white"/>
        </w:rPr>
        <w:t>Designs</w:t>
      </w:r>
      <w:r>
        <w:rPr>
          <w:color w:val="222222"/>
          <w:highlight w:val="white"/>
        </w:rPr>
        <w:t>, 5(1), pp. 5-. Available at: https://doi.org/10.3390/designs5010005.</w:t>
      </w:r>
    </w:p>
    <w:p w14:paraId="00000061" w14:textId="77777777" w:rsidR="00E641AA" w:rsidRDefault="00B027C8">
      <w:pPr>
        <w:spacing w:before="240" w:after="240"/>
        <w:rPr>
          <w:color w:val="222222"/>
          <w:highlight w:val="white"/>
        </w:rPr>
      </w:pPr>
      <w:r>
        <w:rPr>
          <w:color w:val="222222"/>
          <w:highlight w:val="white"/>
        </w:rPr>
        <w:t xml:space="preserve">Kamp, B. and Ruiz de Apodaca, I. (2023) ‘Leveraging (in)formal early-mover and diligent-follower advantage mechanisms to attain international niche market leadership: insights from Basque “hidden champions”’, </w:t>
      </w:r>
      <w:r>
        <w:rPr>
          <w:i/>
          <w:color w:val="222222"/>
          <w:highlight w:val="white"/>
        </w:rPr>
        <w:t>Competitiveness review</w:t>
      </w:r>
      <w:r>
        <w:rPr>
          <w:color w:val="222222"/>
          <w:highlight w:val="white"/>
        </w:rPr>
        <w:t>, 33(6), pp. 1013–1045. Available at: https://doi.org/10.1108/CR-10-2022-0158.</w:t>
      </w:r>
    </w:p>
    <w:p w14:paraId="00000062" w14:textId="77777777" w:rsidR="00E641AA" w:rsidRDefault="00B027C8">
      <w:pPr>
        <w:spacing w:before="240" w:after="240"/>
        <w:rPr>
          <w:color w:val="222222"/>
          <w:highlight w:val="white"/>
        </w:rPr>
      </w:pPr>
      <w:proofErr w:type="spellStart"/>
      <w:r>
        <w:rPr>
          <w:color w:val="222222"/>
          <w:highlight w:val="white"/>
        </w:rPr>
        <w:lastRenderedPageBreak/>
        <w:t>Kotkova</w:t>
      </w:r>
      <w:proofErr w:type="spellEnd"/>
      <w:r>
        <w:rPr>
          <w:color w:val="222222"/>
          <w:highlight w:val="white"/>
        </w:rPr>
        <w:t xml:space="preserve"> </w:t>
      </w:r>
      <w:proofErr w:type="spellStart"/>
      <w:r>
        <w:rPr>
          <w:color w:val="222222"/>
          <w:highlight w:val="white"/>
        </w:rPr>
        <w:t>Striteska</w:t>
      </w:r>
      <w:proofErr w:type="spellEnd"/>
      <w:r>
        <w:rPr>
          <w:color w:val="222222"/>
          <w:highlight w:val="white"/>
        </w:rPr>
        <w:t xml:space="preserve">, M. and Prokop, V. (2020) ‘Dynamic Innovation Strategy Model in Practice of Innovation Leaders and Followers in CEE Countries—A Prerequisite for Building Innovative Ecosystems’, </w:t>
      </w:r>
      <w:r>
        <w:rPr>
          <w:i/>
          <w:color w:val="222222"/>
          <w:highlight w:val="white"/>
        </w:rPr>
        <w:t>Sustainability</w:t>
      </w:r>
      <w:r>
        <w:rPr>
          <w:color w:val="222222"/>
          <w:highlight w:val="white"/>
        </w:rPr>
        <w:t>, 12(9), pp. 3918-. Available at: https://doi.org/10.3390/su12093918.</w:t>
      </w:r>
    </w:p>
    <w:p w14:paraId="00000063" w14:textId="77777777" w:rsidR="00E641AA" w:rsidRDefault="00B027C8">
      <w:pPr>
        <w:spacing w:before="240" w:after="240"/>
        <w:rPr>
          <w:color w:val="222222"/>
          <w:highlight w:val="white"/>
        </w:rPr>
      </w:pPr>
      <w:r>
        <w:rPr>
          <w:color w:val="222222"/>
          <w:highlight w:val="white"/>
        </w:rPr>
        <w:t xml:space="preserve">Miller, A. (2023) </w:t>
      </w:r>
      <w:r>
        <w:rPr>
          <w:i/>
          <w:color w:val="222222"/>
          <w:highlight w:val="white"/>
        </w:rPr>
        <w:t>Intel’s dominance of the PC microprocessor business</w:t>
      </w:r>
      <w:r>
        <w:rPr>
          <w:color w:val="222222"/>
          <w:highlight w:val="white"/>
        </w:rPr>
        <w:t xml:space="preserve">, </w:t>
      </w:r>
      <w:r>
        <w:rPr>
          <w:i/>
          <w:color w:val="222222"/>
          <w:highlight w:val="white"/>
        </w:rPr>
        <w:t>Two Thirds Done</w:t>
      </w:r>
      <w:r>
        <w:rPr>
          <w:color w:val="222222"/>
          <w:highlight w:val="white"/>
        </w:rPr>
        <w:t>. Available at: https://twothirdsdone.com/2023/11/14/intels-dominance-of-the-pc-microprocessor-business/ (Accessed: 20 March 2025).</w:t>
      </w:r>
    </w:p>
    <w:p w14:paraId="00000064" w14:textId="77777777" w:rsidR="00E641AA" w:rsidRDefault="00B027C8">
      <w:pPr>
        <w:spacing w:before="240" w:after="240"/>
        <w:rPr>
          <w:color w:val="222222"/>
          <w:highlight w:val="white"/>
        </w:rPr>
      </w:pPr>
      <w:proofErr w:type="spellStart"/>
      <w:r>
        <w:rPr>
          <w:color w:val="222222"/>
          <w:highlight w:val="white"/>
        </w:rPr>
        <w:t>Mynews</w:t>
      </w:r>
      <w:proofErr w:type="spellEnd"/>
      <w:r>
        <w:rPr>
          <w:color w:val="222222"/>
          <w:highlight w:val="white"/>
        </w:rPr>
        <w:t xml:space="preserve"> (2021) </w:t>
      </w:r>
      <w:r>
        <w:rPr>
          <w:i/>
          <w:color w:val="222222"/>
          <w:highlight w:val="white"/>
        </w:rPr>
        <w:t>Oppo and Xiaomi rise in smartphone rankings Amid Huawei’s sanction woes</w:t>
      </w:r>
      <w:r>
        <w:rPr>
          <w:color w:val="222222"/>
          <w:highlight w:val="white"/>
        </w:rPr>
        <w:t xml:space="preserve">, </w:t>
      </w:r>
      <w:r>
        <w:rPr>
          <w:i/>
          <w:color w:val="222222"/>
          <w:highlight w:val="white"/>
        </w:rPr>
        <w:t>South China Morning Post</w:t>
      </w:r>
      <w:r>
        <w:rPr>
          <w:color w:val="222222"/>
          <w:highlight w:val="white"/>
        </w:rPr>
        <w:t>. Available at: https://www.scmp.com/tech/big-tech/article/3124575/oppo-xiaomi-rise-smartphone-rankings-filling-huawei-void-left-us (Accessed: 20 March 2025).</w:t>
      </w:r>
    </w:p>
    <w:p w14:paraId="00000065" w14:textId="77777777" w:rsidR="00E641AA" w:rsidRDefault="00B027C8">
      <w:pPr>
        <w:spacing w:before="240" w:after="240"/>
        <w:rPr>
          <w:color w:val="222222"/>
          <w:highlight w:val="white"/>
        </w:rPr>
      </w:pPr>
      <w:proofErr w:type="spellStart"/>
      <w:r>
        <w:rPr>
          <w:color w:val="222222"/>
          <w:highlight w:val="white"/>
        </w:rPr>
        <w:t>OriginUX</w:t>
      </w:r>
      <w:proofErr w:type="spellEnd"/>
      <w:r>
        <w:rPr>
          <w:color w:val="222222"/>
          <w:highlight w:val="white"/>
        </w:rPr>
        <w:t xml:space="preserve"> Studio (2023) </w:t>
      </w:r>
      <w:r>
        <w:rPr>
          <w:i/>
          <w:color w:val="222222"/>
          <w:highlight w:val="white"/>
        </w:rPr>
        <w:t>Maturity Stage of product life cycle: 5 strategies to stay on top</w:t>
      </w:r>
      <w:r>
        <w:rPr>
          <w:color w:val="222222"/>
          <w:highlight w:val="white"/>
        </w:rPr>
        <w:t xml:space="preserve">, </w:t>
      </w:r>
      <w:proofErr w:type="spellStart"/>
      <w:r>
        <w:rPr>
          <w:i/>
          <w:color w:val="222222"/>
          <w:highlight w:val="white"/>
        </w:rPr>
        <w:t>OriginUX</w:t>
      </w:r>
      <w:proofErr w:type="spellEnd"/>
      <w:r>
        <w:rPr>
          <w:i/>
          <w:color w:val="222222"/>
          <w:highlight w:val="white"/>
        </w:rPr>
        <w:t xml:space="preserve"> Studio</w:t>
      </w:r>
      <w:r>
        <w:rPr>
          <w:color w:val="222222"/>
          <w:highlight w:val="white"/>
        </w:rPr>
        <w:t>. Available at: https://www.originux.com/resources/blog/maturity-stage-of-product-life-cycle-five-strategies-to-stay-on-top/ (Accessed: 20 March 2025).</w:t>
      </w:r>
    </w:p>
    <w:p w14:paraId="00000066" w14:textId="77777777" w:rsidR="00E641AA" w:rsidRDefault="00B027C8">
      <w:pPr>
        <w:spacing w:before="240" w:after="240"/>
        <w:rPr>
          <w:color w:val="222222"/>
          <w:highlight w:val="white"/>
        </w:rPr>
      </w:pPr>
      <w:r>
        <w:rPr>
          <w:color w:val="222222"/>
          <w:highlight w:val="white"/>
        </w:rPr>
        <w:t xml:space="preserve">Payam </w:t>
      </w:r>
      <w:proofErr w:type="spellStart"/>
      <w:r>
        <w:rPr>
          <w:color w:val="222222"/>
          <w:highlight w:val="white"/>
        </w:rPr>
        <w:t>Hanafizadeh</w:t>
      </w:r>
      <w:proofErr w:type="spellEnd"/>
      <w:r>
        <w:rPr>
          <w:color w:val="222222"/>
          <w:highlight w:val="white"/>
        </w:rPr>
        <w:t xml:space="preserve"> and Sepideh Shafia (2021) ‘Determining the Suitable Research Strategy in Social Media’s Stages of Growth’, </w:t>
      </w:r>
      <w:proofErr w:type="spellStart"/>
      <w:r>
        <w:rPr>
          <w:i/>
          <w:color w:val="222222"/>
          <w:highlight w:val="white"/>
        </w:rPr>
        <w:t>Nashrīyah-i</w:t>
      </w:r>
      <w:proofErr w:type="spellEnd"/>
      <w:r>
        <w:rPr>
          <w:i/>
          <w:color w:val="222222"/>
          <w:highlight w:val="white"/>
        </w:rPr>
        <w:t xml:space="preserve"> </w:t>
      </w:r>
      <w:proofErr w:type="spellStart"/>
      <w:r>
        <w:rPr>
          <w:i/>
          <w:color w:val="222222"/>
          <w:highlight w:val="white"/>
        </w:rPr>
        <w:t>mudīrīyat-i</w:t>
      </w:r>
      <w:proofErr w:type="spellEnd"/>
      <w:r>
        <w:rPr>
          <w:i/>
          <w:color w:val="222222"/>
          <w:highlight w:val="white"/>
        </w:rPr>
        <w:t xml:space="preserve"> </w:t>
      </w:r>
      <w:proofErr w:type="spellStart"/>
      <w:r>
        <w:rPr>
          <w:i/>
          <w:color w:val="222222"/>
          <w:highlight w:val="white"/>
        </w:rPr>
        <w:t>fannāvarī-i</w:t>
      </w:r>
      <w:proofErr w:type="spellEnd"/>
      <w:r>
        <w:rPr>
          <w:i/>
          <w:color w:val="222222"/>
          <w:highlight w:val="white"/>
        </w:rPr>
        <w:t xml:space="preserve"> </w:t>
      </w:r>
      <w:proofErr w:type="spellStart"/>
      <w:r>
        <w:rPr>
          <w:i/>
          <w:color w:val="222222"/>
          <w:highlight w:val="white"/>
        </w:rPr>
        <w:t>iṭṭilāʻāt</w:t>
      </w:r>
      <w:proofErr w:type="spellEnd"/>
      <w:r>
        <w:rPr>
          <w:color w:val="222222"/>
          <w:highlight w:val="white"/>
        </w:rPr>
        <w:t>, 13(4), pp. 57–115. Available at: https://doi.org/10.22059/jitm.2021.300757.2500.</w:t>
      </w:r>
    </w:p>
    <w:p w14:paraId="00000067" w14:textId="77777777" w:rsidR="00E641AA" w:rsidRDefault="00B027C8">
      <w:pPr>
        <w:spacing w:before="240" w:after="240"/>
        <w:rPr>
          <w:color w:val="222222"/>
          <w:highlight w:val="white"/>
        </w:rPr>
      </w:pPr>
      <w:r>
        <w:rPr>
          <w:color w:val="222222"/>
          <w:highlight w:val="white"/>
        </w:rPr>
        <w:t xml:space="preserve">Pike, J.R. </w:t>
      </w:r>
      <w:r>
        <w:rPr>
          <w:i/>
          <w:color w:val="222222"/>
          <w:highlight w:val="white"/>
        </w:rPr>
        <w:t>et al.</w:t>
      </w:r>
      <w:r>
        <w:rPr>
          <w:color w:val="222222"/>
          <w:highlight w:val="white"/>
        </w:rPr>
        <w:t xml:space="preserve"> (2023) ‘Using marketing frameworks to predict the effects of e-cigarette commercials on youth’, </w:t>
      </w:r>
      <w:r>
        <w:rPr>
          <w:i/>
          <w:color w:val="222222"/>
          <w:highlight w:val="white"/>
        </w:rPr>
        <w:t>Young consumers</w:t>
      </w:r>
      <w:r>
        <w:rPr>
          <w:color w:val="222222"/>
          <w:highlight w:val="white"/>
        </w:rPr>
        <w:t>, 24(2), pp. 149–164. Available at: https://doi.org/10.1108/YC-07-2022-1555.</w:t>
      </w:r>
    </w:p>
    <w:p w14:paraId="00000068" w14:textId="77777777" w:rsidR="00E641AA" w:rsidRDefault="00B027C8">
      <w:pPr>
        <w:spacing w:before="240" w:after="240"/>
        <w:rPr>
          <w:color w:val="222222"/>
          <w:highlight w:val="white"/>
        </w:rPr>
      </w:pPr>
      <w:r>
        <w:rPr>
          <w:color w:val="222222"/>
          <w:highlight w:val="white"/>
        </w:rPr>
        <w:t xml:space="preserve">Rehman, S. (2024) </w:t>
      </w:r>
      <w:r>
        <w:rPr>
          <w:i/>
          <w:color w:val="222222"/>
          <w:highlight w:val="white"/>
        </w:rPr>
        <w:t>Effective strategies for the maturity stage of your product (and how to extend its lifespan)</w:t>
      </w:r>
      <w:r>
        <w:rPr>
          <w:color w:val="222222"/>
          <w:highlight w:val="white"/>
        </w:rPr>
        <w:t xml:space="preserve">, </w:t>
      </w:r>
      <w:proofErr w:type="spellStart"/>
      <w:r>
        <w:rPr>
          <w:i/>
          <w:color w:val="222222"/>
          <w:highlight w:val="white"/>
        </w:rPr>
        <w:t>airfocus</w:t>
      </w:r>
      <w:proofErr w:type="spellEnd"/>
      <w:r>
        <w:rPr>
          <w:color w:val="222222"/>
          <w:highlight w:val="white"/>
        </w:rPr>
        <w:t>. Available at: https://airfocus.com/blog/product-maturity-strategies/ (Accessed: 20 March 2025).</w:t>
      </w:r>
    </w:p>
    <w:p w14:paraId="00000069" w14:textId="77777777" w:rsidR="00E641AA" w:rsidRDefault="00B027C8">
      <w:pPr>
        <w:spacing w:before="240" w:after="240"/>
        <w:rPr>
          <w:color w:val="222222"/>
          <w:highlight w:val="white"/>
        </w:rPr>
      </w:pPr>
      <w:r>
        <w:rPr>
          <w:color w:val="222222"/>
          <w:highlight w:val="white"/>
        </w:rPr>
        <w:t xml:space="preserve">Rosenbush, S. (2025) </w:t>
      </w:r>
      <w:r>
        <w:rPr>
          <w:i/>
          <w:color w:val="222222"/>
          <w:highlight w:val="white"/>
        </w:rPr>
        <w:t>AI-native companies are growing fast and doing things differently</w:t>
      </w:r>
      <w:r>
        <w:rPr>
          <w:color w:val="222222"/>
          <w:highlight w:val="white"/>
        </w:rPr>
        <w:t xml:space="preserve">, </w:t>
      </w:r>
      <w:r>
        <w:rPr>
          <w:i/>
          <w:color w:val="222222"/>
          <w:highlight w:val="white"/>
        </w:rPr>
        <w:t>mint</w:t>
      </w:r>
      <w:r>
        <w:rPr>
          <w:color w:val="222222"/>
          <w:highlight w:val="white"/>
        </w:rPr>
        <w:t>. Available at: https://www.livemint.com/companies/ainative-companies-are-growing-fast-and-doing-things-differently-11738924554965.html (Accessed: 20 March 2025).</w:t>
      </w:r>
    </w:p>
    <w:p w14:paraId="0000006A" w14:textId="77777777" w:rsidR="00E641AA" w:rsidRDefault="00B027C8">
      <w:pPr>
        <w:spacing w:before="240" w:after="240"/>
        <w:rPr>
          <w:color w:val="222222"/>
          <w:highlight w:val="white"/>
        </w:rPr>
      </w:pPr>
      <w:r>
        <w:rPr>
          <w:color w:val="222222"/>
          <w:highlight w:val="white"/>
        </w:rPr>
        <w:lastRenderedPageBreak/>
        <w:t xml:space="preserve">Satell, G. (2024) </w:t>
      </w:r>
      <w:r>
        <w:rPr>
          <w:i/>
          <w:color w:val="222222"/>
          <w:highlight w:val="white"/>
        </w:rPr>
        <w:t>A look back at why blockbuster really failed and why it didn’t have to</w:t>
      </w:r>
      <w:r>
        <w:rPr>
          <w:color w:val="222222"/>
          <w:highlight w:val="white"/>
        </w:rPr>
        <w:t xml:space="preserve">, </w:t>
      </w:r>
      <w:r>
        <w:rPr>
          <w:i/>
          <w:color w:val="222222"/>
          <w:highlight w:val="white"/>
        </w:rPr>
        <w:t>Forbes</w:t>
      </w:r>
      <w:r>
        <w:rPr>
          <w:color w:val="222222"/>
          <w:highlight w:val="white"/>
        </w:rPr>
        <w:t>. Available at: https://www.forbes.com/sites/gregsatell/2014/09/05/a-look-back-at-why-blockbuster-really-failed-and-why-it-didnt-have-to/ (Accessed: 20 March 2025).</w:t>
      </w:r>
    </w:p>
    <w:p w14:paraId="0000006B" w14:textId="77777777" w:rsidR="00E641AA" w:rsidRDefault="00B027C8">
      <w:pPr>
        <w:spacing w:before="240" w:after="240"/>
        <w:rPr>
          <w:color w:val="222222"/>
          <w:highlight w:val="white"/>
        </w:rPr>
      </w:pPr>
      <w:r>
        <w:rPr>
          <w:color w:val="222222"/>
          <w:highlight w:val="white"/>
        </w:rPr>
        <w:t xml:space="preserve">Symon, T.E. </w:t>
      </w:r>
      <w:r>
        <w:rPr>
          <w:i/>
          <w:color w:val="222222"/>
          <w:highlight w:val="white"/>
        </w:rPr>
        <w:t>et al.</w:t>
      </w:r>
      <w:r>
        <w:rPr>
          <w:color w:val="222222"/>
          <w:highlight w:val="white"/>
        </w:rPr>
        <w:t xml:space="preserve"> (2022) ‘Indicators of oxidative stress in leukocytes isolated from bottlenose dolphins (Tursiops truncatus) in response to a proinflammatory challenge’, </w:t>
      </w:r>
      <w:r>
        <w:rPr>
          <w:i/>
          <w:color w:val="222222"/>
          <w:highlight w:val="white"/>
        </w:rPr>
        <w:t>Microbial pathogenesis</w:t>
      </w:r>
      <w:r>
        <w:rPr>
          <w:color w:val="222222"/>
          <w:highlight w:val="white"/>
        </w:rPr>
        <w:t>, 173, pp. 105800–105800. Available at: https://doi.org/10.1016/j.micpath.2022.105800.</w:t>
      </w:r>
    </w:p>
    <w:p w14:paraId="0000006C" w14:textId="77777777" w:rsidR="00E641AA" w:rsidRDefault="00B027C8">
      <w:pPr>
        <w:spacing w:before="240" w:after="240"/>
        <w:rPr>
          <w:color w:val="222222"/>
          <w:highlight w:val="white"/>
        </w:rPr>
      </w:pPr>
      <w:r>
        <w:rPr>
          <w:color w:val="222222"/>
          <w:highlight w:val="white"/>
        </w:rPr>
        <w:t xml:space="preserve">Tadros, R. (2024) </w:t>
      </w:r>
      <w:r>
        <w:rPr>
          <w:i/>
          <w:color w:val="222222"/>
          <w:highlight w:val="white"/>
        </w:rPr>
        <w:t>How did Asos become the Biggest Online Fashion Store: ASOS case study</w:t>
      </w:r>
      <w:r>
        <w:rPr>
          <w:color w:val="222222"/>
          <w:highlight w:val="white"/>
        </w:rPr>
        <w:t xml:space="preserve">, </w:t>
      </w:r>
      <w:r>
        <w:rPr>
          <w:i/>
          <w:color w:val="222222"/>
          <w:highlight w:val="white"/>
        </w:rPr>
        <w:t>Impressive</w:t>
      </w:r>
      <w:r>
        <w:rPr>
          <w:color w:val="222222"/>
          <w:highlight w:val="white"/>
        </w:rPr>
        <w:t>. Available at: https://impressive.com.au/asos-case-study/ (Accessed: 20 March 2025).</w:t>
      </w:r>
    </w:p>
    <w:p w14:paraId="0000006D" w14:textId="77777777" w:rsidR="00E641AA" w:rsidRDefault="00B027C8">
      <w:pPr>
        <w:spacing w:before="240" w:after="240"/>
        <w:rPr>
          <w:color w:val="222222"/>
          <w:highlight w:val="white"/>
        </w:rPr>
      </w:pPr>
      <w:r>
        <w:rPr>
          <w:color w:val="222222"/>
          <w:highlight w:val="white"/>
        </w:rPr>
        <w:t xml:space="preserve">Watanabe, K., Fukutomi, H. and Matsushima, R. (2023) ‘Male Mating Strategy and Preference for Females of Different Maturity Stages in the Small Water Strider, </w:t>
      </w:r>
      <w:proofErr w:type="spellStart"/>
      <w:r>
        <w:rPr>
          <w:color w:val="222222"/>
          <w:highlight w:val="white"/>
        </w:rPr>
        <w:t>Microvelia</w:t>
      </w:r>
      <w:proofErr w:type="spellEnd"/>
      <w:r>
        <w:rPr>
          <w:color w:val="222222"/>
          <w:highlight w:val="white"/>
        </w:rPr>
        <w:t xml:space="preserve"> </w:t>
      </w:r>
      <w:proofErr w:type="spellStart"/>
      <w:r>
        <w:rPr>
          <w:color w:val="222222"/>
          <w:highlight w:val="white"/>
        </w:rPr>
        <w:t>iriomotensis</w:t>
      </w:r>
      <w:proofErr w:type="spellEnd"/>
      <w:r>
        <w:rPr>
          <w:color w:val="222222"/>
          <w:highlight w:val="white"/>
        </w:rPr>
        <w:t xml:space="preserve"> (Heteroptera: </w:t>
      </w:r>
      <w:proofErr w:type="spellStart"/>
      <w:r>
        <w:rPr>
          <w:color w:val="222222"/>
          <w:highlight w:val="white"/>
        </w:rPr>
        <w:t>Veliidae</w:t>
      </w:r>
      <w:proofErr w:type="spellEnd"/>
      <w:r>
        <w:rPr>
          <w:color w:val="222222"/>
          <w:highlight w:val="white"/>
        </w:rPr>
        <w:t xml:space="preserve">)’, </w:t>
      </w:r>
      <w:r>
        <w:rPr>
          <w:i/>
          <w:color w:val="222222"/>
          <w:highlight w:val="white"/>
        </w:rPr>
        <w:t>Journal of insect behavior</w:t>
      </w:r>
      <w:r>
        <w:rPr>
          <w:color w:val="222222"/>
          <w:highlight w:val="white"/>
        </w:rPr>
        <w:t>, 36(1), pp. 45–51. Available at: https://doi.org/10.1007/s10905-023-09818-7.</w:t>
      </w:r>
    </w:p>
    <w:p w14:paraId="0000006E" w14:textId="77777777" w:rsidR="00E641AA" w:rsidRDefault="00B027C8">
      <w:pPr>
        <w:spacing w:before="240" w:after="240"/>
        <w:rPr>
          <w:color w:val="222222"/>
          <w:highlight w:val="white"/>
        </w:rPr>
      </w:pPr>
      <w:r>
        <w:rPr>
          <w:color w:val="222222"/>
          <w:highlight w:val="white"/>
        </w:rPr>
        <w:t xml:space="preserve">Xie, Q. </w:t>
      </w:r>
      <w:r>
        <w:rPr>
          <w:i/>
          <w:color w:val="222222"/>
          <w:highlight w:val="white"/>
        </w:rPr>
        <w:t>et al.</w:t>
      </w:r>
      <w:r>
        <w:rPr>
          <w:color w:val="222222"/>
          <w:highlight w:val="white"/>
        </w:rPr>
        <w:t xml:space="preserve"> (2024) ‘Efficiency Evaluation of Insurance Companies </w:t>
      </w:r>
      <w:proofErr w:type="gramStart"/>
      <w:r>
        <w:rPr>
          <w:color w:val="222222"/>
          <w:highlight w:val="white"/>
        </w:rPr>
        <w:t>From</w:t>
      </w:r>
      <w:proofErr w:type="gramEnd"/>
      <w:r>
        <w:rPr>
          <w:color w:val="222222"/>
          <w:highlight w:val="white"/>
        </w:rPr>
        <w:t xml:space="preserve"> Multiperiod Perspective’, </w:t>
      </w:r>
      <w:r>
        <w:rPr>
          <w:i/>
          <w:color w:val="222222"/>
          <w:highlight w:val="white"/>
        </w:rPr>
        <w:t>IEEE transactions on computational social systems</w:t>
      </w:r>
      <w:r>
        <w:rPr>
          <w:color w:val="222222"/>
          <w:highlight w:val="white"/>
        </w:rPr>
        <w:t>, 11(2), pp. 1–19. Available at: https://doi.org/10.1109/TCSS.2023.3304906.</w:t>
      </w:r>
    </w:p>
    <w:sectPr w:rsidR="00E641AA" w:rsidSect="00C42C29">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ED806B" w14:textId="77777777" w:rsidR="00F913EC" w:rsidRDefault="00F913EC" w:rsidP="00C42C29">
      <w:pPr>
        <w:spacing w:line="240" w:lineRule="auto"/>
      </w:pPr>
      <w:r>
        <w:separator/>
      </w:r>
    </w:p>
  </w:endnote>
  <w:endnote w:type="continuationSeparator" w:id="0">
    <w:p w14:paraId="26319D0B" w14:textId="77777777" w:rsidR="00F913EC" w:rsidRDefault="00F913EC" w:rsidP="00C42C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8856125"/>
      <w:docPartObj>
        <w:docPartGallery w:val="Page Numbers (Bottom of Page)"/>
        <w:docPartUnique/>
      </w:docPartObj>
    </w:sdtPr>
    <w:sdtEndPr>
      <w:rPr>
        <w:noProof/>
      </w:rPr>
    </w:sdtEndPr>
    <w:sdtContent>
      <w:p w14:paraId="3DDB07CF" w14:textId="78B7F045" w:rsidR="00C42C29" w:rsidRDefault="00C42C29">
        <w:pPr>
          <w:pStyle w:val="Footer"/>
          <w:jc w:val="right"/>
        </w:pPr>
        <w:r>
          <w:fldChar w:fldCharType="begin"/>
        </w:r>
        <w:r>
          <w:instrText xml:space="preserve"> PAGE   \* MERGEFORMAT </w:instrText>
        </w:r>
        <w:r>
          <w:fldChar w:fldCharType="separate"/>
        </w:r>
        <w:r w:rsidR="0040002E">
          <w:rPr>
            <w:noProof/>
          </w:rPr>
          <w:t>15</w:t>
        </w:r>
        <w:r>
          <w:rPr>
            <w:noProof/>
          </w:rPr>
          <w:fldChar w:fldCharType="end"/>
        </w:r>
      </w:p>
    </w:sdtContent>
  </w:sdt>
  <w:p w14:paraId="2C7106B8" w14:textId="77777777" w:rsidR="00C42C29" w:rsidRDefault="00C42C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137CE3" w14:textId="77777777" w:rsidR="00F913EC" w:rsidRDefault="00F913EC" w:rsidP="00C42C29">
      <w:pPr>
        <w:spacing w:line="240" w:lineRule="auto"/>
      </w:pPr>
      <w:r>
        <w:separator/>
      </w:r>
    </w:p>
  </w:footnote>
  <w:footnote w:type="continuationSeparator" w:id="0">
    <w:p w14:paraId="49DED41B" w14:textId="77777777" w:rsidR="00F913EC" w:rsidRDefault="00F913EC" w:rsidP="00C42C2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41AA"/>
    <w:rsid w:val="0040002E"/>
    <w:rsid w:val="008B545C"/>
    <w:rsid w:val="00B0242B"/>
    <w:rsid w:val="00B027C8"/>
    <w:rsid w:val="00C42C29"/>
    <w:rsid w:val="00CB41FE"/>
    <w:rsid w:val="00D429BA"/>
    <w:rsid w:val="00E641AA"/>
    <w:rsid w:val="00F913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2E5BB"/>
  <w15:docId w15:val="{6E2A2B3F-3017-4CAA-ADDB-6CDE097F9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outlineLvl w:val="0"/>
    </w:pPr>
    <w:rPr>
      <w:b/>
      <w:sz w:val="28"/>
      <w:szCs w:val="28"/>
    </w:rPr>
  </w:style>
  <w:style w:type="paragraph" w:styleId="Heading2">
    <w:name w:val="heading 2"/>
    <w:basedOn w:val="Normal"/>
    <w:next w:val="Normal"/>
    <w:uiPriority w:val="9"/>
    <w:unhideWhenUsed/>
    <w:qFormat/>
    <w:pPr>
      <w:keepNext/>
      <w:keepLines/>
      <w:spacing w:after="20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42C29"/>
    <w:pPr>
      <w:tabs>
        <w:tab w:val="center" w:pos="4680"/>
        <w:tab w:val="right" w:pos="9360"/>
      </w:tabs>
      <w:spacing w:line="240" w:lineRule="auto"/>
    </w:pPr>
  </w:style>
  <w:style w:type="character" w:customStyle="1" w:styleId="HeaderChar">
    <w:name w:val="Header Char"/>
    <w:basedOn w:val="DefaultParagraphFont"/>
    <w:link w:val="Header"/>
    <w:uiPriority w:val="99"/>
    <w:rsid w:val="00C42C29"/>
  </w:style>
  <w:style w:type="paragraph" w:styleId="Footer">
    <w:name w:val="footer"/>
    <w:basedOn w:val="Normal"/>
    <w:link w:val="FooterChar"/>
    <w:uiPriority w:val="99"/>
    <w:unhideWhenUsed/>
    <w:rsid w:val="00C42C29"/>
    <w:pPr>
      <w:tabs>
        <w:tab w:val="center" w:pos="4680"/>
        <w:tab w:val="right" w:pos="9360"/>
      </w:tabs>
      <w:spacing w:line="240" w:lineRule="auto"/>
    </w:pPr>
  </w:style>
  <w:style w:type="character" w:customStyle="1" w:styleId="FooterChar">
    <w:name w:val="Footer Char"/>
    <w:basedOn w:val="DefaultParagraphFont"/>
    <w:link w:val="Footer"/>
    <w:uiPriority w:val="99"/>
    <w:rsid w:val="00C42C29"/>
  </w:style>
  <w:style w:type="paragraph" w:styleId="TOCHeading">
    <w:name w:val="TOC Heading"/>
    <w:basedOn w:val="Heading1"/>
    <w:next w:val="Normal"/>
    <w:uiPriority w:val="39"/>
    <w:unhideWhenUsed/>
    <w:qFormat/>
    <w:rsid w:val="00D429B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DB11AD9C-B31B-4859-8A9C-BD9A52CD5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3928</Words>
  <Characters>22390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Shiroya, Nima (Student)</cp:lastModifiedBy>
  <cp:revision>4</cp:revision>
  <dcterms:created xsi:type="dcterms:W3CDTF">2025-03-20T15:28:00Z</dcterms:created>
  <dcterms:modified xsi:type="dcterms:W3CDTF">2025-03-26T20:32:00Z</dcterms:modified>
</cp:coreProperties>
</file>