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2389852"/>
    <w:p w14:paraId="5BB904BF" w14:textId="50C7D746" w:rsidR="00FF49A6" w:rsidRPr="00FF49A6" w:rsidRDefault="00FF49A6" w:rsidP="00FF49A6">
      <w:pPr>
        <w:pStyle w:val="Heading1"/>
        <w:spacing w:line="360" w:lineRule="auto"/>
      </w:pPr>
      <w:r>
        <w:fldChar w:fldCharType="begin"/>
      </w:r>
      <w:r>
        <w:instrText xml:space="preserve"> INCLUDEPICTURE "C:\\Users\\andreibucur\\Library\\Group Containers\\UBF8T346G9.ms\\WebArchiveCopyPasteTempFiles\\com.microsoft.Word\\university-of-wales-trinity-saint-david-logo-vector.png" \* MERGEFORMAT </w:instrText>
      </w:r>
      <w:r>
        <w:fldChar w:fldCharType="separate"/>
      </w:r>
      <w:r>
        <w:rPr>
          <w:noProof/>
        </w:rPr>
        <w:drawing>
          <wp:inline distT="0" distB="0" distL="0" distR="0" wp14:anchorId="701A7202" wp14:editId="02523B06">
            <wp:extent cx="1934600" cy="941155"/>
            <wp:effectExtent l="0" t="0" r="0" b="0"/>
            <wp:docPr id="2033657675" name="Picture 2"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1934600" cy="941155"/>
                    </a:xfrm>
                    <a:prstGeom prst="rect">
                      <a:avLst/>
                    </a:prstGeom>
                    <a:noFill/>
                    <a:ln>
                      <a:noFill/>
                    </a:ln>
                  </pic:spPr>
                </pic:pic>
              </a:graphicData>
            </a:graphic>
          </wp:inline>
        </w:drawing>
      </w:r>
      <w:r>
        <w:fldChar w:fldCharType="end"/>
      </w:r>
    </w:p>
    <w:p w14:paraId="5F8CE098" w14:textId="6315A71B" w:rsidR="00FF49A6" w:rsidRDefault="00FF49A6" w:rsidP="1939FF7D">
      <w:pPr>
        <w:pStyle w:val="Heading1"/>
        <w:spacing w:line="360" w:lineRule="auto"/>
        <w:jc w:val="center"/>
        <w:rPr>
          <w:rFonts w:ascii="Arial Nova" w:eastAsia="Arial Nova" w:hAnsi="Arial Nova" w:cs="Arial Nova"/>
        </w:rPr>
      </w:pPr>
      <w:r w:rsidRPr="1939FF7D">
        <w:rPr>
          <w:rFonts w:ascii="Arial Nova" w:eastAsia="Arial Nova" w:hAnsi="Arial Nova" w:cs="Arial Nova"/>
        </w:rPr>
        <w:t>Programme: BA (Hons)-Leadership and Management Skills in the Workplace</w:t>
      </w:r>
    </w:p>
    <w:p w14:paraId="1A69ACC4" w14:textId="77777777" w:rsidR="00FF49A6" w:rsidRDefault="00FF49A6" w:rsidP="1939FF7D">
      <w:pPr>
        <w:pStyle w:val="Heading1"/>
        <w:spacing w:line="360" w:lineRule="auto"/>
        <w:jc w:val="center"/>
        <w:rPr>
          <w:rFonts w:ascii="Arial Nova" w:eastAsia="Arial Nova" w:hAnsi="Arial Nova" w:cs="Arial Nova"/>
        </w:rPr>
      </w:pPr>
      <w:r w:rsidRPr="1939FF7D">
        <w:rPr>
          <w:rFonts w:ascii="Arial Nova" w:eastAsia="Arial Nova" w:hAnsi="Arial Nova" w:cs="Arial Nova"/>
        </w:rPr>
        <w:t xml:space="preserve"> Module: Research Methods for Business </w:t>
      </w:r>
    </w:p>
    <w:p w14:paraId="68FC2172" w14:textId="2B9BFDF0" w:rsidR="00FF49A6" w:rsidRDefault="00FF49A6" w:rsidP="1939FF7D">
      <w:pPr>
        <w:pStyle w:val="Heading1"/>
        <w:spacing w:line="360" w:lineRule="auto"/>
        <w:jc w:val="center"/>
        <w:rPr>
          <w:rFonts w:ascii="Arial Nova" w:eastAsia="Arial Nova" w:hAnsi="Arial Nova" w:cs="Arial Nova"/>
        </w:rPr>
      </w:pPr>
      <w:r w:rsidRPr="1939FF7D">
        <w:rPr>
          <w:rFonts w:ascii="Arial Nova" w:eastAsia="Arial Nova" w:hAnsi="Arial Nova" w:cs="Arial Nova"/>
        </w:rPr>
        <w:t xml:space="preserve">Module code: </w:t>
      </w:r>
    </w:p>
    <w:p w14:paraId="013EF82F" w14:textId="3A910867" w:rsidR="00FF49A6" w:rsidRPr="00FF49A6" w:rsidRDefault="00FF49A6" w:rsidP="1939FF7D">
      <w:pPr>
        <w:pStyle w:val="Heading1"/>
        <w:spacing w:line="360" w:lineRule="auto"/>
        <w:jc w:val="center"/>
        <w:rPr>
          <w:rFonts w:ascii="Arial Nova" w:eastAsia="Arial Nova" w:hAnsi="Arial Nova" w:cs="Arial Nova"/>
        </w:rPr>
      </w:pPr>
      <w:r w:rsidRPr="1939FF7D">
        <w:rPr>
          <w:rFonts w:ascii="Arial Nova" w:eastAsia="Arial Nova" w:hAnsi="Arial Nova" w:cs="Arial Nova"/>
        </w:rPr>
        <w:t>LCLM6004 Contribution to Overall Module</w:t>
      </w:r>
    </w:p>
    <w:p w14:paraId="2B430BA3" w14:textId="19C27F87" w:rsidR="00FF49A6" w:rsidRDefault="00FF49A6" w:rsidP="1939FF7D">
      <w:pPr>
        <w:pStyle w:val="Heading1"/>
        <w:spacing w:line="360" w:lineRule="auto"/>
        <w:jc w:val="both"/>
        <w:rPr>
          <w:rFonts w:ascii="Arial Nova" w:eastAsia="Arial Nova" w:hAnsi="Arial Nova" w:cs="Arial Nova"/>
          <w:sz w:val="32"/>
          <w:szCs w:val="32"/>
        </w:rPr>
      </w:pPr>
      <w:r w:rsidRPr="1939FF7D">
        <w:rPr>
          <w:rFonts w:ascii="Arial Nova" w:eastAsia="Arial Nova" w:hAnsi="Arial Nova" w:cs="Arial Nova"/>
          <w:sz w:val="32"/>
          <w:szCs w:val="32"/>
        </w:rPr>
        <w:t>Circular Economy in IT Hardware Supply Chains: A Study of Device Refurbishment and Recycling</w:t>
      </w:r>
      <w:bookmarkEnd w:id="0"/>
    </w:p>
    <w:p w14:paraId="4340D3D1" w14:textId="77777777" w:rsidR="005B6DAF" w:rsidRPr="005B6DAF" w:rsidRDefault="005B6DAF" w:rsidP="1939FF7D">
      <w:pPr>
        <w:rPr>
          <w:rFonts w:ascii="Arial Nova" w:eastAsia="Arial Nova" w:hAnsi="Arial Nova" w:cs="Arial Nova"/>
        </w:rPr>
      </w:pPr>
    </w:p>
    <w:p w14:paraId="549D8238" w14:textId="2D6A47FB" w:rsidR="005B6DAF" w:rsidRDefault="005B6DAF" w:rsidP="1939FF7D">
      <w:pPr>
        <w:rPr>
          <w:rFonts w:ascii="Arial Nova" w:eastAsia="Arial Nova" w:hAnsi="Arial Nova" w:cs="Arial Nova"/>
          <w:b/>
          <w:bCs/>
          <w:sz w:val="28"/>
          <w:szCs w:val="28"/>
        </w:rPr>
      </w:pPr>
      <w:r w:rsidRPr="1939FF7D">
        <w:rPr>
          <w:rFonts w:ascii="Arial Nova" w:eastAsia="Arial Nova" w:hAnsi="Arial Nova" w:cs="Arial Nova"/>
        </w:rPr>
        <w:t xml:space="preserve">                                 </w:t>
      </w:r>
      <w:r w:rsidRPr="1939FF7D">
        <w:rPr>
          <w:rFonts w:ascii="Arial Nova" w:eastAsia="Arial Nova" w:hAnsi="Arial Nova" w:cs="Arial Nova"/>
          <w:b/>
          <w:bCs/>
          <w:sz w:val="28"/>
          <w:szCs w:val="28"/>
        </w:rPr>
        <w:t xml:space="preserve">Lecture name : MD Ashikul Khan </w:t>
      </w:r>
    </w:p>
    <w:p w14:paraId="055FE3F8" w14:textId="4D563A0F" w:rsidR="005B6DAF" w:rsidRDefault="005B6DAF" w:rsidP="1939FF7D">
      <w:pPr>
        <w:rPr>
          <w:rFonts w:ascii="Arial Nova" w:eastAsia="Arial Nova" w:hAnsi="Arial Nova" w:cs="Arial Nova"/>
          <w:b/>
          <w:bCs/>
          <w:sz w:val="28"/>
          <w:szCs w:val="28"/>
        </w:rPr>
      </w:pPr>
      <w:r w:rsidRPr="1939FF7D">
        <w:rPr>
          <w:rFonts w:ascii="Arial Nova" w:eastAsia="Arial Nova" w:hAnsi="Arial Nova" w:cs="Arial Nova"/>
          <w:b/>
          <w:bCs/>
          <w:sz w:val="28"/>
          <w:szCs w:val="28"/>
        </w:rPr>
        <w:t xml:space="preserve">          </w:t>
      </w:r>
    </w:p>
    <w:p w14:paraId="53C43395" w14:textId="069D6051" w:rsidR="005B6DAF" w:rsidRDefault="005B6DAF" w:rsidP="1939FF7D">
      <w:pPr>
        <w:rPr>
          <w:rFonts w:ascii="Arial Nova" w:eastAsia="Arial Nova" w:hAnsi="Arial Nova" w:cs="Arial Nova"/>
          <w:b/>
          <w:bCs/>
          <w:sz w:val="28"/>
          <w:szCs w:val="28"/>
        </w:rPr>
      </w:pPr>
      <w:r w:rsidRPr="1939FF7D">
        <w:rPr>
          <w:rFonts w:ascii="Arial Nova" w:eastAsia="Arial Nova" w:hAnsi="Arial Nova" w:cs="Arial Nova"/>
          <w:b/>
          <w:bCs/>
          <w:sz w:val="28"/>
          <w:szCs w:val="28"/>
        </w:rPr>
        <w:t xml:space="preserve">                               Student name :Claudia Traistaru </w:t>
      </w:r>
    </w:p>
    <w:p w14:paraId="26DC3166" w14:textId="7A4FBB8A" w:rsidR="005B6DAF" w:rsidRDefault="005B6DAF" w:rsidP="1939FF7D">
      <w:pPr>
        <w:rPr>
          <w:rFonts w:ascii="Arial Nova" w:eastAsia="Arial Nova" w:hAnsi="Arial Nova" w:cs="Arial Nova"/>
          <w:b/>
          <w:bCs/>
          <w:sz w:val="28"/>
          <w:szCs w:val="28"/>
        </w:rPr>
      </w:pPr>
      <w:r w:rsidRPr="1939FF7D">
        <w:rPr>
          <w:rFonts w:ascii="Arial Nova" w:eastAsia="Arial Nova" w:hAnsi="Arial Nova" w:cs="Arial Nova"/>
          <w:b/>
          <w:bCs/>
          <w:sz w:val="28"/>
          <w:szCs w:val="28"/>
        </w:rPr>
        <w:t xml:space="preserve">            </w:t>
      </w:r>
    </w:p>
    <w:p w14:paraId="41F1CE5F" w14:textId="6A7DA7C8" w:rsidR="00FF49A6" w:rsidRDefault="005B6DAF" w:rsidP="1939FF7D">
      <w:pPr>
        <w:spacing w:line="360" w:lineRule="auto"/>
        <w:rPr>
          <w:rFonts w:ascii="Arial Nova" w:eastAsia="Arial Nova" w:hAnsi="Arial Nova" w:cs="Arial Nova"/>
          <w:b/>
          <w:bCs/>
          <w:sz w:val="28"/>
          <w:szCs w:val="28"/>
        </w:rPr>
      </w:pPr>
      <w:r w:rsidRPr="1939FF7D">
        <w:rPr>
          <w:rFonts w:ascii="Arial Nova" w:eastAsia="Arial Nova" w:hAnsi="Arial Nova" w:cs="Arial Nova"/>
          <w:b/>
          <w:bCs/>
          <w:sz w:val="28"/>
          <w:szCs w:val="28"/>
        </w:rPr>
        <w:t xml:space="preserve">                               Student ID : 2238779</w:t>
      </w:r>
    </w:p>
    <w:p w14:paraId="63BBBF9A" w14:textId="1D6EFC5C" w:rsidR="1939FF7D" w:rsidRDefault="1939FF7D" w:rsidP="1939FF7D">
      <w:pPr>
        <w:rPr>
          <w:rFonts w:ascii="Arial Nova" w:eastAsia="Arial Nova" w:hAnsi="Arial Nova" w:cs="Arial Nova"/>
          <w:b/>
          <w:bCs/>
          <w:sz w:val="28"/>
          <w:szCs w:val="28"/>
        </w:rPr>
      </w:pPr>
    </w:p>
    <w:p w14:paraId="37495E6A" w14:textId="29B27053" w:rsidR="1939FF7D" w:rsidRDefault="1939FF7D" w:rsidP="1939FF7D">
      <w:pPr>
        <w:rPr>
          <w:rFonts w:ascii="Arial Nova" w:eastAsia="Arial Nova" w:hAnsi="Arial Nova" w:cs="Arial Nova"/>
          <w:b/>
          <w:bCs/>
          <w:sz w:val="28"/>
          <w:szCs w:val="28"/>
        </w:rPr>
      </w:pPr>
    </w:p>
    <w:p w14:paraId="7EBD8EB9" w14:textId="679D0F7F" w:rsidR="1939FF7D" w:rsidRDefault="1939FF7D" w:rsidP="1939FF7D">
      <w:pPr>
        <w:rPr>
          <w:rFonts w:ascii="Arial Nova" w:eastAsia="Arial Nova" w:hAnsi="Arial Nova" w:cs="Arial Nova"/>
          <w:b/>
          <w:bCs/>
          <w:sz w:val="28"/>
          <w:szCs w:val="28"/>
        </w:rPr>
      </w:pPr>
    </w:p>
    <w:p w14:paraId="32650B0A" w14:textId="0E68E201" w:rsidR="1939FF7D" w:rsidRDefault="1939FF7D" w:rsidP="1939FF7D">
      <w:pPr>
        <w:rPr>
          <w:rFonts w:ascii="Arial Nova" w:eastAsia="Arial Nova" w:hAnsi="Arial Nova" w:cs="Arial Nova"/>
          <w:b/>
          <w:bCs/>
          <w:sz w:val="28"/>
          <w:szCs w:val="28"/>
        </w:rPr>
      </w:pPr>
    </w:p>
    <w:p w14:paraId="7FDC2DCD" w14:textId="7273F23D" w:rsidR="1939FF7D" w:rsidRDefault="1939FF7D" w:rsidP="1939FF7D">
      <w:pPr>
        <w:rPr>
          <w:rFonts w:ascii="Arial Nova" w:eastAsia="Arial Nova" w:hAnsi="Arial Nova" w:cs="Arial Nova"/>
          <w:b/>
          <w:bCs/>
          <w:sz w:val="28"/>
          <w:szCs w:val="28"/>
        </w:rPr>
      </w:pPr>
    </w:p>
    <w:p w14:paraId="2A1D22AC" w14:textId="6A48BDF5" w:rsidR="1939FF7D" w:rsidRDefault="1939FF7D" w:rsidP="1939FF7D">
      <w:pPr>
        <w:rPr>
          <w:rFonts w:ascii="Arial Nova" w:eastAsia="Arial Nova" w:hAnsi="Arial Nova" w:cs="Arial Nova"/>
          <w:b/>
          <w:bCs/>
          <w:sz w:val="28"/>
          <w:szCs w:val="28"/>
        </w:rPr>
      </w:pPr>
    </w:p>
    <w:p w14:paraId="3384768A" w14:textId="0D48AC32" w:rsidR="1939FF7D" w:rsidRDefault="1939FF7D" w:rsidP="1939FF7D">
      <w:pPr>
        <w:rPr>
          <w:rFonts w:ascii="Arial Nova" w:eastAsia="Arial Nova" w:hAnsi="Arial Nova" w:cs="Arial Nova"/>
          <w:b/>
          <w:bCs/>
          <w:sz w:val="28"/>
          <w:szCs w:val="28"/>
        </w:rPr>
      </w:pPr>
    </w:p>
    <w:p w14:paraId="604EC6F1" w14:textId="776846EE" w:rsidR="1939FF7D" w:rsidRDefault="1939FF7D" w:rsidP="1939FF7D">
      <w:pPr>
        <w:rPr>
          <w:rFonts w:ascii="Arial Nova" w:eastAsia="Arial Nova" w:hAnsi="Arial Nova" w:cs="Arial Nova"/>
          <w:b/>
          <w:bCs/>
          <w:sz w:val="28"/>
          <w:szCs w:val="28"/>
        </w:rPr>
      </w:pPr>
    </w:p>
    <w:p w14:paraId="01FF5A5C" w14:textId="6E29FEFA" w:rsidR="1939FF7D" w:rsidRDefault="1939FF7D" w:rsidP="1939FF7D">
      <w:pPr>
        <w:rPr>
          <w:rFonts w:ascii="Arial Nova" w:eastAsia="Arial Nova" w:hAnsi="Arial Nova" w:cs="Arial Nova"/>
          <w:b/>
          <w:bCs/>
          <w:sz w:val="22"/>
          <w:szCs w:val="22"/>
        </w:rPr>
      </w:pPr>
    </w:p>
    <w:sdt>
      <w:sdtPr>
        <w:rPr>
          <w:rFonts w:ascii="Arial Nova" w:eastAsia="Arial Nova" w:hAnsi="Arial Nova" w:cs="Arial Nova"/>
          <w:b w:val="0"/>
          <w:bCs w:val="0"/>
          <w:color w:val="auto"/>
          <w:sz w:val="24"/>
          <w:szCs w:val="24"/>
        </w:rPr>
        <w:id w:val="1691648341"/>
        <w:docPartObj>
          <w:docPartGallery w:val="Table of Contents"/>
          <w:docPartUnique/>
        </w:docPartObj>
      </w:sdtPr>
      <w:sdtEndPr>
        <w:rPr>
          <w:rFonts w:ascii="Times New Roman" w:eastAsia="Times New Roman" w:hAnsi="Times New Roman" w:cs="Times New Roman"/>
          <w:noProof/>
        </w:rPr>
      </w:sdtEndPr>
      <w:sdtContent>
        <w:p w14:paraId="5BAE7636" w14:textId="4041ABDA" w:rsidR="00FF49A6" w:rsidRDefault="00FF49A6" w:rsidP="1939FF7D">
          <w:pPr>
            <w:pStyle w:val="TOCHeading"/>
            <w:rPr>
              <w:rFonts w:ascii="Arial Nova" w:eastAsia="Arial Nova" w:hAnsi="Arial Nova" w:cs="Arial Nova"/>
            </w:rPr>
          </w:pPr>
          <w:r>
            <w:t>Table of Contents</w:t>
          </w:r>
        </w:p>
        <w:p w14:paraId="77232456" w14:textId="00843CFE" w:rsidR="00FF49A6" w:rsidRDefault="00FF49A6" w:rsidP="1939FF7D">
          <w:pPr>
            <w:pStyle w:val="TOC1"/>
            <w:tabs>
              <w:tab w:val="right" w:leader="dot" w:pos="9350"/>
            </w:tabs>
            <w:rPr>
              <w:rFonts w:ascii="Arial Nova" w:eastAsia="Arial Nova" w:hAnsi="Arial Nova" w:cs="Arial Nova"/>
              <w:b w:val="0"/>
              <w:bCs w:val="0"/>
              <w:i w:val="0"/>
              <w:iCs w:val="0"/>
              <w:noProof/>
            </w:rPr>
          </w:pPr>
          <w:r w:rsidRPr="1939FF7D">
            <w:rPr>
              <w:b w:val="0"/>
              <w:bCs w:val="0"/>
            </w:rPr>
            <w:fldChar w:fldCharType="begin"/>
          </w:r>
          <w:r>
            <w:instrText xml:space="preserve"> TOC \o "1-3" \h \z \u </w:instrText>
          </w:r>
          <w:r w:rsidRPr="1939FF7D">
            <w:rPr>
              <w:b w:val="0"/>
              <w:bCs w:val="0"/>
            </w:rPr>
            <w:fldChar w:fldCharType="separate"/>
          </w:r>
          <w:hyperlink w:anchor="_Toc212389852" w:history="1">
            <w:r w:rsidRPr="00964C0C">
              <w:rPr>
                <w:rStyle w:val="Hyperlink"/>
                <w:noProof/>
              </w:rPr>
              <w:t>Circular Economy in IT Hardware Supply Chains: A Study of Device Refurbishment and Recycling</w:t>
            </w:r>
            <w:r>
              <w:rPr>
                <w:noProof/>
                <w:webHidden/>
              </w:rPr>
              <w:tab/>
            </w:r>
            <w:r>
              <w:rPr>
                <w:noProof/>
                <w:webHidden/>
              </w:rPr>
              <w:fldChar w:fldCharType="begin"/>
            </w:r>
            <w:r>
              <w:rPr>
                <w:noProof/>
                <w:webHidden/>
              </w:rPr>
              <w:instrText xml:space="preserve"> PAGEREF _Toc212389852 \h </w:instrText>
            </w:r>
            <w:r>
              <w:rPr>
                <w:noProof/>
                <w:webHidden/>
              </w:rPr>
            </w:r>
            <w:r>
              <w:rPr>
                <w:noProof/>
                <w:webHidden/>
              </w:rPr>
              <w:fldChar w:fldCharType="separate"/>
            </w:r>
            <w:r>
              <w:rPr>
                <w:noProof/>
                <w:webHidden/>
              </w:rPr>
              <w:t>1</w:t>
            </w:r>
            <w:r>
              <w:rPr>
                <w:noProof/>
                <w:webHidden/>
              </w:rPr>
              <w:fldChar w:fldCharType="end"/>
            </w:r>
          </w:hyperlink>
        </w:p>
        <w:p w14:paraId="1A35E910" w14:textId="510D7189" w:rsidR="00FF49A6" w:rsidRDefault="00FF49A6" w:rsidP="1939FF7D">
          <w:pPr>
            <w:pStyle w:val="TOC1"/>
            <w:tabs>
              <w:tab w:val="right" w:leader="dot" w:pos="9350"/>
            </w:tabs>
            <w:rPr>
              <w:rFonts w:ascii="Arial Nova" w:eastAsia="Arial Nova" w:hAnsi="Arial Nova" w:cs="Arial Nova"/>
              <w:b w:val="0"/>
              <w:bCs w:val="0"/>
              <w:i w:val="0"/>
              <w:iCs w:val="0"/>
              <w:noProof/>
            </w:rPr>
          </w:pPr>
          <w:hyperlink w:anchor="_Toc212389853" w:history="1">
            <w:r w:rsidRPr="00964C0C">
              <w:rPr>
                <w:rStyle w:val="Hyperlink"/>
                <w:noProof/>
              </w:rPr>
              <w:t>1 Introduction and identification of the business problem</w:t>
            </w:r>
            <w:r>
              <w:rPr>
                <w:noProof/>
                <w:webHidden/>
              </w:rPr>
              <w:tab/>
            </w:r>
            <w:r>
              <w:rPr>
                <w:noProof/>
                <w:webHidden/>
              </w:rPr>
              <w:fldChar w:fldCharType="begin"/>
            </w:r>
            <w:r>
              <w:rPr>
                <w:noProof/>
                <w:webHidden/>
              </w:rPr>
              <w:instrText xml:space="preserve"> PAGEREF _Toc212389853 \h </w:instrText>
            </w:r>
            <w:r>
              <w:rPr>
                <w:noProof/>
                <w:webHidden/>
              </w:rPr>
            </w:r>
            <w:r>
              <w:rPr>
                <w:noProof/>
                <w:webHidden/>
              </w:rPr>
              <w:fldChar w:fldCharType="separate"/>
            </w:r>
            <w:r>
              <w:rPr>
                <w:noProof/>
                <w:webHidden/>
              </w:rPr>
              <w:t>2</w:t>
            </w:r>
            <w:r>
              <w:rPr>
                <w:noProof/>
                <w:webHidden/>
              </w:rPr>
              <w:fldChar w:fldCharType="end"/>
            </w:r>
          </w:hyperlink>
        </w:p>
        <w:p w14:paraId="213ABAFE" w14:textId="11C06638" w:rsidR="00FF49A6" w:rsidRDefault="00181AB7" w:rsidP="1939FF7D">
          <w:pPr>
            <w:pStyle w:val="TOC3"/>
            <w:tabs>
              <w:tab w:val="right" w:leader="dot" w:pos="9350"/>
            </w:tabs>
            <w:rPr>
              <w:rFonts w:ascii="Arial Nova" w:eastAsia="Arial Nova" w:hAnsi="Arial Nova" w:cs="Arial Nova"/>
              <w:noProof/>
              <w:sz w:val="24"/>
              <w:szCs w:val="24"/>
            </w:rPr>
          </w:pPr>
          <w:r>
            <w:t> Background and significance</w:t>
          </w:r>
          <w:r>
            <w:tab/>
            <w:t>2</w:t>
          </w:r>
        </w:p>
        <w:p w14:paraId="6524743E" w14:textId="2C581007" w:rsidR="00FF49A6" w:rsidRDefault="00181AB7" w:rsidP="1939FF7D">
          <w:pPr>
            <w:pStyle w:val="TOC3"/>
            <w:tabs>
              <w:tab w:val="right" w:leader="dot" w:pos="9350"/>
            </w:tabs>
            <w:rPr>
              <w:rFonts w:ascii="Arial Nova" w:eastAsia="Arial Nova" w:hAnsi="Arial Nova" w:cs="Arial Nova"/>
              <w:noProof/>
              <w:sz w:val="24"/>
              <w:szCs w:val="24"/>
            </w:rPr>
          </w:pPr>
          <w:r>
            <w:t> Why IT hardware supply chains matter</w:t>
          </w:r>
          <w:r>
            <w:tab/>
            <w:t>2</w:t>
          </w:r>
        </w:p>
        <w:p w14:paraId="428C63C9" w14:textId="405E0C05" w:rsidR="00FF49A6" w:rsidRDefault="00181AB7" w:rsidP="1939FF7D">
          <w:pPr>
            <w:pStyle w:val="TOC3"/>
            <w:tabs>
              <w:tab w:val="right" w:leader="dot" w:pos="9350"/>
            </w:tabs>
            <w:rPr>
              <w:rFonts w:ascii="Arial Nova" w:eastAsia="Arial Nova" w:hAnsi="Arial Nova" w:cs="Arial Nova"/>
              <w:noProof/>
              <w:sz w:val="24"/>
              <w:szCs w:val="24"/>
            </w:rPr>
          </w:pPr>
          <w:r>
            <w:t> Rationale and problem statement</w:t>
          </w:r>
          <w:r>
            <w:tab/>
            <w:t>3</w:t>
          </w:r>
        </w:p>
        <w:p w14:paraId="1EDCFA20" w14:textId="16B7F084" w:rsidR="00FF49A6" w:rsidRDefault="00FF49A6" w:rsidP="1939FF7D">
          <w:pPr>
            <w:pStyle w:val="TOC1"/>
            <w:tabs>
              <w:tab w:val="right" w:leader="dot" w:pos="9350"/>
            </w:tabs>
            <w:rPr>
              <w:rFonts w:ascii="Arial Nova" w:eastAsia="Arial Nova" w:hAnsi="Arial Nova" w:cs="Arial Nova"/>
              <w:b w:val="0"/>
              <w:bCs w:val="0"/>
              <w:i w:val="0"/>
              <w:iCs w:val="0"/>
              <w:noProof/>
            </w:rPr>
          </w:pPr>
          <w:hyperlink w:anchor="_Toc212389857" w:history="1">
            <w:r w:rsidRPr="00964C0C">
              <w:rPr>
                <w:rStyle w:val="Hyperlink"/>
                <w:noProof/>
              </w:rPr>
              <w:t>2 Research aim, objectives and questions</w:t>
            </w:r>
            <w:r>
              <w:rPr>
                <w:noProof/>
                <w:webHidden/>
              </w:rPr>
              <w:tab/>
            </w:r>
            <w:r>
              <w:rPr>
                <w:noProof/>
                <w:webHidden/>
              </w:rPr>
              <w:fldChar w:fldCharType="begin"/>
            </w:r>
            <w:r>
              <w:rPr>
                <w:noProof/>
                <w:webHidden/>
              </w:rPr>
              <w:instrText xml:space="preserve"> PAGEREF _Toc212389857 \h </w:instrText>
            </w:r>
            <w:r>
              <w:rPr>
                <w:noProof/>
                <w:webHidden/>
              </w:rPr>
            </w:r>
            <w:r>
              <w:rPr>
                <w:noProof/>
                <w:webHidden/>
              </w:rPr>
              <w:fldChar w:fldCharType="separate"/>
            </w:r>
            <w:r>
              <w:rPr>
                <w:noProof/>
                <w:webHidden/>
              </w:rPr>
              <w:t>4</w:t>
            </w:r>
            <w:r>
              <w:rPr>
                <w:noProof/>
                <w:webHidden/>
              </w:rPr>
              <w:fldChar w:fldCharType="end"/>
            </w:r>
          </w:hyperlink>
        </w:p>
        <w:p w14:paraId="1E746AE1" w14:textId="6165F55B" w:rsidR="00FF49A6" w:rsidRDefault="00181AB7" w:rsidP="1939FF7D">
          <w:pPr>
            <w:pStyle w:val="TOC3"/>
            <w:tabs>
              <w:tab w:val="right" w:leader="dot" w:pos="9350"/>
            </w:tabs>
            <w:rPr>
              <w:rFonts w:ascii="Arial Nova" w:eastAsia="Arial Nova" w:hAnsi="Arial Nova" w:cs="Arial Nova"/>
              <w:noProof/>
              <w:sz w:val="24"/>
              <w:szCs w:val="24"/>
            </w:rPr>
          </w:pPr>
          <w:r>
            <w:t> Research aim</w:t>
          </w:r>
          <w:r>
            <w:tab/>
            <w:t>4</w:t>
          </w:r>
        </w:p>
        <w:p w14:paraId="7334F7A0" w14:textId="6E69581A" w:rsidR="00FF49A6" w:rsidRDefault="00181AB7" w:rsidP="1939FF7D">
          <w:pPr>
            <w:pStyle w:val="TOC3"/>
            <w:tabs>
              <w:tab w:val="right" w:leader="dot" w:pos="9350"/>
            </w:tabs>
            <w:rPr>
              <w:rFonts w:ascii="Arial Nova" w:eastAsia="Arial Nova" w:hAnsi="Arial Nova" w:cs="Arial Nova"/>
              <w:noProof/>
              <w:sz w:val="24"/>
              <w:szCs w:val="24"/>
            </w:rPr>
          </w:pPr>
          <w:r>
            <w:t> Research objectives</w:t>
          </w:r>
          <w:r>
            <w:tab/>
            <w:t>4</w:t>
          </w:r>
        </w:p>
        <w:p w14:paraId="520CB6AD" w14:textId="0CDEAA21" w:rsidR="00FF49A6" w:rsidRDefault="00181AB7" w:rsidP="1939FF7D">
          <w:pPr>
            <w:pStyle w:val="TOC3"/>
            <w:tabs>
              <w:tab w:val="right" w:leader="dot" w:pos="9350"/>
            </w:tabs>
            <w:rPr>
              <w:rFonts w:ascii="Arial Nova" w:eastAsia="Arial Nova" w:hAnsi="Arial Nova" w:cs="Arial Nova"/>
              <w:noProof/>
              <w:sz w:val="24"/>
              <w:szCs w:val="24"/>
            </w:rPr>
          </w:pPr>
          <w:r>
            <w:t> Research questions</w:t>
          </w:r>
          <w:r>
            <w:tab/>
            <w:t>4</w:t>
          </w:r>
        </w:p>
        <w:p w14:paraId="4CC8E6EF" w14:textId="500B1571" w:rsidR="00FF49A6" w:rsidRDefault="00FF49A6" w:rsidP="1939FF7D">
          <w:pPr>
            <w:pStyle w:val="TOC1"/>
            <w:tabs>
              <w:tab w:val="right" w:leader="dot" w:pos="9350"/>
            </w:tabs>
            <w:rPr>
              <w:rFonts w:ascii="Arial Nova" w:eastAsia="Arial Nova" w:hAnsi="Arial Nova" w:cs="Arial Nova"/>
              <w:b w:val="0"/>
              <w:bCs w:val="0"/>
              <w:i w:val="0"/>
              <w:iCs w:val="0"/>
              <w:noProof/>
            </w:rPr>
          </w:pPr>
          <w:hyperlink w:anchor="_Toc212389861" w:history="1">
            <w:r w:rsidRPr="00964C0C">
              <w:rPr>
                <w:rStyle w:val="Hyperlink"/>
                <w:noProof/>
              </w:rPr>
              <w:t>3 Preliminary literature review</w:t>
            </w:r>
            <w:r>
              <w:rPr>
                <w:noProof/>
                <w:webHidden/>
              </w:rPr>
              <w:tab/>
            </w:r>
            <w:r>
              <w:rPr>
                <w:noProof/>
                <w:webHidden/>
              </w:rPr>
              <w:fldChar w:fldCharType="begin"/>
            </w:r>
            <w:r>
              <w:rPr>
                <w:noProof/>
                <w:webHidden/>
              </w:rPr>
              <w:instrText xml:space="preserve"> PAGEREF _Toc212389861 \h </w:instrText>
            </w:r>
            <w:r>
              <w:rPr>
                <w:noProof/>
                <w:webHidden/>
              </w:rPr>
            </w:r>
            <w:r>
              <w:rPr>
                <w:noProof/>
                <w:webHidden/>
              </w:rPr>
              <w:fldChar w:fldCharType="separate"/>
            </w:r>
            <w:r>
              <w:rPr>
                <w:noProof/>
                <w:webHidden/>
              </w:rPr>
              <w:t>5</w:t>
            </w:r>
            <w:r>
              <w:rPr>
                <w:noProof/>
                <w:webHidden/>
              </w:rPr>
              <w:fldChar w:fldCharType="end"/>
            </w:r>
          </w:hyperlink>
        </w:p>
        <w:p w14:paraId="525041BB" w14:textId="64EA9FED" w:rsidR="00FF49A6" w:rsidRDefault="00181AB7" w:rsidP="1939FF7D">
          <w:pPr>
            <w:pStyle w:val="TOC3"/>
            <w:tabs>
              <w:tab w:val="right" w:leader="dot" w:pos="9350"/>
            </w:tabs>
            <w:rPr>
              <w:rFonts w:ascii="Arial Nova" w:eastAsia="Arial Nova" w:hAnsi="Arial Nova" w:cs="Arial Nova"/>
              <w:noProof/>
              <w:sz w:val="24"/>
              <w:szCs w:val="24"/>
            </w:rPr>
          </w:pPr>
          <w:r>
            <w:t> Ewaste generation and consequences</w:t>
          </w:r>
          <w:r>
            <w:tab/>
            <w:t>5</w:t>
          </w:r>
        </w:p>
        <w:p w14:paraId="6BF673C7" w14:textId="3E7DC51C" w:rsidR="00FF49A6" w:rsidRDefault="00181AB7" w:rsidP="1939FF7D">
          <w:pPr>
            <w:pStyle w:val="TOC3"/>
            <w:tabs>
              <w:tab w:val="right" w:leader="dot" w:pos="9350"/>
            </w:tabs>
            <w:rPr>
              <w:rFonts w:ascii="Arial Nova" w:eastAsia="Arial Nova" w:hAnsi="Arial Nova" w:cs="Arial Nova"/>
              <w:noProof/>
              <w:sz w:val="24"/>
              <w:szCs w:val="24"/>
            </w:rPr>
          </w:pPr>
          <w:r>
            <w:t> Circular economy principles for IT hardware</w:t>
          </w:r>
          <w:r>
            <w:tab/>
            <w:t>6</w:t>
          </w:r>
        </w:p>
        <w:p w14:paraId="68C4991E" w14:textId="5D7C762B" w:rsidR="00FF49A6" w:rsidRDefault="00181AB7" w:rsidP="1939FF7D">
          <w:pPr>
            <w:pStyle w:val="TOC3"/>
            <w:tabs>
              <w:tab w:val="right" w:leader="dot" w:pos="9350"/>
            </w:tabs>
            <w:rPr>
              <w:rFonts w:ascii="Arial Nova" w:eastAsia="Arial Nova" w:hAnsi="Arial Nova" w:cs="Arial Nova"/>
              <w:noProof/>
              <w:sz w:val="24"/>
              <w:szCs w:val="24"/>
            </w:rPr>
          </w:pPr>
          <w:r>
            <w:t> Refurbishment in supply chains</w:t>
          </w:r>
          <w:r>
            <w:tab/>
            <w:t>6</w:t>
          </w:r>
        </w:p>
        <w:p w14:paraId="59330F74" w14:textId="21F1275A" w:rsidR="00FF49A6" w:rsidRDefault="00181AB7" w:rsidP="1939FF7D">
          <w:pPr>
            <w:pStyle w:val="TOC3"/>
            <w:tabs>
              <w:tab w:val="right" w:leader="dot" w:pos="9350"/>
            </w:tabs>
            <w:rPr>
              <w:rFonts w:ascii="Arial Nova" w:eastAsia="Arial Nova" w:hAnsi="Arial Nova" w:cs="Arial Nova"/>
              <w:noProof/>
              <w:sz w:val="24"/>
              <w:szCs w:val="24"/>
            </w:rPr>
          </w:pPr>
          <w:r>
            <w:t> Recycling and material recovery</w:t>
          </w:r>
          <w:r>
            <w:tab/>
            <w:t>7</w:t>
          </w:r>
        </w:p>
        <w:p w14:paraId="16E4C323" w14:textId="22ADD811" w:rsidR="00FF49A6" w:rsidRDefault="00181AB7" w:rsidP="1939FF7D">
          <w:pPr>
            <w:pStyle w:val="TOC3"/>
            <w:tabs>
              <w:tab w:val="right" w:leader="dot" w:pos="9350"/>
            </w:tabs>
            <w:rPr>
              <w:rFonts w:ascii="Arial Nova" w:eastAsia="Arial Nova" w:hAnsi="Arial Nova" w:cs="Arial Nova"/>
              <w:noProof/>
              <w:sz w:val="24"/>
              <w:szCs w:val="24"/>
            </w:rPr>
          </w:pPr>
          <w:r>
            <w:t> Policy drivers and regulatory context</w:t>
          </w:r>
          <w:r>
            <w:tab/>
            <w:t>7</w:t>
          </w:r>
        </w:p>
        <w:p w14:paraId="611EE211" w14:textId="7347568E" w:rsidR="00FF49A6" w:rsidRDefault="00181AB7" w:rsidP="1939FF7D">
          <w:pPr>
            <w:pStyle w:val="TOC3"/>
            <w:tabs>
              <w:tab w:val="right" w:leader="dot" w:pos="9350"/>
            </w:tabs>
            <w:rPr>
              <w:rFonts w:ascii="Arial Nova" w:eastAsia="Arial Nova" w:hAnsi="Arial Nova" w:cs="Arial Nova"/>
              <w:noProof/>
              <w:sz w:val="24"/>
              <w:szCs w:val="24"/>
            </w:rPr>
          </w:pPr>
          <w:r>
            <w:t> Gaps in existing research</w:t>
          </w:r>
          <w:r>
            <w:tab/>
            <w:t>8</w:t>
          </w:r>
        </w:p>
        <w:p w14:paraId="78D38389" w14:textId="445EB946" w:rsidR="00FF49A6" w:rsidRDefault="00FF49A6" w:rsidP="1939FF7D">
          <w:pPr>
            <w:pStyle w:val="TOC1"/>
            <w:tabs>
              <w:tab w:val="right" w:leader="dot" w:pos="9350"/>
            </w:tabs>
            <w:rPr>
              <w:rFonts w:ascii="Arial Nova" w:eastAsia="Arial Nova" w:hAnsi="Arial Nova" w:cs="Arial Nova"/>
              <w:b w:val="0"/>
              <w:bCs w:val="0"/>
              <w:i w:val="0"/>
              <w:iCs w:val="0"/>
              <w:noProof/>
            </w:rPr>
          </w:pPr>
          <w:hyperlink w:anchor="_Toc212389868" w:history="1">
            <w:r w:rsidRPr="00964C0C">
              <w:rPr>
                <w:rStyle w:val="Hyperlink"/>
                <w:noProof/>
              </w:rPr>
              <w:t>4 Research methodology and design</w:t>
            </w:r>
            <w:r>
              <w:rPr>
                <w:noProof/>
                <w:webHidden/>
              </w:rPr>
              <w:tab/>
            </w:r>
            <w:r>
              <w:rPr>
                <w:noProof/>
                <w:webHidden/>
              </w:rPr>
              <w:fldChar w:fldCharType="begin"/>
            </w:r>
            <w:r>
              <w:rPr>
                <w:noProof/>
                <w:webHidden/>
              </w:rPr>
              <w:instrText xml:space="preserve"> PAGEREF _Toc212389868 \h </w:instrText>
            </w:r>
            <w:r>
              <w:rPr>
                <w:noProof/>
                <w:webHidden/>
              </w:rPr>
            </w:r>
            <w:r>
              <w:rPr>
                <w:noProof/>
                <w:webHidden/>
              </w:rPr>
              <w:fldChar w:fldCharType="separate"/>
            </w:r>
            <w:r>
              <w:rPr>
                <w:noProof/>
                <w:webHidden/>
              </w:rPr>
              <w:t>9</w:t>
            </w:r>
            <w:r>
              <w:rPr>
                <w:noProof/>
                <w:webHidden/>
              </w:rPr>
              <w:fldChar w:fldCharType="end"/>
            </w:r>
          </w:hyperlink>
        </w:p>
        <w:p w14:paraId="656A050B" w14:textId="61C9A02A" w:rsidR="00FF49A6" w:rsidRDefault="00181AB7" w:rsidP="1939FF7D">
          <w:pPr>
            <w:pStyle w:val="TOC3"/>
            <w:tabs>
              <w:tab w:val="right" w:leader="dot" w:pos="9350"/>
            </w:tabs>
            <w:rPr>
              <w:rFonts w:ascii="Arial Nova" w:eastAsia="Arial Nova" w:hAnsi="Arial Nova" w:cs="Arial Nova"/>
              <w:noProof/>
              <w:sz w:val="24"/>
              <w:szCs w:val="24"/>
            </w:rPr>
          </w:pPr>
          <w:r>
            <w:t> Research approach and rationale</w:t>
          </w:r>
          <w:r>
            <w:tab/>
            <w:t>9</w:t>
          </w:r>
        </w:p>
        <w:p w14:paraId="2F5074F4" w14:textId="4C647112" w:rsidR="00FF49A6" w:rsidRDefault="00181AB7" w:rsidP="1939FF7D">
          <w:pPr>
            <w:pStyle w:val="TOC3"/>
            <w:tabs>
              <w:tab w:val="right" w:leader="dot" w:pos="9350"/>
            </w:tabs>
            <w:rPr>
              <w:rFonts w:ascii="Arial Nova" w:eastAsia="Arial Nova" w:hAnsi="Arial Nova" w:cs="Arial Nova"/>
              <w:noProof/>
              <w:sz w:val="24"/>
              <w:szCs w:val="24"/>
            </w:rPr>
          </w:pPr>
          <w:r>
            <w:t> Research design</w:t>
          </w:r>
          <w:r>
            <w:tab/>
            <w:t>9</w:t>
          </w:r>
        </w:p>
        <w:p w14:paraId="3CA37514" w14:textId="3093873F" w:rsidR="00FF49A6" w:rsidRDefault="00181AB7" w:rsidP="1939FF7D">
          <w:pPr>
            <w:pStyle w:val="TOC3"/>
            <w:tabs>
              <w:tab w:val="right" w:leader="dot" w:pos="9350"/>
            </w:tabs>
            <w:rPr>
              <w:rFonts w:ascii="Arial Nova" w:eastAsia="Arial Nova" w:hAnsi="Arial Nova" w:cs="Arial Nova"/>
              <w:noProof/>
              <w:sz w:val="24"/>
              <w:szCs w:val="24"/>
            </w:rPr>
          </w:pPr>
          <w:r>
            <w:t> Data analysis plan</w:t>
          </w:r>
          <w:r>
            <w:tab/>
            <w:t>10</w:t>
          </w:r>
        </w:p>
        <w:p w14:paraId="65CF6232" w14:textId="3155AD2F" w:rsidR="00FF49A6" w:rsidRDefault="00FF49A6" w:rsidP="1939FF7D">
          <w:pPr>
            <w:pStyle w:val="TOC1"/>
            <w:tabs>
              <w:tab w:val="right" w:leader="dot" w:pos="9350"/>
            </w:tabs>
            <w:rPr>
              <w:rFonts w:ascii="Arial Nova" w:eastAsia="Arial Nova" w:hAnsi="Arial Nova" w:cs="Arial Nova"/>
              <w:b w:val="0"/>
              <w:bCs w:val="0"/>
              <w:i w:val="0"/>
              <w:iCs w:val="0"/>
              <w:noProof/>
            </w:rPr>
          </w:pPr>
          <w:hyperlink w:anchor="_Toc212389872" w:history="1">
            <w:r w:rsidRPr="00964C0C">
              <w:rPr>
                <w:rStyle w:val="Hyperlink"/>
                <w:noProof/>
              </w:rPr>
              <w:t>5 Business relevance and practical implications</w:t>
            </w:r>
            <w:r>
              <w:rPr>
                <w:noProof/>
                <w:webHidden/>
              </w:rPr>
              <w:tab/>
            </w:r>
            <w:r>
              <w:rPr>
                <w:noProof/>
                <w:webHidden/>
              </w:rPr>
              <w:fldChar w:fldCharType="begin"/>
            </w:r>
            <w:r>
              <w:rPr>
                <w:noProof/>
                <w:webHidden/>
              </w:rPr>
              <w:instrText xml:space="preserve"> PAGEREF _Toc212389872 \h </w:instrText>
            </w:r>
            <w:r>
              <w:rPr>
                <w:noProof/>
                <w:webHidden/>
              </w:rPr>
            </w:r>
            <w:r>
              <w:rPr>
                <w:noProof/>
                <w:webHidden/>
              </w:rPr>
              <w:fldChar w:fldCharType="separate"/>
            </w:r>
            <w:r>
              <w:rPr>
                <w:noProof/>
                <w:webHidden/>
              </w:rPr>
              <w:t>11</w:t>
            </w:r>
            <w:r>
              <w:rPr>
                <w:noProof/>
                <w:webHidden/>
              </w:rPr>
              <w:fldChar w:fldCharType="end"/>
            </w:r>
          </w:hyperlink>
        </w:p>
        <w:p w14:paraId="5FF70183" w14:textId="742E77F6" w:rsidR="00FF49A6" w:rsidRDefault="00FF49A6" w:rsidP="1939FF7D">
          <w:pPr>
            <w:pStyle w:val="TOC1"/>
            <w:tabs>
              <w:tab w:val="right" w:leader="dot" w:pos="9350"/>
            </w:tabs>
            <w:rPr>
              <w:rFonts w:ascii="Arial Nova" w:eastAsia="Arial Nova" w:hAnsi="Arial Nova" w:cs="Arial Nova"/>
              <w:b w:val="0"/>
              <w:bCs w:val="0"/>
              <w:i w:val="0"/>
              <w:iCs w:val="0"/>
              <w:noProof/>
            </w:rPr>
          </w:pPr>
          <w:hyperlink w:anchor="_Toc212389873" w:history="1">
            <w:r w:rsidRPr="00964C0C">
              <w:rPr>
                <w:rStyle w:val="Hyperlink"/>
                <w:noProof/>
              </w:rPr>
              <w:t>6 Plan of work and time schedule</w:t>
            </w:r>
            <w:r>
              <w:rPr>
                <w:noProof/>
                <w:webHidden/>
              </w:rPr>
              <w:tab/>
            </w:r>
            <w:r>
              <w:rPr>
                <w:noProof/>
                <w:webHidden/>
              </w:rPr>
              <w:fldChar w:fldCharType="begin"/>
            </w:r>
            <w:r>
              <w:rPr>
                <w:noProof/>
                <w:webHidden/>
              </w:rPr>
              <w:instrText xml:space="preserve"> PAGEREF _Toc212389873 \h </w:instrText>
            </w:r>
            <w:r>
              <w:rPr>
                <w:noProof/>
                <w:webHidden/>
              </w:rPr>
            </w:r>
            <w:r>
              <w:rPr>
                <w:noProof/>
                <w:webHidden/>
              </w:rPr>
              <w:fldChar w:fldCharType="separate"/>
            </w:r>
            <w:r>
              <w:rPr>
                <w:noProof/>
                <w:webHidden/>
              </w:rPr>
              <w:t>12</w:t>
            </w:r>
            <w:r>
              <w:rPr>
                <w:noProof/>
                <w:webHidden/>
              </w:rPr>
              <w:fldChar w:fldCharType="end"/>
            </w:r>
          </w:hyperlink>
        </w:p>
        <w:p w14:paraId="2201E744" w14:textId="3380FDE9" w:rsidR="00FF49A6" w:rsidRDefault="00FF49A6" w:rsidP="1939FF7D">
          <w:pPr>
            <w:pStyle w:val="TOC1"/>
            <w:tabs>
              <w:tab w:val="right" w:leader="dot" w:pos="9350"/>
            </w:tabs>
            <w:rPr>
              <w:rFonts w:ascii="Arial Nova" w:eastAsia="Arial Nova" w:hAnsi="Arial Nova" w:cs="Arial Nova"/>
              <w:b w:val="0"/>
              <w:bCs w:val="0"/>
              <w:i w:val="0"/>
              <w:iCs w:val="0"/>
              <w:noProof/>
            </w:rPr>
          </w:pPr>
          <w:hyperlink w:anchor="_Toc212389874" w:history="1">
            <w:r w:rsidRPr="00964C0C">
              <w:rPr>
                <w:rStyle w:val="Hyperlink"/>
                <w:noProof/>
              </w:rPr>
              <w:t>7 Conclusion</w:t>
            </w:r>
            <w:r>
              <w:rPr>
                <w:noProof/>
                <w:webHidden/>
              </w:rPr>
              <w:tab/>
            </w:r>
            <w:r>
              <w:rPr>
                <w:noProof/>
                <w:webHidden/>
              </w:rPr>
              <w:fldChar w:fldCharType="begin"/>
            </w:r>
            <w:r>
              <w:rPr>
                <w:noProof/>
                <w:webHidden/>
              </w:rPr>
              <w:instrText xml:space="preserve"> PAGEREF _Toc212389874 \h </w:instrText>
            </w:r>
            <w:r>
              <w:rPr>
                <w:noProof/>
                <w:webHidden/>
              </w:rPr>
            </w:r>
            <w:r>
              <w:rPr>
                <w:noProof/>
                <w:webHidden/>
              </w:rPr>
              <w:fldChar w:fldCharType="separate"/>
            </w:r>
            <w:r>
              <w:rPr>
                <w:noProof/>
                <w:webHidden/>
              </w:rPr>
              <w:t>14</w:t>
            </w:r>
            <w:r>
              <w:rPr>
                <w:noProof/>
                <w:webHidden/>
              </w:rPr>
              <w:fldChar w:fldCharType="end"/>
            </w:r>
          </w:hyperlink>
        </w:p>
        <w:p w14:paraId="3E11EC07" w14:textId="7CE9CA86" w:rsidR="00FF49A6" w:rsidRDefault="00FF49A6" w:rsidP="1939FF7D">
          <w:pPr>
            <w:pStyle w:val="TOC1"/>
            <w:tabs>
              <w:tab w:val="right" w:leader="dot" w:pos="9350"/>
            </w:tabs>
            <w:rPr>
              <w:rFonts w:ascii="Arial Nova" w:eastAsia="Arial Nova" w:hAnsi="Arial Nova" w:cs="Arial Nova"/>
              <w:b w:val="0"/>
              <w:bCs w:val="0"/>
              <w:i w:val="0"/>
              <w:iCs w:val="0"/>
              <w:noProof/>
            </w:rPr>
          </w:pPr>
          <w:hyperlink w:anchor="_Toc212389875" w:history="1">
            <w:r w:rsidRPr="00964C0C">
              <w:rPr>
                <w:rStyle w:val="Hyperlink"/>
                <w:noProof/>
              </w:rPr>
              <w:t>References:</w:t>
            </w:r>
            <w:r>
              <w:rPr>
                <w:noProof/>
                <w:webHidden/>
              </w:rPr>
              <w:tab/>
            </w:r>
            <w:r>
              <w:rPr>
                <w:noProof/>
                <w:webHidden/>
              </w:rPr>
              <w:fldChar w:fldCharType="begin"/>
            </w:r>
            <w:r>
              <w:rPr>
                <w:noProof/>
                <w:webHidden/>
              </w:rPr>
              <w:instrText xml:space="preserve"> PAGEREF _Toc212389875 \h </w:instrText>
            </w:r>
            <w:r>
              <w:rPr>
                <w:noProof/>
                <w:webHidden/>
              </w:rPr>
            </w:r>
            <w:r>
              <w:rPr>
                <w:noProof/>
                <w:webHidden/>
              </w:rPr>
              <w:fldChar w:fldCharType="separate"/>
            </w:r>
            <w:r>
              <w:rPr>
                <w:noProof/>
                <w:webHidden/>
              </w:rPr>
              <w:t>15</w:t>
            </w:r>
            <w:r>
              <w:rPr>
                <w:noProof/>
                <w:webHidden/>
              </w:rPr>
              <w:fldChar w:fldCharType="end"/>
            </w:r>
          </w:hyperlink>
        </w:p>
        <w:p w14:paraId="1CD97B35" w14:textId="2477F1B4" w:rsidR="00FF49A6" w:rsidRPr="00FF49A6" w:rsidRDefault="00FF49A6" w:rsidP="1939FF7D">
          <w:pPr>
            <w:rPr>
              <w:rFonts w:ascii="Arial Nova" w:eastAsia="Arial Nova" w:hAnsi="Arial Nova" w:cs="Arial Nova"/>
            </w:rPr>
          </w:pPr>
          <w:r w:rsidRPr="1939FF7D">
            <w:rPr>
              <w:b/>
              <w:bCs/>
              <w:noProof/>
            </w:rPr>
            <w:fldChar w:fldCharType="end"/>
          </w:r>
        </w:p>
      </w:sdtContent>
    </w:sdt>
    <w:p w14:paraId="0A865C3A" w14:textId="5B9C6387" w:rsidR="1939FF7D" w:rsidRDefault="1939FF7D" w:rsidP="1939FF7D">
      <w:pPr>
        <w:pStyle w:val="Heading1"/>
        <w:rPr>
          <w:rFonts w:ascii="Arial Nova" w:eastAsia="Arial Nova" w:hAnsi="Arial Nova" w:cs="Arial Nova"/>
          <w:u w:val="single"/>
        </w:rPr>
      </w:pPr>
    </w:p>
    <w:p w14:paraId="30E8F1E1" w14:textId="079EEC30" w:rsidR="1939FF7D" w:rsidRDefault="1939FF7D" w:rsidP="1939FF7D">
      <w:pPr>
        <w:pStyle w:val="Heading1"/>
        <w:rPr>
          <w:rFonts w:ascii="Arial Nova" w:eastAsia="Arial Nova" w:hAnsi="Arial Nova" w:cs="Arial Nova"/>
          <w:u w:val="single"/>
        </w:rPr>
      </w:pPr>
    </w:p>
    <w:p w14:paraId="46222589" w14:textId="7486E8AD" w:rsidR="00FF49A6" w:rsidRPr="00FF49A6" w:rsidRDefault="00FF49A6" w:rsidP="1939FF7D">
      <w:pPr>
        <w:pStyle w:val="Heading1"/>
        <w:rPr>
          <w:rFonts w:ascii="Arial Nova" w:eastAsia="Arial Nova" w:hAnsi="Arial Nova" w:cs="Arial Nova"/>
          <w:u w:val="single"/>
        </w:rPr>
      </w:pPr>
      <w:bookmarkStart w:id="1" w:name="_Toc212389853"/>
      <w:r w:rsidRPr="1939FF7D">
        <w:rPr>
          <w:rFonts w:ascii="Arial Nova" w:eastAsia="Arial Nova" w:hAnsi="Arial Nova" w:cs="Arial Nova"/>
          <w:u w:val="single"/>
        </w:rPr>
        <w:t>1 Introduction and identification of the business problem</w:t>
      </w:r>
      <w:bookmarkEnd w:id="1"/>
    </w:p>
    <w:p w14:paraId="2706D0E3" w14:textId="30F654E5" w:rsidR="00FF49A6" w:rsidRPr="00FF49A6" w:rsidRDefault="00181AB7" w:rsidP="1939FF7D">
      <w:pPr>
        <w:pStyle w:val="Heading3"/>
        <w:spacing w:line="360" w:lineRule="auto"/>
        <w:jc w:val="both"/>
        <w:rPr>
          <w:rFonts w:ascii="Arial Nova" w:eastAsia="Arial Nova" w:hAnsi="Arial Nova" w:cs="Arial Nova"/>
          <w:sz w:val="24"/>
          <w:szCs w:val="24"/>
        </w:rPr>
      </w:pPr>
      <w:r w:rsidRPr="1939FF7D">
        <w:rPr>
          <w:rFonts w:ascii="Arial Nova" w:eastAsia="Arial Nova" w:hAnsi="Arial Nova" w:cs="Arial Nova"/>
          <w:sz w:val="24"/>
          <w:szCs w:val="24"/>
        </w:rPr>
        <w:t> Background and significance</w:t>
      </w:r>
    </w:p>
    <w:p w14:paraId="3E6BF6EC" w14:textId="3989736B" w:rsidR="0E29751D" w:rsidRDefault="0E29751D" w:rsidP="1939FF7D">
      <w:pPr>
        <w:rPr>
          <w:rFonts w:ascii="Arial Nova" w:eastAsia="Arial Nova" w:hAnsi="Arial Nova" w:cs="Arial Nova"/>
        </w:rPr>
      </w:pPr>
    </w:p>
    <w:p w14:paraId="6A642BFB" w14:textId="3C4B0D8B" w:rsidR="0E29751D" w:rsidRDefault="0E29751D" w:rsidP="1939FF7D">
      <w:pPr>
        <w:rPr>
          <w:rFonts w:ascii="Arial Nova" w:eastAsia="Arial Nova" w:hAnsi="Arial Nova" w:cs="Arial Nova"/>
        </w:rPr>
      </w:pPr>
    </w:p>
    <w:p w14:paraId="11ECA34A" w14:textId="5C7ADF94" w:rsidR="0E29751D" w:rsidRDefault="0E29751D" w:rsidP="1939FF7D">
      <w:pPr>
        <w:rPr>
          <w:rFonts w:ascii="Arial Nova" w:eastAsia="Arial Nova" w:hAnsi="Arial Nova" w:cs="Arial Nova"/>
        </w:rPr>
      </w:pPr>
    </w:p>
    <w:p w14:paraId="5D80829C" w14:textId="22F2FE65" w:rsidR="0E29751D" w:rsidRDefault="0E29751D" w:rsidP="1939FF7D">
      <w:pPr>
        <w:rPr>
          <w:rFonts w:ascii="Arial Nova" w:eastAsia="Arial Nova" w:hAnsi="Arial Nova" w:cs="Arial Nova"/>
        </w:rPr>
      </w:pPr>
    </w:p>
    <w:p w14:paraId="64B20A4F" w14:textId="05622D80" w:rsidR="60289D13" w:rsidRDefault="60289D13" w:rsidP="1939FF7D">
      <w:pPr>
        <w:rPr>
          <w:rFonts w:ascii="Arial Nova" w:eastAsia="Arial Nova" w:hAnsi="Arial Nova" w:cs="Arial Nova"/>
        </w:rPr>
      </w:pPr>
      <w:r w:rsidRPr="1939FF7D">
        <w:rPr>
          <w:rFonts w:ascii="Arial Nova" w:eastAsia="Arial Nova" w:hAnsi="Arial Nova" w:cs="Arial Nova"/>
        </w:rPr>
        <w:t>Figure 1</w:t>
      </w:r>
    </w:p>
    <w:p w14:paraId="39D1ACE0" w14:textId="408699B3" w:rsidR="0E29751D" w:rsidRDefault="0E29751D" w:rsidP="1939FF7D">
      <w:pPr>
        <w:rPr>
          <w:rFonts w:ascii="Arial Nova" w:eastAsia="Arial Nova" w:hAnsi="Arial Nova" w:cs="Arial Nova"/>
        </w:rPr>
      </w:pPr>
    </w:p>
    <w:p w14:paraId="1347B2E1" w14:textId="398ADA68" w:rsidR="3D4CA109" w:rsidRDefault="3D4CA109" w:rsidP="1939FF7D">
      <w:pPr>
        <w:rPr>
          <w:rFonts w:ascii="Arial Nova" w:eastAsia="Arial Nova" w:hAnsi="Arial Nova" w:cs="Arial Nova"/>
        </w:rPr>
      </w:pPr>
      <w:r>
        <w:rPr>
          <w:noProof/>
        </w:rPr>
        <w:drawing>
          <wp:inline distT="0" distB="0" distL="0" distR="0" wp14:anchorId="700358DF" wp14:editId="386AB2B6">
            <wp:extent cx="5800725" cy="2711202"/>
            <wp:effectExtent l="0" t="0" r="0" b="0"/>
            <wp:docPr id="13381980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198056" name=""/>
                    <pic:cNvPicPr/>
                  </pic:nvPicPr>
                  <pic:blipFill>
                    <a:blip r:embed="rId12">
                      <a:extLst>
                        <a:ext uri="{28A0092B-C50C-407E-A947-70E740481C1C}">
                          <a14:useLocalDpi xmlns:a14="http://schemas.microsoft.com/office/drawing/2010/main"/>
                        </a:ext>
                      </a:extLst>
                    </a:blip>
                    <a:stretch>
                      <a:fillRect/>
                    </a:stretch>
                  </pic:blipFill>
                  <pic:spPr>
                    <a:xfrm>
                      <a:off x="0" y="0"/>
                      <a:ext cx="5800725" cy="2711202"/>
                    </a:xfrm>
                    <a:prstGeom prst="rect">
                      <a:avLst/>
                    </a:prstGeom>
                  </pic:spPr>
                </pic:pic>
              </a:graphicData>
            </a:graphic>
          </wp:inline>
        </w:drawing>
      </w:r>
    </w:p>
    <w:p w14:paraId="4D225A87" w14:textId="0A9B7157" w:rsidR="0E29751D" w:rsidRDefault="0E29751D" w:rsidP="1939FF7D">
      <w:pPr>
        <w:pStyle w:val="NormalWeb"/>
        <w:spacing w:line="360" w:lineRule="auto"/>
        <w:jc w:val="both"/>
        <w:rPr>
          <w:rFonts w:ascii="Arial Nova" w:eastAsia="Arial Nova" w:hAnsi="Arial Nova" w:cs="Arial Nova"/>
        </w:rPr>
      </w:pPr>
    </w:p>
    <w:p w14:paraId="54D3696E" w14:textId="1DFE7ECE" w:rsidR="0E29751D" w:rsidRDefault="0E29751D" w:rsidP="1939FF7D">
      <w:pPr>
        <w:pStyle w:val="NormalWeb"/>
        <w:spacing w:line="360" w:lineRule="auto"/>
        <w:jc w:val="both"/>
        <w:rPr>
          <w:rFonts w:ascii="Arial Nova" w:eastAsia="Arial Nova" w:hAnsi="Arial Nova" w:cs="Arial Nova"/>
        </w:rPr>
      </w:pPr>
    </w:p>
    <w:p w14:paraId="3D493FA4" w14:textId="52318398"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Businesses need IT hardware like PCs, software, servers, mobile phones, and networking gear.   Global digitalisation and faster innovation cycles have generated early product replacement, rapid consumption, and lots of rubbish.   Electronic </w:t>
      </w:r>
      <w:r w:rsidR="192CEEE0" w:rsidRPr="1939FF7D">
        <w:rPr>
          <w:rFonts w:ascii="Arial Nova" w:eastAsia="Arial Nova" w:hAnsi="Arial Nova" w:cs="Arial Nova"/>
        </w:rPr>
        <w:t>waste</w:t>
      </w:r>
      <w:r w:rsidRPr="1939FF7D">
        <w:rPr>
          <w:rFonts w:ascii="Arial Nova" w:eastAsia="Arial Nova" w:hAnsi="Arial Nova" w:cs="Arial Nova"/>
        </w:rPr>
        <w:t xml:space="preserve"> </w:t>
      </w:r>
      <w:r w:rsidR="546C658B" w:rsidRPr="1939FF7D">
        <w:rPr>
          <w:rFonts w:ascii="Arial Nova" w:eastAsia="Arial Nova" w:hAnsi="Arial Nova" w:cs="Arial Nova"/>
        </w:rPr>
        <w:t xml:space="preserve">(Liu et al., 2022; Elgarahy et al., 2024) </w:t>
      </w:r>
      <w:r w:rsidRPr="1939FF7D">
        <w:rPr>
          <w:rFonts w:ascii="Arial Nova" w:eastAsia="Arial Nova" w:hAnsi="Arial Nova" w:cs="Arial Nova"/>
        </w:rPr>
        <w:t xml:space="preserve">reached a record 62 million tonnes in 2022, according to the Global </w:t>
      </w:r>
      <w:r w:rsidRPr="1939FF7D">
        <w:rPr>
          <w:rFonts w:ascii="Arial Nova" w:eastAsia="Arial Nova" w:hAnsi="Arial Nova" w:cs="Arial Nova"/>
        </w:rPr>
        <w:lastRenderedPageBreak/>
        <w:t xml:space="preserve">E waste Monitor </w:t>
      </w:r>
      <w:r w:rsidR="3947E975" w:rsidRPr="1939FF7D">
        <w:rPr>
          <w:rFonts w:ascii="Arial Nova" w:eastAsia="Arial Nova" w:hAnsi="Arial Nova" w:cs="Arial Nova"/>
        </w:rPr>
        <w:t>(</w:t>
      </w:r>
      <w:r w:rsidRPr="1939FF7D">
        <w:rPr>
          <w:rFonts w:ascii="Arial Nova" w:eastAsia="Arial Nova" w:hAnsi="Arial Nova" w:cs="Arial Nova"/>
        </w:rPr>
        <w:t>2024</w:t>
      </w:r>
      <w:r w:rsidR="0E71F118" w:rsidRPr="1939FF7D">
        <w:rPr>
          <w:rFonts w:ascii="Arial Nova" w:eastAsia="Arial Nova" w:hAnsi="Arial Nova" w:cs="Arial Nova"/>
        </w:rPr>
        <w:t>)</w:t>
      </w:r>
      <w:r w:rsidR="45E95AE1" w:rsidRPr="1939FF7D">
        <w:rPr>
          <w:rFonts w:ascii="Arial Nova" w:eastAsia="Arial Nova" w:hAnsi="Arial Nova" w:cs="Arial Nova"/>
        </w:rPr>
        <w:t xml:space="preserve"> ( Elgarahy et </w:t>
      </w:r>
      <w:r w:rsidR="5CA09BB2" w:rsidRPr="1939FF7D">
        <w:rPr>
          <w:rFonts w:ascii="Arial Nova" w:eastAsia="Arial Nova" w:hAnsi="Arial Nova" w:cs="Arial Nova"/>
        </w:rPr>
        <w:t>al., 2024)</w:t>
      </w:r>
      <w:r w:rsidRPr="1939FF7D">
        <w:rPr>
          <w:rFonts w:ascii="Arial Nova" w:eastAsia="Arial Nova" w:hAnsi="Arial Nova" w:cs="Arial Nova"/>
        </w:rPr>
        <w:t>.  This is 82% greater than in 2010, and growing by million tonnes each year.   Only 24% of this mass was properly collected and recovered, wasting US$62 billion in resources</w:t>
      </w:r>
      <w:r w:rsidR="2BA0D325" w:rsidRPr="1939FF7D">
        <w:rPr>
          <w:rFonts w:ascii="Arial Nova" w:eastAsia="Arial Nova" w:hAnsi="Arial Nova" w:cs="Arial Nova"/>
        </w:rPr>
        <w:t xml:space="preserve"> </w:t>
      </w:r>
      <w:r w:rsidR="45CEFBB1" w:rsidRPr="1939FF7D">
        <w:rPr>
          <w:rFonts w:ascii="Arial Nova" w:eastAsia="Arial Nova" w:hAnsi="Arial Nova" w:cs="Arial Nova"/>
        </w:rPr>
        <w:t>(Liu et al., 2022).</w:t>
      </w:r>
      <w:r w:rsidR="2BA0D325" w:rsidRPr="1939FF7D">
        <w:rPr>
          <w:rFonts w:ascii="Arial Nova" w:eastAsia="Arial Nova" w:hAnsi="Arial Nova" w:cs="Arial Nova"/>
        </w:rPr>
        <w:t xml:space="preserve"> </w:t>
      </w:r>
      <w:r w:rsidRPr="1939FF7D">
        <w:rPr>
          <w:rFonts w:ascii="Arial Nova" w:eastAsia="Arial Nova" w:hAnsi="Arial Nova" w:cs="Arial Nova"/>
        </w:rPr>
        <w:t xml:space="preserve">   Unrecovered e-waste contains gold, copper, platinum, lithium, and rare earths.  Not retrieving these metals pollutes the environment and hinders resource extraction.</w:t>
      </w:r>
    </w:p>
    <w:p w14:paraId="3E1B3931" w14:textId="10278EE2"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E waste accounts for 70% of hazardous waste but only 2% of municipal solid waste.   Mercury, lead, and brominated flame retardants</w:t>
      </w:r>
      <w:r w:rsidR="074BAA01" w:rsidRPr="1939FF7D">
        <w:rPr>
          <w:rFonts w:ascii="Arial Nova" w:eastAsia="Arial Nova" w:hAnsi="Arial Nova" w:cs="Arial Nova"/>
        </w:rPr>
        <w:t xml:space="preserve"> </w:t>
      </w:r>
      <w:r w:rsidRPr="1939FF7D">
        <w:rPr>
          <w:rFonts w:ascii="Arial Nova" w:eastAsia="Arial Nova" w:hAnsi="Arial Nova" w:cs="Arial Nova"/>
        </w:rPr>
        <w:t xml:space="preserve"> pollute land and water and harm humans.</w:t>
      </w:r>
      <w:r w:rsidR="714BEA4F" w:rsidRPr="1939FF7D">
        <w:rPr>
          <w:rFonts w:ascii="Arial Nova" w:eastAsia="Arial Nova" w:hAnsi="Arial Nova" w:cs="Arial Nova"/>
        </w:rPr>
        <w:t xml:space="preserve"> (Eduljee and Harrison, 2020)</w:t>
      </w:r>
      <w:r w:rsidRPr="1939FF7D">
        <w:rPr>
          <w:rFonts w:ascii="Arial Nova" w:eastAsia="Arial Nova" w:hAnsi="Arial Nova" w:cs="Arial Nova"/>
        </w:rPr>
        <w:t xml:space="preserve">   Informal recycling exposes workers and communities to harmful substances.  Over a million Indians recycle informally, causing health issues.   Bad e-waste management wastes future technology materials—e-waste barely meets 1% of rare earth element demand (Springer, 2022).</w:t>
      </w:r>
    </w:p>
    <w:p w14:paraId="356DD2A3" w14:textId="77777777" w:rsidR="00181AB7" w:rsidRDefault="00181AB7" w:rsidP="1939FF7D">
      <w:pPr>
        <w:pStyle w:val="NormalWeb"/>
        <w:spacing w:line="360" w:lineRule="auto"/>
        <w:jc w:val="both"/>
        <w:rPr>
          <w:rFonts w:ascii="Arial Nova" w:eastAsia="Arial Nova" w:hAnsi="Arial Nova" w:cs="Arial Nova"/>
          <w:b/>
          <w:bCs/>
        </w:rPr>
      </w:pPr>
      <w:r w:rsidRPr="1939FF7D">
        <w:rPr>
          <w:rFonts w:ascii="Arial Nova" w:eastAsia="Arial Nova" w:hAnsi="Arial Nova" w:cs="Arial Nova"/>
        </w:rPr>
        <w:t xml:space="preserve">  </w:t>
      </w:r>
      <w:r w:rsidRPr="1939FF7D">
        <w:rPr>
          <w:rFonts w:ascii="Arial Nova" w:eastAsia="Arial Nova" w:hAnsi="Arial Nova" w:cs="Arial Nova"/>
          <w:b/>
          <w:bCs/>
        </w:rPr>
        <w:t xml:space="preserve"> Why IT hardware supply lines matter</w:t>
      </w:r>
    </w:p>
    <w:p w14:paraId="513675C7" w14:textId="4CD49BD3"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IT hardware supply chains are complex, global, and resource-intensive.   Getting and processing technology metals uses GHG and a lot of energy</w:t>
      </w:r>
      <w:r w:rsidR="6DE6DC56" w:rsidRPr="1939FF7D">
        <w:rPr>
          <w:rFonts w:ascii="Arial Nova" w:eastAsia="Arial Nova" w:hAnsi="Arial Nova" w:cs="Arial Nova"/>
        </w:rPr>
        <w:t xml:space="preserve"> (Mayanti, 2024).</w:t>
      </w:r>
      <w:r w:rsidRPr="1939FF7D">
        <w:rPr>
          <w:rFonts w:ascii="Arial Nova" w:eastAsia="Arial Nova" w:hAnsi="Arial Nova" w:cs="Arial Nova"/>
        </w:rPr>
        <w:t xml:space="preserve"> Industry uses a linear supply model—"take, make, dispose."  Devices have short lifespans, proprietary parts, and are hard to repair or upgrade </w:t>
      </w:r>
      <w:r w:rsidR="52AC99AB" w:rsidRPr="1939FF7D">
        <w:rPr>
          <w:rFonts w:ascii="Arial Nova" w:eastAsia="Arial Nova" w:hAnsi="Arial Nova" w:cs="Arial Nova"/>
        </w:rPr>
        <w:t>(Taddei, 2024).</w:t>
      </w:r>
      <w:r w:rsidRPr="1939FF7D">
        <w:rPr>
          <w:rFonts w:ascii="Arial Nova" w:eastAsia="Arial Nova" w:hAnsi="Arial Nova" w:cs="Arial Nova"/>
        </w:rPr>
        <w:t xml:space="preserve">  Already, resource shortages are raising commodity costs.  Lithium price increases have disrupted supplies, and copper prices could reach US$9,750 per tonne</w:t>
      </w:r>
      <w:r w:rsidR="166B658F" w:rsidRPr="1939FF7D">
        <w:rPr>
          <w:rFonts w:ascii="Arial Nova" w:eastAsia="Arial Nova" w:hAnsi="Arial Nova" w:cs="Arial Nova"/>
        </w:rPr>
        <w:t xml:space="preserve"> (Amir et al., 2023).</w:t>
      </w:r>
      <w:r w:rsidRPr="1939FF7D">
        <w:rPr>
          <w:rFonts w:ascii="Arial Nova" w:eastAsia="Arial Nova" w:hAnsi="Arial Nova" w:cs="Arial Nova"/>
        </w:rPr>
        <w:t xml:space="preserve">   Siemens/Reuters white paper: By 2050, the world will need three planets' natural resources if current consumption patterns continue</w:t>
      </w:r>
      <w:r w:rsidR="3154467A" w:rsidRPr="1939FF7D">
        <w:rPr>
          <w:rFonts w:ascii="Arial Nova" w:eastAsia="Arial Nova" w:hAnsi="Arial Nova" w:cs="Arial Nova"/>
        </w:rPr>
        <w:t xml:space="preserve"> (Hazen et al., 2021).</w:t>
      </w:r>
      <w:r w:rsidRPr="1939FF7D">
        <w:rPr>
          <w:rFonts w:ascii="Arial Nova" w:eastAsia="Arial Nova" w:hAnsi="Arial Nova" w:cs="Arial Nova"/>
        </w:rPr>
        <w:t xml:space="preserve">  About half of the world's greenhouse gas emissions come from natural resource extraction and processing.   Thus, business as usual harms the environment and economy.</w:t>
      </w:r>
    </w:p>
    <w:p w14:paraId="315146D5" w14:textId="77777777" w:rsidR="00181AB7" w:rsidRDefault="00181AB7" w:rsidP="1939FF7D">
      <w:pPr>
        <w:pStyle w:val="NormalWeb"/>
        <w:spacing w:line="360" w:lineRule="auto"/>
        <w:jc w:val="both"/>
        <w:rPr>
          <w:rFonts w:ascii="Arial Nova" w:eastAsia="Arial Nova" w:hAnsi="Arial Nova" w:cs="Arial Nova"/>
          <w:b/>
          <w:bCs/>
        </w:rPr>
      </w:pPr>
      <w:r w:rsidRPr="1939FF7D">
        <w:rPr>
          <w:rFonts w:ascii="Arial Nova" w:eastAsia="Arial Nova" w:hAnsi="Arial Nova" w:cs="Arial Nova"/>
        </w:rPr>
        <w:t xml:space="preserve">   </w:t>
      </w:r>
      <w:r w:rsidRPr="1939FF7D">
        <w:rPr>
          <w:rFonts w:ascii="Arial Nova" w:eastAsia="Arial Nova" w:hAnsi="Arial Nova" w:cs="Arial Nova"/>
          <w:b/>
          <w:bCs/>
        </w:rPr>
        <w:t>Why and the issue</w:t>
      </w:r>
    </w:p>
    <w:p w14:paraId="161736AB" w14:textId="58EEE1FF"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A circular economy designs out waste and reuses products and resources to isolate growth from resource use.  It is gaining popularity among business executives and policymakers.   Circularity in IT hardware supply chains includes making things endure </w:t>
      </w:r>
      <w:r w:rsidRPr="1939FF7D">
        <w:rPr>
          <w:rFonts w:ascii="Arial Nova" w:eastAsia="Arial Nova" w:hAnsi="Arial Nova" w:cs="Arial Nova"/>
        </w:rPr>
        <w:lastRenderedPageBreak/>
        <w:t>longer, modular, and repairable; take back programs; refurbishment and remanufacturing; and closed loop recycling.   Evidence suggests circular tactics work.   One million cell phones may be recycled to yield 16,000 kg of copper, 350 kg of silver, 34 kilogramme of gold, and 15 kg of palladium, all worth millions of dollars.   In the EU, extending computer life by one year might save one million tonnes of CO2.   Global used EEE sales reached billion dollars in 2024.  It's anticipated to reach billion USD by 2030, rising 2.1% annually (Sartzetaki et al., 2022).</w:t>
      </w:r>
    </w:p>
    <w:p w14:paraId="1398F712"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Despite these opportunities, refurbishing and reusing are underutilised.   Only 20% of global e-waste is official.   Hard-to-disassemble products, lack of repair knowledge, broken take-back infrastructure, regulatory incentives, data security concerns, and customer awareness make it difficult.   The Global E-waste Monitor 2024 predicts a 20% reduction in collection and recycling if nothing is done.   Companies must include recycling and repair in their supply chains and pay workers for it to achieve circularity.</w:t>
      </w:r>
    </w:p>
    <w:p w14:paraId="26EC332F" w14:textId="622B3502" w:rsidR="00FF49A6" w:rsidRPr="00FF49A6"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This study examines how IT hardware supply chains might leverage circular economy ideas like repairing and recycling devices.   Its missions are to uncover things that stop and help, examine the impacts on the economy and environment, and advise businesses and policymakers (Pellathy et al., 2020).</w:t>
      </w:r>
    </w:p>
    <w:p w14:paraId="088E1523" w14:textId="0793CF85" w:rsidR="0E29751D" w:rsidRDefault="0E29751D" w:rsidP="1939FF7D">
      <w:pPr>
        <w:pStyle w:val="NormalWeb"/>
        <w:spacing w:line="360" w:lineRule="auto"/>
        <w:jc w:val="both"/>
        <w:rPr>
          <w:rFonts w:ascii="Arial Nova" w:eastAsia="Arial Nova" w:hAnsi="Arial Nova" w:cs="Arial Nova"/>
        </w:rPr>
      </w:pPr>
    </w:p>
    <w:p w14:paraId="4E746BEA" w14:textId="77777777" w:rsidR="00FF49A6" w:rsidRPr="00FF49A6" w:rsidRDefault="00FF49A6" w:rsidP="1939FF7D">
      <w:pPr>
        <w:pStyle w:val="Heading1"/>
        <w:rPr>
          <w:rFonts w:ascii="Arial Nova" w:eastAsia="Arial Nova" w:hAnsi="Arial Nova" w:cs="Arial Nova"/>
        </w:rPr>
      </w:pPr>
      <w:bookmarkStart w:id="2" w:name="_Toc212389857"/>
      <w:r w:rsidRPr="1939FF7D">
        <w:rPr>
          <w:rFonts w:ascii="Arial Nova" w:eastAsia="Arial Nova" w:hAnsi="Arial Nova" w:cs="Arial Nova"/>
        </w:rPr>
        <w:t>2 Research aim, objectives and questions</w:t>
      </w:r>
      <w:bookmarkEnd w:id="2"/>
    </w:p>
    <w:p w14:paraId="635CC1AE" w14:textId="01074F87" w:rsidR="00FF49A6" w:rsidRPr="00FF49A6" w:rsidRDefault="00181AB7" w:rsidP="1939FF7D">
      <w:pPr>
        <w:pStyle w:val="Heading3"/>
        <w:spacing w:line="360" w:lineRule="auto"/>
        <w:jc w:val="both"/>
        <w:rPr>
          <w:rFonts w:ascii="Arial Nova" w:eastAsia="Arial Nova" w:hAnsi="Arial Nova" w:cs="Arial Nova"/>
          <w:sz w:val="24"/>
          <w:szCs w:val="24"/>
        </w:rPr>
      </w:pPr>
      <w:r w:rsidRPr="1939FF7D">
        <w:rPr>
          <w:rFonts w:ascii="Arial Nova" w:eastAsia="Arial Nova" w:hAnsi="Arial Nova" w:cs="Arial Nova"/>
          <w:sz w:val="24"/>
          <w:szCs w:val="24"/>
        </w:rPr>
        <w:t> Research aim</w:t>
      </w:r>
    </w:p>
    <w:p w14:paraId="65B83CBF"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This study examines how refurbishing and recycling IT hardware might incorporate circular economy ideals.  This will reduce electronic waste, improve resource use, and boost business profits.</w:t>
      </w:r>
    </w:p>
    <w:p w14:paraId="67FF4B11"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Research objectives</w:t>
      </w:r>
    </w:p>
    <w:p w14:paraId="47EFC9A8" w14:textId="7B2FA364" w:rsidR="00181AB7" w:rsidRP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lastRenderedPageBreak/>
        <w:t>1. Examine current practices:   To examine IT equipment supply chain refurbishing and recycling to identify design, operational, and policy barriers to circularity.</w:t>
      </w:r>
    </w:p>
    <w:p w14:paraId="5517FCE2"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2. Assess environmental and economic impacts.  Repair and recycling solutions' environmental and economic benefits (reducing greenhouse gas emissions and preserving resources, saving money and making more money).</w:t>
      </w:r>
    </w:p>
    <w:p w14:paraId="144D558D" w14:textId="033F27B3" w:rsidR="00181AB7" w:rsidRP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3. List the main success factors:   To examine how organisational skills, stakeholder engagement, legal frameworks, technological changes, and customer behaviour affect circular methods.</w:t>
      </w:r>
    </w:p>
    <w:p w14:paraId="75D7C7D4"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4. Suggest:  Companies and policymakers are advised on ways to enhance IT hardware supply chain refurbishment and recycling.</w:t>
      </w:r>
    </w:p>
    <w:p w14:paraId="721A0666"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Questions for research</w:t>
      </w:r>
    </w:p>
    <w:p w14:paraId="6B7476F4" w14:textId="28E2A4FE"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1. What causes and barriers prevent IT hardware supply lines from reusing and recycling devices? </w:t>
      </w:r>
    </w:p>
    <w:p w14:paraId="6E04713D"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2. How do circular business models like "product as a service," "remanufacturing," and "take back" affect supply chain, resource utilisation, and profitability?</w:t>
      </w:r>
    </w:p>
    <w:p w14:paraId="78462A2B" w14:textId="512E2B6C" w:rsidR="00FF49A6" w:rsidRP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3. What norms, design approaches, and collaboration methods can improve refurbishing and recycling programs and scale?</w:t>
      </w:r>
    </w:p>
    <w:p w14:paraId="68B9E3C5" w14:textId="40A7145F" w:rsidR="0E29751D" w:rsidRDefault="0E29751D" w:rsidP="1939FF7D">
      <w:pPr>
        <w:pStyle w:val="NormalWeb"/>
        <w:spacing w:line="360" w:lineRule="auto"/>
        <w:jc w:val="both"/>
        <w:rPr>
          <w:rFonts w:ascii="Arial Nova" w:eastAsia="Arial Nova" w:hAnsi="Arial Nova" w:cs="Arial Nova"/>
        </w:rPr>
      </w:pPr>
    </w:p>
    <w:p w14:paraId="7E7BE2A0" w14:textId="07A1C7DE" w:rsidR="3E731348" w:rsidRDefault="3E731348"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Figure 2</w:t>
      </w:r>
    </w:p>
    <w:p w14:paraId="36A3068E" w14:textId="02B5D8CF" w:rsidR="0E29751D" w:rsidRDefault="3819D4C4" w:rsidP="1939FF7D">
      <w:pPr>
        <w:pStyle w:val="NormalWeb"/>
        <w:spacing w:line="360" w:lineRule="auto"/>
        <w:jc w:val="both"/>
        <w:rPr>
          <w:rFonts w:ascii="Arial Nova" w:eastAsia="Arial Nova" w:hAnsi="Arial Nova" w:cs="Arial Nova"/>
        </w:rPr>
      </w:pPr>
      <w:r>
        <w:rPr>
          <w:noProof/>
        </w:rPr>
        <w:lastRenderedPageBreak/>
        <w:drawing>
          <wp:inline distT="0" distB="0" distL="0" distR="0" wp14:anchorId="4F132040" wp14:editId="1D261DE3">
            <wp:extent cx="4819650" cy="2185168"/>
            <wp:effectExtent l="0" t="0" r="0" b="0"/>
            <wp:docPr id="9153181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97055" name=""/>
                    <pic:cNvPicPr/>
                  </pic:nvPicPr>
                  <pic:blipFill>
                    <a:blip r:embed="rId13">
                      <a:extLst>
                        <a:ext uri="{28A0092B-C50C-407E-A947-70E740481C1C}">
                          <a14:useLocalDpi xmlns:a14="http://schemas.microsoft.com/office/drawing/2010/main"/>
                        </a:ext>
                      </a:extLst>
                    </a:blip>
                    <a:stretch>
                      <a:fillRect/>
                    </a:stretch>
                  </pic:blipFill>
                  <pic:spPr>
                    <a:xfrm>
                      <a:off x="0" y="0"/>
                      <a:ext cx="4819650" cy="2185168"/>
                    </a:xfrm>
                    <a:prstGeom prst="rect">
                      <a:avLst/>
                    </a:prstGeom>
                  </pic:spPr>
                </pic:pic>
              </a:graphicData>
            </a:graphic>
          </wp:inline>
        </w:drawing>
      </w:r>
    </w:p>
    <w:p w14:paraId="5A335C24" w14:textId="0E1F9585" w:rsidR="0E29751D" w:rsidRDefault="0E29751D" w:rsidP="1939FF7D">
      <w:pPr>
        <w:pStyle w:val="NormalWeb"/>
        <w:spacing w:line="360" w:lineRule="auto"/>
        <w:jc w:val="both"/>
      </w:pPr>
    </w:p>
    <w:p w14:paraId="36CCAB22" w14:textId="77777777" w:rsidR="00FF49A6" w:rsidRPr="00FF49A6" w:rsidRDefault="00FF49A6" w:rsidP="1939FF7D">
      <w:pPr>
        <w:pStyle w:val="Heading1"/>
        <w:rPr>
          <w:rFonts w:ascii="Arial Nova" w:eastAsia="Arial Nova" w:hAnsi="Arial Nova" w:cs="Arial Nova"/>
        </w:rPr>
      </w:pPr>
      <w:bookmarkStart w:id="3" w:name="_Toc212389861"/>
      <w:r w:rsidRPr="1939FF7D">
        <w:rPr>
          <w:rFonts w:ascii="Arial Nova" w:eastAsia="Arial Nova" w:hAnsi="Arial Nova" w:cs="Arial Nova"/>
        </w:rPr>
        <w:t>3 Preliminary literature review</w:t>
      </w:r>
      <w:bookmarkEnd w:id="3"/>
    </w:p>
    <w:p w14:paraId="64CE0666" w14:textId="1449227C" w:rsidR="00FF49A6" w:rsidRPr="00FF49A6" w:rsidRDefault="00181AB7" w:rsidP="1939FF7D">
      <w:pPr>
        <w:pStyle w:val="Heading3"/>
        <w:spacing w:line="360" w:lineRule="auto"/>
        <w:jc w:val="both"/>
        <w:rPr>
          <w:rFonts w:ascii="Arial Nova" w:eastAsia="Arial Nova" w:hAnsi="Arial Nova" w:cs="Arial Nova"/>
          <w:sz w:val="24"/>
          <w:szCs w:val="24"/>
        </w:rPr>
      </w:pPr>
      <w:r w:rsidRPr="1939FF7D">
        <w:rPr>
          <w:rFonts w:ascii="Arial Nova" w:eastAsia="Arial Nova" w:hAnsi="Arial Nova" w:cs="Arial Nova"/>
          <w:sz w:val="24"/>
          <w:szCs w:val="24"/>
        </w:rPr>
        <w:t> Ewaste generation and consequences</w:t>
      </w:r>
    </w:p>
    <w:p w14:paraId="2BA6696F"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E-waste output is rising rapidly.   For 2022, the Global E-waste Monitor 2024 found 62 million tonnes of electronic garbage.  Only a small percentage of the 82 million tonnes predicted by 2030 was recycled.   Despite making up only 2% of solid trash, e-waste accounts for 70% of hazardous waste.   Formal recycling accounts roughly 20% of global electronic waste.  By 2022, official recycling reached %, but it is still far behind.</w:t>
      </w:r>
    </w:p>
    <w:p w14:paraId="2A2798B3" w14:textId="33F9E29B"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E-waste contains useful materials.   Electronic waste metals were worth US$91 billion worldwide.   After recycling a million cell phones, copper, silver, gold, and other metals are abundant.   However, US$62 billion in recyclables were not identified in 2022.   Price swings and limited resources, such lithium prices rising 500% in a year, increase the economic need for commodities (Liu et al., 2022).</w:t>
      </w:r>
    </w:p>
    <w:p w14:paraId="4C19C88B"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Poor electronic waste management harms the environment.   Mercury and lead damage soil and water, causing health problems.   Uncontrolled rubbish burning releases toxic fumes, and over a million Indians are exposed to illegal recycling chemicals.   Resources are needed to acquire new electronics raw materials.  The US Environmental Protection </w:t>
      </w:r>
      <w:r w:rsidRPr="1939FF7D">
        <w:rPr>
          <w:rFonts w:ascii="Arial Nova" w:eastAsia="Arial Nova" w:hAnsi="Arial Nova" w:cs="Arial Nova"/>
        </w:rPr>
        <w:lastRenderedPageBreak/>
        <w:t>Agency (EPA) states minimising material consumption and increasing reuse and refurbishing saves energy, resources, and waste.</w:t>
      </w:r>
    </w:p>
    <w:p w14:paraId="142F5B35" w14:textId="77777777" w:rsidR="00181AB7" w:rsidRDefault="00181AB7" w:rsidP="1939FF7D">
      <w:pPr>
        <w:pStyle w:val="NormalWeb"/>
        <w:spacing w:line="360" w:lineRule="auto"/>
        <w:jc w:val="both"/>
        <w:rPr>
          <w:rFonts w:ascii="Arial Nova" w:eastAsia="Arial Nova" w:hAnsi="Arial Nova" w:cs="Arial Nova"/>
          <w:b/>
          <w:bCs/>
        </w:rPr>
      </w:pPr>
      <w:r w:rsidRPr="1939FF7D">
        <w:rPr>
          <w:rFonts w:ascii="Arial Nova" w:eastAsia="Arial Nova" w:hAnsi="Arial Nova" w:cs="Arial Nova"/>
        </w:rPr>
        <w:t xml:space="preserve">   </w:t>
      </w:r>
      <w:r w:rsidRPr="1939FF7D">
        <w:rPr>
          <w:rFonts w:ascii="Arial Nova" w:eastAsia="Arial Nova" w:hAnsi="Arial Nova" w:cs="Arial Nova"/>
          <w:b/>
          <w:bCs/>
        </w:rPr>
        <w:t>IT equipment that follows circular economy rules</w:t>
      </w:r>
    </w:p>
    <w:p w14:paraId="77CACA81" w14:textId="6208A1FB"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The circular economy reuses as much as possible, reduces waste, and lets nature heal.   Circularity in IT hardware includes developing long-lasting, fixable items, permitting modular upgrades, offering PaaS or leasing models, and recycling and returning obsolete products.   Research demonstrates that design choices effect 80% of a product's environmental impact.  This emphasises the need of circularity from the start of design (Taddei, 2024).</w:t>
      </w:r>
    </w:p>
    <w:p w14:paraId="39C7B74B"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A lot of studies discuss circularity's business case.   According to PwC, electronic devices are made to last short and are thrown away too quickly.  Circular solutions like remanufacturing and PaaS reduce resource use and greenhouse gas emissions without compromising quality.   The research argues electronics companies should prioritise circular inputs (using recycled materials), product life extension (fixing and refurbishing items), and product as a service.   Foxway's Handprint study supports this, saying that making laptops last longer saves energy and carbon; tossing away machines too soon because they're more efficient is bad for the environment.   According to the survey, the secondhand electronics market will expand 10% year.</w:t>
      </w:r>
    </w:p>
    <w:p w14:paraId="3DCF7876" w14:textId="77777777" w:rsidR="00181AB7" w:rsidRDefault="00181AB7" w:rsidP="1939FF7D">
      <w:pPr>
        <w:pStyle w:val="NormalWeb"/>
        <w:spacing w:line="360" w:lineRule="auto"/>
        <w:jc w:val="both"/>
        <w:rPr>
          <w:rFonts w:ascii="Arial Nova" w:eastAsia="Arial Nova" w:hAnsi="Arial Nova" w:cs="Arial Nova"/>
          <w:b/>
          <w:bCs/>
        </w:rPr>
      </w:pPr>
      <w:r w:rsidRPr="1939FF7D">
        <w:rPr>
          <w:rFonts w:ascii="Arial Nova" w:eastAsia="Arial Nova" w:hAnsi="Arial Nova" w:cs="Arial Nova"/>
        </w:rPr>
        <w:t xml:space="preserve">  </w:t>
      </w:r>
      <w:r w:rsidRPr="1939FF7D">
        <w:rPr>
          <w:rFonts w:ascii="Arial Nova" w:eastAsia="Arial Nova" w:hAnsi="Arial Nova" w:cs="Arial Nova"/>
          <w:b/>
          <w:bCs/>
        </w:rPr>
        <w:t xml:space="preserve"> Updating supply lines</w:t>
      </w:r>
    </w:p>
    <w:p w14:paraId="5B4D13E4" w14:textId="3F121D31"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Used gadgets are refurbished to sell or use again.   Refurbished electronics are cheaper but still valuable, so those who would buy new ones often buy them.   Waste &amp; Recycling magazine predicts a US$ billion used electronics industry by 2024.   This rise is driven by consumers' demand for affordable technology, firms' environmental efforts, and helpful policies like repairability labelling.   The EU's repairability index may save €20 billion and reduce CO2 emissions by 200,000 tonnes (Amir et al., 2023).</w:t>
      </w:r>
    </w:p>
    <w:p w14:paraId="3701078B"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lastRenderedPageBreak/>
        <w:t xml:space="preserve">  Successful refurbishment requires good reverse operations, diagnostics, careful data removal, and spare parts.   Refurbishing is difficult due to proprietary hardware and repair ignorance.   Companies often restrict third-party repairers' firmware or components access to safeguard their IP.   Open repair ecosystems have been shown to foster innovation.  AI-powered robots sort electronic garbage faster and more accurately.   These technologies reduce physical effort, improve safety, and speed up work.</w:t>
      </w:r>
    </w:p>
    <w:p w14:paraId="3D8B20AF" w14:textId="77777777" w:rsidR="00181AB7" w:rsidRDefault="00181AB7" w:rsidP="1939FF7D">
      <w:pPr>
        <w:pStyle w:val="NormalWeb"/>
        <w:spacing w:line="360" w:lineRule="auto"/>
        <w:jc w:val="both"/>
        <w:rPr>
          <w:rFonts w:ascii="Arial Nova" w:eastAsia="Arial Nova" w:hAnsi="Arial Nova" w:cs="Arial Nova"/>
          <w:b/>
          <w:bCs/>
        </w:rPr>
      </w:pPr>
      <w:r w:rsidRPr="1939FF7D">
        <w:rPr>
          <w:rFonts w:ascii="Arial Nova" w:eastAsia="Arial Nova" w:hAnsi="Arial Nova" w:cs="Arial Nova"/>
        </w:rPr>
        <w:t xml:space="preserve"> </w:t>
      </w:r>
      <w:r w:rsidRPr="1939FF7D">
        <w:rPr>
          <w:rFonts w:ascii="Arial Nova" w:eastAsia="Arial Nova" w:hAnsi="Arial Nova" w:cs="Arial Nova"/>
          <w:b/>
          <w:bCs/>
        </w:rPr>
        <w:t xml:space="preserve">  Recycle and return</w:t>
      </w:r>
    </w:p>
    <w:p w14:paraId="1D71B477" w14:textId="40253348"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Recycling outdated electronics recovers usable materials.   According to Lenovo's asset recovery white paper, only % of recovered equipment gets reused.   A million cell phones can be recycled to recover copper, gold, silver, and other metals, however formal recycling procedures are underutilised.   Official recycling and collecting rates grew to % in, according to the Circular Electronics Roadmap.  However, informal recycling exposes workers to harmful chemicals and reduces recovery (Elgarahy et al., 2024).</w:t>
      </w:r>
    </w:p>
    <w:p w14:paraId="2E24F95F"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Material recycling benefits the ecology and economics.   Reusing gold, copper, glass, and metal instead of extracting and heating them saves them, according to the US EPA.   Recycling electronics boosts the US economy and creates jobs.   Recycling requires a consistent means to collect recyclables, efficient sorting methods, and stable markets.   Supply chain integration reuses acquired materials in manufacturing.</w:t>
      </w:r>
    </w:p>
    <w:p w14:paraId="5B7F7791" w14:textId="77777777" w:rsidR="00181AB7" w:rsidRDefault="00181AB7" w:rsidP="1939FF7D">
      <w:pPr>
        <w:pStyle w:val="NormalWeb"/>
        <w:spacing w:line="360" w:lineRule="auto"/>
        <w:jc w:val="both"/>
        <w:rPr>
          <w:rFonts w:ascii="Arial Nova" w:eastAsia="Arial Nova" w:hAnsi="Arial Nova" w:cs="Arial Nova"/>
          <w:b/>
          <w:bCs/>
        </w:rPr>
      </w:pPr>
      <w:r w:rsidRPr="1939FF7D">
        <w:rPr>
          <w:rFonts w:ascii="Arial Nova" w:eastAsia="Arial Nova" w:hAnsi="Arial Nova" w:cs="Arial Nova"/>
        </w:rPr>
        <w:t xml:space="preserve"> </w:t>
      </w:r>
      <w:r w:rsidRPr="1939FF7D">
        <w:rPr>
          <w:rFonts w:ascii="Arial Nova" w:eastAsia="Arial Nova" w:hAnsi="Arial Nova" w:cs="Arial Nova"/>
          <w:b/>
          <w:bCs/>
        </w:rPr>
        <w:t xml:space="preserve">  Policy and legal environment drivers</w:t>
      </w:r>
    </w:p>
    <w:p w14:paraId="441AEF82" w14:textId="06E101E3"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Circle practices are governed by policies.   Governments implement EPR, right to change laws, and take back mandates.   The EU's Circular Economy Action Plan sets goals for product lifespan, repairability, and recycling.  Repairability labelling and product-life policies reduce garbage.   Waste &amp; Recycling magazine reports that EU signage indicating repair potential might save billions of euros and reduce CO₂ emissions.   International accords like the Basel Convention regulate hazardous waste transport.  This restricts unlawful e-waste exports (De Beukelaer, 2023).</w:t>
      </w:r>
    </w:p>
    <w:p w14:paraId="58633567"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lastRenderedPageBreak/>
        <w:t xml:space="preserve">  Regulatory loopholes persist despite progress.   E-waste is recycled and dumped illegally in many countries due to a lack of legislation and enforcement.   People worldwide must collaborate to close the recycling gap and recover resources.   Businesses must obey the laws and use proper tactics to stay competitive and strong.</w:t>
      </w:r>
    </w:p>
    <w:p w14:paraId="71048ED3" w14:textId="77777777" w:rsidR="00181AB7" w:rsidRDefault="00181AB7" w:rsidP="1939FF7D">
      <w:pPr>
        <w:pStyle w:val="NormalWeb"/>
        <w:spacing w:line="360" w:lineRule="auto"/>
        <w:jc w:val="both"/>
        <w:rPr>
          <w:rFonts w:ascii="Arial Nova" w:eastAsia="Arial Nova" w:hAnsi="Arial Nova" w:cs="Arial Nova"/>
          <w:b/>
          <w:bCs/>
        </w:rPr>
      </w:pPr>
      <w:r w:rsidRPr="1939FF7D">
        <w:rPr>
          <w:rFonts w:ascii="Arial Nova" w:eastAsia="Arial Nova" w:hAnsi="Arial Nova" w:cs="Arial Nova"/>
          <w:b/>
          <w:bCs/>
        </w:rPr>
        <w:t xml:space="preserve">   Certain places understudied</w:t>
      </w:r>
    </w:p>
    <w:p w14:paraId="56E82FC2" w14:textId="52118E61" w:rsidR="00181AB7" w:rsidRP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Previous research on e-waste data and recycling technology is important.   However, research shortcomings remain:</w:t>
      </w:r>
    </w:p>
    <w:p w14:paraId="247D101A" w14:textId="679A6411"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w:t>
      </w:r>
      <w:r w:rsidR="27242550" w:rsidRPr="1939FF7D">
        <w:rPr>
          <w:rFonts w:ascii="Arial Nova" w:eastAsia="Arial Nova" w:hAnsi="Arial Nova" w:cs="Arial Nova"/>
        </w:rPr>
        <w:t>1.</w:t>
      </w:r>
      <w:r w:rsidRPr="1939FF7D">
        <w:rPr>
          <w:rFonts w:ascii="Arial Nova" w:eastAsia="Arial Nova" w:hAnsi="Arial Nova" w:cs="Arial Nova"/>
        </w:rPr>
        <w:t xml:space="preserve"> Integrating repair and recycling into supply chains: Few studies examine how refurbishment and recycling affect supply chain performance, risk management, and business models when combined.</w:t>
      </w:r>
    </w:p>
    <w:p w14:paraId="6CDF7B20" w14:textId="67A28266"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Stakeholder collaboration and governance: Manufacturers, refurbishers, recyclers, logistics providers, regulators, and consumers share value and coordinate their tasks, but little is known (Sartzetaki, Karampini, Karagkouni, Drimpetas, &amp; Dimitriou, 2025).</w:t>
      </w:r>
    </w:p>
    <w:p w14:paraId="548377FB" w14:textId="778B6E65"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w:t>
      </w:r>
      <w:r w:rsidR="2AF5D405" w:rsidRPr="1939FF7D">
        <w:rPr>
          <w:rFonts w:ascii="Arial Nova" w:eastAsia="Arial Nova" w:hAnsi="Arial Nova" w:cs="Arial Nova"/>
        </w:rPr>
        <w:t xml:space="preserve">2. </w:t>
      </w:r>
      <w:r w:rsidRPr="1939FF7D">
        <w:rPr>
          <w:rFonts w:ascii="Arial Nova" w:eastAsia="Arial Nova" w:hAnsi="Arial Nova" w:cs="Arial Nova"/>
        </w:rPr>
        <w:t>Fostering design and innovation: We need to understand how design for disassembly, modularity, and open repair ecosystems affect restoration and how policy tools might foster them.</w:t>
      </w:r>
    </w:p>
    <w:p w14:paraId="529EADAD" w14:textId="07F75CC3"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Economic quantification: Some reports estimate the market, but there is little evidence on how much circular techniques cost and save across IT hardware lifetimes (Bhoi et al., 2024).</w:t>
      </w:r>
    </w:p>
    <w:p w14:paraId="7F6FB897" w14:textId="2C79A95B" w:rsidR="00FF49A6" w:rsidRPr="00FF49A6"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We can better comprehend IT hardware supply line circularity by filling these gaps.</w:t>
      </w:r>
    </w:p>
    <w:p w14:paraId="7C097708" w14:textId="77777777" w:rsidR="00FF49A6" w:rsidRPr="00FF49A6" w:rsidRDefault="00FF49A6" w:rsidP="1939FF7D">
      <w:pPr>
        <w:pStyle w:val="Heading1"/>
        <w:rPr>
          <w:rFonts w:ascii="Arial Nova" w:eastAsia="Arial Nova" w:hAnsi="Arial Nova" w:cs="Arial Nova"/>
        </w:rPr>
      </w:pPr>
      <w:bookmarkStart w:id="4" w:name="_Toc212389868"/>
      <w:r w:rsidRPr="1939FF7D">
        <w:rPr>
          <w:rFonts w:ascii="Arial Nova" w:eastAsia="Arial Nova" w:hAnsi="Arial Nova" w:cs="Arial Nova"/>
        </w:rPr>
        <w:lastRenderedPageBreak/>
        <w:t>4 Research methodology and design</w:t>
      </w:r>
      <w:bookmarkEnd w:id="4"/>
    </w:p>
    <w:p w14:paraId="1228699E" w14:textId="1D486B4E" w:rsidR="00FF49A6" w:rsidRPr="00FF49A6" w:rsidRDefault="00181AB7" w:rsidP="1939FF7D">
      <w:pPr>
        <w:pStyle w:val="Heading3"/>
        <w:spacing w:line="360" w:lineRule="auto"/>
        <w:jc w:val="both"/>
        <w:rPr>
          <w:rFonts w:ascii="Arial Nova" w:eastAsia="Arial Nova" w:hAnsi="Arial Nova" w:cs="Arial Nova"/>
          <w:sz w:val="24"/>
          <w:szCs w:val="24"/>
        </w:rPr>
      </w:pPr>
      <w:r w:rsidRPr="1939FF7D">
        <w:rPr>
          <w:rFonts w:ascii="Arial Nova" w:eastAsia="Arial Nova" w:hAnsi="Arial Nova" w:cs="Arial Nova"/>
          <w:sz w:val="24"/>
          <w:szCs w:val="24"/>
        </w:rPr>
        <w:t> Research approach and rationale</w:t>
      </w:r>
    </w:p>
    <w:p w14:paraId="3FAA3654" w14:textId="583C1580"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Since the study is exploratory and examines quantitative and qualitative factors, mixed techniques will be used.   This strategy combines stakeholders' subjective perspectives with objective facts on environmental and economic implications for a full analysis (Bhoi et al., 2024).</w:t>
      </w:r>
    </w:p>
    <w:p w14:paraId="17FD8BFD" w14:textId="306AB7F4" w:rsidR="00181AB7" w:rsidRDefault="00181AB7" w:rsidP="1939FF7D">
      <w:pPr>
        <w:pStyle w:val="NormalWeb"/>
        <w:spacing w:line="360" w:lineRule="auto"/>
        <w:jc w:val="both"/>
        <w:rPr>
          <w:rFonts w:ascii="Arial Nova" w:eastAsia="Arial Nova" w:hAnsi="Arial Nova" w:cs="Arial Nova"/>
          <w:b/>
          <w:bCs/>
        </w:rPr>
      </w:pPr>
      <w:r w:rsidRPr="1939FF7D">
        <w:rPr>
          <w:rFonts w:ascii="Arial Nova" w:eastAsia="Arial Nova" w:hAnsi="Arial Nova" w:cs="Arial Nova"/>
          <w:b/>
          <w:bCs/>
        </w:rPr>
        <w:t xml:space="preserve">   A research plan</w:t>
      </w:r>
    </w:p>
    <w:p w14:paraId="292FF99B"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1. Case study choice:  The project will examine IT hardware supply chains from a worldwide maker, a refurbisher, and a recycler.  To comply with ethics, the companies will remain anonymous.   Cases will be selected using purposive sampling to vary in size, geography, and business concept.</w:t>
      </w:r>
    </w:p>
    <w:p w14:paraId="30876FF9" w14:textId="5C77AA58"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2. Semi-structured interviews with policy experts, sustainability officers, supply chain managers, product designers, refurbishers, recyclers, and fixers will comprise the qualitative element.   Current practices, perceived drivers and barriers, collaboration arrangements, design techniques, and policy consequences will be examined through interviews.   The work will gain depth and refinement from 15–20 60–90-minute discussions (Springer, 2022).</w:t>
      </w:r>
    </w:p>
    <w:p w14:paraId="56DF73EE"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Document analysis will verify interview claims and find circularity pledges in internal policies, sustainability reports, and industry standards.</w:t>
      </w:r>
    </w:p>
    <w:p w14:paraId="556F4E72" w14:textId="2BA66B26"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Thematic analysis will be used to code interview transcripts and documentation to uncover patterns and themes about what motivates, hinders, and works.   NVivo or related technologies may simplify coding (De Beukelaer, 2023).</w:t>
      </w:r>
    </w:p>
    <w:p w14:paraId="2A215537"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3. Quantitative part:  o  Staff in refurbishment shops, supply chain workers, and buyers of reconditioned gadgets will receive surveys.   Surveys will collect opinions on benefits, </w:t>
      </w:r>
      <w:r w:rsidRPr="1939FF7D">
        <w:rPr>
          <w:rFonts w:ascii="Arial Nova" w:eastAsia="Arial Nova" w:hAnsi="Arial Nova" w:cs="Arial Nova"/>
        </w:rPr>
        <w:lastRenderedPageBreak/>
        <w:t>happiness, adoption rates, and environmental attitudes.   Comparisons and descriptive statistics are possible with 100 persons per group.</w:t>
      </w:r>
    </w:p>
    <w:p w14:paraId="5BCEE4BD" w14:textId="2D0ADB30"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Cost–benefit analysis and life cycle assessment (LCA) will determine how buying new gadgets versus maintaining old ones affects the environment and economy.   Secondary data from literature (GHG emission factors and material composition) and direct data (refurbishment facility energy use) will inform models (TechXplore, 2025).</w:t>
      </w:r>
    </w:p>
    <w:p w14:paraId="2B2A049F"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4. Ethics thoughts:   The university's academic integrity regulations and EU GDPR will govern the study.   Consent forms will clarify the study's objective, data use, and rights.   Names and company details are kept private to protect data.   No trade secrets or private information will be shared.   Private information will be examined with care to avoid conflicts of interest.</w:t>
      </w:r>
    </w:p>
    <w:p w14:paraId="06001910" w14:textId="2CA1F756"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5. Validity and dependability: Interviews, surveys, documents, and secondary figures increase validity.   Member checking lets members compare perspectives.   Survey tools will be pilot tested for clarity, and Cronbach's alpha will be used to assess scales with many items (Eduljee &amp; Harrison, 2020).</w:t>
      </w:r>
    </w:p>
    <w:p w14:paraId="0CA5E675" w14:textId="3BF50497" w:rsidR="00181AB7" w:rsidRDefault="00181AB7" w:rsidP="1939FF7D">
      <w:pPr>
        <w:pStyle w:val="NormalWeb"/>
        <w:spacing w:line="360" w:lineRule="auto"/>
        <w:jc w:val="both"/>
        <w:rPr>
          <w:rFonts w:ascii="Arial Nova" w:eastAsia="Arial Nova" w:hAnsi="Arial Nova" w:cs="Arial Nova"/>
          <w:b/>
          <w:bCs/>
        </w:rPr>
      </w:pPr>
      <w:r w:rsidRPr="1939FF7D">
        <w:rPr>
          <w:rFonts w:ascii="Arial Nova" w:eastAsia="Arial Nova" w:hAnsi="Arial Nova" w:cs="Arial Nova"/>
          <w:b/>
          <w:bCs/>
        </w:rPr>
        <w:t xml:space="preserve">   Plan for data analysis </w:t>
      </w:r>
      <w:r w:rsidR="7202CC8D" w:rsidRPr="1939FF7D">
        <w:rPr>
          <w:rFonts w:ascii="Arial Nova" w:eastAsia="Arial Nova" w:hAnsi="Arial Nova" w:cs="Arial Nova"/>
          <w:b/>
          <w:bCs/>
        </w:rPr>
        <w:t>:</w:t>
      </w:r>
    </w:p>
    <w:p w14:paraId="4CCE315C" w14:textId="6A477F0A" w:rsidR="00181AB7" w:rsidRDefault="7202CC8D"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b/>
          <w:bCs/>
        </w:rPr>
        <w:t>1.1</w:t>
      </w:r>
      <w:r w:rsidR="00181AB7" w:rsidRPr="1939FF7D">
        <w:rPr>
          <w:rFonts w:ascii="Arial Nova" w:eastAsia="Arial Nova" w:hAnsi="Arial Nova" w:cs="Arial Nova"/>
        </w:rPr>
        <w:t xml:space="preserve"> </w:t>
      </w:r>
      <w:r w:rsidR="7B34C415" w:rsidRPr="1939FF7D">
        <w:rPr>
          <w:rFonts w:ascii="Arial Nova" w:eastAsia="Arial Nova" w:hAnsi="Arial Nova" w:cs="Arial Nova"/>
        </w:rPr>
        <w:t xml:space="preserve"> </w:t>
      </w:r>
      <w:r w:rsidR="00181AB7" w:rsidRPr="1939FF7D">
        <w:rPr>
          <w:rFonts w:ascii="Arial Nova" w:eastAsia="Arial Nova" w:hAnsi="Arial Nova" w:cs="Arial Nova"/>
        </w:rPr>
        <w:t>Qualitative data:  Thematic analysis involves six steps: understanding the data, coding it, finding themes, reviewing themes, defining and labelling themes, and creating the report.   Data-driven and pre-written codes will exist.   We will examine patterns in different cases to uncover common and situational aspects.</w:t>
      </w:r>
    </w:p>
    <w:p w14:paraId="3560072A" w14:textId="33CEA7F6" w:rsidR="00FF49A6" w:rsidRPr="00FF49A6" w:rsidRDefault="3E11625F"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b/>
          <w:bCs/>
        </w:rPr>
        <w:t>1</w:t>
      </w:r>
      <w:r w:rsidR="76879B7E" w:rsidRPr="1939FF7D">
        <w:rPr>
          <w:rFonts w:ascii="Arial Nova" w:eastAsia="Arial Nova" w:hAnsi="Arial Nova" w:cs="Arial Nova"/>
          <w:b/>
          <w:bCs/>
        </w:rPr>
        <w:t>.</w:t>
      </w:r>
      <w:r w:rsidR="057FE95F" w:rsidRPr="1939FF7D">
        <w:rPr>
          <w:rFonts w:ascii="Arial Nova" w:eastAsia="Arial Nova" w:hAnsi="Arial Nova" w:cs="Arial Nova"/>
          <w:b/>
          <w:bCs/>
        </w:rPr>
        <w:t>2</w:t>
      </w:r>
      <w:r w:rsidR="76879B7E" w:rsidRPr="1939FF7D">
        <w:rPr>
          <w:rFonts w:ascii="Arial Nova" w:eastAsia="Arial Nova" w:hAnsi="Arial Nova" w:cs="Arial Nova"/>
        </w:rPr>
        <w:t xml:space="preserve"> </w:t>
      </w:r>
      <w:r w:rsidR="00181AB7" w:rsidRPr="1939FF7D">
        <w:rPr>
          <w:rFonts w:ascii="Arial Nova" w:eastAsia="Arial Nova" w:hAnsi="Arial Nova" w:cs="Arial Nova"/>
        </w:rPr>
        <w:t>Quantitative data: Survey responses will be summarised using means and frequencies.   Inferential statistics like chi square tests can find correlations between environmental concerns and used electronics purchases.   LCA data will include carbon emissions, energy utilisation, and material savings.  Recycling and refurbishment's economic benefits will be compared to the basic case in a cost–benefit analysis (Inverge Journals, 2025).</w:t>
      </w:r>
    </w:p>
    <w:p w14:paraId="679D7935" w14:textId="1AF5640A" w:rsidR="3E8C8165" w:rsidRDefault="3E8C8165"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lastRenderedPageBreak/>
        <w:t xml:space="preserve"> </w:t>
      </w:r>
    </w:p>
    <w:p w14:paraId="6C4A79F0" w14:textId="35D37FC0" w:rsidR="0E29751D" w:rsidRDefault="0E29751D" w:rsidP="1939FF7D">
      <w:pPr>
        <w:pStyle w:val="NormalWeb"/>
        <w:spacing w:line="360" w:lineRule="auto"/>
        <w:jc w:val="both"/>
        <w:rPr>
          <w:rFonts w:ascii="Arial Nova" w:eastAsia="Arial Nova" w:hAnsi="Arial Nova" w:cs="Arial Nova"/>
        </w:rPr>
      </w:pPr>
    </w:p>
    <w:p w14:paraId="11DBB4C1" w14:textId="57542B74" w:rsidR="0E29751D" w:rsidRDefault="0E29751D" w:rsidP="1939FF7D">
      <w:pPr>
        <w:pStyle w:val="Heading1"/>
        <w:rPr>
          <w:rFonts w:ascii="Arial Nova" w:eastAsia="Arial Nova" w:hAnsi="Arial Nova" w:cs="Arial Nova"/>
        </w:rPr>
      </w:pPr>
    </w:p>
    <w:p w14:paraId="20270F34" w14:textId="09D65A72" w:rsidR="0E29751D" w:rsidRDefault="0E29751D" w:rsidP="1939FF7D">
      <w:pPr>
        <w:pStyle w:val="Heading1"/>
        <w:rPr>
          <w:rFonts w:ascii="Arial Nova" w:eastAsia="Arial Nova" w:hAnsi="Arial Nova" w:cs="Arial Nova"/>
        </w:rPr>
      </w:pPr>
    </w:p>
    <w:p w14:paraId="3FFFA190" w14:textId="77777777" w:rsidR="00FF49A6" w:rsidRPr="00FF49A6" w:rsidRDefault="00FF49A6" w:rsidP="1939FF7D">
      <w:pPr>
        <w:pStyle w:val="Heading1"/>
        <w:rPr>
          <w:rFonts w:ascii="Arial Nova" w:eastAsia="Arial Nova" w:hAnsi="Arial Nova" w:cs="Arial Nova"/>
        </w:rPr>
      </w:pPr>
      <w:bookmarkStart w:id="5" w:name="_Toc212389872"/>
      <w:r w:rsidRPr="1939FF7D">
        <w:rPr>
          <w:rFonts w:ascii="Arial Nova" w:eastAsia="Arial Nova" w:hAnsi="Arial Nova" w:cs="Arial Nova"/>
        </w:rPr>
        <w:t>5 Business relevance and practical implications</w:t>
      </w:r>
      <w:bookmarkEnd w:id="5"/>
    </w:p>
    <w:p w14:paraId="6F5395D0"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The study has substantial implications for businesses, governments, and society:</w:t>
      </w:r>
    </w:p>
    <w:p w14:paraId="74A73935" w14:textId="41925E2A" w:rsidR="00181AB7" w:rsidRDefault="00181AB7" w:rsidP="0E29751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1. Resource efficiency and cost savings: The project will measure material recovery and pollution reduction to show firms how refurbishment and recycling may save and generate money.   Lack of recycling wastes US$62 billion in materials.   Restoring these commodities can stabilise raw material pricing and availability.</w:t>
      </w:r>
    </w:p>
    <w:p w14:paraId="267684A2" w14:textId="3383A21A"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2. Supply chain stability and risk management: Circular techniques reduce your dependence on scarce raw materials and volatile markets.   It mitigates regulatory concerns from exporting electronic waste and bans landfills.   Closed loop supply chains and reverse operations strengthen things, as shown in case studies (Springer, 2022).</w:t>
      </w:r>
    </w:p>
    <w:p w14:paraId="1D4E9161" w14:textId="18E275E4" w:rsidR="00181AB7" w:rsidRDefault="00181AB7" w:rsidP="0E29751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3. Innovation and an edge over the competition: Round business models like "product as a service" foster innovative product, service, and customer interaction ideas.   Early adopters can attract environmentally conscious customers and investors by becoming green.   The PwC analysis found that circular models are cheaper and emit less CO2.</w:t>
      </w:r>
    </w:p>
    <w:p w14:paraId="6A2BF660" w14:textId="2F4DF224" w:rsidR="00181AB7" w:rsidRDefault="00181AB7" w:rsidP="0E29751D">
      <w:pPr>
        <w:pStyle w:val="NormalWeb"/>
        <w:spacing w:line="360" w:lineRule="auto"/>
        <w:jc w:val="both"/>
        <w:rPr>
          <w:rFonts w:ascii="Arial Nova" w:eastAsia="Arial Nova" w:hAnsi="Arial Nova" w:cs="Arial Nova"/>
        </w:rPr>
      </w:pPr>
      <w:r w:rsidRPr="1939FF7D">
        <w:rPr>
          <w:rFonts w:ascii="Arial Nova" w:eastAsia="Arial Nova" w:hAnsi="Arial Nova" w:cs="Arial Nova"/>
        </w:rPr>
        <w:t>4. Policy alignment and compliance: The data will assist lawmakers assess if current rules are effective and if incentives are needed.   Fix-it labels and EPR initiatives can influence future laws.   Businesses can anticipate new restrictions to avoid fines and image damage (Eduljee &amp; Harrison, 2020).</w:t>
      </w:r>
    </w:p>
    <w:p w14:paraId="4E22ECB9" w14:textId="020F9474" w:rsidR="00FF49A6" w:rsidRPr="00FF49A6" w:rsidRDefault="00181AB7" w:rsidP="0E29751D">
      <w:pPr>
        <w:pStyle w:val="NormalWeb"/>
        <w:spacing w:line="360" w:lineRule="auto"/>
        <w:jc w:val="both"/>
        <w:rPr>
          <w:rFonts w:ascii="Arial Nova" w:eastAsia="Arial Nova" w:hAnsi="Arial Nova" w:cs="Arial Nova"/>
        </w:rPr>
      </w:pPr>
      <w:r w:rsidRPr="1939FF7D">
        <w:rPr>
          <w:rFonts w:ascii="Arial Nova" w:eastAsia="Arial Nova" w:hAnsi="Arial Nova" w:cs="Arial Nova"/>
        </w:rPr>
        <w:lastRenderedPageBreak/>
        <w:t xml:space="preserve">5. It benefits society: improved recycling and refurbishment produces skilled transportation, maintenance, and material recovery jobs.   </w:t>
      </w:r>
      <w:r w:rsidR="7D6D49E8" w:rsidRPr="1939FF7D">
        <w:rPr>
          <w:rFonts w:ascii="Arial Nova" w:eastAsia="Arial Nova" w:hAnsi="Arial Nova" w:cs="Arial Nova"/>
        </w:rPr>
        <w:t>Officializing</w:t>
      </w:r>
      <w:r w:rsidRPr="1939FF7D">
        <w:rPr>
          <w:rFonts w:ascii="Arial Nova" w:eastAsia="Arial Nova" w:hAnsi="Arial Nova" w:cs="Arial Nova"/>
        </w:rPr>
        <w:t xml:space="preserve"> the field reduces informal health concerns.   Affordable used equipment can help low-income households access technology.</w:t>
      </w:r>
    </w:p>
    <w:p w14:paraId="2CE04B60" w14:textId="77777777" w:rsidR="00FF49A6" w:rsidRPr="00FF49A6" w:rsidRDefault="00FF49A6" w:rsidP="0E29751D">
      <w:pPr>
        <w:pStyle w:val="Heading1"/>
        <w:rPr>
          <w:rFonts w:ascii="Arial Nova" w:eastAsia="Arial Nova" w:hAnsi="Arial Nova" w:cs="Arial Nova"/>
        </w:rPr>
      </w:pPr>
      <w:bookmarkStart w:id="6" w:name="_Toc212389873"/>
      <w:r w:rsidRPr="1939FF7D">
        <w:rPr>
          <w:rFonts w:ascii="Arial Nova" w:eastAsia="Arial Nova" w:hAnsi="Arial Nova" w:cs="Arial Nova"/>
        </w:rPr>
        <w:t>6 Plan of work and time schedule</w:t>
      </w:r>
      <w:bookmarkEnd w:id="6"/>
    </w:p>
    <w:p w14:paraId="33B8775F" w14:textId="6E049D1C" w:rsidR="00FF49A6" w:rsidRPr="00FF49A6"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The research will be conducted over nine months. Table 1 outlines the major tasks and timelines. This schedule is indicative and may be adjusted based on data access and ethical approval processes (Taylor &amp; Armstrong, 2020).</w:t>
      </w:r>
    </w:p>
    <w:tbl>
      <w:tblPr>
        <w:tblStyle w:val="TableGrid"/>
        <w:tblW w:w="0" w:type="auto"/>
        <w:tblLook w:val="04A0" w:firstRow="1" w:lastRow="0" w:firstColumn="1" w:lastColumn="0" w:noHBand="0" w:noVBand="1"/>
      </w:tblPr>
      <w:tblGrid>
        <w:gridCol w:w="1208"/>
        <w:gridCol w:w="920"/>
        <w:gridCol w:w="917"/>
        <w:gridCol w:w="893"/>
        <w:gridCol w:w="907"/>
        <w:gridCol w:w="917"/>
        <w:gridCol w:w="901"/>
        <w:gridCol w:w="939"/>
        <w:gridCol w:w="900"/>
        <w:gridCol w:w="848"/>
      </w:tblGrid>
      <w:tr w:rsidR="00FF49A6" w:rsidRPr="00FF49A6" w14:paraId="07A2ED67" w14:textId="77777777" w:rsidTr="1939FF7D">
        <w:tc>
          <w:tcPr>
            <w:tcW w:w="0" w:type="auto"/>
            <w:hideMark/>
          </w:tcPr>
          <w:p w14:paraId="46C834A7"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Phase/Task</w:t>
            </w:r>
          </w:p>
        </w:tc>
        <w:tc>
          <w:tcPr>
            <w:tcW w:w="0" w:type="auto"/>
            <w:hideMark/>
          </w:tcPr>
          <w:p w14:paraId="0998CCE7"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Nov 2025</w:t>
            </w:r>
          </w:p>
        </w:tc>
        <w:tc>
          <w:tcPr>
            <w:tcW w:w="0" w:type="auto"/>
            <w:hideMark/>
          </w:tcPr>
          <w:p w14:paraId="45F9726A"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Dec 2025</w:t>
            </w:r>
          </w:p>
        </w:tc>
        <w:tc>
          <w:tcPr>
            <w:tcW w:w="0" w:type="auto"/>
            <w:hideMark/>
          </w:tcPr>
          <w:p w14:paraId="0DA724B4"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Jan 2026</w:t>
            </w:r>
          </w:p>
        </w:tc>
        <w:tc>
          <w:tcPr>
            <w:tcW w:w="0" w:type="auto"/>
            <w:hideMark/>
          </w:tcPr>
          <w:p w14:paraId="6037B8D9"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Feb 2026</w:t>
            </w:r>
          </w:p>
        </w:tc>
        <w:tc>
          <w:tcPr>
            <w:tcW w:w="0" w:type="auto"/>
            <w:hideMark/>
          </w:tcPr>
          <w:p w14:paraId="54BB4428"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Mar 2026</w:t>
            </w:r>
          </w:p>
        </w:tc>
        <w:tc>
          <w:tcPr>
            <w:tcW w:w="0" w:type="auto"/>
            <w:hideMark/>
          </w:tcPr>
          <w:p w14:paraId="2F329EE1"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Apr 2026</w:t>
            </w:r>
          </w:p>
        </w:tc>
        <w:tc>
          <w:tcPr>
            <w:tcW w:w="0" w:type="auto"/>
            <w:hideMark/>
          </w:tcPr>
          <w:p w14:paraId="4405EA3D"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May 2026</w:t>
            </w:r>
          </w:p>
        </w:tc>
        <w:tc>
          <w:tcPr>
            <w:tcW w:w="0" w:type="auto"/>
            <w:hideMark/>
          </w:tcPr>
          <w:p w14:paraId="31F81175"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Jun 2026</w:t>
            </w:r>
          </w:p>
        </w:tc>
        <w:tc>
          <w:tcPr>
            <w:tcW w:w="0" w:type="auto"/>
            <w:hideMark/>
          </w:tcPr>
          <w:p w14:paraId="14C2938B"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Jul 2026</w:t>
            </w:r>
          </w:p>
        </w:tc>
      </w:tr>
      <w:tr w:rsidR="00FF49A6" w:rsidRPr="00FF49A6" w14:paraId="43CC3C8C" w14:textId="77777777" w:rsidTr="1939FF7D">
        <w:tc>
          <w:tcPr>
            <w:tcW w:w="0" w:type="auto"/>
            <w:hideMark/>
          </w:tcPr>
          <w:p w14:paraId="107A3AD9"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Proposal finalisation &amp; ethics approval</w:t>
            </w:r>
          </w:p>
        </w:tc>
        <w:tc>
          <w:tcPr>
            <w:tcW w:w="0" w:type="auto"/>
            <w:hideMark/>
          </w:tcPr>
          <w:p w14:paraId="3C3053AD"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2506DA35"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12EDEC3D"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4C8C907D"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478FEB51"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77436F72"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71174D44"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25FC1647"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52EF5CE9"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361FAD5B" w14:textId="77777777" w:rsidTr="1939FF7D">
        <w:tc>
          <w:tcPr>
            <w:tcW w:w="0" w:type="auto"/>
            <w:hideMark/>
          </w:tcPr>
          <w:p w14:paraId="0D3BA1E7"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Literature review and theoretical framework</w:t>
            </w:r>
          </w:p>
        </w:tc>
        <w:tc>
          <w:tcPr>
            <w:tcW w:w="0" w:type="auto"/>
            <w:hideMark/>
          </w:tcPr>
          <w:p w14:paraId="43BEC2A1"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083D7EAC"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3A313A57"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0D97FBBE"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1AA15D3A"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3B822C33"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0BE667DD"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212B39C4"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1253DBB0"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696250CA" w14:textId="77777777" w:rsidTr="1939FF7D">
        <w:tc>
          <w:tcPr>
            <w:tcW w:w="0" w:type="auto"/>
            <w:hideMark/>
          </w:tcPr>
          <w:p w14:paraId="784A3B4C"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Design of instrum</w:t>
            </w:r>
            <w:r w:rsidRPr="1939FF7D">
              <w:rPr>
                <w:rStyle w:val="Strong"/>
                <w:rFonts w:ascii="Arial Nova" w:eastAsia="Arial Nova" w:hAnsi="Arial Nova" w:cs="Arial Nova"/>
              </w:rPr>
              <w:lastRenderedPageBreak/>
              <w:t>ents (interview guide, surveys)</w:t>
            </w:r>
          </w:p>
        </w:tc>
        <w:tc>
          <w:tcPr>
            <w:tcW w:w="0" w:type="auto"/>
            <w:hideMark/>
          </w:tcPr>
          <w:p w14:paraId="52D1B823"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5291F559"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447E40FB"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3A8FBB5E"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3713EB5A"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1238AC3F"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2334AA7B"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367CF000"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720FF621"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37D2E0FA" w14:textId="77777777" w:rsidTr="1939FF7D">
        <w:tc>
          <w:tcPr>
            <w:tcW w:w="0" w:type="auto"/>
            <w:hideMark/>
          </w:tcPr>
          <w:p w14:paraId="7BC23882"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Case selection &amp; initial contacts</w:t>
            </w:r>
          </w:p>
        </w:tc>
        <w:tc>
          <w:tcPr>
            <w:tcW w:w="0" w:type="auto"/>
            <w:hideMark/>
          </w:tcPr>
          <w:p w14:paraId="64FEDF57"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20CB0012"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26CE88DC"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5C651CFD"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2E15F12D"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1AD207F8"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0688668D"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39D2DE34"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69A34675"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3D28F8F0" w14:textId="77777777" w:rsidTr="1939FF7D">
        <w:tc>
          <w:tcPr>
            <w:tcW w:w="0" w:type="auto"/>
            <w:hideMark/>
          </w:tcPr>
          <w:p w14:paraId="300DB4EE"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Data collection (interviews)</w:t>
            </w:r>
          </w:p>
        </w:tc>
        <w:tc>
          <w:tcPr>
            <w:tcW w:w="0" w:type="auto"/>
            <w:hideMark/>
          </w:tcPr>
          <w:p w14:paraId="18E2EDB3"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54C59A55"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3BBE9276"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19057BB5"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02678322"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581E618D"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209152E4"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0225B831"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7C17EE96"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099B2035" w14:textId="77777777" w:rsidTr="1939FF7D">
        <w:tc>
          <w:tcPr>
            <w:tcW w:w="0" w:type="auto"/>
            <w:hideMark/>
          </w:tcPr>
          <w:p w14:paraId="67E2F71C"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Data collection (surveys)</w:t>
            </w:r>
          </w:p>
        </w:tc>
        <w:tc>
          <w:tcPr>
            <w:tcW w:w="0" w:type="auto"/>
            <w:hideMark/>
          </w:tcPr>
          <w:p w14:paraId="092EEAE8"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67F671D0"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747926DB"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66D487C8"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0269F6FA"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363476D7"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15BFDB6B"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7C516305"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5950BE23"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704ECEBE" w14:textId="77777777" w:rsidTr="1939FF7D">
        <w:tc>
          <w:tcPr>
            <w:tcW w:w="0" w:type="auto"/>
            <w:hideMark/>
          </w:tcPr>
          <w:p w14:paraId="1F2F3C6A"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Lifecycle and cost–benefit analyses</w:t>
            </w:r>
          </w:p>
        </w:tc>
        <w:tc>
          <w:tcPr>
            <w:tcW w:w="0" w:type="auto"/>
            <w:hideMark/>
          </w:tcPr>
          <w:p w14:paraId="722D79F5"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55ACA8D5"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5BD5E4BE"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37B54668"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405AE783"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7A705D5C"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43BA8B48"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667E228B"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10002316"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5EDA857D" w14:textId="77777777" w:rsidTr="1939FF7D">
        <w:tc>
          <w:tcPr>
            <w:tcW w:w="0" w:type="auto"/>
            <w:hideMark/>
          </w:tcPr>
          <w:p w14:paraId="1A5E415E"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 xml:space="preserve">Data analysis (qualitative &amp; </w:t>
            </w:r>
            <w:r w:rsidRPr="1939FF7D">
              <w:rPr>
                <w:rStyle w:val="Strong"/>
                <w:rFonts w:ascii="Arial Nova" w:eastAsia="Arial Nova" w:hAnsi="Arial Nova" w:cs="Arial Nova"/>
              </w:rPr>
              <w:lastRenderedPageBreak/>
              <w:t>quantitative)</w:t>
            </w:r>
          </w:p>
        </w:tc>
        <w:tc>
          <w:tcPr>
            <w:tcW w:w="0" w:type="auto"/>
            <w:hideMark/>
          </w:tcPr>
          <w:p w14:paraId="2CFE6DAB"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37C20DA4"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2A922239"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4337AFC9"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4A5F8C02"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4E8B0856"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46CB9C64"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0C3B774E"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605CB00B"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6D0B3D34" w14:textId="77777777" w:rsidTr="1939FF7D">
        <w:tc>
          <w:tcPr>
            <w:tcW w:w="0" w:type="auto"/>
            <w:hideMark/>
          </w:tcPr>
          <w:p w14:paraId="003FF10B"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Drafting chapters &amp; synthesis of findings</w:t>
            </w:r>
          </w:p>
        </w:tc>
        <w:tc>
          <w:tcPr>
            <w:tcW w:w="0" w:type="auto"/>
            <w:hideMark/>
          </w:tcPr>
          <w:p w14:paraId="300EE44D"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46592561"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64FBE66F"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2EC41541"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33702BCA"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714CC1AA"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28AE9C6E"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4DB40399"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0DFAE40B"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53CA6F5B" w14:textId="77777777" w:rsidTr="1939FF7D">
        <w:tc>
          <w:tcPr>
            <w:tcW w:w="0" w:type="auto"/>
            <w:hideMark/>
          </w:tcPr>
          <w:p w14:paraId="6337F178"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Review, editing &amp; proofreading</w:t>
            </w:r>
          </w:p>
        </w:tc>
        <w:tc>
          <w:tcPr>
            <w:tcW w:w="0" w:type="auto"/>
            <w:hideMark/>
          </w:tcPr>
          <w:p w14:paraId="743772EA"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0E40718C"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5950C8F9"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0B3ACC61"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69BF697F"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6F3F192E"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62B5F710"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79D41CAA"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595CAFA0"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r>
      <w:tr w:rsidR="00FF49A6" w:rsidRPr="00FF49A6" w14:paraId="0A45A7D6" w14:textId="77777777" w:rsidTr="1939FF7D">
        <w:tc>
          <w:tcPr>
            <w:tcW w:w="0" w:type="auto"/>
            <w:hideMark/>
          </w:tcPr>
          <w:p w14:paraId="181ED4EC"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 xml:space="preserve">Final submission &amp; </w:t>
            </w:r>
            <w:r w:rsidRPr="1939FF7D">
              <w:rPr>
                <w:rStyle w:val="Strong"/>
                <w:rFonts w:ascii="Arial Nova" w:eastAsia="Arial Nova" w:hAnsi="Arial Nova" w:cs="Arial Nova"/>
                <w:sz w:val="22"/>
                <w:szCs w:val="22"/>
              </w:rPr>
              <w:t>dissemination</w:t>
            </w:r>
          </w:p>
        </w:tc>
        <w:tc>
          <w:tcPr>
            <w:tcW w:w="0" w:type="auto"/>
            <w:hideMark/>
          </w:tcPr>
          <w:p w14:paraId="71DB138F"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7C8A4D21"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60BDF8AD"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72F9F144"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79A9B789"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7EF2E9F1"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4805C766" w14:textId="77777777" w:rsidR="00FF49A6" w:rsidRPr="00FF49A6" w:rsidRDefault="00FF49A6" w:rsidP="1939FF7D">
            <w:pPr>
              <w:spacing w:line="360" w:lineRule="auto"/>
              <w:jc w:val="both"/>
              <w:rPr>
                <w:rFonts w:ascii="Arial Nova" w:eastAsia="Arial Nova" w:hAnsi="Arial Nova" w:cs="Arial Nova"/>
              </w:rPr>
            </w:pPr>
          </w:p>
        </w:tc>
        <w:tc>
          <w:tcPr>
            <w:tcW w:w="0" w:type="auto"/>
            <w:hideMark/>
          </w:tcPr>
          <w:p w14:paraId="20BF6FD8"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0" w:type="auto"/>
            <w:hideMark/>
          </w:tcPr>
          <w:p w14:paraId="6B327880" w14:textId="77777777" w:rsidR="00FF49A6" w:rsidRPr="00FF49A6" w:rsidRDefault="00FF49A6" w:rsidP="1939FF7D">
            <w:pPr>
              <w:spacing w:line="360" w:lineRule="auto"/>
              <w:jc w:val="both"/>
              <w:rPr>
                <w:rFonts w:ascii="Arial Nova" w:eastAsia="Arial Nova" w:hAnsi="Arial Nova" w:cs="Arial Nova"/>
              </w:rPr>
            </w:pPr>
          </w:p>
        </w:tc>
      </w:tr>
    </w:tbl>
    <w:p w14:paraId="2D446E6C" w14:textId="77777777" w:rsidR="00FF49A6" w:rsidRPr="00FF49A6" w:rsidRDefault="00FF49A6" w:rsidP="1939FF7D">
      <w:pPr>
        <w:pStyle w:val="NormalWeb"/>
        <w:spacing w:line="360" w:lineRule="auto"/>
        <w:jc w:val="both"/>
        <w:rPr>
          <w:rStyle w:val="Emphasis"/>
          <w:rFonts w:ascii="Arial Nova" w:eastAsia="Arial Nova" w:hAnsi="Arial Nova" w:cs="Arial Nova"/>
        </w:rPr>
      </w:pPr>
      <w:r w:rsidRPr="1939FF7D">
        <w:rPr>
          <w:rStyle w:val="Emphasis"/>
          <w:rFonts w:ascii="Arial Nova" w:eastAsia="Arial Nova" w:hAnsi="Arial Nova" w:cs="Arial Nova"/>
        </w:rPr>
        <w:t>Table 1: Research plan and timeline (● indicates active periods)</w:t>
      </w:r>
    </w:p>
    <w:p w14:paraId="354CE91F" w14:textId="77777777" w:rsidR="00FF49A6" w:rsidRPr="00FF49A6" w:rsidRDefault="00FF49A6" w:rsidP="1939FF7D">
      <w:pPr>
        <w:pStyle w:val="Heading1"/>
        <w:rPr>
          <w:rFonts w:ascii="Arial Nova" w:eastAsia="Arial Nova" w:hAnsi="Arial Nova" w:cs="Arial Nova"/>
        </w:rPr>
      </w:pPr>
      <w:bookmarkStart w:id="7" w:name="_Toc212389874"/>
      <w:r w:rsidRPr="1939FF7D">
        <w:rPr>
          <w:rFonts w:ascii="Arial Nova" w:eastAsia="Arial Nova" w:hAnsi="Arial Nova" w:cs="Arial Nova"/>
        </w:rPr>
        <w:t>7 Conclusion</w:t>
      </w:r>
      <w:bookmarkEnd w:id="7"/>
    </w:p>
    <w:p w14:paraId="1681AF4C"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Rapid electronic garbage increase, poor formal recycling rates, and a lack of resources make switching IT hardware supply chains from linear to circular urgent.   Global monitoring, industry studies, and policy evaluations reveal e-waste's severity.  They demonstrate how refurbishment and recycling can recover useable materials, reduce greenhouse gas emissions, and generate revenue.   Critical issues including infrastructure, design, regulation, and buyer conduct prevent circular benefits from being completely exploited.   This mixed methods study will examine how IT hardware supply </w:t>
      </w:r>
      <w:r w:rsidRPr="1939FF7D">
        <w:rPr>
          <w:rFonts w:ascii="Arial Nova" w:eastAsia="Arial Nova" w:hAnsi="Arial Nova" w:cs="Arial Nova"/>
        </w:rPr>
        <w:lastRenderedPageBreak/>
        <w:t>chains might apply circular economy ideas by recycling and mending outdated devices.   The study combines supply chain experts' perspectives with environmental and economic data to give recommendations to businesses and policymakers.   Key success criteria, circular strategy benefits, and sustainable, resilient, and fair supply line policies are expected.</w:t>
      </w:r>
    </w:p>
    <w:p w14:paraId="7F2FA7D3" w14:textId="54C3D368" w:rsidR="00FF49A6" w:rsidRP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To conclude, the 2000 plan emphasises the need to immediately restructure IT hardware supply chains utilising circular economy principles like reusing and recycling.   It demonstrates how much money is lost on each item and how much e-waste is produced—62 million tonnes in 2022, and only 1% will be recycled.   A strong plan to investigate how circular techniques might increase IT sustainability, supply chain resilience, and company value is presented.  It indicates present barriers, suggests a mixed-methods study strategy, and provides a schedule.</w:t>
      </w:r>
    </w:p>
    <w:p w14:paraId="3CCD483D" w14:textId="3F594D33" w:rsidR="4E4D3CA1" w:rsidRDefault="4E4D3CA1" w:rsidP="1939FF7D">
      <w:pPr>
        <w:pStyle w:val="NormalWeb"/>
        <w:spacing w:line="360" w:lineRule="auto"/>
        <w:jc w:val="both"/>
        <w:rPr>
          <w:rFonts w:ascii="Arial Nova" w:eastAsia="Arial Nova" w:hAnsi="Arial Nova" w:cs="Arial Nova"/>
        </w:rPr>
      </w:pPr>
    </w:p>
    <w:p w14:paraId="7B825E70" w14:textId="7BB09ECD" w:rsidR="00FF49A6" w:rsidRDefault="00FF49A6" w:rsidP="1939FF7D">
      <w:pPr>
        <w:pStyle w:val="Heading1"/>
        <w:rPr>
          <w:rFonts w:ascii="Arial Nova" w:eastAsia="Arial Nova" w:hAnsi="Arial Nova" w:cs="Arial Nova"/>
        </w:rPr>
      </w:pPr>
      <w:bookmarkStart w:id="8" w:name="_Toc212389875"/>
      <w:r w:rsidRPr="1939FF7D">
        <w:rPr>
          <w:rFonts w:ascii="Arial Nova" w:eastAsia="Arial Nova" w:hAnsi="Arial Nova" w:cs="Arial Nova"/>
        </w:rPr>
        <w:t>References:</w:t>
      </w:r>
      <w:bookmarkEnd w:id="8"/>
    </w:p>
    <w:p w14:paraId="7B04E93E" w14:textId="6F3244AA" w:rsidR="00AA706D" w:rsidRDefault="64DD1394"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color w:val="222222"/>
          <w:sz w:val="19"/>
          <w:szCs w:val="19"/>
        </w:rPr>
        <w:t xml:space="preserve">Amir, S., Salehi, N., Roci, M., Sweet, S. and Rashid, A., 2023. Towards circular economy: A guiding framework for circular supply chain implementation. </w:t>
      </w:r>
      <w:r w:rsidRPr="1939FF7D">
        <w:rPr>
          <w:rFonts w:ascii="Arial Nova" w:eastAsia="Arial Nova" w:hAnsi="Arial Nova" w:cs="Arial Nova"/>
          <w:i/>
          <w:iCs/>
          <w:color w:val="222222"/>
          <w:sz w:val="19"/>
          <w:szCs w:val="19"/>
        </w:rPr>
        <w:t>Business Strategy and the Environment</w:t>
      </w:r>
      <w:r w:rsidRPr="1939FF7D">
        <w:rPr>
          <w:rFonts w:ascii="Arial Nova" w:eastAsia="Arial Nova" w:hAnsi="Arial Nova" w:cs="Arial Nova"/>
          <w:color w:val="222222"/>
          <w:sz w:val="19"/>
          <w:szCs w:val="19"/>
        </w:rPr>
        <w:t xml:space="preserve">, </w:t>
      </w:r>
      <w:r w:rsidRPr="1939FF7D">
        <w:rPr>
          <w:rFonts w:ascii="Arial Nova" w:eastAsia="Arial Nova" w:hAnsi="Arial Nova" w:cs="Arial Nova"/>
          <w:i/>
          <w:iCs/>
          <w:color w:val="222222"/>
          <w:sz w:val="19"/>
          <w:szCs w:val="19"/>
        </w:rPr>
        <w:t>32</w:t>
      </w:r>
      <w:r w:rsidRPr="1939FF7D">
        <w:rPr>
          <w:rFonts w:ascii="Arial Nova" w:eastAsia="Arial Nova" w:hAnsi="Arial Nova" w:cs="Arial Nova"/>
          <w:color w:val="222222"/>
          <w:sz w:val="19"/>
          <w:szCs w:val="19"/>
        </w:rPr>
        <w:t>(6), pp.2684-2701.</w:t>
      </w:r>
    </w:p>
    <w:p w14:paraId="4C2588B0" w14:textId="3A97C570" w:rsidR="00AA706D" w:rsidRDefault="7DCFE11D"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color w:val="222222"/>
          <w:sz w:val="19"/>
          <w:szCs w:val="19"/>
        </w:rPr>
        <w:t xml:space="preserve">Armstrong, M., 2024. </w:t>
      </w:r>
      <w:r w:rsidRPr="1939FF7D">
        <w:rPr>
          <w:rFonts w:ascii="Arial Nova" w:eastAsia="Arial Nova" w:hAnsi="Arial Nova" w:cs="Arial Nova"/>
          <w:i/>
          <w:iCs/>
          <w:color w:val="222222"/>
          <w:sz w:val="19"/>
          <w:szCs w:val="19"/>
        </w:rPr>
        <w:t>Armstrong's handbook of strategic human resource management: Improve business performance through strategic people management</w:t>
      </w:r>
      <w:r w:rsidRPr="1939FF7D">
        <w:rPr>
          <w:rFonts w:ascii="Arial Nova" w:eastAsia="Arial Nova" w:hAnsi="Arial Nova" w:cs="Arial Nova"/>
          <w:color w:val="222222"/>
          <w:sz w:val="19"/>
          <w:szCs w:val="19"/>
        </w:rPr>
        <w:t>. Kogan Page Publishers.</w:t>
      </w:r>
    </w:p>
    <w:p w14:paraId="30FD4E24" w14:textId="3C04C7CD" w:rsidR="00AA706D" w:rsidRDefault="3A951376"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rPr>
      </w:pPr>
      <w:r w:rsidRPr="1939FF7D">
        <w:rPr>
          <w:rFonts w:ascii="Arial Nova" w:eastAsia="Arial Nova" w:hAnsi="Arial Nova" w:cs="Arial Nova"/>
          <w:color w:val="222222"/>
          <w:sz w:val="19"/>
          <w:szCs w:val="19"/>
        </w:rPr>
        <w:t xml:space="preserve">Bhoi, N.K., 2024. Advancements in E-waste recycling technologies: A comprehensive overview of strategies and mechatronics integration for future development. </w:t>
      </w:r>
      <w:r w:rsidRPr="1939FF7D">
        <w:rPr>
          <w:rFonts w:ascii="Arial Nova" w:eastAsia="Arial Nova" w:hAnsi="Arial Nova" w:cs="Arial Nova"/>
          <w:i/>
          <w:iCs/>
          <w:color w:val="222222"/>
          <w:sz w:val="19"/>
          <w:szCs w:val="19"/>
        </w:rPr>
        <w:t>Sustainable Materials and Technologies</w:t>
      </w:r>
      <w:r w:rsidRPr="1939FF7D">
        <w:rPr>
          <w:rFonts w:ascii="Arial Nova" w:eastAsia="Arial Nova" w:hAnsi="Arial Nova" w:cs="Arial Nova"/>
          <w:color w:val="222222"/>
          <w:sz w:val="19"/>
          <w:szCs w:val="19"/>
        </w:rPr>
        <w:t xml:space="preserve">, </w:t>
      </w:r>
      <w:r w:rsidRPr="1939FF7D">
        <w:rPr>
          <w:rFonts w:ascii="Arial Nova" w:eastAsia="Arial Nova" w:hAnsi="Arial Nova" w:cs="Arial Nova"/>
          <w:i/>
          <w:iCs/>
          <w:color w:val="222222"/>
          <w:sz w:val="19"/>
          <w:szCs w:val="19"/>
        </w:rPr>
        <w:t>42</w:t>
      </w:r>
      <w:r w:rsidRPr="1939FF7D">
        <w:rPr>
          <w:rFonts w:ascii="Arial Nova" w:eastAsia="Arial Nova" w:hAnsi="Arial Nova" w:cs="Arial Nova"/>
          <w:color w:val="222222"/>
          <w:sz w:val="19"/>
          <w:szCs w:val="19"/>
        </w:rPr>
        <w:t>, p.e01182.</w:t>
      </w:r>
      <w:r w:rsidR="00181AB7" w:rsidRPr="1939FF7D">
        <w:rPr>
          <w:rFonts w:ascii="Arial Nova" w:eastAsia="Arial Nova" w:hAnsi="Arial Nova" w:cs="Arial Nova"/>
          <w:spacing w:val="1"/>
        </w:rPr>
        <w:t xml:space="preserve"> </w:t>
      </w:r>
    </w:p>
    <w:p w14:paraId="625415D7" w14:textId="78935018" w:rsidR="079F46D5" w:rsidRDefault="7E126402"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rPr>
      </w:pPr>
      <w:r w:rsidRPr="1939FF7D">
        <w:rPr>
          <w:rFonts w:ascii="Arial Nova" w:eastAsia="Arial Nova" w:hAnsi="Arial Nova" w:cs="Arial Nova"/>
          <w:color w:val="222222"/>
          <w:sz w:val="19"/>
          <w:szCs w:val="19"/>
        </w:rPr>
        <w:t>Beukelaer, C.D., 2023. Trade winds: A voyage to a sustainable future for shipping.</w:t>
      </w:r>
    </w:p>
    <w:p w14:paraId="4FB5D912" w14:textId="0A78B85C"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spacing w:val="1"/>
        </w:rPr>
        <w:t xml:space="preserve">Eduljee, G. &amp; Harrison, R. (2020) Electronic waste management. 2nd edn. </w:t>
      </w:r>
      <w:r w:rsidR="790EAECC" w:rsidRPr="1939FF7D">
        <w:rPr>
          <w:rFonts w:ascii="Arial Nova" w:eastAsia="Arial Nova" w:hAnsi="Arial Nova" w:cs="Arial Nova"/>
          <w:spacing w:val="1"/>
        </w:rPr>
        <w:t xml:space="preserve">Cambridge :  </w:t>
      </w:r>
      <w:r w:rsidRPr="1939FF7D">
        <w:rPr>
          <w:rFonts w:ascii="Arial Nova" w:eastAsia="Arial Nova" w:hAnsi="Arial Nova" w:cs="Arial Nova"/>
          <w:spacing w:val="1"/>
        </w:rPr>
        <w:t>Royal Society of Chemi</w:t>
      </w:r>
      <w:r w:rsidR="75E980A3" w:rsidRPr="1939FF7D">
        <w:rPr>
          <w:rFonts w:ascii="Arial Nova" w:eastAsia="Arial Nova" w:hAnsi="Arial Nova" w:cs="Arial Nova"/>
          <w:spacing w:val="1"/>
        </w:rPr>
        <w:t xml:space="preserve">stry </w:t>
      </w:r>
    </w:p>
    <w:p w14:paraId="0E555A0A" w14:textId="25570C56"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spacing w:val="1"/>
        </w:rPr>
        <w:t>Elgarahy,</w:t>
      </w:r>
      <w:r w:rsidR="0CFC8B48" w:rsidRPr="1939FF7D">
        <w:rPr>
          <w:rFonts w:ascii="Arial Nova" w:eastAsia="Arial Nova" w:hAnsi="Arial Nova" w:cs="Arial Nova"/>
          <w:spacing w:val="1"/>
        </w:rPr>
        <w:t>W.A.M.</w:t>
      </w:r>
      <w:r w:rsidR="0CFC8B48" w:rsidRPr="0E29751D">
        <w:rPr>
          <w:rFonts w:ascii="Arial Nova" w:eastAsia="Arial Nova" w:hAnsi="Arial Nova" w:cs="Arial Nova"/>
          <w:spacing w:val="1"/>
        </w:rPr>
        <w:t>,</w:t>
      </w:r>
      <w:r w:rsidR="79F14BF6" w:rsidRPr="0E29751D">
        <w:rPr>
          <w:rFonts w:ascii="Arial Nova" w:eastAsia="Arial Nova" w:hAnsi="Arial Nova" w:cs="Arial Nova"/>
          <w:spacing w:val="1"/>
        </w:rPr>
        <w:t xml:space="preserve"> Elwakeel, K.Z.,Mohamm</w:t>
      </w:r>
      <w:r w:rsidR="3420F3FE" w:rsidRPr="0E29751D">
        <w:rPr>
          <w:rFonts w:ascii="Arial Nova" w:eastAsia="Arial Nova" w:hAnsi="Arial Nova" w:cs="Arial Nova"/>
          <w:spacing w:val="1"/>
        </w:rPr>
        <w:t>ad ,</w:t>
      </w:r>
      <w:r w:rsidR="07AEDB07" w:rsidRPr="0E29751D">
        <w:rPr>
          <w:rFonts w:ascii="Arial Nova" w:eastAsia="Arial Nova" w:hAnsi="Arial Nova" w:cs="Arial Nova"/>
          <w:spacing w:val="1"/>
        </w:rPr>
        <w:t>S.H.&amp; Elgarahy, M. (2024</w:t>
      </w:r>
      <w:r w:rsidR="7A152F18" w:rsidRPr="0E29751D">
        <w:rPr>
          <w:rFonts w:ascii="Arial Nova" w:eastAsia="Arial Nova" w:hAnsi="Arial Nova" w:cs="Arial Nova"/>
          <w:spacing w:val="1"/>
        </w:rPr>
        <w:t xml:space="preserve">) </w:t>
      </w:r>
      <w:r w:rsidR="5918E7CB" w:rsidRPr="0E29751D">
        <w:rPr>
          <w:rFonts w:ascii="Arial Nova" w:eastAsia="Arial Nova" w:hAnsi="Arial Nova" w:cs="Arial Nova"/>
          <w:spacing w:val="1"/>
        </w:rPr>
        <w:t xml:space="preserve"> `</w:t>
      </w:r>
      <w:r w:rsidR="76F678A9" w:rsidRPr="0E29751D">
        <w:rPr>
          <w:rFonts w:ascii="Arial Nova" w:eastAsia="Arial Nova" w:hAnsi="Arial Nova" w:cs="Arial Nova"/>
          <w:spacing w:val="1"/>
        </w:rPr>
        <w:t>A</w:t>
      </w:r>
      <w:r w:rsidRPr="1939FF7D">
        <w:rPr>
          <w:rFonts w:ascii="Arial Nova" w:eastAsia="Arial Nova" w:hAnsi="Arial Nova" w:cs="Arial Nova"/>
          <w:spacing w:val="1"/>
        </w:rPr>
        <w:t>n exploration of e-waste recycling approaches in a circular economy context’, Resources, Conservation and Recycling, 208, 106540. Available at: </w:t>
      </w:r>
      <w:r w:rsidR="2652E9A3" w:rsidRPr="1939FF7D">
        <w:rPr>
          <w:rFonts w:ascii="Arial Nova" w:eastAsia="Arial Nova" w:hAnsi="Arial Nova" w:cs="Arial Nova"/>
          <w:spacing w:val="1"/>
        </w:rPr>
        <w:t>https//doi.org</w:t>
      </w:r>
      <w:r w:rsidRPr="1939FF7D">
        <w:rPr>
          <w:rFonts w:ascii="Arial Nova" w:eastAsia="Arial Nova" w:hAnsi="Arial Nova" w:cs="Arial Nova"/>
          <w:spacing w:val="1"/>
        </w:rPr>
        <w:t>.</w:t>
      </w:r>
      <w:r w:rsidR="7F2B26E5" w:rsidRPr="1939FF7D">
        <w:rPr>
          <w:rFonts w:ascii="Arial Nova" w:eastAsia="Arial Nova" w:hAnsi="Arial Nova" w:cs="Arial Nova"/>
          <w:spacing w:val="1"/>
        </w:rPr>
        <w:t>/10.1016</w:t>
      </w:r>
      <w:r w:rsidR="7F2B26E5" w:rsidRPr="0E29751D">
        <w:rPr>
          <w:rFonts w:ascii="Arial Nova" w:eastAsia="Arial Nova" w:hAnsi="Arial Nova" w:cs="Arial Nova"/>
          <w:spacing w:val="1"/>
        </w:rPr>
        <w:t>/j.resconre</w:t>
      </w:r>
      <w:r w:rsidR="26A76321" w:rsidRPr="0E29751D">
        <w:rPr>
          <w:rFonts w:ascii="Arial Nova" w:eastAsia="Arial Nova" w:hAnsi="Arial Nova" w:cs="Arial Nova"/>
          <w:spacing w:val="1"/>
        </w:rPr>
        <w:t>c.2024.106540</w:t>
      </w:r>
    </w:p>
    <w:p w14:paraId="552861B9" w14:textId="558E9F7C"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rPr>
      </w:pPr>
      <w:r w:rsidRPr="1939FF7D">
        <w:rPr>
          <w:rFonts w:ascii="Arial Nova" w:eastAsia="Arial Nova" w:hAnsi="Arial Nova" w:cs="Arial Nova"/>
          <w:spacing w:val="1"/>
        </w:rPr>
        <w:lastRenderedPageBreak/>
        <w:t>Hossain, R.</w:t>
      </w:r>
      <w:r w:rsidR="43D21CCB" w:rsidRPr="1939FF7D">
        <w:rPr>
          <w:rFonts w:ascii="Arial Nova" w:eastAsia="Arial Nova" w:hAnsi="Arial Nova" w:cs="Arial Nova"/>
          <w:spacing w:val="1"/>
        </w:rPr>
        <w:t>, Rahman, M., Hasan, M. &amp;</w:t>
      </w:r>
      <w:r w:rsidR="74932916" w:rsidRPr="1939FF7D">
        <w:rPr>
          <w:rFonts w:ascii="Arial Nova" w:eastAsia="Arial Nova" w:hAnsi="Arial Nova" w:cs="Arial Nova"/>
          <w:spacing w:val="1"/>
        </w:rPr>
        <w:t xml:space="preserve"> Kim, J.</w:t>
      </w:r>
      <w:r w:rsidRPr="1939FF7D">
        <w:rPr>
          <w:rFonts w:ascii="Arial Nova" w:eastAsia="Arial Nova" w:hAnsi="Arial Nova" w:cs="Arial Nova"/>
          <w:spacing w:val="1"/>
        </w:rPr>
        <w:t xml:space="preserve"> (2024) ‘Current recycling innovations to utilize e-waste in sustainable manufacturing’, Philosophical Transactions of the Royal Society A, 382(2262), pp. 239-254. </w:t>
      </w:r>
    </w:p>
    <w:p w14:paraId="752D15BF" w14:textId="1614FDCE" w:rsidR="00AA706D" w:rsidRDefault="31DCC986"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color w:val="222222"/>
          <w:sz w:val="19"/>
          <w:szCs w:val="19"/>
        </w:rPr>
        <w:t xml:space="preserve">Ahmed, Z., Khattak, S.N. and Rabbani, A.A., 2025. Resilient Supply Chains in the Post-Pandemic Era: Strategies for Risk Mitigation and Continuity. </w:t>
      </w:r>
      <w:r w:rsidRPr="1939FF7D">
        <w:rPr>
          <w:rFonts w:ascii="Arial Nova" w:eastAsia="Arial Nova" w:hAnsi="Arial Nova" w:cs="Arial Nova"/>
          <w:i/>
          <w:iCs/>
          <w:color w:val="222222"/>
          <w:sz w:val="19"/>
          <w:szCs w:val="19"/>
        </w:rPr>
        <w:t>Inverge Journal of Social Sciences</w:t>
      </w:r>
      <w:r w:rsidRPr="1939FF7D">
        <w:rPr>
          <w:rFonts w:ascii="Arial Nova" w:eastAsia="Arial Nova" w:hAnsi="Arial Nova" w:cs="Arial Nova"/>
          <w:color w:val="222222"/>
          <w:sz w:val="19"/>
          <w:szCs w:val="19"/>
        </w:rPr>
        <w:t xml:space="preserve">, </w:t>
      </w:r>
      <w:r w:rsidRPr="1939FF7D">
        <w:rPr>
          <w:rFonts w:ascii="Arial Nova" w:eastAsia="Arial Nova" w:hAnsi="Arial Nova" w:cs="Arial Nova"/>
          <w:i/>
          <w:iCs/>
          <w:color w:val="222222"/>
          <w:sz w:val="19"/>
          <w:szCs w:val="19"/>
        </w:rPr>
        <w:t>4</w:t>
      </w:r>
      <w:r w:rsidRPr="1939FF7D">
        <w:rPr>
          <w:rFonts w:ascii="Arial Nova" w:eastAsia="Arial Nova" w:hAnsi="Arial Nova" w:cs="Arial Nova"/>
          <w:color w:val="222222"/>
          <w:sz w:val="19"/>
          <w:szCs w:val="19"/>
        </w:rPr>
        <w:t>(4), pp.31-44.</w:t>
      </w:r>
    </w:p>
    <w:p w14:paraId="5DA836B2" w14:textId="3ADCA39F"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spacing w:val="1"/>
        </w:rPr>
        <w:t>Liu, J.</w:t>
      </w:r>
      <w:r w:rsidR="5B6B4112" w:rsidRPr="1939FF7D">
        <w:rPr>
          <w:rFonts w:ascii="Arial Nova" w:eastAsia="Arial Nova" w:hAnsi="Arial Nova" w:cs="Arial Nova"/>
          <w:spacing w:val="1"/>
        </w:rPr>
        <w:t>, Zhang,W., Li,</w:t>
      </w:r>
      <w:r w:rsidR="050A84E1" w:rsidRPr="1939FF7D">
        <w:rPr>
          <w:rFonts w:ascii="Arial Nova" w:eastAsia="Arial Nova" w:hAnsi="Arial Nova" w:cs="Arial Nova"/>
          <w:spacing w:val="1"/>
        </w:rPr>
        <w:t xml:space="preserve"> X .&amp; Chen</w:t>
      </w:r>
      <w:r w:rsidR="5CB57852" w:rsidRPr="1939FF7D">
        <w:rPr>
          <w:rFonts w:ascii="Arial Nova" w:eastAsia="Arial Nova" w:hAnsi="Arial Nova" w:cs="Arial Nova"/>
          <w:spacing w:val="1"/>
        </w:rPr>
        <w:t xml:space="preserve">, Y. </w:t>
      </w:r>
      <w:r w:rsidRPr="1939FF7D">
        <w:rPr>
          <w:rFonts w:ascii="Arial Nova" w:eastAsia="Arial Nova" w:hAnsi="Arial Nova" w:cs="Arial Nova"/>
          <w:spacing w:val="1"/>
        </w:rPr>
        <w:t xml:space="preserve"> (2022) ‘D</w:t>
      </w:r>
      <w:r w:rsidR="575A4BF8" w:rsidRPr="1939FF7D">
        <w:rPr>
          <w:rFonts w:ascii="Arial Nova" w:eastAsia="Arial Nova" w:hAnsi="Arial Nova" w:cs="Arial Nova"/>
          <w:spacing w:val="1"/>
        </w:rPr>
        <w:t>igital</w:t>
      </w:r>
      <w:r w:rsidRPr="1939FF7D">
        <w:rPr>
          <w:rFonts w:ascii="Arial Nova" w:eastAsia="Arial Nova" w:hAnsi="Arial Nova" w:cs="Arial Nova"/>
          <w:spacing w:val="1"/>
        </w:rPr>
        <w:t xml:space="preserve"> technologies and circular economy in supply chains’, Frontiers in Sustainability, 3, 781978. </w:t>
      </w:r>
    </w:p>
    <w:p w14:paraId="6D2C8F32" w14:textId="497D4215"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rPr>
      </w:pPr>
      <w:r w:rsidRPr="1939FF7D">
        <w:rPr>
          <w:rFonts w:ascii="Arial Nova" w:eastAsia="Arial Nova" w:hAnsi="Arial Nova" w:cs="Arial Nova"/>
          <w:spacing w:val="1"/>
        </w:rPr>
        <w:t>Mayanti, B. (2024) ‘Circular economy in supply chain management: Conceptualization and implementation’, International Journal of Production Research, 62(1), pp. 17–35.</w:t>
      </w:r>
    </w:p>
    <w:p w14:paraId="2F890468" w14:textId="7FA43BA5"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rPr>
      </w:pPr>
      <w:r w:rsidRPr="1939FF7D">
        <w:rPr>
          <w:rFonts w:ascii="Arial Nova" w:eastAsia="Arial Nova" w:hAnsi="Arial Nova" w:cs="Arial Nova"/>
          <w:spacing w:val="1"/>
        </w:rPr>
        <w:t xml:space="preserve"> </w:t>
      </w:r>
      <w:r w:rsidR="5A4C0EE4" w:rsidRPr="1939FF7D">
        <w:rPr>
          <w:rFonts w:ascii="Arial Nova" w:eastAsia="Arial Nova" w:hAnsi="Arial Nova" w:cs="Arial Nova"/>
          <w:color w:val="222222"/>
          <w:sz w:val="19"/>
          <w:szCs w:val="19"/>
        </w:rPr>
        <w:t xml:space="preserve">Hazen, B.T., Russo, I., Confente, I. and Pellathy, D., 2021. Supply chain management for circular economy: conceptual framework and research agenda. </w:t>
      </w:r>
      <w:r w:rsidR="5A4C0EE4" w:rsidRPr="1939FF7D">
        <w:rPr>
          <w:rFonts w:ascii="Arial Nova" w:eastAsia="Arial Nova" w:hAnsi="Arial Nova" w:cs="Arial Nova"/>
          <w:i/>
          <w:iCs/>
          <w:color w:val="222222"/>
          <w:sz w:val="19"/>
          <w:szCs w:val="19"/>
        </w:rPr>
        <w:t>The International Journal of Logistics Management</w:t>
      </w:r>
      <w:r w:rsidR="5A4C0EE4" w:rsidRPr="1939FF7D">
        <w:rPr>
          <w:rFonts w:ascii="Arial Nova" w:eastAsia="Arial Nova" w:hAnsi="Arial Nova" w:cs="Arial Nova"/>
          <w:color w:val="222222"/>
          <w:sz w:val="19"/>
          <w:szCs w:val="19"/>
        </w:rPr>
        <w:t xml:space="preserve">, </w:t>
      </w:r>
      <w:r w:rsidR="5A4C0EE4" w:rsidRPr="1939FF7D">
        <w:rPr>
          <w:rFonts w:ascii="Arial Nova" w:eastAsia="Arial Nova" w:hAnsi="Arial Nova" w:cs="Arial Nova"/>
          <w:i/>
          <w:iCs/>
          <w:color w:val="222222"/>
          <w:sz w:val="19"/>
          <w:szCs w:val="19"/>
        </w:rPr>
        <w:t>32</w:t>
      </w:r>
      <w:r w:rsidR="5A4C0EE4" w:rsidRPr="1939FF7D">
        <w:rPr>
          <w:rFonts w:ascii="Arial Nova" w:eastAsia="Arial Nova" w:hAnsi="Arial Nova" w:cs="Arial Nova"/>
          <w:color w:val="222222"/>
          <w:sz w:val="19"/>
          <w:szCs w:val="19"/>
        </w:rPr>
        <w:t>(2), pp.510-537.</w:t>
      </w:r>
    </w:p>
    <w:p w14:paraId="1AB5C6E7" w14:textId="4983B117" w:rsidR="00AA706D" w:rsidRDefault="738B2AE5"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rPr>
      </w:pPr>
      <w:r w:rsidRPr="1939FF7D">
        <w:rPr>
          <w:rFonts w:ascii="Arial Nova" w:eastAsia="Arial Nova" w:hAnsi="Arial Nova" w:cs="Arial Nova"/>
          <w:color w:val="222222"/>
          <w:sz w:val="19"/>
          <w:szCs w:val="19"/>
        </w:rPr>
        <w:t xml:space="preserve"> Sartzetaki, M., Karampini, T., Karagkouni, A., Drimpetas, E. and Dimitriou, D., 2025. Circular economy strategies in supply chain management: An evaluation framework for airport operators. </w:t>
      </w:r>
      <w:r w:rsidRPr="1939FF7D">
        <w:rPr>
          <w:rFonts w:ascii="Arial Nova" w:eastAsia="Arial Nova" w:hAnsi="Arial Nova" w:cs="Arial Nova"/>
          <w:i/>
          <w:iCs/>
          <w:color w:val="222222"/>
          <w:sz w:val="19"/>
          <w:szCs w:val="19"/>
        </w:rPr>
        <w:t>Frontiers in Sustainability</w:t>
      </w:r>
      <w:r w:rsidRPr="1939FF7D">
        <w:rPr>
          <w:rFonts w:ascii="Arial Nova" w:eastAsia="Arial Nova" w:hAnsi="Arial Nova" w:cs="Arial Nova"/>
          <w:color w:val="222222"/>
          <w:sz w:val="19"/>
          <w:szCs w:val="19"/>
        </w:rPr>
        <w:t xml:space="preserve">, </w:t>
      </w:r>
      <w:r w:rsidRPr="1939FF7D">
        <w:rPr>
          <w:rFonts w:ascii="Arial Nova" w:eastAsia="Arial Nova" w:hAnsi="Arial Nova" w:cs="Arial Nova"/>
          <w:i/>
          <w:iCs/>
          <w:color w:val="222222"/>
          <w:sz w:val="19"/>
          <w:szCs w:val="19"/>
        </w:rPr>
        <w:t>6</w:t>
      </w:r>
      <w:r w:rsidRPr="1939FF7D">
        <w:rPr>
          <w:rFonts w:ascii="Arial Nova" w:eastAsia="Arial Nova" w:hAnsi="Arial Nova" w:cs="Arial Nova"/>
          <w:color w:val="222222"/>
          <w:sz w:val="19"/>
          <w:szCs w:val="19"/>
        </w:rPr>
        <w:t>, p.1558706.</w:t>
      </w:r>
    </w:p>
    <w:p w14:paraId="775C8D52" w14:textId="302257ED" w:rsidR="0E29751D" w:rsidRDefault="0E29751D"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color w:val="222222"/>
          <w:sz w:val="19"/>
          <w:szCs w:val="19"/>
        </w:rPr>
      </w:pPr>
    </w:p>
    <w:p w14:paraId="676B0E78" w14:textId="5CC44CF1"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spacing w:val="1"/>
        </w:rPr>
        <w:t>​</w:t>
      </w:r>
      <w:r w:rsidR="79B291C2" w:rsidRPr="1939FF7D">
        <w:rPr>
          <w:rFonts w:ascii="Arial Nova" w:eastAsia="Arial Nova" w:hAnsi="Arial Nova" w:cs="Arial Nova"/>
          <w:color w:val="222222"/>
          <w:sz w:val="19"/>
          <w:szCs w:val="19"/>
        </w:rPr>
        <w:t xml:space="preserve"> Montag, L., 2023. Circular economy and supply chains: Definitions, conceptualizations, and research agenda of the circular supply chain framework. </w:t>
      </w:r>
      <w:r w:rsidR="79B291C2" w:rsidRPr="1939FF7D">
        <w:rPr>
          <w:rFonts w:ascii="Arial Nova" w:eastAsia="Arial Nova" w:hAnsi="Arial Nova" w:cs="Arial Nova"/>
          <w:i/>
          <w:iCs/>
          <w:color w:val="222222"/>
          <w:sz w:val="19"/>
          <w:szCs w:val="19"/>
        </w:rPr>
        <w:t>Circular Economy and Sustainability</w:t>
      </w:r>
      <w:r w:rsidR="79B291C2" w:rsidRPr="1939FF7D">
        <w:rPr>
          <w:rFonts w:ascii="Arial Nova" w:eastAsia="Arial Nova" w:hAnsi="Arial Nova" w:cs="Arial Nova"/>
          <w:color w:val="222222"/>
          <w:sz w:val="19"/>
          <w:szCs w:val="19"/>
        </w:rPr>
        <w:t xml:space="preserve">, </w:t>
      </w:r>
      <w:r w:rsidR="79B291C2" w:rsidRPr="1939FF7D">
        <w:rPr>
          <w:rFonts w:ascii="Arial Nova" w:eastAsia="Arial Nova" w:hAnsi="Arial Nova" w:cs="Arial Nova"/>
          <w:i/>
          <w:iCs/>
          <w:color w:val="222222"/>
          <w:sz w:val="19"/>
          <w:szCs w:val="19"/>
        </w:rPr>
        <w:t>3</w:t>
      </w:r>
      <w:r w:rsidR="79B291C2" w:rsidRPr="1939FF7D">
        <w:rPr>
          <w:rFonts w:ascii="Arial Nova" w:eastAsia="Arial Nova" w:hAnsi="Arial Nova" w:cs="Arial Nova"/>
          <w:color w:val="222222"/>
          <w:sz w:val="19"/>
          <w:szCs w:val="19"/>
        </w:rPr>
        <w:t>(1), pp.35-75.</w:t>
      </w:r>
    </w:p>
    <w:p w14:paraId="1116FC85" w14:textId="75464EF1"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spacing w:val="1"/>
        </w:rPr>
        <w:t>SHRM (2023) ‘Strategic HR: GM Drives HR to the Next Level’, HR Magazine, December. Available at: /topics-tools/news/hr-magazine/strategic-hr-gm-drives-hr-to-next-level.​</w:t>
      </w:r>
    </w:p>
    <w:p w14:paraId="39E23583" w14:textId="749F9EB4"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spacing w:val="1"/>
        </w:rPr>
        <w:t>Springer (2022) ‘A bibliometric analysis of circular economy in the fields of business and economics: towards more action-oriented research’, Environment, Development and Sustainability, 24, pp. 4535–4553. Available at: //s10668-022-02347-x.​</w:t>
      </w:r>
    </w:p>
    <w:p w14:paraId="362BA919" w14:textId="323EFFE7"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spacing w:val="1"/>
        </w:rPr>
        <w:t>Springer (2022) ‘A conceptual data model promoting data-driven circular manufacturing’, International Journal of Computer Integrated Manufacturing, 35(6), pp. 709–725. Available at: //s12063-022-00271-x.​</w:t>
      </w:r>
    </w:p>
    <w:p w14:paraId="4402FB00" w14:textId="77777777" w:rsidR="00AA706D" w:rsidRDefault="00AA706D"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spacing w:val="1"/>
        </w:rPr>
        <w:t>Taylor, S. &amp; Armstrong, M. (2020) Armstrong’s Handbook of Human Resource Management Practice. 15th edn. London: Kogan Page.​</w:t>
      </w:r>
    </w:p>
    <w:p w14:paraId="4163FD73" w14:textId="39E02349"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spacing w:val="1"/>
        </w:rPr>
        <w:t>TechXplore (2025) ‘Recycle, resell, reboot: Researchers promote laptop remanufacturing’, TechXplore, 17 August. Available at: /news/.​</w:t>
      </w:r>
    </w:p>
    <w:p w14:paraId="2AC5DA23" w14:textId="7F8DFA9F" w:rsidR="00AA706D"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rPr>
      </w:pPr>
      <w:r w:rsidRPr="1939FF7D">
        <w:rPr>
          <w:rFonts w:ascii="Arial Nova" w:eastAsia="Arial Nova" w:hAnsi="Arial Nova" w:cs="Arial Nova"/>
          <w:spacing w:val="1"/>
        </w:rPr>
        <w:t>Taddei, E. (2024) ‘Circular supply chains theoretical gaps and practical barriers’, International Journal of Supply Chain Management, 9(4), pp. 92–108. Available at: /science/article/pii/S0360835224001700.​</w:t>
      </w:r>
    </w:p>
    <w:p w14:paraId="6D60FD53" w14:textId="77777777" w:rsidR="00FF49A6" w:rsidRPr="00FF49A6" w:rsidRDefault="00FF49A6" w:rsidP="1939FF7D">
      <w:pPr>
        <w:spacing w:line="360" w:lineRule="auto"/>
        <w:ind w:left="720"/>
        <w:jc w:val="both"/>
        <w:rPr>
          <w:rFonts w:ascii="Arial Nova" w:eastAsia="Arial Nova" w:hAnsi="Arial Nova" w:cs="Arial Nova"/>
          <w:sz w:val="22"/>
          <w:szCs w:val="22"/>
        </w:rPr>
      </w:pPr>
    </w:p>
    <w:sectPr w:rsidR="00FF49A6" w:rsidRPr="00FF49A6">
      <w:headerReference w:type="default" r:id="rId14"/>
      <w:footerReference w:type="even"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8456D" w14:textId="77777777" w:rsidR="009B2A4D" w:rsidRDefault="009B2A4D" w:rsidP="002F087B">
      <w:r>
        <w:separator/>
      </w:r>
    </w:p>
  </w:endnote>
  <w:endnote w:type="continuationSeparator" w:id="0">
    <w:p w14:paraId="3E7202E1" w14:textId="77777777" w:rsidR="009B2A4D" w:rsidRDefault="009B2A4D" w:rsidP="002F0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48788"/>
      <w:docPartObj>
        <w:docPartGallery w:val="Page Numbers (Bottom of Page)"/>
        <w:docPartUnique/>
      </w:docPartObj>
    </w:sdtPr>
    <w:sdtContent>
      <w:p w14:paraId="5A5592E9" w14:textId="1D87DA52" w:rsidR="002F087B" w:rsidRDefault="002F087B" w:rsidP="004E4B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99F964B" w14:textId="77777777" w:rsidR="002F087B" w:rsidRDefault="002F087B" w:rsidP="002F08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5880683"/>
      <w:docPartObj>
        <w:docPartGallery w:val="Page Numbers (Bottom of Page)"/>
        <w:docPartUnique/>
      </w:docPartObj>
    </w:sdtPr>
    <w:sdtContent>
      <w:p w14:paraId="3C309B71" w14:textId="6B4A1DBD" w:rsidR="002F087B" w:rsidRDefault="002F087B" w:rsidP="004E4B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64B2EB" w14:textId="77777777" w:rsidR="002F087B" w:rsidRDefault="002F087B" w:rsidP="002F08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80DF7" w14:textId="77777777" w:rsidR="009B2A4D" w:rsidRDefault="009B2A4D" w:rsidP="002F087B">
      <w:r>
        <w:separator/>
      </w:r>
    </w:p>
  </w:footnote>
  <w:footnote w:type="continuationSeparator" w:id="0">
    <w:p w14:paraId="1880EC60" w14:textId="77777777" w:rsidR="009B2A4D" w:rsidRDefault="009B2A4D" w:rsidP="002F08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939FF7D" w14:paraId="40815084" w14:textId="77777777" w:rsidTr="1939FF7D">
      <w:trPr>
        <w:trHeight w:val="300"/>
      </w:trPr>
      <w:tc>
        <w:tcPr>
          <w:tcW w:w="3120" w:type="dxa"/>
        </w:tcPr>
        <w:p w14:paraId="2B98B5FE" w14:textId="782C1D26" w:rsidR="1939FF7D" w:rsidRDefault="1939FF7D" w:rsidP="1939FF7D">
          <w:pPr>
            <w:pStyle w:val="Header"/>
            <w:ind w:left="-115"/>
          </w:pPr>
        </w:p>
      </w:tc>
      <w:tc>
        <w:tcPr>
          <w:tcW w:w="3120" w:type="dxa"/>
        </w:tcPr>
        <w:p w14:paraId="4F63B0A4" w14:textId="35D05638" w:rsidR="1939FF7D" w:rsidRDefault="1939FF7D" w:rsidP="1939FF7D">
          <w:pPr>
            <w:pStyle w:val="Header"/>
            <w:jc w:val="center"/>
          </w:pPr>
        </w:p>
      </w:tc>
      <w:tc>
        <w:tcPr>
          <w:tcW w:w="3120" w:type="dxa"/>
        </w:tcPr>
        <w:p w14:paraId="37069094" w14:textId="53945F60" w:rsidR="1939FF7D" w:rsidRDefault="1939FF7D" w:rsidP="1939FF7D">
          <w:pPr>
            <w:pStyle w:val="Header"/>
            <w:ind w:right="-115"/>
            <w:jc w:val="right"/>
          </w:pPr>
        </w:p>
      </w:tc>
    </w:tr>
  </w:tbl>
  <w:p w14:paraId="4B5130D5" w14:textId="2D9DAD2A" w:rsidR="1939FF7D" w:rsidRDefault="1939FF7D" w:rsidP="1939FF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3436"/>
    <w:multiLevelType w:val="multilevel"/>
    <w:tmpl w:val="987E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67201"/>
    <w:multiLevelType w:val="multilevel"/>
    <w:tmpl w:val="C692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262B8"/>
    <w:multiLevelType w:val="hybridMultilevel"/>
    <w:tmpl w:val="E888483E"/>
    <w:lvl w:ilvl="0" w:tplc="0809000F">
      <w:start w:val="1"/>
      <w:numFmt w:val="decimal"/>
      <w:lvlText w:val="%1."/>
      <w:lvlJc w:val="left"/>
      <w:pPr>
        <w:ind w:left="720" w:hanging="360"/>
      </w:pPr>
    </w:lvl>
    <w:lvl w:ilvl="1" w:tplc="DFE4C7C2">
      <w:numFmt w:val="bullet"/>
      <w:lvlText w:val="•"/>
      <w:lvlJc w:val="left"/>
      <w:pPr>
        <w:ind w:left="1440" w:hanging="360"/>
      </w:pPr>
      <w:rPr>
        <w:rFonts w:ascii="Times New Roman" w:eastAsia="Times New Roman"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E6073"/>
    <w:multiLevelType w:val="multilevel"/>
    <w:tmpl w:val="B7C8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940DC"/>
    <w:multiLevelType w:val="multilevel"/>
    <w:tmpl w:val="E85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1F6D6D"/>
    <w:multiLevelType w:val="multilevel"/>
    <w:tmpl w:val="95ECF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6A4A3C"/>
    <w:multiLevelType w:val="multilevel"/>
    <w:tmpl w:val="379A7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3533B1"/>
    <w:multiLevelType w:val="multilevel"/>
    <w:tmpl w:val="98F67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403BD5"/>
    <w:multiLevelType w:val="multilevel"/>
    <w:tmpl w:val="2390A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2A58C5"/>
    <w:multiLevelType w:val="multilevel"/>
    <w:tmpl w:val="AD5C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93994"/>
    <w:multiLevelType w:val="multilevel"/>
    <w:tmpl w:val="4824E3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6B2175"/>
    <w:multiLevelType w:val="multilevel"/>
    <w:tmpl w:val="62C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1753A"/>
    <w:multiLevelType w:val="multilevel"/>
    <w:tmpl w:val="FA4E0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B95290"/>
    <w:multiLevelType w:val="multilevel"/>
    <w:tmpl w:val="6A24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3B2470"/>
    <w:multiLevelType w:val="multilevel"/>
    <w:tmpl w:val="1CA68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082782"/>
    <w:multiLevelType w:val="multilevel"/>
    <w:tmpl w:val="E298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47150B"/>
    <w:multiLevelType w:val="hybridMultilevel"/>
    <w:tmpl w:val="F6E08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10766"/>
    <w:multiLevelType w:val="multilevel"/>
    <w:tmpl w:val="0F2E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824491"/>
    <w:multiLevelType w:val="multilevel"/>
    <w:tmpl w:val="5374E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A8093A"/>
    <w:multiLevelType w:val="multilevel"/>
    <w:tmpl w:val="4B50A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B3B63"/>
    <w:multiLevelType w:val="multilevel"/>
    <w:tmpl w:val="1C00A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EB0C8A"/>
    <w:multiLevelType w:val="multilevel"/>
    <w:tmpl w:val="7B54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CE684E"/>
    <w:multiLevelType w:val="multilevel"/>
    <w:tmpl w:val="98D84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E015D9"/>
    <w:multiLevelType w:val="multilevel"/>
    <w:tmpl w:val="C2A82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9A7500"/>
    <w:multiLevelType w:val="multilevel"/>
    <w:tmpl w:val="90382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3075D1"/>
    <w:multiLevelType w:val="multilevel"/>
    <w:tmpl w:val="254C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8D1A7A"/>
    <w:multiLevelType w:val="multilevel"/>
    <w:tmpl w:val="C534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CA1D71"/>
    <w:multiLevelType w:val="multilevel"/>
    <w:tmpl w:val="ABE86BF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D4241E"/>
    <w:multiLevelType w:val="multilevel"/>
    <w:tmpl w:val="80F82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8518EE"/>
    <w:multiLevelType w:val="multilevel"/>
    <w:tmpl w:val="0A584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5942A4"/>
    <w:multiLevelType w:val="multilevel"/>
    <w:tmpl w:val="A36A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77EFFD"/>
    <w:multiLevelType w:val="hybridMultilevel"/>
    <w:tmpl w:val="0F3E332C"/>
    <w:lvl w:ilvl="0" w:tplc="A5FAF7D8">
      <w:start w:val="1"/>
      <w:numFmt w:val="bullet"/>
      <w:lvlText w:val=""/>
      <w:lvlJc w:val="left"/>
      <w:pPr>
        <w:ind w:left="720" w:hanging="360"/>
      </w:pPr>
      <w:rPr>
        <w:rFonts w:ascii="Wingdings" w:hAnsi="Wingdings" w:hint="default"/>
      </w:rPr>
    </w:lvl>
    <w:lvl w:ilvl="1" w:tplc="B9C681DE">
      <w:start w:val="1"/>
      <w:numFmt w:val="bullet"/>
      <w:lvlText w:val=""/>
      <w:lvlJc w:val="left"/>
      <w:pPr>
        <w:ind w:left="1440" w:hanging="360"/>
      </w:pPr>
      <w:rPr>
        <w:rFonts w:ascii="Wingdings" w:hAnsi="Wingdings" w:hint="default"/>
      </w:rPr>
    </w:lvl>
    <w:lvl w:ilvl="2" w:tplc="805E02F6">
      <w:start w:val="1"/>
      <w:numFmt w:val="bullet"/>
      <w:lvlText w:val=""/>
      <w:lvlJc w:val="left"/>
      <w:pPr>
        <w:ind w:left="2160" w:hanging="360"/>
      </w:pPr>
      <w:rPr>
        <w:rFonts w:ascii="Wingdings" w:hAnsi="Wingdings" w:hint="default"/>
      </w:rPr>
    </w:lvl>
    <w:lvl w:ilvl="3" w:tplc="F83A5F82">
      <w:start w:val="1"/>
      <w:numFmt w:val="bullet"/>
      <w:lvlText w:val=""/>
      <w:lvlJc w:val="left"/>
      <w:pPr>
        <w:ind w:left="2880" w:hanging="360"/>
      </w:pPr>
      <w:rPr>
        <w:rFonts w:ascii="Wingdings" w:hAnsi="Wingdings" w:hint="default"/>
      </w:rPr>
    </w:lvl>
    <w:lvl w:ilvl="4" w:tplc="56B85E1E">
      <w:start w:val="1"/>
      <w:numFmt w:val="bullet"/>
      <w:lvlText w:val=""/>
      <w:lvlJc w:val="left"/>
      <w:pPr>
        <w:ind w:left="3600" w:hanging="360"/>
      </w:pPr>
      <w:rPr>
        <w:rFonts w:ascii="Wingdings" w:hAnsi="Wingdings" w:hint="default"/>
      </w:rPr>
    </w:lvl>
    <w:lvl w:ilvl="5" w:tplc="06C4DDF6">
      <w:start w:val="1"/>
      <w:numFmt w:val="bullet"/>
      <w:lvlText w:val=""/>
      <w:lvlJc w:val="left"/>
      <w:pPr>
        <w:ind w:left="4320" w:hanging="360"/>
      </w:pPr>
      <w:rPr>
        <w:rFonts w:ascii="Wingdings" w:hAnsi="Wingdings" w:hint="default"/>
      </w:rPr>
    </w:lvl>
    <w:lvl w:ilvl="6" w:tplc="CE923F9C">
      <w:start w:val="1"/>
      <w:numFmt w:val="bullet"/>
      <w:lvlText w:val=""/>
      <w:lvlJc w:val="left"/>
      <w:pPr>
        <w:ind w:left="5040" w:hanging="360"/>
      </w:pPr>
      <w:rPr>
        <w:rFonts w:ascii="Wingdings" w:hAnsi="Wingdings" w:hint="default"/>
      </w:rPr>
    </w:lvl>
    <w:lvl w:ilvl="7" w:tplc="BAB2D82A">
      <w:start w:val="1"/>
      <w:numFmt w:val="bullet"/>
      <w:lvlText w:val=""/>
      <w:lvlJc w:val="left"/>
      <w:pPr>
        <w:ind w:left="5760" w:hanging="360"/>
      </w:pPr>
      <w:rPr>
        <w:rFonts w:ascii="Wingdings" w:hAnsi="Wingdings" w:hint="default"/>
      </w:rPr>
    </w:lvl>
    <w:lvl w:ilvl="8" w:tplc="7E202A84">
      <w:start w:val="1"/>
      <w:numFmt w:val="bullet"/>
      <w:lvlText w:val=""/>
      <w:lvlJc w:val="left"/>
      <w:pPr>
        <w:ind w:left="6480" w:hanging="360"/>
      </w:pPr>
      <w:rPr>
        <w:rFonts w:ascii="Wingdings" w:hAnsi="Wingdings" w:hint="default"/>
      </w:rPr>
    </w:lvl>
  </w:abstractNum>
  <w:abstractNum w:abstractNumId="32" w15:restartNumberingAfterBreak="0">
    <w:nsid w:val="5E3C6BD2"/>
    <w:multiLevelType w:val="hybridMultilevel"/>
    <w:tmpl w:val="29AAC0E2"/>
    <w:lvl w:ilvl="0" w:tplc="58F4166C">
      <w:start w:val="1"/>
      <w:numFmt w:val="decimal"/>
      <w:lvlText w:val="%1."/>
      <w:lvlJc w:val="left"/>
      <w:pPr>
        <w:ind w:left="720" w:hanging="360"/>
      </w:pPr>
    </w:lvl>
    <w:lvl w:ilvl="1" w:tplc="956E1760">
      <w:start w:val="1"/>
      <w:numFmt w:val="lowerLetter"/>
      <w:lvlText w:val="%2."/>
      <w:lvlJc w:val="left"/>
      <w:pPr>
        <w:ind w:left="1440" w:hanging="360"/>
      </w:pPr>
    </w:lvl>
    <w:lvl w:ilvl="2" w:tplc="36A601E2">
      <w:start w:val="1"/>
      <w:numFmt w:val="lowerRoman"/>
      <w:lvlText w:val="%3."/>
      <w:lvlJc w:val="right"/>
      <w:pPr>
        <w:ind w:left="2160" w:hanging="180"/>
      </w:pPr>
    </w:lvl>
    <w:lvl w:ilvl="3" w:tplc="B27A8464">
      <w:start w:val="1"/>
      <w:numFmt w:val="decimal"/>
      <w:lvlText w:val="%4."/>
      <w:lvlJc w:val="left"/>
      <w:pPr>
        <w:ind w:left="2880" w:hanging="360"/>
      </w:pPr>
    </w:lvl>
    <w:lvl w:ilvl="4" w:tplc="84A4ED58">
      <w:start w:val="1"/>
      <w:numFmt w:val="lowerLetter"/>
      <w:lvlText w:val="%5."/>
      <w:lvlJc w:val="left"/>
      <w:pPr>
        <w:ind w:left="3600" w:hanging="360"/>
      </w:pPr>
    </w:lvl>
    <w:lvl w:ilvl="5" w:tplc="0652F2C4">
      <w:start w:val="1"/>
      <w:numFmt w:val="lowerRoman"/>
      <w:lvlText w:val="%6."/>
      <w:lvlJc w:val="right"/>
      <w:pPr>
        <w:ind w:left="4320" w:hanging="180"/>
      </w:pPr>
    </w:lvl>
    <w:lvl w:ilvl="6" w:tplc="E962DF3A">
      <w:start w:val="1"/>
      <w:numFmt w:val="decimal"/>
      <w:lvlText w:val="%7."/>
      <w:lvlJc w:val="left"/>
      <w:pPr>
        <w:ind w:left="5040" w:hanging="360"/>
      </w:pPr>
    </w:lvl>
    <w:lvl w:ilvl="7" w:tplc="3F7E2CC6">
      <w:start w:val="1"/>
      <w:numFmt w:val="lowerLetter"/>
      <w:lvlText w:val="%8."/>
      <w:lvlJc w:val="left"/>
      <w:pPr>
        <w:ind w:left="5760" w:hanging="360"/>
      </w:pPr>
    </w:lvl>
    <w:lvl w:ilvl="8" w:tplc="22C0868E">
      <w:start w:val="1"/>
      <w:numFmt w:val="lowerRoman"/>
      <w:lvlText w:val="%9."/>
      <w:lvlJc w:val="right"/>
      <w:pPr>
        <w:ind w:left="6480" w:hanging="180"/>
      </w:pPr>
    </w:lvl>
  </w:abstractNum>
  <w:abstractNum w:abstractNumId="33" w15:restartNumberingAfterBreak="0">
    <w:nsid w:val="5EBC1EED"/>
    <w:multiLevelType w:val="multilevel"/>
    <w:tmpl w:val="5DC4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8B5B22"/>
    <w:multiLevelType w:val="multilevel"/>
    <w:tmpl w:val="F3FA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CA4834"/>
    <w:multiLevelType w:val="multilevel"/>
    <w:tmpl w:val="59323D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6333B7"/>
    <w:multiLevelType w:val="multilevel"/>
    <w:tmpl w:val="51F49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910A62"/>
    <w:multiLevelType w:val="multilevel"/>
    <w:tmpl w:val="13980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1476C6"/>
    <w:multiLevelType w:val="multilevel"/>
    <w:tmpl w:val="C1488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B37892"/>
    <w:multiLevelType w:val="multilevel"/>
    <w:tmpl w:val="A6D81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B91D81"/>
    <w:multiLevelType w:val="multilevel"/>
    <w:tmpl w:val="0A8C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0E2B8B"/>
    <w:multiLevelType w:val="multilevel"/>
    <w:tmpl w:val="63DC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F160BA"/>
    <w:multiLevelType w:val="multilevel"/>
    <w:tmpl w:val="F9E0B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FA1589"/>
    <w:multiLevelType w:val="hybridMultilevel"/>
    <w:tmpl w:val="9836DE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664ECB"/>
    <w:multiLevelType w:val="multilevel"/>
    <w:tmpl w:val="18DE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F050A1"/>
    <w:multiLevelType w:val="multilevel"/>
    <w:tmpl w:val="0570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8B71D8"/>
    <w:multiLevelType w:val="multilevel"/>
    <w:tmpl w:val="957C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510E3C"/>
    <w:multiLevelType w:val="multilevel"/>
    <w:tmpl w:val="7E9C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925257"/>
    <w:multiLevelType w:val="multilevel"/>
    <w:tmpl w:val="4E38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6627995">
    <w:abstractNumId w:val="31"/>
  </w:num>
  <w:num w:numId="2" w16cid:durableId="1182353987">
    <w:abstractNumId w:val="32"/>
  </w:num>
  <w:num w:numId="3" w16cid:durableId="2027369260">
    <w:abstractNumId w:val="4"/>
  </w:num>
  <w:num w:numId="4" w16cid:durableId="189808759">
    <w:abstractNumId w:val="40"/>
  </w:num>
  <w:num w:numId="5" w16cid:durableId="718014102">
    <w:abstractNumId w:val="35"/>
  </w:num>
  <w:num w:numId="6" w16cid:durableId="472332047">
    <w:abstractNumId w:val="25"/>
  </w:num>
  <w:num w:numId="7" w16cid:durableId="994453615">
    <w:abstractNumId w:val="18"/>
  </w:num>
  <w:num w:numId="8" w16cid:durableId="53936922">
    <w:abstractNumId w:val="36"/>
  </w:num>
  <w:num w:numId="9" w16cid:durableId="1113674141">
    <w:abstractNumId w:val="29"/>
  </w:num>
  <w:num w:numId="10" w16cid:durableId="1142500257">
    <w:abstractNumId w:val="14"/>
  </w:num>
  <w:num w:numId="11" w16cid:durableId="1894153187">
    <w:abstractNumId w:val="41"/>
  </w:num>
  <w:num w:numId="12" w16cid:durableId="692725877">
    <w:abstractNumId w:val="5"/>
  </w:num>
  <w:num w:numId="13" w16cid:durableId="24604072">
    <w:abstractNumId w:val="3"/>
  </w:num>
  <w:num w:numId="14" w16cid:durableId="391466026">
    <w:abstractNumId w:val="6"/>
  </w:num>
  <w:num w:numId="15" w16cid:durableId="170340329">
    <w:abstractNumId w:val="13"/>
  </w:num>
  <w:num w:numId="16" w16cid:durableId="1478648600">
    <w:abstractNumId w:val="15"/>
  </w:num>
  <w:num w:numId="17" w16cid:durableId="83454508">
    <w:abstractNumId w:val="22"/>
  </w:num>
  <w:num w:numId="18" w16cid:durableId="1481457396">
    <w:abstractNumId w:val="45"/>
  </w:num>
  <w:num w:numId="19" w16cid:durableId="345449619">
    <w:abstractNumId w:val="34"/>
  </w:num>
  <w:num w:numId="20" w16cid:durableId="824929649">
    <w:abstractNumId w:val="23"/>
  </w:num>
  <w:num w:numId="21" w16cid:durableId="1843348907">
    <w:abstractNumId w:val="33"/>
  </w:num>
  <w:num w:numId="22" w16cid:durableId="662667054">
    <w:abstractNumId w:val="24"/>
  </w:num>
  <w:num w:numId="23" w16cid:durableId="910118807">
    <w:abstractNumId w:val="28"/>
  </w:num>
  <w:num w:numId="24" w16cid:durableId="1476727602">
    <w:abstractNumId w:val="11"/>
  </w:num>
  <w:num w:numId="25" w16cid:durableId="1692144678">
    <w:abstractNumId w:val="12"/>
  </w:num>
  <w:num w:numId="26" w16cid:durableId="782502079">
    <w:abstractNumId w:val="44"/>
  </w:num>
  <w:num w:numId="27" w16cid:durableId="1330058362">
    <w:abstractNumId w:val="20"/>
  </w:num>
  <w:num w:numId="28" w16cid:durableId="669023848">
    <w:abstractNumId w:val="17"/>
  </w:num>
  <w:num w:numId="29" w16cid:durableId="753673020">
    <w:abstractNumId w:val="19"/>
  </w:num>
  <w:num w:numId="30" w16cid:durableId="1072122961">
    <w:abstractNumId w:val="47"/>
  </w:num>
  <w:num w:numId="31" w16cid:durableId="194999018">
    <w:abstractNumId w:val="1"/>
  </w:num>
  <w:num w:numId="32" w16cid:durableId="440036398">
    <w:abstractNumId w:val="26"/>
  </w:num>
  <w:num w:numId="33" w16cid:durableId="1519391056">
    <w:abstractNumId w:val="38"/>
  </w:num>
  <w:num w:numId="34" w16cid:durableId="1083142363">
    <w:abstractNumId w:val="30"/>
  </w:num>
  <w:num w:numId="35" w16cid:durableId="1701394106">
    <w:abstractNumId w:val="16"/>
  </w:num>
  <w:num w:numId="36" w16cid:durableId="1906601033">
    <w:abstractNumId w:val="42"/>
  </w:num>
  <w:num w:numId="37" w16cid:durableId="1804227887">
    <w:abstractNumId w:val="0"/>
  </w:num>
  <w:num w:numId="38" w16cid:durableId="98068079">
    <w:abstractNumId w:val="21"/>
  </w:num>
  <w:num w:numId="39" w16cid:durableId="1503471502">
    <w:abstractNumId w:val="9"/>
  </w:num>
  <w:num w:numId="40" w16cid:durableId="739131721">
    <w:abstractNumId w:val="27"/>
  </w:num>
  <w:num w:numId="41" w16cid:durableId="1744910503">
    <w:abstractNumId w:val="2"/>
  </w:num>
  <w:num w:numId="42" w16cid:durableId="551960045">
    <w:abstractNumId w:val="43"/>
  </w:num>
  <w:num w:numId="43" w16cid:durableId="1668437281">
    <w:abstractNumId w:val="37"/>
  </w:num>
  <w:num w:numId="44" w16cid:durableId="637538979">
    <w:abstractNumId w:val="8"/>
  </w:num>
  <w:num w:numId="45" w16cid:durableId="1064983134">
    <w:abstractNumId w:val="7"/>
  </w:num>
  <w:num w:numId="46" w16cid:durableId="1706633071">
    <w:abstractNumId w:val="10"/>
  </w:num>
  <w:num w:numId="47" w16cid:durableId="1392994540">
    <w:abstractNumId w:val="48"/>
  </w:num>
  <w:num w:numId="48" w16cid:durableId="899511166">
    <w:abstractNumId w:val="39"/>
  </w:num>
  <w:num w:numId="49" w16cid:durableId="25640591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327"/>
    <w:rsid w:val="00005D0D"/>
    <w:rsid w:val="00024064"/>
    <w:rsid w:val="000D1A52"/>
    <w:rsid w:val="000E6DCA"/>
    <w:rsid w:val="000F75DE"/>
    <w:rsid w:val="00181AB7"/>
    <w:rsid w:val="00232F3A"/>
    <w:rsid w:val="0023790B"/>
    <w:rsid w:val="002411B7"/>
    <w:rsid w:val="00252246"/>
    <w:rsid w:val="002F087B"/>
    <w:rsid w:val="003A8304"/>
    <w:rsid w:val="003C4DD9"/>
    <w:rsid w:val="004321BE"/>
    <w:rsid w:val="005B6DAF"/>
    <w:rsid w:val="005E1896"/>
    <w:rsid w:val="00615A12"/>
    <w:rsid w:val="006260ED"/>
    <w:rsid w:val="0064623F"/>
    <w:rsid w:val="00671000"/>
    <w:rsid w:val="006A053C"/>
    <w:rsid w:val="006E039E"/>
    <w:rsid w:val="00865ADF"/>
    <w:rsid w:val="0086647A"/>
    <w:rsid w:val="008E3F9E"/>
    <w:rsid w:val="00942263"/>
    <w:rsid w:val="009B2A4D"/>
    <w:rsid w:val="009B70AC"/>
    <w:rsid w:val="00A91AA5"/>
    <w:rsid w:val="00AA706D"/>
    <w:rsid w:val="00B33812"/>
    <w:rsid w:val="00B56C78"/>
    <w:rsid w:val="00B64EF2"/>
    <w:rsid w:val="00B747BA"/>
    <w:rsid w:val="00BA56B9"/>
    <w:rsid w:val="00C664EA"/>
    <w:rsid w:val="00CB60EE"/>
    <w:rsid w:val="00CF0F64"/>
    <w:rsid w:val="00D87327"/>
    <w:rsid w:val="00D94738"/>
    <w:rsid w:val="00DD0214"/>
    <w:rsid w:val="00E40C3B"/>
    <w:rsid w:val="00F55854"/>
    <w:rsid w:val="00FB7A42"/>
    <w:rsid w:val="00FD3B22"/>
    <w:rsid w:val="00FF49A6"/>
    <w:rsid w:val="015F625B"/>
    <w:rsid w:val="019E8CDA"/>
    <w:rsid w:val="024F2371"/>
    <w:rsid w:val="026F3630"/>
    <w:rsid w:val="0310C3D3"/>
    <w:rsid w:val="03E17A6E"/>
    <w:rsid w:val="043DAAFF"/>
    <w:rsid w:val="044F3749"/>
    <w:rsid w:val="04E77EA5"/>
    <w:rsid w:val="050A84E1"/>
    <w:rsid w:val="057FE95F"/>
    <w:rsid w:val="06339028"/>
    <w:rsid w:val="074BAA01"/>
    <w:rsid w:val="079F46D5"/>
    <w:rsid w:val="07AEDB07"/>
    <w:rsid w:val="087DA1C2"/>
    <w:rsid w:val="0A3839B4"/>
    <w:rsid w:val="0B047BE4"/>
    <w:rsid w:val="0B336471"/>
    <w:rsid w:val="0CFC8B48"/>
    <w:rsid w:val="0D575ABA"/>
    <w:rsid w:val="0D60D4CE"/>
    <w:rsid w:val="0E29751D"/>
    <w:rsid w:val="0E71F118"/>
    <w:rsid w:val="0E7AD2AF"/>
    <w:rsid w:val="0EAFF28D"/>
    <w:rsid w:val="10243882"/>
    <w:rsid w:val="12E062E4"/>
    <w:rsid w:val="12F82C77"/>
    <w:rsid w:val="166B658F"/>
    <w:rsid w:val="16A1AA58"/>
    <w:rsid w:val="16A5B021"/>
    <w:rsid w:val="16CD8A80"/>
    <w:rsid w:val="16D6CF9F"/>
    <w:rsid w:val="16DADC69"/>
    <w:rsid w:val="17C6B765"/>
    <w:rsid w:val="192CEEE0"/>
    <w:rsid w:val="1939FF7D"/>
    <w:rsid w:val="1977DFA2"/>
    <w:rsid w:val="1AEE2333"/>
    <w:rsid w:val="1D373AFE"/>
    <w:rsid w:val="1E2C5437"/>
    <w:rsid w:val="1FB63ED8"/>
    <w:rsid w:val="203C3A7F"/>
    <w:rsid w:val="22244C3A"/>
    <w:rsid w:val="2227BE75"/>
    <w:rsid w:val="23C45FD4"/>
    <w:rsid w:val="2652E9A3"/>
    <w:rsid w:val="266787BF"/>
    <w:rsid w:val="26A76321"/>
    <w:rsid w:val="27242550"/>
    <w:rsid w:val="2818B899"/>
    <w:rsid w:val="283679AC"/>
    <w:rsid w:val="2A1F95EF"/>
    <w:rsid w:val="2AF5D405"/>
    <w:rsid w:val="2AF809BC"/>
    <w:rsid w:val="2B2C3A70"/>
    <w:rsid w:val="2B912365"/>
    <w:rsid w:val="2BA0D325"/>
    <w:rsid w:val="2D156AF4"/>
    <w:rsid w:val="2E127570"/>
    <w:rsid w:val="2EA0A184"/>
    <w:rsid w:val="2EF9E083"/>
    <w:rsid w:val="2F1AFCCD"/>
    <w:rsid w:val="2F510BE9"/>
    <w:rsid w:val="30537835"/>
    <w:rsid w:val="305D3877"/>
    <w:rsid w:val="3115FA60"/>
    <w:rsid w:val="3154467A"/>
    <w:rsid w:val="31600F35"/>
    <w:rsid w:val="31DCC986"/>
    <w:rsid w:val="32C084C0"/>
    <w:rsid w:val="33AF3EE7"/>
    <w:rsid w:val="3420F3FE"/>
    <w:rsid w:val="3526161A"/>
    <w:rsid w:val="3546B0EE"/>
    <w:rsid w:val="365E5A52"/>
    <w:rsid w:val="36AE89D4"/>
    <w:rsid w:val="3819D4C4"/>
    <w:rsid w:val="387A862C"/>
    <w:rsid w:val="3947E975"/>
    <w:rsid w:val="3A26A786"/>
    <w:rsid w:val="3A951376"/>
    <w:rsid w:val="3B660724"/>
    <w:rsid w:val="3B6D330D"/>
    <w:rsid w:val="3C8C8EAD"/>
    <w:rsid w:val="3D1B8122"/>
    <w:rsid w:val="3D4CA109"/>
    <w:rsid w:val="3E11625F"/>
    <w:rsid w:val="3E731348"/>
    <w:rsid w:val="3E8C8165"/>
    <w:rsid w:val="42C549CB"/>
    <w:rsid w:val="4306834C"/>
    <w:rsid w:val="43D21CCB"/>
    <w:rsid w:val="440B5AE4"/>
    <w:rsid w:val="446F3463"/>
    <w:rsid w:val="44CE66BD"/>
    <w:rsid w:val="454F4791"/>
    <w:rsid w:val="45CEFBB1"/>
    <w:rsid w:val="45DA95AB"/>
    <w:rsid w:val="45E95AE1"/>
    <w:rsid w:val="4612E91D"/>
    <w:rsid w:val="46E5F040"/>
    <w:rsid w:val="46F3689A"/>
    <w:rsid w:val="479D1128"/>
    <w:rsid w:val="4AF0574C"/>
    <w:rsid w:val="4B514844"/>
    <w:rsid w:val="4E4D3CA1"/>
    <w:rsid w:val="4F71C0E3"/>
    <w:rsid w:val="4FE38537"/>
    <w:rsid w:val="51938E09"/>
    <w:rsid w:val="5254BEF2"/>
    <w:rsid w:val="52676CE8"/>
    <w:rsid w:val="52AC99AB"/>
    <w:rsid w:val="52E4BDC0"/>
    <w:rsid w:val="53E614D5"/>
    <w:rsid w:val="53FCDEFB"/>
    <w:rsid w:val="546C658B"/>
    <w:rsid w:val="54E037D9"/>
    <w:rsid w:val="5649EEF2"/>
    <w:rsid w:val="575A4BF8"/>
    <w:rsid w:val="5918E7CB"/>
    <w:rsid w:val="59948393"/>
    <w:rsid w:val="5A48103B"/>
    <w:rsid w:val="5A4C0EE4"/>
    <w:rsid w:val="5B6B4112"/>
    <w:rsid w:val="5CA09BB2"/>
    <w:rsid w:val="5CB57852"/>
    <w:rsid w:val="5EB75501"/>
    <w:rsid w:val="60289D13"/>
    <w:rsid w:val="60B7A4F2"/>
    <w:rsid w:val="616EEDDB"/>
    <w:rsid w:val="6238F309"/>
    <w:rsid w:val="63817463"/>
    <w:rsid w:val="63F3740F"/>
    <w:rsid w:val="64DD1394"/>
    <w:rsid w:val="66B1F87C"/>
    <w:rsid w:val="68467E48"/>
    <w:rsid w:val="689687BA"/>
    <w:rsid w:val="69C5B5D9"/>
    <w:rsid w:val="6A5FFC12"/>
    <w:rsid w:val="6BFCC137"/>
    <w:rsid w:val="6C20AD34"/>
    <w:rsid w:val="6C215F9A"/>
    <w:rsid w:val="6C727157"/>
    <w:rsid w:val="6CF7E653"/>
    <w:rsid w:val="6D2728F7"/>
    <w:rsid w:val="6DE6DC56"/>
    <w:rsid w:val="6E209776"/>
    <w:rsid w:val="6E4C1684"/>
    <w:rsid w:val="6EF4BCE1"/>
    <w:rsid w:val="6F208C46"/>
    <w:rsid w:val="6FA83717"/>
    <w:rsid w:val="71213409"/>
    <w:rsid w:val="714BEA4F"/>
    <w:rsid w:val="7202CC8D"/>
    <w:rsid w:val="72E6A3BF"/>
    <w:rsid w:val="72E6FE61"/>
    <w:rsid w:val="72FA6182"/>
    <w:rsid w:val="738B2AE5"/>
    <w:rsid w:val="73FF8FD6"/>
    <w:rsid w:val="74932916"/>
    <w:rsid w:val="74CF2A51"/>
    <w:rsid w:val="75E980A3"/>
    <w:rsid w:val="762923FE"/>
    <w:rsid w:val="76879B7E"/>
    <w:rsid w:val="76B5F9F8"/>
    <w:rsid w:val="76F678A9"/>
    <w:rsid w:val="79091DDC"/>
    <w:rsid w:val="790EAECC"/>
    <w:rsid w:val="79B291C2"/>
    <w:rsid w:val="79EDA034"/>
    <w:rsid w:val="79F14BF6"/>
    <w:rsid w:val="7A152F18"/>
    <w:rsid w:val="7A8EC436"/>
    <w:rsid w:val="7B34C415"/>
    <w:rsid w:val="7CF34D0B"/>
    <w:rsid w:val="7D08EBB5"/>
    <w:rsid w:val="7D0991BD"/>
    <w:rsid w:val="7D320E35"/>
    <w:rsid w:val="7D6D49E8"/>
    <w:rsid w:val="7DCFE11D"/>
    <w:rsid w:val="7E0250B6"/>
    <w:rsid w:val="7E126402"/>
    <w:rsid w:val="7F2B2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D13A1"/>
  <w15:chartTrackingRefBased/>
  <w15:docId w15:val="{65922074-C4B5-7348-B002-5259A4BD4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06D"/>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56C78"/>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uiPriority w:val="9"/>
    <w:semiHidden/>
    <w:unhideWhenUsed/>
    <w:qFormat/>
    <w:rsid w:val="00D873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73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3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3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3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3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3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3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C78"/>
    <w:rPr>
      <w:rFonts w:ascii="Times New Roman" w:eastAsiaTheme="majorEastAsia" w:hAnsi="Times New Roman" w:cstheme="majorBidi"/>
      <w:b/>
      <w:color w:val="000000" w:themeColor="text1"/>
      <w:sz w:val="40"/>
      <w:szCs w:val="40"/>
    </w:rPr>
  </w:style>
  <w:style w:type="character" w:customStyle="1" w:styleId="Heading2Char">
    <w:name w:val="Heading 2 Char"/>
    <w:basedOn w:val="DefaultParagraphFont"/>
    <w:link w:val="Heading2"/>
    <w:uiPriority w:val="9"/>
    <w:semiHidden/>
    <w:rsid w:val="00D873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73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3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3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3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3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3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327"/>
    <w:rPr>
      <w:rFonts w:eastAsiaTheme="majorEastAsia" w:cstheme="majorBidi"/>
      <w:color w:val="272727" w:themeColor="text1" w:themeTint="D8"/>
    </w:rPr>
  </w:style>
  <w:style w:type="paragraph" w:styleId="Title">
    <w:name w:val="Title"/>
    <w:basedOn w:val="Normal"/>
    <w:next w:val="Normal"/>
    <w:link w:val="TitleChar"/>
    <w:uiPriority w:val="10"/>
    <w:qFormat/>
    <w:rsid w:val="00D873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3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3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3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327"/>
    <w:pPr>
      <w:spacing w:before="160"/>
      <w:jc w:val="center"/>
    </w:pPr>
    <w:rPr>
      <w:i/>
      <w:iCs/>
      <w:color w:val="404040" w:themeColor="text1" w:themeTint="BF"/>
    </w:rPr>
  </w:style>
  <w:style w:type="character" w:customStyle="1" w:styleId="QuoteChar">
    <w:name w:val="Quote Char"/>
    <w:basedOn w:val="DefaultParagraphFont"/>
    <w:link w:val="Quote"/>
    <w:uiPriority w:val="29"/>
    <w:rsid w:val="00D87327"/>
    <w:rPr>
      <w:i/>
      <w:iCs/>
      <w:color w:val="404040" w:themeColor="text1" w:themeTint="BF"/>
    </w:rPr>
  </w:style>
  <w:style w:type="paragraph" w:styleId="ListParagraph">
    <w:name w:val="List Paragraph"/>
    <w:basedOn w:val="Normal"/>
    <w:uiPriority w:val="34"/>
    <w:qFormat/>
    <w:rsid w:val="00D87327"/>
    <w:pPr>
      <w:ind w:left="720"/>
      <w:contextualSpacing/>
    </w:pPr>
  </w:style>
  <w:style w:type="character" w:styleId="IntenseEmphasis">
    <w:name w:val="Intense Emphasis"/>
    <w:basedOn w:val="DefaultParagraphFont"/>
    <w:uiPriority w:val="21"/>
    <w:qFormat/>
    <w:rsid w:val="00D87327"/>
    <w:rPr>
      <w:i/>
      <w:iCs/>
      <w:color w:val="0F4761" w:themeColor="accent1" w:themeShade="BF"/>
    </w:rPr>
  </w:style>
  <w:style w:type="paragraph" w:styleId="IntenseQuote">
    <w:name w:val="Intense Quote"/>
    <w:basedOn w:val="Normal"/>
    <w:next w:val="Normal"/>
    <w:link w:val="IntenseQuoteChar"/>
    <w:uiPriority w:val="30"/>
    <w:qFormat/>
    <w:rsid w:val="00D873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327"/>
    <w:rPr>
      <w:i/>
      <w:iCs/>
      <w:color w:val="0F4761" w:themeColor="accent1" w:themeShade="BF"/>
    </w:rPr>
  </w:style>
  <w:style w:type="character" w:styleId="IntenseReference">
    <w:name w:val="Intense Reference"/>
    <w:basedOn w:val="DefaultParagraphFont"/>
    <w:uiPriority w:val="32"/>
    <w:qFormat/>
    <w:rsid w:val="00D87327"/>
    <w:rPr>
      <w:b/>
      <w:bCs/>
      <w:smallCaps/>
      <w:color w:val="0F4761" w:themeColor="accent1" w:themeShade="BF"/>
      <w:spacing w:val="5"/>
    </w:rPr>
  </w:style>
  <w:style w:type="paragraph" w:styleId="NormalWeb">
    <w:name w:val="Normal (Web)"/>
    <w:basedOn w:val="Normal"/>
    <w:uiPriority w:val="99"/>
    <w:unhideWhenUsed/>
    <w:rsid w:val="00D87327"/>
    <w:pPr>
      <w:spacing w:before="100" w:beforeAutospacing="1" w:after="100" w:afterAutospacing="1"/>
    </w:pPr>
  </w:style>
  <w:style w:type="character" w:styleId="Strong">
    <w:name w:val="Strong"/>
    <w:basedOn w:val="DefaultParagraphFont"/>
    <w:uiPriority w:val="22"/>
    <w:qFormat/>
    <w:rsid w:val="00942263"/>
    <w:rPr>
      <w:b/>
      <w:bCs/>
    </w:rPr>
  </w:style>
  <w:style w:type="character" w:customStyle="1" w:styleId="apple-converted-space">
    <w:name w:val="apple-converted-space"/>
    <w:basedOn w:val="DefaultParagraphFont"/>
    <w:rsid w:val="00942263"/>
  </w:style>
  <w:style w:type="character" w:styleId="Emphasis">
    <w:name w:val="Emphasis"/>
    <w:basedOn w:val="DefaultParagraphFont"/>
    <w:uiPriority w:val="20"/>
    <w:qFormat/>
    <w:rsid w:val="00942263"/>
    <w:rPr>
      <w:i/>
      <w:iCs/>
    </w:rPr>
  </w:style>
  <w:style w:type="character" w:styleId="HTMLCode">
    <w:name w:val="HTML Code"/>
    <w:basedOn w:val="DefaultParagraphFont"/>
    <w:uiPriority w:val="99"/>
    <w:semiHidden/>
    <w:unhideWhenUsed/>
    <w:rsid w:val="00671000"/>
    <w:rPr>
      <w:rFonts w:ascii="Courier New" w:eastAsia="Times New Roman" w:hAnsi="Courier New" w:cs="Courier New"/>
      <w:sz w:val="20"/>
      <w:szCs w:val="20"/>
    </w:rPr>
  </w:style>
  <w:style w:type="character" w:customStyle="1" w:styleId="flex">
    <w:name w:val="flex"/>
    <w:basedOn w:val="DefaultParagraphFont"/>
    <w:rsid w:val="00671000"/>
  </w:style>
  <w:style w:type="character" w:customStyle="1" w:styleId="ms-1">
    <w:name w:val="ms-1"/>
    <w:basedOn w:val="DefaultParagraphFont"/>
    <w:rsid w:val="00671000"/>
  </w:style>
  <w:style w:type="character" w:customStyle="1" w:styleId="max-w-15ch">
    <w:name w:val="max-w-[15ch]"/>
    <w:basedOn w:val="DefaultParagraphFont"/>
    <w:rsid w:val="00671000"/>
  </w:style>
  <w:style w:type="paragraph" w:styleId="NoSpacing">
    <w:name w:val="No Spacing"/>
    <w:uiPriority w:val="1"/>
    <w:qFormat/>
    <w:rsid w:val="00B56C78"/>
    <w:pPr>
      <w:spacing w:after="0" w:line="240" w:lineRule="auto"/>
    </w:pPr>
  </w:style>
  <w:style w:type="table" w:styleId="TableGrid">
    <w:name w:val="Table Grid"/>
    <w:basedOn w:val="TableNormal"/>
    <w:uiPriority w:val="39"/>
    <w:rsid w:val="00B56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56C78"/>
    <w:pPr>
      <w:spacing w:before="480" w:after="0" w:line="276" w:lineRule="auto"/>
      <w:outlineLvl w:val="9"/>
    </w:pPr>
    <w:rPr>
      <w:rFonts w:asciiTheme="majorHAnsi" w:hAnsiTheme="majorHAnsi"/>
      <w:bCs/>
      <w:color w:val="0F4761" w:themeColor="accent1" w:themeShade="BF"/>
      <w:sz w:val="28"/>
      <w:szCs w:val="28"/>
    </w:rPr>
  </w:style>
  <w:style w:type="paragraph" w:styleId="TOC1">
    <w:name w:val="toc 1"/>
    <w:basedOn w:val="Normal"/>
    <w:next w:val="Normal"/>
    <w:autoRedefine/>
    <w:uiPriority w:val="39"/>
    <w:unhideWhenUsed/>
    <w:rsid w:val="00B56C78"/>
    <w:pPr>
      <w:spacing w:before="120"/>
    </w:pPr>
    <w:rPr>
      <w:b/>
      <w:bCs/>
      <w:i/>
      <w:iCs/>
    </w:rPr>
  </w:style>
  <w:style w:type="paragraph" w:styleId="TOC2">
    <w:name w:val="toc 2"/>
    <w:basedOn w:val="Normal"/>
    <w:next w:val="Normal"/>
    <w:autoRedefine/>
    <w:uiPriority w:val="39"/>
    <w:unhideWhenUsed/>
    <w:rsid w:val="00B56C78"/>
    <w:pPr>
      <w:spacing w:before="120"/>
      <w:ind w:left="240"/>
    </w:pPr>
    <w:rPr>
      <w:b/>
      <w:bCs/>
      <w:sz w:val="22"/>
      <w:szCs w:val="22"/>
    </w:rPr>
  </w:style>
  <w:style w:type="paragraph" w:styleId="TOC3">
    <w:name w:val="toc 3"/>
    <w:basedOn w:val="Normal"/>
    <w:next w:val="Normal"/>
    <w:autoRedefine/>
    <w:uiPriority w:val="39"/>
    <w:unhideWhenUsed/>
    <w:rsid w:val="00B56C78"/>
    <w:pPr>
      <w:ind w:left="480"/>
    </w:pPr>
    <w:rPr>
      <w:sz w:val="20"/>
      <w:szCs w:val="20"/>
    </w:rPr>
  </w:style>
  <w:style w:type="character" w:styleId="Hyperlink">
    <w:name w:val="Hyperlink"/>
    <w:basedOn w:val="DefaultParagraphFont"/>
    <w:uiPriority w:val="99"/>
    <w:unhideWhenUsed/>
    <w:rsid w:val="00B56C78"/>
    <w:rPr>
      <w:color w:val="467886" w:themeColor="hyperlink"/>
      <w:u w:val="single"/>
    </w:rPr>
  </w:style>
  <w:style w:type="paragraph" w:styleId="TOC4">
    <w:name w:val="toc 4"/>
    <w:basedOn w:val="Normal"/>
    <w:next w:val="Normal"/>
    <w:autoRedefine/>
    <w:uiPriority w:val="39"/>
    <w:semiHidden/>
    <w:unhideWhenUsed/>
    <w:rsid w:val="00B56C78"/>
    <w:pPr>
      <w:ind w:left="720"/>
    </w:pPr>
    <w:rPr>
      <w:sz w:val="20"/>
      <w:szCs w:val="20"/>
    </w:rPr>
  </w:style>
  <w:style w:type="paragraph" w:styleId="TOC5">
    <w:name w:val="toc 5"/>
    <w:basedOn w:val="Normal"/>
    <w:next w:val="Normal"/>
    <w:autoRedefine/>
    <w:uiPriority w:val="39"/>
    <w:semiHidden/>
    <w:unhideWhenUsed/>
    <w:rsid w:val="00B56C78"/>
    <w:pPr>
      <w:ind w:left="960"/>
    </w:pPr>
    <w:rPr>
      <w:sz w:val="20"/>
      <w:szCs w:val="20"/>
    </w:rPr>
  </w:style>
  <w:style w:type="paragraph" w:styleId="TOC6">
    <w:name w:val="toc 6"/>
    <w:basedOn w:val="Normal"/>
    <w:next w:val="Normal"/>
    <w:autoRedefine/>
    <w:uiPriority w:val="39"/>
    <w:semiHidden/>
    <w:unhideWhenUsed/>
    <w:rsid w:val="00B56C78"/>
    <w:pPr>
      <w:ind w:left="1200"/>
    </w:pPr>
    <w:rPr>
      <w:sz w:val="20"/>
      <w:szCs w:val="20"/>
    </w:rPr>
  </w:style>
  <w:style w:type="paragraph" w:styleId="TOC7">
    <w:name w:val="toc 7"/>
    <w:basedOn w:val="Normal"/>
    <w:next w:val="Normal"/>
    <w:autoRedefine/>
    <w:uiPriority w:val="39"/>
    <w:semiHidden/>
    <w:unhideWhenUsed/>
    <w:rsid w:val="00B56C78"/>
    <w:pPr>
      <w:ind w:left="1440"/>
    </w:pPr>
    <w:rPr>
      <w:sz w:val="20"/>
      <w:szCs w:val="20"/>
    </w:rPr>
  </w:style>
  <w:style w:type="paragraph" w:styleId="TOC8">
    <w:name w:val="toc 8"/>
    <w:basedOn w:val="Normal"/>
    <w:next w:val="Normal"/>
    <w:autoRedefine/>
    <w:uiPriority w:val="39"/>
    <w:semiHidden/>
    <w:unhideWhenUsed/>
    <w:rsid w:val="00B56C78"/>
    <w:pPr>
      <w:ind w:left="1680"/>
    </w:pPr>
    <w:rPr>
      <w:sz w:val="20"/>
      <w:szCs w:val="20"/>
    </w:rPr>
  </w:style>
  <w:style w:type="paragraph" w:styleId="TOC9">
    <w:name w:val="toc 9"/>
    <w:basedOn w:val="Normal"/>
    <w:next w:val="Normal"/>
    <w:autoRedefine/>
    <w:uiPriority w:val="39"/>
    <w:semiHidden/>
    <w:unhideWhenUsed/>
    <w:rsid w:val="00B56C78"/>
    <w:pPr>
      <w:ind w:left="1920"/>
    </w:pPr>
    <w:rPr>
      <w:sz w:val="20"/>
      <w:szCs w:val="20"/>
    </w:rPr>
  </w:style>
  <w:style w:type="character" w:styleId="UnresolvedMention">
    <w:name w:val="Unresolved Mention"/>
    <w:basedOn w:val="DefaultParagraphFont"/>
    <w:uiPriority w:val="99"/>
    <w:semiHidden/>
    <w:unhideWhenUsed/>
    <w:rsid w:val="00B56C78"/>
    <w:rPr>
      <w:color w:val="605E5C"/>
      <w:shd w:val="clear" w:color="auto" w:fill="E1DFDD"/>
    </w:rPr>
  </w:style>
  <w:style w:type="paragraph" w:styleId="Footer">
    <w:name w:val="footer"/>
    <w:basedOn w:val="Normal"/>
    <w:link w:val="FooterChar"/>
    <w:uiPriority w:val="99"/>
    <w:unhideWhenUsed/>
    <w:rsid w:val="002F087B"/>
    <w:pPr>
      <w:tabs>
        <w:tab w:val="center" w:pos="4513"/>
        <w:tab w:val="right" w:pos="9026"/>
      </w:tabs>
    </w:pPr>
  </w:style>
  <w:style w:type="character" w:customStyle="1" w:styleId="FooterChar">
    <w:name w:val="Footer Char"/>
    <w:basedOn w:val="DefaultParagraphFont"/>
    <w:link w:val="Footer"/>
    <w:uiPriority w:val="99"/>
    <w:rsid w:val="002F087B"/>
  </w:style>
  <w:style w:type="character" w:styleId="PageNumber">
    <w:name w:val="page number"/>
    <w:basedOn w:val="DefaultParagraphFont"/>
    <w:uiPriority w:val="99"/>
    <w:semiHidden/>
    <w:unhideWhenUsed/>
    <w:rsid w:val="002F087B"/>
  </w:style>
  <w:style w:type="paragraph" w:customStyle="1" w:styleId="my-2">
    <w:name w:val="my-2"/>
    <w:basedOn w:val="Normal"/>
    <w:rsid w:val="002F087B"/>
    <w:pPr>
      <w:spacing w:before="100" w:beforeAutospacing="1" w:after="100" w:afterAutospacing="1"/>
    </w:pPr>
  </w:style>
  <w:style w:type="table" w:styleId="GridTable4-Accent4">
    <w:name w:val="Grid Table 4 Accent 4"/>
    <w:basedOn w:val="TableNormal"/>
    <w:uiPriority w:val="49"/>
    <w:rsid w:val="006A053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FollowedHyperlink">
    <w:name w:val="FollowedHyperlink"/>
    <w:basedOn w:val="DefaultParagraphFont"/>
    <w:uiPriority w:val="99"/>
    <w:semiHidden/>
    <w:unhideWhenUsed/>
    <w:rsid w:val="00D94738"/>
    <w:rPr>
      <w:color w:val="96607D" w:themeColor="followedHyperlink"/>
      <w:u w:val="single"/>
    </w:rPr>
  </w:style>
  <w:style w:type="table" w:styleId="GridTable4-Accent3">
    <w:name w:val="Grid Table 4 Accent 3"/>
    <w:basedOn w:val="TableNormal"/>
    <w:uiPriority w:val="49"/>
    <w:rsid w:val="00005D0D"/>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customStyle="1" w:styleId="text-box-trim-both">
    <w:name w:val="text-box-trim-both"/>
    <w:basedOn w:val="DefaultParagraphFont"/>
    <w:rsid w:val="00AA706D"/>
  </w:style>
  <w:style w:type="paragraph" w:styleId="Header">
    <w:name w:val="header"/>
    <w:basedOn w:val="Normal"/>
    <w:uiPriority w:val="99"/>
    <w:unhideWhenUsed/>
    <w:rsid w:val="1939FF7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5376DC-E48C-5F4D-859B-116877F0F0FB}">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CA073D330CB48B09453487756B951" ma:contentTypeVersion="15" ma:contentTypeDescription="Create a new document." ma:contentTypeScope="" ma:versionID="f9e911ef0e30a15394b01c9415fbb50d">
  <xsd:schema xmlns:xsd="http://www.w3.org/2001/XMLSchema" xmlns:xs="http://www.w3.org/2001/XMLSchema" xmlns:p="http://schemas.microsoft.com/office/2006/metadata/properties" xmlns:ns3="f44b670a-3a67-4b3c-bc07-2aa1bbea4eed" xmlns:ns4="afb9d18a-8010-49b0-9486-851bd66025b3" targetNamespace="http://schemas.microsoft.com/office/2006/metadata/properties" ma:root="true" ma:fieldsID="89b348fc2b01d535e4384b3cd6ad6b77" ns3:_="" ns4:_="">
    <xsd:import namespace="f44b670a-3a67-4b3c-bc07-2aa1bbea4eed"/>
    <xsd:import namespace="afb9d18a-8010-49b0-9486-851bd66025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4b670a-3a67-4b3c-bc07-2aa1bbea4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b9d18a-8010-49b0-9486-851bd66025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f44b670a-3a67-4b3c-bc07-2aa1bbea4eed" xsi:nil="true"/>
  </documentManagement>
</p:properties>
</file>

<file path=customXml/itemProps1.xml><?xml version="1.0" encoding="utf-8"?>
<ds:datastoreItem xmlns:ds="http://schemas.openxmlformats.org/officeDocument/2006/customXml" ds:itemID="{C3E08EB8-DD08-4FED-9F77-BF4FF92547DD}">
  <ds:schemaRefs>
    <ds:schemaRef ds:uri="http://schemas.microsoft.com/sharepoint/v3/contenttype/forms"/>
  </ds:schemaRefs>
</ds:datastoreItem>
</file>

<file path=customXml/itemProps2.xml><?xml version="1.0" encoding="utf-8"?>
<ds:datastoreItem xmlns:ds="http://schemas.openxmlformats.org/officeDocument/2006/customXml" ds:itemID="{B368BBE3-BF46-49A9-B96F-AB783E7C6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4b670a-3a67-4b3c-bc07-2aa1bbea4eed"/>
    <ds:schemaRef ds:uri="afb9d18a-8010-49b0-9486-851bd6602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897E41-97A5-4443-9C77-91AC823F7895}">
  <ds:schemaRefs>
    <ds:schemaRef ds:uri="http://schemas.openxmlformats.org/officeDocument/2006/bibliography"/>
  </ds:schemaRefs>
</ds:datastoreItem>
</file>

<file path=customXml/itemProps4.xml><?xml version="1.0" encoding="utf-8"?>
<ds:datastoreItem xmlns:ds="http://schemas.openxmlformats.org/officeDocument/2006/customXml" ds:itemID="{CD4233F6-F6FF-42D9-8671-0384A7BE924C}">
  <ds:schemaRefs>
    <ds:schemaRef ds:uri="http://schemas.microsoft.com/office/2006/metadata/properties"/>
    <ds:schemaRef ds:uri="http://schemas.microsoft.com/office/infopath/2007/PartnerControls"/>
    <ds:schemaRef ds:uri="f44b670a-3a67-4b3c-bc07-2aa1bbea4ee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3783</Words>
  <Characters>21566</Characters>
  <Application>Microsoft Office Word</Application>
  <DocSecurity>0</DocSecurity>
  <Lines>179</Lines>
  <Paragraphs>50</Paragraphs>
  <ScaleCrop>false</ScaleCrop>
  <Manager/>
  <Company/>
  <LinksUpToDate>false</LinksUpToDate>
  <CharactersWithSpaces>25299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T</dc:creator>
  <cp:keywords/>
  <dc:description/>
  <cp:lastModifiedBy>Claudia Traistaru (2238779)</cp:lastModifiedBy>
  <cp:revision>2</cp:revision>
  <dcterms:created xsi:type="dcterms:W3CDTF">2025-11-05T12:18:00Z</dcterms:created>
  <dcterms:modified xsi:type="dcterms:W3CDTF">2025-11-05T12:18:00Z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0x010100584CA073D330CB48B09453487756B951</vt:lpwstr>
  </property>
</Properties>
</file>