
<file path=[Content_Types].xml><?xml version="1.0" encoding="utf-8"?>
<Types xmlns="http://schemas.openxmlformats.org/package/2006/content-types">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E5D83" w14:textId="77777777" w:rsidR="00AD5C0F" w:rsidRDefault="00AD5C0F">
      <w:pPr>
        <w:spacing w:after="0" w:line="276" w:lineRule="auto"/>
        <w:jc w:val="center"/>
        <w:rPr>
          <w:rFonts w:ascii="Times New Roman" w:eastAsia="Times New Roman" w:hAnsi="Times New Roman" w:cs="Times New Roman"/>
          <w:color w:val="000000"/>
        </w:rPr>
      </w:pPr>
    </w:p>
    <w:p w14:paraId="15C631D9" w14:textId="77777777" w:rsidR="00AD5C0F" w:rsidRDefault="00AD5C0F">
      <w:pPr>
        <w:spacing w:after="0" w:line="276" w:lineRule="auto"/>
        <w:jc w:val="center"/>
        <w:rPr>
          <w:rFonts w:ascii="Times New Roman" w:eastAsia="Times New Roman" w:hAnsi="Times New Roman" w:cs="Times New Roman"/>
          <w:color w:val="000000"/>
        </w:rPr>
      </w:pPr>
    </w:p>
    <w:p w14:paraId="6F7321B4" w14:textId="77777777" w:rsidR="00AD5C0F" w:rsidRDefault="00AD5C0F">
      <w:pPr>
        <w:spacing w:after="0" w:line="276" w:lineRule="auto"/>
        <w:jc w:val="center"/>
        <w:rPr>
          <w:rFonts w:ascii="Times New Roman" w:eastAsia="Times New Roman" w:hAnsi="Times New Roman" w:cs="Times New Roman"/>
          <w:color w:val="000000"/>
        </w:rPr>
      </w:pPr>
    </w:p>
    <w:p w14:paraId="2EE0E85C" w14:textId="77777777" w:rsidR="00AD5C0F" w:rsidRDefault="000D17F8">
      <w:pPr>
        <w:spacing w:after="0"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114300" distB="114300" distL="114300" distR="114300" wp14:anchorId="12B3B779" wp14:editId="139245B9">
            <wp:extent cx="3927638" cy="1369505"/>
            <wp:effectExtent l="0" t="0" r="0" b="0"/>
            <wp:docPr id="1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7"/>
                    <a:srcRect/>
                    <a:stretch>
                      <a:fillRect/>
                    </a:stretch>
                  </pic:blipFill>
                  <pic:spPr>
                    <a:xfrm>
                      <a:off x="0" y="0"/>
                      <a:ext cx="3927638" cy="1369505"/>
                    </a:xfrm>
                    <a:prstGeom prst="rect">
                      <a:avLst/>
                    </a:prstGeom>
                    <a:ln/>
                  </pic:spPr>
                </pic:pic>
              </a:graphicData>
            </a:graphic>
          </wp:inline>
        </w:drawing>
      </w:r>
    </w:p>
    <w:p w14:paraId="053ECF8B" w14:textId="77777777" w:rsidR="00AD5C0F" w:rsidRDefault="00AD5C0F">
      <w:pPr>
        <w:spacing w:after="0" w:line="276" w:lineRule="auto"/>
        <w:jc w:val="center"/>
        <w:rPr>
          <w:rFonts w:ascii="Times New Roman" w:eastAsia="Times New Roman" w:hAnsi="Times New Roman" w:cs="Times New Roman"/>
          <w:color w:val="000000"/>
        </w:rPr>
      </w:pPr>
    </w:p>
    <w:p w14:paraId="55ACAADC" w14:textId="77777777" w:rsidR="00AD5C0F" w:rsidRDefault="00AD5C0F">
      <w:pPr>
        <w:spacing w:after="0" w:line="276" w:lineRule="auto"/>
        <w:jc w:val="center"/>
        <w:rPr>
          <w:rFonts w:ascii="Times New Roman" w:eastAsia="Times New Roman" w:hAnsi="Times New Roman" w:cs="Times New Roman"/>
          <w:color w:val="000000"/>
        </w:rPr>
      </w:pPr>
    </w:p>
    <w:p w14:paraId="5C23AFEF"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Name: Abhijeet Kanel</w:t>
      </w:r>
    </w:p>
    <w:p w14:paraId="602140E2"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 </w:t>
      </w:r>
    </w:p>
    <w:p w14:paraId="76C30EDE"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ID: 2531974</w:t>
      </w:r>
    </w:p>
    <w:p w14:paraId="341E42A6" w14:textId="77777777" w:rsidR="00AD5C0F" w:rsidRDefault="00AD5C0F">
      <w:pPr>
        <w:spacing w:after="0" w:line="276" w:lineRule="auto"/>
        <w:jc w:val="center"/>
        <w:rPr>
          <w:rFonts w:ascii="Times New Roman" w:eastAsia="Times New Roman" w:hAnsi="Times New Roman" w:cs="Times New Roman"/>
          <w:color w:val="000000"/>
        </w:rPr>
      </w:pPr>
    </w:p>
    <w:p w14:paraId="07EFB8A5" w14:textId="77777777" w:rsidR="00AD5C0F" w:rsidRDefault="00AD5C0F">
      <w:pPr>
        <w:spacing w:after="0" w:line="276" w:lineRule="auto"/>
        <w:jc w:val="center"/>
        <w:rPr>
          <w:rFonts w:ascii="Times New Roman" w:eastAsia="Times New Roman" w:hAnsi="Times New Roman" w:cs="Times New Roman"/>
          <w:color w:val="000000"/>
        </w:rPr>
      </w:pPr>
    </w:p>
    <w:p w14:paraId="128B395B"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Module Name: Financial Management </w:t>
      </w:r>
    </w:p>
    <w:p w14:paraId="0224205E" w14:textId="77777777" w:rsidR="00AD5C0F" w:rsidRDefault="00AD5C0F">
      <w:pPr>
        <w:spacing w:after="0" w:line="276" w:lineRule="auto"/>
        <w:jc w:val="center"/>
        <w:rPr>
          <w:rFonts w:ascii="Times New Roman" w:eastAsia="Times New Roman" w:hAnsi="Times New Roman" w:cs="Times New Roman"/>
          <w:b/>
          <w:bCs/>
          <w:color w:val="000000"/>
        </w:rPr>
      </w:pPr>
    </w:p>
    <w:p w14:paraId="3EFA747D" w14:textId="445ED920"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Module Code:  L</w:t>
      </w:r>
      <w:r w:rsidR="00906E10">
        <w:rPr>
          <w:rFonts w:ascii="Times New Roman" w:eastAsia="Times New Roman" w:hAnsi="Times New Roman" w:cs="Times New Roman"/>
          <w:b/>
          <w:bCs/>
          <w:color w:val="000000"/>
        </w:rPr>
        <w:t>C</w:t>
      </w:r>
      <w:r>
        <w:rPr>
          <w:rFonts w:ascii="Times New Roman" w:eastAsia="Times New Roman" w:hAnsi="Times New Roman" w:cs="Times New Roman"/>
          <w:b/>
          <w:bCs/>
          <w:color w:val="000000"/>
        </w:rPr>
        <w:t xml:space="preserve">MB7002 </w:t>
      </w:r>
    </w:p>
    <w:p w14:paraId="2953BE0C" w14:textId="77777777" w:rsidR="00AD5C0F" w:rsidRDefault="00AD5C0F">
      <w:pPr>
        <w:spacing w:after="0" w:line="276" w:lineRule="auto"/>
        <w:jc w:val="center"/>
        <w:rPr>
          <w:rFonts w:ascii="Times New Roman" w:eastAsia="Times New Roman" w:hAnsi="Times New Roman" w:cs="Times New Roman"/>
          <w:b/>
          <w:bCs/>
          <w:color w:val="000000"/>
        </w:rPr>
      </w:pPr>
    </w:p>
    <w:p w14:paraId="0CAEACA7" w14:textId="77777777" w:rsidR="00AD5C0F" w:rsidRDefault="00AD5C0F">
      <w:pPr>
        <w:spacing w:after="0" w:line="276" w:lineRule="auto"/>
        <w:jc w:val="center"/>
        <w:rPr>
          <w:rFonts w:ascii="Times New Roman" w:eastAsia="Times New Roman" w:hAnsi="Times New Roman" w:cs="Times New Roman"/>
          <w:b/>
          <w:bCs/>
          <w:color w:val="000000"/>
        </w:rPr>
      </w:pPr>
    </w:p>
    <w:p w14:paraId="2422316D" w14:textId="77777777" w:rsidR="00AD5C0F" w:rsidRDefault="00AD5C0F">
      <w:pPr>
        <w:spacing w:after="0" w:line="276" w:lineRule="auto"/>
        <w:jc w:val="center"/>
        <w:rPr>
          <w:rFonts w:ascii="Times New Roman" w:eastAsia="Times New Roman" w:hAnsi="Times New Roman" w:cs="Times New Roman"/>
          <w:b/>
          <w:bCs/>
          <w:color w:val="000000"/>
        </w:rPr>
      </w:pPr>
    </w:p>
    <w:p w14:paraId="4ECEE343" w14:textId="07B1A04A"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Lecturer’s Name</w:t>
      </w:r>
      <w:r w:rsidR="00906E10">
        <w:rPr>
          <w:rFonts w:ascii="Times New Roman" w:eastAsia="Times New Roman" w:hAnsi="Times New Roman" w:cs="Times New Roman"/>
          <w:b/>
          <w:bCs/>
          <w:color w:val="000000"/>
        </w:rPr>
        <w:t>: MD KALAM</w:t>
      </w:r>
    </w:p>
    <w:p w14:paraId="71F151CF" w14:textId="77777777" w:rsidR="00AD5C0F" w:rsidRDefault="00AD5C0F">
      <w:pPr>
        <w:spacing w:after="0" w:line="276" w:lineRule="auto"/>
        <w:jc w:val="center"/>
        <w:rPr>
          <w:rFonts w:ascii="Times New Roman" w:eastAsia="Times New Roman" w:hAnsi="Times New Roman" w:cs="Times New Roman"/>
          <w:b/>
          <w:bCs/>
          <w:color w:val="000000"/>
        </w:rPr>
      </w:pPr>
    </w:p>
    <w:p w14:paraId="51DC758C" w14:textId="77777777" w:rsidR="00AD5C0F" w:rsidRDefault="00AD5C0F">
      <w:pPr>
        <w:spacing w:after="0" w:line="276" w:lineRule="auto"/>
        <w:jc w:val="center"/>
        <w:rPr>
          <w:rFonts w:ascii="Times New Roman" w:eastAsia="Times New Roman" w:hAnsi="Times New Roman" w:cs="Times New Roman"/>
          <w:b/>
          <w:bCs/>
          <w:color w:val="000000"/>
        </w:rPr>
      </w:pPr>
    </w:p>
    <w:p w14:paraId="119665BC" w14:textId="77777777" w:rsidR="00AD5C0F" w:rsidRDefault="00AD5C0F">
      <w:pPr>
        <w:spacing w:after="0" w:line="276" w:lineRule="auto"/>
        <w:jc w:val="left"/>
        <w:rPr>
          <w:rFonts w:ascii="Times New Roman" w:eastAsia="Times New Roman" w:hAnsi="Times New Roman" w:cs="Times New Roman"/>
          <w:b/>
          <w:bCs/>
          <w:color w:val="000000"/>
        </w:rPr>
      </w:pPr>
    </w:p>
    <w:p w14:paraId="51C9AA06"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Work Count: </w:t>
      </w:r>
      <w:r>
        <w:rPr>
          <w:rFonts w:ascii="Roboto" w:eastAsia="Roboto" w:hAnsi="Roboto" w:cs="Roboto"/>
          <w:b/>
          <w:bCs/>
          <w:sz w:val="21"/>
          <w:szCs w:val="21"/>
          <w:highlight w:val="white"/>
        </w:rPr>
        <w:t>2587</w:t>
      </w:r>
      <w:r>
        <w:rPr>
          <w:rFonts w:ascii="Times New Roman" w:eastAsia="Times New Roman" w:hAnsi="Times New Roman" w:cs="Times New Roman"/>
          <w:b/>
          <w:bCs/>
          <w:color w:val="000000"/>
        </w:rPr>
        <w:t xml:space="preserve"> </w:t>
      </w:r>
    </w:p>
    <w:p w14:paraId="408C8205" w14:textId="77777777" w:rsidR="00AD5C0F" w:rsidRDefault="00AD5C0F">
      <w:pPr>
        <w:spacing w:after="0" w:line="276" w:lineRule="auto"/>
        <w:jc w:val="center"/>
        <w:rPr>
          <w:rFonts w:ascii="Times New Roman" w:eastAsia="Times New Roman" w:hAnsi="Times New Roman" w:cs="Times New Roman"/>
          <w:b/>
          <w:bCs/>
          <w:color w:val="000000"/>
        </w:rPr>
      </w:pPr>
    </w:p>
    <w:p w14:paraId="6964CB7C" w14:textId="77777777" w:rsidR="00AD5C0F" w:rsidRDefault="00AD5C0F">
      <w:pPr>
        <w:spacing w:after="0" w:line="276" w:lineRule="auto"/>
        <w:jc w:val="center"/>
        <w:rPr>
          <w:rFonts w:ascii="Times New Roman" w:eastAsia="Times New Roman" w:hAnsi="Times New Roman" w:cs="Times New Roman"/>
          <w:b/>
          <w:bCs/>
          <w:color w:val="000000"/>
        </w:rPr>
      </w:pPr>
    </w:p>
    <w:p w14:paraId="5ADF53CC" w14:textId="77777777" w:rsidR="00AD5C0F" w:rsidRDefault="00AD5C0F">
      <w:pPr>
        <w:spacing w:after="0" w:line="276" w:lineRule="auto"/>
        <w:jc w:val="center"/>
        <w:rPr>
          <w:rFonts w:ascii="Times New Roman" w:eastAsia="Times New Roman" w:hAnsi="Times New Roman" w:cs="Times New Roman"/>
          <w:b/>
          <w:bCs/>
          <w:color w:val="000000"/>
        </w:rPr>
      </w:pPr>
    </w:p>
    <w:p w14:paraId="449EADB3" w14:textId="77777777" w:rsidR="00AD5C0F" w:rsidRDefault="00AD5C0F">
      <w:pPr>
        <w:spacing w:after="0" w:line="276" w:lineRule="auto"/>
        <w:jc w:val="center"/>
        <w:rPr>
          <w:rFonts w:ascii="Times New Roman" w:eastAsia="Times New Roman" w:hAnsi="Times New Roman" w:cs="Times New Roman"/>
          <w:b/>
          <w:bCs/>
          <w:color w:val="000000"/>
        </w:rPr>
      </w:pPr>
    </w:p>
    <w:p w14:paraId="167A77C8" w14:textId="77777777" w:rsidR="00AD5C0F" w:rsidRDefault="00AD5C0F">
      <w:pPr>
        <w:spacing w:after="0" w:line="276" w:lineRule="auto"/>
        <w:jc w:val="center"/>
        <w:rPr>
          <w:rFonts w:ascii="Times New Roman" w:eastAsia="Times New Roman" w:hAnsi="Times New Roman" w:cs="Times New Roman"/>
          <w:b/>
          <w:bCs/>
          <w:color w:val="000000"/>
        </w:rPr>
      </w:pPr>
    </w:p>
    <w:p w14:paraId="7351FFA1" w14:textId="77777777" w:rsidR="00AD5C0F" w:rsidRDefault="000D17F8">
      <w:pPr>
        <w:spacing w:after="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Term 1</w:t>
      </w:r>
    </w:p>
    <w:p w14:paraId="2BC8CABC" w14:textId="77777777" w:rsidR="00AD5C0F" w:rsidRDefault="00AD5C0F">
      <w:pPr>
        <w:spacing w:after="0" w:line="276" w:lineRule="auto"/>
        <w:jc w:val="center"/>
        <w:rPr>
          <w:rFonts w:ascii="Times New Roman" w:eastAsia="Times New Roman" w:hAnsi="Times New Roman" w:cs="Times New Roman"/>
          <w:color w:val="000000"/>
        </w:rPr>
      </w:pPr>
    </w:p>
    <w:p w14:paraId="511662E4" w14:textId="77777777" w:rsidR="00AD5C0F" w:rsidRDefault="00AD5C0F">
      <w:pPr>
        <w:spacing w:after="0" w:line="276" w:lineRule="auto"/>
        <w:jc w:val="center"/>
        <w:rPr>
          <w:rFonts w:ascii="Times New Roman" w:eastAsia="Times New Roman" w:hAnsi="Times New Roman" w:cs="Times New Roman"/>
          <w:color w:val="000000"/>
        </w:rPr>
      </w:pPr>
    </w:p>
    <w:p w14:paraId="62DCA170" w14:textId="77777777" w:rsidR="00AD5C0F" w:rsidRDefault="00AD5C0F">
      <w:pPr>
        <w:spacing w:after="0" w:line="276" w:lineRule="auto"/>
        <w:jc w:val="center"/>
        <w:rPr>
          <w:rFonts w:ascii="Times New Roman" w:eastAsia="Times New Roman" w:hAnsi="Times New Roman" w:cs="Times New Roman"/>
          <w:color w:val="000000"/>
        </w:rPr>
      </w:pPr>
    </w:p>
    <w:p w14:paraId="452A3302" w14:textId="77777777" w:rsidR="00AD5C0F" w:rsidRDefault="00AD5C0F">
      <w:pPr>
        <w:spacing w:line="276" w:lineRule="auto"/>
        <w:rPr>
          <w:rFonts w:ascii="Times New Roman" w:eastAsia="Times New Roman" w:hAnsi="Times New Roman" w:cs="Times New Roman"/>
          <w:b/>
          <w:bCs/>
          <w:color w:val="000000"/>
        </w:rPr>
      </w:pPr>
    </w:p>
    <w:p w14:paraId="7EF3AE16" w14:textId="77777777" w:rsidR="00AD5C0F" w:rsidRDefault="00AD5C0F">
      <w:pPr>
        <w:spacing w:line="276" w:lineRule="auto"/>
        <w:rPr>
          <w:rFonts w:ascii="Times New Roman" w:eastAsia="Times New Roman" w:hAnsi="Times New Roman" w:cs="Times New Roman"/>
          <w:b/>
          <w:bCs/>
          <w:color w:val="000000"/>
        </w:rPr>
      </w:pPr>
    </w:p>
    <w:p w14:paraId="656A8471" w14:textId="77777777" w:rsidR="00AD5C0F" w:rsidRDefault="00AD5C0F">
      <w:pPr>
        <w:spacing w:line="276" w:lineRule="auto"/>
        <w:rPr>
          <w:rFonts w:ascii="Times New Roman" w:eastAsia="Times New Roman" w:hAnsi="Times New Roman" w:cs="Times New Roman"/>
          <w:b/>
          <w:bCs/>
          <w:color w:val="000000"/>
        </w:rPr>
      </w:pPr>
    </w:p>
    <w:p w14:paraId="4267C608" w14:textId="77777777" w:rsidR="00AD5C0F" w:rsidRDefault="00AD5C0F">
      <w:pPr>
        <w:spacing w:line="276" w:lineRule="auto"/>
        <w:rPr>
          <w:rFonts w:ascii="Times New Roman" w:eastAsia="Times New Roman" w:hAnsi="Times New Roman" w:cs="Times New Roman"/>
          <w:b/>
          <w:bCs/>
          <w:color w:val="000000"/>
        </w:rPr>
      </w:pPr>
    </w:p>
    <w:p w14:paraId="2224F8B9" w14:textId="77777777" w:rsidR="00AD5C0F" w:rsidRDefault="00AD5C0F">
      <w:pPr>
        <w:spacing w:line="276" w:lineRule="auto"/>
        <w:rPr>
          <w:rFonts w:ascii="Times New Roman" w:eastAsia="Times New Roman" w:hAnsi="Times New Roman" w:cs="Times New Roman"/>
          <w:b/>
          <w:bCs/>
          <w:color w:val="000000"/>
        </w:rPr>
      </w:pPr>
    </w:p>
    <w:p w14:paraId="7F66A68C" w14:textId="77777777" w:rsidR="00AD5C0F" w:rsidRDefault="000D17F8">
      <w:pPr>
        <w:spacing w:line="276"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of Contents</w:t>
      </w:r>
    </w:p>
    <w:sdt>
      <w:sdtPr>
        <w:id w:val="379285571"/>
        <w:docPartObj>
          <w:docPartGallery w:val="Table of Contents"/>
          <w:docPartUnique/>
        </w:docPartObj>
      </w:sdtPr>
      <w:sdtEndPr/>
      <w:sdtContent>
        <w:p w14:paraId="201044CB" w14:textId="77777777" w:rsidR="00AD5C0F" w:rsidRDefault="000D17F8">
          <w:pPr>
            <w:widowControl w:val="0"/>
            <w:tabs>
              <w:tab w:val="right" w:leader="dot" w:pos="12000"/>
            </w:tabs>
            <w:spacing w:before="60" w:after="0" w:line="240" w:lineRule="auto"/>
            <w:jc w:val="left"/>
            <w:rPr>
              <w:rFonts w:ascii="Times New Roman" w:eastAsia="Times New Roman" w:hAnsi="Times New Roman" w:cs="Times New Roman"/>
              <w:b/>
              <w:bCs/>
              <w:color w:val="000000"/>
            </w:rPr>
          </w:pPr>
          <w:r>
            <w:fldChar w:fldCharType="begin"/>
          </w:r>
          <w:r>
            <w:instrText xml:space="preserve"> TOC \h \u \z \t "Heading 1,1,Heading 2,2,Heading 3,3,"</w:instrText>
          </w:r>
          <w:r>
            <w:fldChar w:fldCharType="separate"/>
          </w:r>
          <w:hyperlink>
            <w:r>
              <w:rPr>
                <w:rFonts w:ascii="Times New Roman" w:eastAsia="Times New Roman" w:hAnsi="Times New Roman" w:cs="Times New Roman"/>
                <w:color w:val="000000"/>
              </w:rPr>
              <w:t>List of Figures</w:t>
            </w:r>
            <w:r>
              <w:rPr>
                <w:rFonts w:ascii="Times New Roman" w:eastAsia="Times New Roman" w:hAnsi="Times New Roman" w:cs="Times New Roman"/>
                <w:color w:val="000000"/>
              </w:rPr>
              <w:tab/>
              <w:t>4</w:t>
            </w:r>
          </w:hyperlink>
        </w:p>
        <w:p w14:paraId="2B2BE3DC"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3r7mypfql3er">
            <w:r>
              <w:rPr>
                <w:rFonts w:ascii="Times New Roman" w:eastAsia="Times New Roman" w:hAnsi="Times New Roman" w:cs="Times New Roman"/>
                <w:color w:val="000000"/>
              </w:rPr>
              <w:t>1. Introduction</w:t>
            </w:r>
            <w:r>
              <w:rPr>
                <w:rFonts w:ascii="Times New Roman" w:eastAsia="Times New Roman" w:hAnsi="Times New Roman" w:cs="Times New Roman"/>
                <w:color w:val="000000"/>
              </w:rPr>
              <w:tab/>
              <w:t>5</w:t>
            </w:r>
          </w:hyperlink>
        </w:p>
        <w:p w14:paraId="4DD126AB"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8gemm28oovig">
            <w:r>
              <w:rPr>
                <w:rFonts w:ascii="Times New Roman" w:eastAsia="Times New Roman" w:hAnsi="Times New Roman" w:cs="Times New Roman"/>
                <w:color w:val="000000"/>
              </w:rPr>
              <w:t>2. Financial Health Check</w:t>
            </w:r>
            <w:r>
              <w:rPr>
                <w:rFonts w:ascii="Times New Roman" w:eastAsia="Times New Roman" w:hAnsi="Times New Roman" w:cs="Times New Roman"/>
                <w:color w:val="000000"/>
              </w:rPr>
              <w:tab/>
              <w:t>5</w:t>
            </w:r>
          </w:hyperlink>
        </w:p>
        <w:p w14:paraId="6BC54D5A"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30dud7r4kh5r">
            <w:r>
              <w:rPr>
                <w:rFonts w:ascii="Times New Roman" w:eastAsia="Times New Roman" w:hAnsi="Times New Roman" w:cs="Times New Roman"/>
                <w:color w:val="000000"/>
              </w:rPr>
              <w:t>2.1 Analytical basis and statement trends</w:t>
            </w:r>
            <w:r>
              <w:rPr>
                <w:rFonts w:ascii="Times New Roman" w:eastAsia="Times New Roman" w:hAnsi="Times New Roman" w:cs="Times New Roman"/>
                <w:color w:val="000000"/>
              </w:rPr>
              <w:tab/>
              <w:t>5</w:t>
            </w:r>
          </w:hyperlink>
        </w:p>
        <w:p w14:paraId="0B3570BB"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anahmzoy5git">
            <w:r>
              <w:rPr>
                <w:rFonts w:ascii="Times New Roman" w:eastAsia="Times New Roman" w:hAnsi="Times New Roman" w:cs="Times New Roman"/>
                <w:color w:val="000000"/>
              </w:rPr>
              <w:t>2.2 Profitability</w:t>
            </w:r>
            <w:r>
              <w:rPr>
                <w:rFonts w:ascii="Times New Roman" w:eastAsia="Times New Roman" w:hAnsi="Times New Roman" w:cs="Times New Roman"/>
                <w:color w:val="000000"/>
              </w:rPr>
              <w:tab/>
              <w:t>6</w:t>
            </w:r>
          </w:hyperlink>
        </w:p>
        <w:p w14:paraId="1C327327"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ia4gg5okdnrj">
            <w:r>
              <w:rPr>
                <w:rFonts w:ascii="Times New Roman" w:eastAsia="Times New Roman" w:hAnsi="Times New Roman" w:cs="Times New Roman"/>
                <w:color w:val="000000"/>
              </w:rPr>
              <w:t>2.3 Liquidity and cash flow</w:t>
            </w:r>
            <w:r>
              <w:rPr>
                <w:rFonts w:ascii="Times New Roman" w:eastAsia="Times New Roman" w:hAnsi="Times New Roman" w:cs="Times New Roman"/>
                <w:color w:val="000000"/>
              </w:rPr>
              <w:tab/>
              <w:t>7</w:t>
            </w:r>
          </w:hyperlink>
        </w:p>
        <w:p w14:paraId="56786201"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tqklv19krfb9">
            <w:r>
              <w:rPr>
                <w:rFonts w:ascii="Times New Roman" w:eastAsia="Times New Roman" w:hAnsi="Times New Roman" w:cs="Times New Roman"/>
                <w:color w:val="000000"/>
              </w:rPr>
              <w:t>2.4 Efficiency, gearing and investor ratios</w:t>
            </w:r>
            <w:r>
              <w:rPr>
                <w:rFonts w:ascii="Times New Roman" w:eastAsia="Times New Roman" w:hAnsi="Times New Roman" w:cs="Times New Roman"/>
                <w:color w:val="000000"/>
              </w:rPr>
              <w:tab/>
              <w:t>8</w:t>
            </w:r>
          </w:hyperlink>
        </w:p>
        <w:p w14:paraId="63549B1A"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11zgkou3zzf4">
            <w:r>
              <w:rPr>
                <w:rFonts w:ascii="Times New Roman" w:eastAsia="Times New Roman" w:hAnsi="Times New Roman" w:cs="Times New Roman"/>
                <w:color w:val="000000"/>
              </w:rPr>
              <w:t>3. Working Capital Management Analysis</w:t>
            </w:r>
            <w:r>
              <w:rPr>
                <w:rFonts w:ascii="Times New Roman" w:eastAsia="Times New Roman" w:hAnsi="Times New Roman" w:cs="Times New Roman"/>
                <w:color w:val="000000"/>
              </w:rPr>
              <w:tab/>
              <w:t>10</w:t>
            </w:r>
          </w:hyperlink>
        </w:p>
        <w:p w14:paraId="3FCF0D03"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sw466t2twqqt">
            <w:r>
              <w:rPr>
                <w:rFonts w:ascii="Times New Roman" w:eastAsia="Times New Roman" w:hAnsi="Times New Roman" w:cs="Times New Roman"/>
                <w:color w:val="000000"/>
              </w:rPr>
              <w:t>3.1 Cash operating cycle</w:t>
            </w:r>
            <w:r>
              <w:rPr>
                <w:rFonts w:ascii="Times New Roman" w:eastAsia="Times New Roman" w:hAnsi="Times New Roman" w:cs="Times New Roman"/>
                <w:color w:val="000000"/>
              </w:rPr>
              <w:tab/>
              <w:t>10</w:t>
            </w:r>
          </w:hyperlink>
        </w:p>
        <w:p w14:paraId="0532FA65"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pfx6wo5prer9">
            <w:r>
              <w:rPr>
                <w:rFonts w:ascii="Times New Roman" w:eastAsia="Times New Roman" w:hAnsi="Times New Roman" w:cs="Times New Roman"/>
                <w:color w:val="000000"/>
              </w:rPr>
              <w:t>3.2 Liquidity reforms</w:t>
            </w:r>
            <w:r>
              <w:rPr>
                <w:rFonts w:ascii="Times New Roman" w:eastAsia="Times New Roman" w:hAnsi="Times New Roman" w:cs="Times New Roman"/>
                <w:color w:val="000000"/>
              </w:rPr>
              <w:tab/>
              <w:t>11</w:t>
            </w:r>
          </w:hyperlink>
        </w:p>
        <w:p w14:paraId="0FBCA10D"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5a2vgeda1s9y">
            <w:r>
              <w:rPr>
                <w:rFonts w:ascii="Times New Roman" w:eastAsia="Times New Roman" w:hAnsi="Times New Roman" w:cs="Times New Roman"/>
                <w:color w:val="000000"/>
              </w:rPr>
              <w:t>3.3 Short-term and long-term finance</w:t>
            </w:r>
            <w:r>
              <w:rPr>
                <w:rFonts w:ascii="Times New Roman" w:eastAsia="Times New Roman" w:hAnsi="Times New Roman" w:cs="Times New Roman"/>
                <w:color w:val="000000"/>
              </w:rPr>
              <w:tab/>
              <w:t>12</w:t>
            </w:r>
          </w:hyperlink>
        </w:p>
        <w:p w14:paraId="527B3794"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bwi0cdoymzrs">
            <w:r>
              <w:rPr>
                <w:rFonts w:ascii="Times New Roman" w:eastAsia="Times New Roman" w:hAnsi="Times New Roman" w:cs="Times New Roman"/>
                <w:color w:val="000000"/>
              </w:rPr>
              <w:t>4. Strategic Financial Restructuring Plan</w:t>
            </w:r>
            <w:r>
              <w:rPr>
                <w:rFonts w:ascii="Times New Roman" w:eastAsia="Times New Roman" w:hAnsi="Times New Roman" w:cs="Times New Roman"/>
                <w:color w:val="000000"/>
              </w:rPr>
              <w:tab/>
              <w:t>13</w:t>
            </w:r>
          </w:hyperlink>
        </w:p>
        <w:p w14:paraId="5C100A05"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qnyx908hxky0">
            <w:r>
              <w:rPr>
                <w:rFonts w:ascii="Times New Roman" w:eastAsia="Times New Roman" w:hAnsi="Times New Roman" w:cs="Times New Roman"/>
                <w:color w:val="000000"/>
              </w:rPr>
              <w:t>4.1 Restructuring objectives and options</w:t>
            </w:r>
            <w:r>
              <w:rPr>
                <w:rFonts w:ascii="Times New Roman" w:eastAsia="Times New Roman" w:hAnsi="Times New Roman" w:cs="Times New Roman"/>
                <w:color w:val="000000"/>
              </w:rPr>
              <w:tab/>
              <w:t>13</w:t>
            </w:r>
          </w:hyperlink>
        </w:p>
        <w:p w14:paraId="6E5D592D"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58t7bd7w9s8">
            <w:r>
              <w:rPr>
                <w:rFonts w:ascii="Times New Roman" w:eastAsia="Times New Roman" w:hAnsi="Times New Roman" w:cs="Times New Roman"/>
                <w:color w:val="000000"/>
              </w:rPr>
              <w:t>4.2 Funding scenarios and recommendation</w:t>
            </w:r>
            <w:r>
              <w:rPr>
                <w:rFonts w:ascii="Times New Roman" w:eastAsia="Times New Roman" w:hAnsi="Times New Roman" w:cs="Times New Roman"/>
                <w:color w:val="000000"/>
              </w:rPr>
              <w:tab/>
              <w:t>13</w:t>
            </w:r>
          </w:hyperlink>
        </w:p>
        <w:p w14:paraId="0E32FAC1"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cyxvuzx0vjpf">
            <w:r>
              <w:rPr>
                <w:rFonts w:ascii="Times New Roman" w:eastAsia="Times New Roman" w:hAnsi="Times New Roman" w:cs="Times New Roman"/>
                <w:color w:val="000000"/>
              </w:rPr>
              <w:t>4.3 International and ethical considerations</w:t>
            </w:r>
            <w:r>
              <w:rPr>
                <w:rFonts w:ascii="Times New Roman" w:eastAsia="Times New Roman" w:hAnsi="Times New Roman" w:cs="Times New Roman"/>
                <w:color w:val="000000"/>
              </w:rPr>
              <w:tab/>
              <w:t>14</w:t>
            </w:r>
          </w:hyperlink>
        </w:p>
        <w:p w14:paraId="54CA64B3"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eydrvlvq0jv5">
            <w:r>
              <w:rPr>
                <w:rFonts w:ascii="Times New Roman" w:eastAsia="Times New Roman" w:hAnsi="Times New Roman" w:cs="Times New Roman"/>
                <w:color w:val="000000"/>
              </w:rPr>
              <w:t>5. Investment Appraisal and Capital Budgeting</w:t>
            </w:r>
            <w:r>
              <w:rPr>
                <w:rFonts w:ascii="Times New Roman" w:eastAsia="Times New Roman" w:hAnsi="Times New Roman" w:cs="Times New Roman"/>
                <w:color w:val="000000"/>
              </w:rPr>
              <w:tab/>
              <w:t>15</w:t>
            </w:r>
          </w:hyperlink>
        </w:p>
        <w:p w14:paraId="738615C5"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zifuskcgskt1">
            <w:r>
              <w:rPr>
                <w:rFonts w:ascii="Times New Roman" w:eastAsia="Times New Roman" w:hAnsi="Times New Roman" w:cs="Times New Roman"/>
                <w:color w:val="000000"/>
              </w:rPr>
              <w:t>5.1 Method and assumptions</w:t>
            </w:r>
            <w:r>
              <w:rPr>
                <w:rFonts w:ascii="Times New Roman" w:eastAsia="Times New Roman" w:hAnsi="Times New Roman" w:cs="Times New Roman"/>
                <w:color w:val="000000"/>
              </w:rPr>
              <w:tab/>
              <w:t>15</w:t>
            </w:r>
          </w:hyperlink>
        </w:p>
        <w:p w14:paraId="79FE123C"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r>
              <w:rPr>
                <w:rFonts w:ascii="Times New Roman" w:eastAsia="Times New Roman" w:hAnsi="Times New Roman" w:cs="Times New Roman"/>
                <w:color w:val="000000"/>
              </w:rPr>
              <w:t>5.2 Results and critical evaluation</w:t>
            </w:r>
            <w:r>
              <w:rPr>
                <w:rFonts w:ascii="Times New Roman" w:eastAsia="Times New Roman" w:hAnsi="Times New Roman" w:cs="Times New Roman"/>
                <w:color w:val="000000"/>
              </w:rPr>
              <w:tab/>
              <w:t>16</w:t>
            </w:r>
          </w:hyperlink>
        </w:p>
        <w:p w14:paraId="230E88C0"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knbkf3v7qsax">
            <w:r>
              <w:rPr>
                <w:rFonts w:ascii="Times New Roman" w:eastAsia="Times New Roman" w:hAnsi="Times New Roman" w:cs="Times New Roman"/>
                <w:color w:val="000000"/>
              </w:rPr>
              <w:t>5.3 Company-specific and non-financial risks</w:t>
            </w:r>
            <w:r>
              <w:rPr>
                <w:rFonts w:ascii="Times New Roman" w:eastAsia="Times New Roman" w:hAnsi="Times New Roman" w:cs="Times New Roman"/>
                <w:color w:val="000000"/>
              </w:rPr>
              <w:tab/>
              <w:t>18</w:t>
            </w:r>
          </w:hyperlink>
        </w:p>
        <w:p w14:paraId="7FA0F873"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20psguqd93sx">
            <w:r>
              <w:rPr>
                <w:rFonts w:ascii="Times New Roman" w:eastAsia="Times New Roman" w:hAnsi="Times New Roman" w:cs="Times New Roman"/>
                <w:color w:val="000000"/>
              </w:rPr>
              <w:t>5.4 Capital rationing</w:t>
            </w:r>
            <w:r>
              <w:rPr>
                <w:rFonts w:ascii="Times New Roman" w:eastAsia="Times New Roman" w:hAnsi="Times New Roman" w:cs="Times New Roman"/>
                <w:color w:val="000000"/>
              </w:rPr>
              <w:tab/>
              <w:t>19</w:t>
            </w:r>
          </w:hyperlink>
        </w:p>
        <w:p w14:paraId="5D6857A6"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5ib48vl61h1b">
            <w:r>
              <w:rPr>
                <w:rFonts w:ascii="Times New Roman" w:eastAsia="Times New Roman" w:hAnsi="Times New Roman" w:cs="Times New Roman"/>
                <w:color w:val="000000"/>
              </w:rPr>
              <w:t>6. Critical Reflection on AI Usage</w:t>
            </w:r>
            <w:r>
              <w:rPr>
                <w:rFonts w:ascii="Times New Roman" w:eastAsia="Times New Roman" w:hAnsi="Times New Roman" w:cs="Times New Roman"/>
                <w:color w:val="000000"/>
              </w:rPr>
              <w:tab/>
              <w:t>19</w:t>
            </w:r>
          </w:hyperlink>
        </w:p>
        <w:p w14:paraId="06F76F86"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69vr2ob1wov1">
            <w:r>
              <w:rPr>
                <w:rFonts w:ascii="Times New Roman" w:eastAsia="Times New Roman" w:hAnsi="Times New Roman" w:cs="Times New Roman"/>
                <w:color w:val="000000"/>
              </w:rPr>
              <w:t>6.1 Tool disclosure and contribution</w:t>
            </w:r>
            <w:r>
              <w:rPr>
                <w:rFonts w:ascii="Times New Roman" w:eastAsia="Times New Roman" w:hAnsi="Times New Roman" w:cs="Times New Roman"/>
                <w:color w:val="000000"/>
              </w:rPr>
              <w:tab/>
              <w:t>19</w:t>
            </w:r>
          </w:hyperlink>
        </w:p>
        <w:p w14:paraId="5D7E1097"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s77hyk1fu45a">
            <w:r>
              <w:rPr>
                <w:rFonts w:ascii="Times New Roman" w:eastAsia="Times New Roman" w:hAnsi="Times New Roman" w:cs="Times New Roman"/>
                <w:color w:val="000000"/>
              </w:rPr>
              <w:t>6.2 Verification and correction of output</w:t>
            </w:r>
            <w:r>
              <w:rPr>
                <w:rFonts w:ascii="Times New Roman" w:eastAsia="Times New Roman" w:hAnsi="Times New Roman" w:cs="Times New Roman"/>
                <w:color w:val="000000"/>
              </w:rPr>
              <w:tab/>
              <w:t>20</w:t>
            </w:r>
          </w:hyperlink>
        </w:p>
        <w:p w14:paraId="484F5170"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wrl76tmgyz3">
            <w:r>
              <w:rPr>
                <w:rFonts w:ascii="Times New Roman" w:eastAsia="Times New Roman" w:hAnsi="Times New Roman" w:cs="Times New Roman"/>
                <w:color w:val="000000"/>
              </w:rPr>
              <w:t>6.3 Ethical and professional reflection</w:t>
            </w:r>
            <w:r>
              <w:rPr>
                <w:rFonts w:ascii="Times New Roman" w:eastAsia="Times New Roman" w:hAnsi="Times New Roman" w:cs="Times New Roman"/>
                <w:color w:val="000000"/>
              </w:rPr>
              <w:tab/>
              <w:t>21</w:t>
            </w:r>
          </w:hyperlink>
        </w:p>
        <w:p w14:paraId="25F414B3"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gnesebf3h0xb">
            <w:r>
              <w:rPr>
                <w:rFonts w:ascii="Times New Roman" w:eastAsia="Times New Roman" w:hAnsi="Times New Roman" w:cs="Times New Roman"/>
                <w:color w:val="000000"/>
              </w:rPr>
              <w:t>7. Conclusion</w:t>
            </w:r>
            <w:r>
              <w:rPr>
                <w:rFonts w:ascii="Times New Roman" w:eastAsia="Times New Roman" w:hAnsi="Times New Roman" w:cs="Times New Roman"/>
                <w:color w:val="000000"/>
              </w:rPr>
              <w:tab/>
              <w:t>21</w:t>
            </w:r>
          </w:hyperlink>
        </w:p>
        <w:p w14:paraId="1FCAD6CB"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dmvudo8vnfsn">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23</w:t>
            </w:r>
          </w:hyperlink>
        </w:p>
        <w:p w14:paraId="439EF353" w14:textId="77777777" w:rsidR="00AD5C0F" w:rsidRDefault="000D17F8">
          <w:pPr>
            <w:widowControl w:val="0"/>
            <w:tabs>
              <w:tab w:val="right" w:leader="dot" w:pos="12000"/>
            </w:tabs>
            <w:spacing w:before="60" w:after="0" w:line="240" w:lineRule="auto"/>
            <w:ind w:left="360"/>
            <w:jc w:val="left"/>
            <w:rPr>
              <w:rFonts w:ascii="Times New Roman" w:eastAsia="Times New Roman" w:hAnsi="Times New Roman" w:cs="Times New Roman"/>
              <w:color w:val="000000"/>
            </w:rPr>
          </w:pPr>
          <w:hyperlink w:anchor="_1kweryfgxpry">
            <w:r>
              <w:rPr>
                <w:rFonts w:ascii="Times New Roman" w:eastAsia="Times New Roman" w:hAnsi="Times New Roman" w:cs="Times New Roman"/>
                <w:color w:val="000000"/>
              </w:rPr>
              <w:t>Appendices</w:t>
            </w:r>
            <w:r>
              <w:rPr>
                <w:rFonts w:ascii="Times New Roman" w:eastAsia="Times New Roman" w:hAnsi="Times New Roman" w:cs="Times New Roman"/>
                <w:color w:val="000000"/>
              </w:rPr>
              <w:tab/>
              <w:t>25</w:t>
            </w:r>
          </w:hyperlink>
        </w:p>
        <w:p w14:paraId="43E99F3A"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yv9pgf60b8qt">
            <w:r>
              <w:rPr>
                <w:rFonts w:ascii="Times New Roman" w:eastAsia="Times New Roman" w:hAnsi="Times New Roman" w:cs="Times New Roman"/>
                <w:color w:val="000000"/>
              </w:rPr>
              <w:t>Appendix A. Full Ratio Tables</w:t>
            </w:r>
            <w:r>
              <w:rPr>
                <w:rFonts w:ascii="Times New Roman" w:eastAsia="Times New Roman" w:hAnsi="Times New Roman" w:cs="Times New Roman"/>
                <w:color w:val="000000"/>
              </w:rPr>
              <w:tab/>
              <w:t>25</w:t>
            </w:r>
          </w:hyperlink>
        </w:p>
        <w:p w14:paraId="748E595F"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1z285rhim5zo">
            <w:r>
              <w:rPr>
                <w:rFonts w:ascii="Times New Roman" w:eastAsia="Times New Roman" w:hAnsi="Times New Roman" w:cs="Times New Roman"/>
                <w:color w:val="000000"/>
              </w:rPr>
              <w:t>Appendix B. Ratio Definitions and Methodological Caveats</w:t>
            </w:r>
            <w:r>
              <w:rPr>
                <w:rFonts w:ascii="Times New Roman" w:eastAsia="Times New Roman" w:hAnsi="Times New Roman" w:cs="Times New Roman"/>
                <w:color w:val="000000"/>
              </w:rPr>
              <w:tab/>
              <w:t>26</w:t>
            </w:r>
          </w:hyperlink>
        </w:p>
        <w:p w14:paraId="14078188"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trdkhp37ccu6">
            <w:r>
              <w:rPr>
                <w:rFonts w:ascii="Times New Roman" w:eastAsia="Times New Roman" w:hAnsi="Times New Roman" w:cs="Times New Roman"/>
                <w:color w:val="000000"/>
              </w:rPr>
              <w:t>Appendix C. Investment Appraisal Calculations</w:t>
            </w:r>
            <w:r>
              <w:rPr>
                <w:rFonts w:ascii="Times New Roman" w:eastAsia="Times New Roman" w:hAnsi="Times New Roman" w:cs="Times New Roman"/>
                <w:color w:val="000000"/>
              </w:rPr>
              <w:tab/>
              <w:t>27</w:t>
            </w:r>
          </w:hyperlink>
        </w:p>
        <w:p w14:paraId="7F010728" w14:textId="77777777" w:rsidR="00AD5C0F" w:rsidRDefault="000D17F8">
          <w:pPr>
            <w:widowControl w:val="0"/>
            <w:tabs>
              <w:tab w:val="right" w:leader="dot" w:pos="12000"/>
            </w:tabs>
            <w:spacing w:before="60" w:after="0" w:line="240" w:lineRule="auto"/>
            <w:ind w:left="720"/>
            <w:jc w:val="left"/>
            <w:rPr>
              <w:rFonts w:ascii="Times New Roman" w:eastAsia="Times New Roman" w:hAnsi="Times New Roman" w:cs="Times New Roman"/>
              <w:color w:val="000000"/>
            </w:rPr>
          </w:pPr>
          <w:hyperlink w:anchor="_5i08dpc0qmnv">
            <w:r>
              <w:rPr>
                <w:rFonts w:ascii="Times New Roman" w:eastAsia="Times New Roman" w:hAnsi="Times New Roman" w:cs="Times New Roman"/>
                <w:color w:val="000000"/>
              </w:rPr>
              <w:t>Appendix D. Capital Rationing and Restructuring Scenarios</w:t>
            </w:r>
            <w:r>
              <w:rPr>
                <w:rFonts w:ascii="Times New Roman" w:eastAsia="Times New Roman" w:hAnsi="Times New Roman" w:cs="Times New Roman"/>
                <w:color w:val="000000"/>
              </w:rPr>
              <w:tab/>
              <w:t>28</w:t>
            </w:r>
          </w:hyperlink>
          <w:r>
            <w:fldChar w:fldCharType="end"/>
          </w:r>
        </w:p>
      </w:sdtContent>
    </w:sdt>
    <w:p w14:paraId="657C980B" w14:textId="77777777" w:rsidR="00AD5C0F" w:rsidRDefault="000D17F8">
      <w:pPr>
        <w:rPr>
          <w:rFonts w:ascii="Times New Roman" w:eastAsia="Times New Roman" w:hAnsi="Times New Roman" w:cs="Times New Roman"/>
        </w:rPr>
      </w:pPr>
      <w:r>
        <w:br w:type="page"/>
      </w:r>
    </w:p>
    <w:p w14:paraId="77E1CA44" w14:textId="77777777" w:rsidR="00AD5C0F" w:rsidRDefault="000D17F8">
      <w:pPr>
        <w:rPr>
          <w:rFonts w:ascii="Times New Roman" w:eastAsia="Times New Roman" w:hAnsi="Times New Roman" w:cs="Times New Roman"/>
          <w:b/>
          <w:bCs/>
          <w:color w:val="000000"/>
        </w:rPr>
      </w:pPr>
      <w:r>
        <w:rPr>
          <w:rFonts w:ascii="Times New Roman" w:eastAsia="Times New Roman" w:hAnsi="Times New Roman" w:cs="Times New Roman"/>
          <w:b/>
          <w:bCs/>
          <w:color w:val="000000"/>
        </w:rPr>
        <w:t>List of Tables</w:t>
      </w:r>
    </w:p>
    <w:sdt>
      <w:sdtPr>
        <w:id w:val="-573085724"/>
        <w:docPartObj>
          <w:docPartGallery w:val="Table of Contents"/>
          <w:docPartUnique/>
        </w:docPartObj>
      </w:sdtPr>
      <w:sdtEndPr/>
      <w:sdtContent>
        <w:p w14:paraId="2C197E9A" w14:textId="77777777" w:rsidR="00AD5C0F" w:rsidRDefault="000D17F8">
          <w:pPr>
            <w:widowControl w:val="0"/>
            <w:tabs>
              <w:tab w:val="right" w:leader="dot" w:pos="12000"/>
            </w:tabs>
            <w:spacing w:before="60" w:after="0" w:line="240" w:lineRule="auto"/>
            <w:ind w:left="720"/>
            <w:jc w:val="left"/>
            <w:rPr>
              <w:color w:val="000000"/>
              <w:sz w:val="22"/>
              <w:szCs w:val="22"/>
            </w:rPr>
          </w:pPr>
          <w:r>
            <w:fldChar w:fldCharType="begin"/>
          </w:r>
          <w:r>
            <w:instrText xml:space="preserve"> TOC \h \u \z \t "Heading 1,1,Heading 4,3,Heading 6,6,"</w:instrText>
          </w:r>
          <w:r>
            <w:fldChar w:fldCharType="separate"/>
          </w:r>
          <w:hyperlink w:anchor="_9nrrpt517hxk">
            <w:r>
              <w:rPr>
                <w:rFonts w:ascii="Times New Roman" w:eastAsia="Times New Roman" w:hAnsi="Times New Roman" w:cs="Times New Roman"/>
                <w:color w:val="000000"/>
              </w:rPr>
              <w:t>Table 1. Selected five-year financial statement indicators</w:t>
            </w:r>
            <w:r>
              <w:rPr>
                <w:rFonts w:ascii="Times New Roman" w:eastAsia="Times New Roman" w:hAnsi="Times New Roman" w:cs="Times New Roman"/>
                <w:color w:val="000000"/>
              </w:rPr>
              <w:tab/>
              <w:t>5</w:t>
            </w:r>
          </w:hyperlink>
        </w:p>
        <w:p w14:paraId="691AA300"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60h3j89fbljt">
            <w:r>
              <w:rPr>
                <w:rFonts w:ascii="Times New Roman" w:eastAsia="Times New Roman" w:hAnsi="Times New Roman" w:cs="Times New Roman"/>
                <w:color w:val="000000"/>
              </w:rPr>
              <w:t>Table 2. Cash operating cycle</w:t>
            </w:r>
            <w:r>
              <w:rPr>
                <w:rFonts w:ascii="Times New Roman" w:eastAsia="Times New Roman" w:hAnsi="Times New Roman" w:cs="Times New Roman"/>
                <w:color w:val="000000"/>
              </w:rPr>
              <w:tab/>
              <w:t>9</w:t>
            </w:r>
          </w:hyperlink>
        </w:p>
        <w:p w14:paraId="3DEC14A9"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6yjwjh5bevkm">
            <w:r>
              <w:rPr>
                <w:rFonts w:ascii="Times New Roman" w:eastAsia="Times New Roman" w:hAnsi="Times New Roman" w:cs="Times New Roman"/>
                <w:color w:val="000000"/>
              </w:rPr>
              <w:t>Table 3. Financing alternatives for liquidity and growth</w:t>
            </w:r>
            <w:r>
              <w:rPr>
                <w:rFonts w:ascii="Times New Roman" w:eastAsia="Times New Roman" w:hAnsi="Times New Roman" w:cs="Times New Roman"/>
                <w:color w:val="000000"/>
              </w:rPr>
              <w:tab/>
              <w:t>11</w:t>
            </w:r>
          </w:hyperlink>
        </w:p>
        <w:p w14:paraId="24E1732F"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9uitulo4w14u">
            <w:r>
              <w:rPr>
                <w:rFonts w:ascii="Times New Roman" w:eastAsia="Times New Roman" w:hAnsi="Times New Roman" w:cs="Times New Roman"/>
                <w:color w:val="000000"/>
              </w:rPr>
              <w:t>Table 4. Illustrative Dalata financing scenarios</w:t>
            </w:r>
            <w:r>
              <w:rPr>
                <w:rFonts w:ascii="Times New Roman" w:eastAsia="Times New Roman" w:hAnsi="Times New Roman" w:cs="Times New Roman"/>
                <w:color w:val="000000"/>
              </w:rPr>
              <w:tab/>
              <w:t>12</w:t>
            </w:r>
          </w:hyperlink>
        </w:p>
        <w:p w14:paraId="780C991A"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olb0kqnpag5t">
            <w:r>
              <w:rPr>
                <w:color w:val="000000"/>
                <w:sz w:val="22"/>
                <w:szCs w:val="22"/>
              </w:rPr>
              <w:t>Table 5. Project cash flows</w:t>
            </w:r>
            <w:r>
              <w:rPr>
                <w:color w:val="000000"/>
                <w:sz w:val="22"/>
                <w:szCs w:val="22"/>
              </w:rPr>
              <w:tab/>
              <w:t>15</w:t>
            </w:r>
          </w:hyperlink>
        </w:p>
        <w:p w14:paraId="165A8225"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f9hrymsvz8ft">
            <w:r>
              <w:rPr>
                <w:color w:val="000000"/>
                <w:sz w:val="22"/>
                <w:szCs w:val="22"/>
              </w:rPr>
              <w:t>Table 6. Investment appraisal results</w:t>
            </w:r>
            <w:r>
              <w:rPr>
                <w:color w:val="000000"/>
                <w:sz w:val="22"/>
                <w:szCs w:val="22"/>
              </w:rPr>
              <w:tab/>
              <w:t>15</w:t>
            </w:r>
          </w:hyperlink>
        </w:p>
        <w:p w14:paraId="293F771F"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r3pl9l2kr5qa">
            <w:r>
              <w:rPr>
                <w:color w:val="000000"/>
                <w:sz w:val="22"/>
                <w:szCs w:val="22"/>
              </w:rPr>
              <w:t>Table 7. Simple sensitivity of Project C</w:t>
            </w:r>
            <w:r>
              <w:rPr>
                <w:color w:val="000000"/>
                <w:sz w:val="22"/>
                <w:szCs w:val="22"/>
              </w:rPr>
              <w:tab/>
              <w:t>16</w:t>
            </w:r>
          </w:hyperlink>
        </w:p>
        <w:p w14:paraId="02C9A427"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17vn1qcnjr04">
            <w:r>
              <w:rPr>
                <w:color w:val="000000"/>
                <w:sz w:val="22"/>
                <w:szCs w:val="22"/>
              </w:rPr>
              <w:t>Table 8. Feasible portfolios under the £100 million ceiling</w:t>
            </w:r>
            <w:r>
              <w:rPr>
                <w:color w:val="000000"/>
                <w:sz w:val="22"/>
                <w:szCs w:val="22"/>
              </w:rPr>
              <w:tab/>
              <w:t>18</w:t>
            </w:r>
          </w:hyperlink>
        </w:p>
        <w:p w14:paraId="0CAB0F03"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kbm3c4six0g0">
            <w:r>
              <w:rPr>
                <w:rFonts w:ascii="Times New Roman" w:eastAsia="Times New Roman" w:hAnsi="Times New Roman" w:cs="Times New Roman"/>
                <w:color w:val="000000"/>
              </w:rPr>
              <w:t>Table 9. Profitability and liquidity ratios</w:t>
            </w:r>
            <w:r>
              <w:rPr>
                <w:rFonts w:ascii="Times New Roman" w:eastAsia="Times New Roman" w:hAnsi="Times New Roman" w:cs="Times New Roman"/>
                <w:color w:val="000000"/>
              </w:rPr>
              <w:tab/>
              <w:t>24</w:t>
            </w:r>
          </w:hyperlink>
        </w:p>
        <w:p w14:paraId="196BAB54"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a8l5w0ttofjt">
            <w:r>
              <w:rPr>
                <w:color w:val="000000"/>
                <w:sz w:val="22"/>
                <w:szCs w:val="22"/>
              </w:rPr>
              <w:t>Table 10. Efficiency and gearing ratios</w:t>
            </w:r>
            <w:r>
              <w:rPr>
                <w:color w:val="000000"/>
                <w:sz w:val="22"/>
                <w:szCs w:val="22"/>
              </w:rPr>
              <w:tab/>
              <w:t>24</w:t>
            </w:r>
          </w:hyperlink>
        </w:p>
        <w:p w14:paraId="529879B1"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ebw7e8gpy5am">
            <w:r>
              <w:rPr>
                <w:color w:val="000000"/>
                <w:sz w:val="22"/>
                <w:szCs w:val="22"/>
              </w:rPr>
              <w:t>Table 13. Discounted cash flows - Project A</w:t>
            </w:r>
            <w:r>
              <w:rPr>
                <w:color w:val="000000"/>
                <w:sz w:val="22"/>
                <w:szCs w:val="22"/>
              </w:rPr>
              <w:tab/>
              <w:t>26</w:t>
            </w:r>
          </w:hyperlink>
        </w:p>
        <w:p w14:paraId="3E815122" w14:textId="77777777" w:rsidR="00AD5C0F" w:rsidRDefault="000D17F8">
          <w:pPr>
            <w:widowControl w:val="0"/>
            <w:tabs>
              <w:tab w:val="right" w:leader="dot" w:pos="12000"/>
            </w:tabs>
            <w:spacing w:before="60" w:after="0" w:line="240" w:lineRule="auto"/>
            <w:ind w:left="720"/>
            <w:jc w:val="left"/>
            <w:rPr>
              <w:color w:val="000000"/>
              <w:sz w:val="22"/>
              <w:szCs w:val="22"/>
            </w:rPr>
          </w:pPr>
          <w:hyperlink w:anchor="_o2nbt4wwt5ta">
            <w:r>
              <w:rPr>
                <w:color w:val="000000"/>
                <w:sz w:val="22"/>
                <w:szCs w:val="22"/>
              </w:rPr>
              <w:t>Table 15. Discounted cash flows - Project C</w:t>
            </w:r>
            <w:r>
              <w:rPr>
                <w:color w:val="000000"/>
                <w:sz w:val="22"/>
                <w:szCs w:val="22"/>
              </w:rPr>
              <w:tab/>
              <w:t>26</w:t>
            </w:r>
          </w:hyperlink>
          <w:r>
            <w:fldChar w:fldCharType="end"/>
          </w:r>
        </w:p>
      </w:sdtContent>
    </w:sdt>
    <w:p w14:paraId="02124EB6" w14:textId="77777777" w:rsidR="00AD5C0F" w:rsidRDefault="00AD5C0F">
      <w:pPr>
        <w:pStyle w:val="Heading1"/>
        <w:rPr>
          <w:rFonts w:ascii="Times New Roman" w:eastAsia="Times New Roman" w:hAnsi="Times New Roman" w:cs="Times New Roman"/>
          <w:sz w:val="24"/>
          <w:szCs w:val="24"/>
        </w:rPr>
      </w:pPr>
    </w:p>
    <w:p w14:paraId="136248ED" w14:textId="77777777" w:rsidR="00AD5C0F" w:rsidRDefault="00AD5C0F">
      <w:pPr>
        <w:rPr>
          <w:rFonts w:ascii="Times New Roman" w:eastAsia="Times New Roman" w:hAnsi="Times New Roman" w:cs="Times New Roman"/>
        </w:rPr>
      </w:pPr>
    </w:p>
    <w:p w14:paraId="3C947767" w14:textId="77777777" w:rsidR="00AD5C0F" w:rsidRDefault="00AD5C0F">
      <w:pPr>
        <w:rPr>
          <w:rFonts w:ascii="Times New Roman" w:eastAsia="Times New Roman" w:hAnsi="Times New Roman" w:cs="Times New Roman"/>
          <w:b/>
          <w:bCs/>
          <w:color w:val="000000"/>
        </w:rPr>
      </w:pPr>
    </w:p>
    <w:p w14:paraId="26B589F4" w14:textId="77777777" w:rsidR="00AD5C0F" w:rsidRDefault="00AD5C0F">
      <w:pPr>
        <w:rPr>
          <w:rFonts w:ascii="Times New Roman" w:eastAsia="Times New Roman" w:hAnsi="Times New Roman" w:cs="Times New Roman"/>
          <w:b/>
          <w:bCs/>
          <w:color w:val="000000"/>
        </w:rPr>
      </w:pPr>
    </w:p>
    <w:p w14:paraId="1D7A1FD2" w14:textId="77777777" w:rsidR="00AD5C0F" w:rsidRDefault="00AD5C0F">
      <w:pPr>
        <w:rPr>
          <w:rFonts w:ascii="Times New Roman" w:eastAsia="Times New Roman" w:hAnsi="Times New Roman" w:cs="Times New Roman"/>
          <w:b/>
          <w:bCs/>
          <w:color w:val="000000"/>
        </w:rPr>
      </w:pPr>
    </w:p>
    <w:p w14:paraId="71238E62" w14:textId="77777777" w:rsidR="00AD5C0F" w:rsidRDefault="00AD5C0F">
      <w:pPr>
        <w:rPr>
          <w:rFonts w:ascii="Times New Roman" w:eastAsia="Times New Roman" w:hAnsi="Times New Roman" w:cs="Times New Roman"/>
          <w:b/>
          <w:bCs/>
          <w:color w:val="000000"/>
        </w:rPr>
      </w:pPr>
    </w:p>
    <w:p w14:paraId="7C1A304C" w14:textId="77777777" w:rsidR="00AD5C0F" w:rsidRDefault="00AD5C0F">
      <w:pPr>
        <w:rPr>
          <w:rFonts w:ascii="Times New Roman" w:eastAsia="Times New Roman" w:hAnsi="Times New Roman" w:cs="Times New Roman"/>
          <w:b/>
          <w:bCs/>
          <w:color w:val="000000"/>
        </w:rPr>
      </w:pPr>
    </w:p>
    <w:p w14:paraId="13BBC6A1" w14:textId="77777777" w:rsidR="00AD5C0F" w:rsidRDefault="00AD5C0F">
      <w:pPr>
        <w:rPr>
          <w:rFonts w:ascii="Times New Roman" w:eastAsia="Times New Roman" w:hAnsi="Times New Roman" w:cs="Times New Roman"/>
          <w:b/>
          <w:bCs/>
          <w:color w:val="000000"/>
        </w:rPr>
      </w:pPr>
    </w:p>
    <w:p w14:paraId="25BFBB13" w14:textId="77777777" w:rsidR="00AD5C0F" w:rsidRDefault="00AD5C0F">
      <w:pPr>
        <w:rPr>
          <w:rFonts w:ascii="Times New Roman" w:eastAsia="Times New Roman" w:hAnsi="Times New Roman" w:cs="Times New Roman"/>
          <w:b/>
          <w:bCs/>
          <w:color w:val="000000"/>
        </w:rPr>
      </w:pPr>
    </w:p>
    <w:p w14:paraId="47787E4D" w14:textId="77777777" w:rsidR="00AD5C0F" w:rsidRDefault="00AD5C0F">
      <w:pPr>
        <w:rPr>
          <w:rFonts w:ascii="Times New Roman" w:eastAsia="Times New Roman" w:hAnsi="Times New Roman" w:cs="Times New Roman"/>
          <w:b/>
          <w:bCs/>
          <w:color w:val="000000"/>
        </w:rPr>
      </w:pPr>
    </w:p>
    <w:p w14:paraId="749224DD" w14:textId="77777777" w:rsidR="00AD5C0F" w:rsidRDefault="00AD5C0F">
      <w:pPr>
        <w:rPr>
          <w:rFonts w:ascii="Times New Roman" w:eastAsia="Times New Roman" w:hAnsi="Times New Roman" w:cs="Times New Roman"/>
          <w:b/>
          <w:bCs/>
          <w:color w:val="000000"/>
        </w:rPr>
      </w:pPr>
    </w:p>
    <w:p w14:paraId="259D2AC6" w14:textId="77777777" w:rsidR="00AD5C0F" w:rsidRDefault="00AD5C0F">
      <w:pPr>
        <w:rPr>
          <w:rFonts w:ascii="Times New Roman" w:eastAsia="Times New Roman" w:hAnsi="Times New Roman" w:cs="Times New Roman"/>
          <w:b/>
          <w:bCs/>
          <w:color w:val="000000"/>
        </w:rPr>
      </w:pPr>
    </w:p>
    <w:p w14:paraId="197EA468" w14:textId="77777777" w:rsidR="00AD5C0F" w:rsidRDefault="00AD5C0F">
      <w:pPr>
        <w:rPr>
          <w:rFonts w:ascii="Times New Roman" w:eastAsia="Times New Roman" w:hAnsi="Times New Roman" w:cs="Times New Roman"/>
          <w:b/>
          <w:bCs/>
          <w:color w:val="000000"/>
        </w:rPr>
      </w:pPr>
    </w:p>
    <w:p w14:paraId="2A75DF48" w14:textId="77777777" w:rsidR="00AD5C0F" w:rsidRDefault="00AD5C0F">
      <w:pPr>
        <w:rPr>
          <w:rFonts w:ascii="Times New Roman" w:eastAsia="Times New Roman" w:hAnsi="Times New Roman" w:cs="Times New Roman"/>
          <w:b/>
          <w:bCs/>
          <w:color w:val="000000"/>
        </w:rPr>
      </w:pPr>
    </w:p>
    <w:p w14:paraId="07039B29" w14:textId="77777777" w:rsidR="00AD5C0F" w:rsidRDefault="00AD5C0F">
      <w:pPr>
        <w:rPr>
          <w:rFonts w:ascii="Times New Roman" w:eastAsia="Times New Roman" w:hAnsi="Times New Roman" w:cs="Times New Roman"/>
          <w:b/>
          <w:bCs/>
          <w:color w:val="000000"/>
        </w:rPr>
      </w:pPr>
    </w:p>
    <w:p w14:paraId="30642ABE" w14:textId="77777777" w:rsidR="00AD5C0F" w:rsidRDefault="00AD5C0F">
      <w:pPr>
        <w:rPr>
          <w:rFonts w:ascii="Times New Roman" w:eastAsia="Times New Roman" w:hAnsi="Times New Roman" w:cs="Times New Roman"/>
          <w:b/>
          <w:bCs/>
          <w:color w:val="000000"/>
        </w:rPr>
      </w:pPr>
    </w:p>
    <w:p w14:paraId="0DC8935E" w14:textId="77777777" w:rsidR="00AD5C0F" w:rsidRDefault="00AD5C0F">
      <w:pPr>
        <w:rPr>
          <w:rFonts w:ascii="Times New Roman" w:eastAsia="Times New Roman" w:hAnsi="Times New Roman" w:cs="Times New Roman"/>
          <w:b/>
          <w:bCs/>
          <w:color w:val="000000"/>
        </w:rPr>
      </w:pPr>
    </w:p>
    <w:p w14:paraId="62CA368B" w14:textId="77777777" w:rsidR="00AD5C0F" w:rsidRDefault="000D17F8">
      <w:pPr>
        <w:rPr>
          <w:rFonts w:ascii="Times New Roman" w:eastAsia="Times New Roman" w:hAnsi="Times New Roman" w:cs="Times New Roman"/>
          <w:b/>
          <w:bCs/>
          <w:color w:val="000000"/>
        </w:rPr>
      </w:pPr>
      <w:r>
        <w:rPr>
          <w:rFonts w:ascii="Times New Roman" w:eastAsia="Times New Roman" w:hAnsi="Times New Roman" w:cs="Times New Roman"/>
          <w:b/>
          <w:bCs/>
          <w:color w:val="000000"/>
        </w:rPr>
        <w:t>List of Figures</w:t>
      </w:r>
    </w:p>
    <w:sdt>
      <w:sdtPr>
        <w:id w:val="-1538551555"/>
        <w:docPartObj>
          <w:docPartGallery w:val="Table of Contents"/>
          <w:docPartUnique/>
        </w:docPartObj>
      </w:sdtPr>
      <w:sdtEndPr/>
      <w:sdtContent>
        <w:p w14:paraId="029B5196" w14:textId="77777777" w:rsidR="00AD5C0F" w:rsidRDefault="000D17F8">
          <w:pPr>
            <w:widowControl w:val="0"/>
            <w:tabs>
              <w:tab w:val="right" w:leader="dot" w:pos="12000"/>
            </w:tabs>
            <w:spacing w:before="60" w:after="0" w:line="240" w:lineRule="auto"/>
            <w:ind w:left="1080"/>
            <w:jc w:val="left"/>
            <w:rPr>
              <w:color w:val="000000"/>
              <w:sz w:val="22"/>
              <w:szCs w:val="22"/>
            </w:rPr>
          </w:pPr>
          <w:r>
            <w:fldChar w:fldCharType="begin"/>
          </w:r>
          <w:r>
            <w:instrText xml:space="preserve"> TOC \h \u \z \t "Heading 1,1,Heading 5,4,Heading 6,6,"</w:instrText>
          </w:r>
          <w:r>
            <w:fldChar w:fldCharType="separate"/>
          </w:r>
          <w:hyperlink w:anchor="_uu5t23hp919d">
            <w:r>
              <w:rPr>
                <w:rFonts w:ascii="Times New Roman" w:eastAsia="Times New Roman" w:hAnsi="Times New Roman" w:cs="Times New Roman"/>
                <w:color w:val="000000"/>
              </w:rPr>
              <w:t>Figure 1. Profitability and return on capital, 2021-2025</w:t>
            </w:r>
            <w:r>
              <w:rPr>
                <w:rFonts w:ascii="Times New Roman" w:eastAsia="Times New Roman" w:hAnsi="Times New Roman" w:cs="Times New Roman"/>
                <w:color w:val="000000"/>
              </w:rPr>
              <w:tab/>
              <w:t>4</w:t>
            </w:r>
          </w:hyperlink>
        </w:p>
        <w:p w14:paraId="1B9587DD" w14:textId="77777777" w:rsidR="00AD5C0F" w:rsidRDefault="000D17F8">
          <w:pPr>
            <w:widowControl w:val="0"/>
            <w:tabs>
              <w:tab w:val="right" w:leader="dot" w:pos="12000"/>
            </w:tabs>
            <w:spacing w:before="60" w:after="0" w:line="240" w:lineRule="auto"/>
            <w:ind w:left="1080"/>
            <w:jc w:val="left"/>
            <w:rPr>
              <w:color w:val="000000"/>
              <w:sz w:val="22"/>
              <w:szCs w:val="22"/>
            </w:rPr>
          </w:pPr>
          <w:hyperlink w:anchor="_2hx5mujpdblp">
            <w:r>
              <w:rPr>
                <w:rFonts w:ascii="Times New Roman" w:eastAsia="Times New Roman" w:hAnsi="Times New Roman" w:cs="Times New Roman"/>
                <w:color w:val="000000"/>
              </w:rPr>
              <w:t>Figure 2. Current ratio compared with the lodging benchmark</w:t>
            </w:r>
            <w:r>
              <w:rPr>
                <w:rFonts w:ascii="Times New Roman" w:eastAsia="Times New Roman" w:hAnsi="Times New Roman" w:cs="Times New Roman"/>
                <w:color w:val="000000"/>
              </w:rPr>
              <w:tab/>
              <w:t>5</w:t>
            </w:r>
          </w:hyperlink>
        </w:p>
        <w:p w14:paraId="5289EEBF" w14:textId="77777777" w:rsidR="00AD5C0F" w:rsidRDefault="000D17F8">
          <w:pPr>
            <w:widowControl w:val="0"/>
            <w:tabs>
              <w:tab w:val="right" w:leader="dot" w:pos="12000"/>
            </w:tabs>
            <w:spacing w:before="60" w:after="0" w:line="240" w:lineRule="auto"/>
            <w:ind w:left="1080"/>
            <w:jc w:val="left"/>
            <w:rPr>
              <w:color w:val="000000"/>
              <w:sz w:val="22"/>
              <w:szCs w:val="22"/>
            </w:rPr>
          </w:pPr>
          <w:hyperlink w:anchor="_90e9jf7p3lyn">
            <w:r>
              <w:rPr>
                <w:rFonts w:ascii="Times New Roman" w:eastAsia="Times New Roman" w:hAnsi="Times New Roman" w:cs="Times New Roman"/>
                <w:color w:val="000000"/>
              </w:rPr>
              <w:t>Figure 3. Working-capital days and the cash conversion cycle</w:t>
            </w:r>
            <w:r>
              <w:rPr>
                <w:rFonts w:ascii="Times New Roman" w:eastAsia="Times New Roman" w:hAnsi="Times New Roman" w:cs="Times New Roman"/>
                <w:color w:val="000000"/>
              </w:rPr>
              <w:tab/>
              <w:t>8</w:t>
            </w:r>
          </w:hyperlink>
        </w:p>
        <w:p w14:paraId="1098EE7B" w14:textId="77777777" w:rsidR="00AD5C0F" w:rsidRDefault="000D17F8">
          <w:pPr>
            <w:widowControl w:val="0"/>
            <w:tabs>
              <w:tab w:val="right" w:leader="dot" w:pos="12000"/>
            </w:tabs>
            <w:spacing w:before="60" w:after="0" w:line="240" w:lineRule="auto"/>
            <w:ind w:left="1080"/>
            <w:jc w:val="left"/>
            <w:rPr>
              <w:color w:val="000000"/>
              <w:sz w:val="22"/>
              <w:szCs w:val="22"/>
            </w:rPr>
          </w:pPr>
          <w:hyperlink w:anchor="_v2bcphmfs7tb">
            <w:r>
              <w:rPr>
                <w:color w:val="000000"/>
                <w:sz w:val="22"/>
                <w:szCs w:val="22"/>
              </w:rPr>
              <w:t>Figure 4. Net present value of Projects A-C</w:t>
            </w:r>
            <w:r>
              <w:rPr>
                <w:color w:val="000000"/>
                <w:sz w:val="22"/>
                <w:szCs w:val="22"/>
              </w:rPr>
              <w:tab/>
              <w:t>14</w:t>
            </w:r>
          </w:hyperlink>
          <w:r>
            <w:fldChar w:fldCharType="end"/>
          </w:r>
        </w:p>
      </w:sdtContent>
    </w:sdt>
    <w:p w14:paraId="56019709" w14:textId="77777777" w:rsidR="00AD5C0F" w:rsidRDefault="00AD5C0F">
      <w:pPr>
        <w:pStyle w:val="Heading2"/>
        <w:rPr>
          <w:rFonts w:ascii="Times New Roman" w:eastAsia="Times New Roman" w:hAnsi="Times New Roman" w:cs="Times New Roman"/>
          <w:color w:val="000000"/>
          <w:sz w:val="24"/>
          <w:szCs w:val="24"/>
        </w:rPr>
      </w:pPr>
      <w:bookmarkStart w:id="0" w:name="_vj5fqcpgg0ya" w:colFirst="0" w:colLast="0"/>
      <w:bookmarkEnd w:id="0"/>
    </w:p>
    <w:p w14:paraId="160C1082" w14:textId="77777777" w:rsidR="00AD5C0F" w:rsidRDefault="00AD5C0F">
      <w:pPr>
        <w:pStyle w:val="Heading2"/>
        <w:rPr>
          <w:rFonts w:ascii="Times New Roman" w:eastAsia="Times New Roman" w:hAnsi="Times New Roman" w:cs="Times New Roman"/>
          <w:color w:val="000000"/>
          <w:sz w:val="24"/>
          <w:szCs w:val="24"/>
        </w:rPr>
      </w:pPr>
      <w:bookmarkStart w:id="1" w:name="_wtidlz35mk2h" w:colFirst="0" w:colLast="0"/>
      <w:bookmarkEnd w:id="1"/>
    </w:p>
    <w:p w14:paraId="67E215B4" w14:textId="77777777" w:rsidR="00AD5C0F" w:rsidRDefault="00AD5C0F">
      <w:pPr>
        <w:pStyle w:val="Heading2"/>
        <w:rPr>
          <w:rFonts w:ascii="Times New Roman" w:eastAsia="Times New Roman" w:hAnsi="Times New Roman" w:cs="Times New Roman"/>
          <w:color w:val="000000"/>
          <w:sz w:val="24"/>
          <w:szCs w:val="24"/>
        </w:rPr>
      </w:pPr>
      <w:bookmarkStart w:id="2" w:name="_a6ppk8gjhre7" w:colFirst="0" w:colLast="0"/>
      <w:bookmarkEnd w:id="2"/>
    </w:p>
    <w:p w14:paraId="6767895B" w14:textId="77777777" w:rsidR="00AD5C0F" w:rsidRDefault="00AD5C0F">
      <w:pPr>
        <w:pStyle w:val="Heading2"/>
        <w:rPr>
          <w:rFonts w:ascii="Times New Roman" w:eastAsia="Times New Roman" w:hAnsi="Times New Roman" w:cs="Times New Roman"/>
          <w:color w:val="000000"/>
          <w:sz w:val="24"/>
          <w:szCs w:val="24"/>
        </w:rPr>
      </w:pPr>
      <w:bookmarkStart w:id="3" w:name="_uo2a7o6tnsy6" w:colFirst="0" w:colLast="0"/>
      <w:bookmarkEnd w:id="3"/>
    </w:p>
    <w:p w14:paraId="0A0D68A4" w14:textId="77777777" w:rsidR="00AD5C0F" w:rsidRDefault="00AD5C0F">
      <w:pPr>
        <w:pStyle w:val="Heading2"/>
        <w:rPr>
          <w:rFonts w:ascii="Times New Roman" w:eastAsia="Times New Roman" w:hAnsi="Times New Roman" w:cs="Times New Roman"/>
          <w:color w:val="000000"/>
          <w:sz w:val="24"/>
          <w:szCs w:val="24"/>
        </w:rPr>
      </w:pPr>
      <w:bookmarkStart w:id="4" w:name="_3acoodegoabx" w:colFirst="0" w:colLast="0"/>
      <w:bookmarkEnd w:id="4"/>
    </w:p>
    <w:p w14:paraId="3F74035E" w14:textId="77777777" w:rsidR="00AD5C0F" w:rsidRDefault="00AD5C0F">
      <w:pPr>
        <w:pStyle w:val="Heading2"/>
        <w:rPr>
          <w:rFonts w:ascii="Times New Roman" w:eastAsia="Times New Roman" w:hAnsi="Times New Roman" w:cs="Times New Roman"/>
          <w:color w:val="000000"/>
          <w:sz w:val="24"/>
          <w:szCs w:val="24"/>
        </w:rPr>
      </w:pPr>
      <w:bookmarkStart w:id="5" w:name="_mxta9lb5s18o" w:colFirst="0" w:colLast="0"/>
      <w:bookmarkEnd w:id="5"/>
    </w:p>
    <w:p w14:paraId="60B1F1EE" w14:textId="77777777" w:rsidR="00AD5C0F" w:rsidRDefault="00AD5C0F"/>
    <w:p w14:paraId="259B2DED" w14:textId="77777777" w:rsidR="00AD5C0F" w:rsidRDefault="00AD5C0F"/>
    <w:p w14:paraId="4D3D973E" w14:textId="77777777" w:rsidR="00AD5C0F" w:rsidRDefault="00AD5C0F"/>
    <w:p w14:paraId="4EDFFD90" w14:textId="77777777" w:rsidR="00AD5C0F" w:rsidRDefault="00AD5C0F"/>
    <w:p w14:paraId="020F6791" w14:textId="77777777" w:rsidR="00AD5C0F" w:rsidRDefault="00AD5C0F"/>
    <w:p w14:paraId="2404C885" w14:textId="77777777" w:rsidR="00AD5C0F" w:rsidRDefault="00AD5C0F"/>
    <w:p w14:paraId="668D5B8D" w14:textId="77777777" w:rsidR="00AD5C0F" w:rsidRDefault="00AD5C0F"/>
    <w:p w14:paraId="57FE1AC5" w14:textId="77777777" w:rsidR="00AD5C0F" w:rsidRDefault="00AD5C0F"/>
    <w:p w14:paraId="4A55DCA5" w14:textId="77777777" w:rsidR="00AD5C0F" w:rsidRDefault="00AD5C0F"/>
    <w:p w14:paraId="5AFE810E" w14:textId="77777777" w:rsidR="00AD5C0F" w:rsidRDefault="00AD5C0F"/>
    <w:p w14:paraId="70A9CB20" w14:textId="77777777" w:rsidR="00AD5C0F" w:rsidRDefault="00AD5C0F"/>
    <w:p w14:paraId="3CE2910C" w14:textId="77777777" w:rsidR="00AD5C0F" w:rsidRDefault="00AD5C0F">
      <w:pPr>
        <w:pStyle w:val="Heading2"/>
        <w:rPr>
          <w:rFonts w:ascii="Times New Roman" w:eastAsia="Times New Roman" w:hAnsi="Times New Roman" w:cs="Times New Roman"/>
          <w:color w:val="000000"/>
          <w:sz w:val="24"/>
          <w:szCs w:val="24"/>
        </w:rPr>
      </w:pPr>
      <w:bookmarkStart w:id="6" w:name="_1lxinmpczp1h" w:colFirst="0" w:colLast="0"/>
      <w:bookmarkEnd w:id="6"/>
    </w:p>
    <w:p w14:paraId="5AE34DF4" w14:textId="77777777" w:rsidR="00AD5C0F" w:rsidRDefault="00AD5C0F">
      <w:pPr>
        <w:pStyle w:val="Heading2"/>
        <w:rPr>
          <w:rFonts w:ascii="Times New Roman" w:eastAsia="Times New Roman" w:hAnsi="Times New Roman" w:cs="Times New Roman"/>
          <w:color w:val="000000"/>
          <w:sz w:val="24"/>
          <w:szCs w:val="24"/>
        </w:rPr>
      </w:pPr>
      <w:bookmarkStart w:id="7" w:name="_ho8dw4pooflk" w:colFirst="0" w:colLast="0"/>
      <w:bookmarkEnd w:id="7"/>
    </w:p>
    <w:p w14:paraId="5D326640" w14:textId="77777777" w:rsidR="00AD5C0F" w:rsidRDefault="00AD5C0F">
      <w:pPr>
        <w:pStyle w:val="Heading2"/>
        <w:rPr>
          <w:rFonts w:ascii="Times New Roman" w:eastAsia="Times New Roman" w:hAnsi="Times New Roman" w:cs="Times New Roman"/>
          <w:color w:val="000000"/>
          <w:sz w:val="24"/>
          <w:szCs w:val="24"/>
        </w:rPr>
      </w:pPr>
      <w:bookmarkStart w:id="8" w:name="_hhosl3sjvid4" w:colFirst="0" w:colLast="0"/>
      <w:bookmarkEnd w:id="8"/>
    </w:p>
    <w:p w14:paraId="71899291" w14:textId="77777777" w:rsidR="00AD5C0F" w:rsidRDefault="000D17F8">
      <w:pPr>
        <w:pStyle w:val="Heading2"/>
        <w:rPr>
          <w:rFonts w:ascii="Times New Roman" w:eastAsia="Times New Roman" w:hAnsi="Times New Roman" w:cs="Times New Roman"/>
          <w:color w:val="000000"/>
          <w:sz w:val="24"/>
          <w:szCs w:val="24"/>
        </w:rPr>
      </w:pPr>
      <w:bookmarkStart w:id="9" w:name="_3r7mypfql3er" w:colFirst="0" w:colLast="0"/>
      <w:bookmarkEnd w:id="9"/>
      <w:r>
        <w:rPr>
          <w:rFonts w:ascii="Times New Roman" w:eastAsia="Times New Roman" w:hAnsi="Times New Roman" w:cs="Times New Roman"/>
          <w:color w:val="000000"/>
          <w:sz w:val="24"/>
          <w:szCs w:val="24"/>
        </w:rPr>
        <w:t>1. Introduction</w:t>
      </w:r>
    </w:p>
    <w:p w14:paraId="45C8C567"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This report considers Scandic Hotels Group AB from the perspective of the Group’s Chief Financial Officer. It analyzes five financial years (2021 to 2025). This time period encompasses the last disruptive period of the pandemic, the subsequent strong recovery of demand for Nordic hotels, and the eventual stabilization of profits. The pandemic returned the global travel market to nearly pre-pandemic levels in 2024. However, recovery was occurring at the same time as inflation, uncertainty due to geopolitical</w:t>
      </w:r>
      <w:r>
        <w:rPr>
          <w:rFonts w:ascii="Times New Roman" w:eastAsia="Times New Roman" w:hAnsi="Times New Roman" w:cs="Times New Roman"/>
        </w:rPr>
        <w:t xml:space="preserve"> events, exposure to escalating energy prices, and shifting customer demands (UN Tourism, 2025). The goal is not to simply show improved profits. The purpose of the study is to examine if Scandic’s ability to increase profits internationally is supported by optimal financial structure, flexibility in lease commitments, available financial capacity, and smart use of deployed capital.</w:t>
      </w:r>
    </w:p>
    <w:p w14:paraId="4249DC81"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analysis is based on the Group's audited financial statements for the reporting years 2021 to 2025, and the Scandic Sustainability Reports for 2021 to 2025. In addition, the group’s 2026 financing announcement and half year report have been used. Ratio analysis has been used to analyze profitability, liquidity, technical efficiency, financial structure, use of capital, and cash flows for the years 2021-2025. In the absence of provided closing balances, opening and closing balances were averaged to compu</w:t>
      </w:r>
      <w:r>
        <w:rPr>
          <w:rFonts w:ascii="Times New Roman" w:eastAsia="Times New Roman" w:hAnsi="Times New Roman" w:cs="Times New Roman"/>
        </w:rPr>
        <w:t>te the receivables, payables, and capital employed. Ratios are not assessed in isolation or in a mechanical manner. Comparability of ratios is impacted by classification in accounting, seasonal and business model variations (Atrill and McLaney, 2022). The report assesses working capital reform, a restructuring and financing plan, and three investment projects using the criteria of Payback, ARR, NPV, PI, and IRR. Extensive calculations are provided in the appendices.</w:t>
      </w:r>
    </w:p>
    <w:p w14:paraId="269D23C5" w14:textId="77777777" w:rsidR="00AD5C0F" w:rsidRDefault="000D17F8">
      <w:pPr>
        <w:pStyle w:val="Heading2"/>
        <w:rPr>
          <w:rFonts w:ascii="Times New Roman" w:eastAsia="Times New Roman" w:hAnsi="Times New Roman" w:cs="Times New Roman"/>
          <w:color w:val="000000"/>
          <w:sz w:val="24"/>
          <w:szCs w:val="24"/>
        </w:rPr>
      </w:pPr>
      <w:bookmarkStart w:id="10" w:name="_8gemm28oovig" w:colFirst="0" w:colLast="0"/>
      <w:bookmarkEnd w:id="10"/>
      <w:r>
        <w:rPr>
          <w:rFonts w:ascii="Times New Roman" w:eastAsia="Times New Roman" w:hAnsi="Times New Roman" w:cs="Times New Roman"/>
          <w:color w:val="000000"/>
          <w:sz w:val="24"/>
          <w:szCs w:val="24"/>
        </w:rPr>
        <w:t>2. Financial Health Check</w:t>
      </w:r>
    </w:p>
    <w:p w14:paraId="75720D69" w14:textId="77777777" w:rsidR="00AD5C0F" w:rsidRDefault="000D17F8">
      <w:pPr>
        <w:pStyle w:val="Heading3"/>
        <w:rPr>
          <w:rFonts w:ascii="Times New Roman" w:eastAsia="Times New Roman" w:hAnsi="Times New Roman" w:cs="Times New Roman"/>
          <w:color w:val="000000"/>
        </w:rPr>
      </w:pPr>
      <w:bookmarkStart w:id="11" w:name="_30dud7r4kh5r" w:colFirst="0" w:colLast="0"/>
      <w:bookmarkEnd w:id="11"/>
      <w:r>
        <w:rPr>
          <w:rFonts w:ascii="Times New Roman" w:eastAsia="Times New Roman" w:hAnsi="Times New Roman" w:cs="Times New Roman"/>
          <w:color w:val="000000"/>
        </w:rPr>
        <w:t>2.1 Analytical basis and statement trends</w:t>
      </w:r>
    </w:p>
    <w:p w14:paraId="337974F9"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Ratio analysis converts large statement balances to smaller comparable units. However, the level of detail in a given definition is the limits of the ratio analysis. Scandic reports operating expenses by nature, and doesn’t show a cost-of-sales total. Meaning, the gross margin in this report is essentially a proxy.(i) To start, net sales is subtracted by the cost of net sales. As a construction, this is a valid proxy, and holds consistent. That being said,(ii) it substantially overstates the gross margin of</w:t>
      </w:r>
      <w:r>
        <w:rPr>
          <w:rFonts w:ascii="Times New Roman" w:eastAsia="Times New Roman" w:hAnsi="Times New Roman" w:cs="Times New Roman"/>
        </w:rPr>
        <w:t xml:space="preserve"> a conventional hotel, since staffing, and other direct costs of running a hotel are below the proxy gross profit line. For completeness, and consistent with Scandic’s gross margin proxy, days payable are estimated by raw materials and other external costs used as a supplier-purchases proxy. All of these limits help avoid false precision, and are important when comparing Scandic with companies that classify expenses by function.</w:t>
      </w:r>
    </w:p>
    <w:p w14:paraId="558949A6" w14:textId="77777777" w:rsidR="00AD5C0F" w:rsidRDefault="000D17F8">
      <w:pPr>
        <w:pStyle w:val="Heading4"/>
        <w:spacing w:before="160" w:after="80" w:line="276" w:lineRule="auto"/>
        <w:jc w:val="center"/>
        <w:rPr>
          <w:rFonts w:ascii="Times New Roman" w:eastAsia="Times New Roman" w:hAnsi="Times New Roman" w:cs="Times New Roman"/>
          <w:i w:val="0"/>
          <w:iCs w:val="0"/>
          <w:color w:val="000000"/>
        </w:rPr>
      </w:pPr>
      <w:bookmarkStart w:id="12" w:name="_9nrrpt517hxk" w:colFirst="0" w:colLast="0"/>
      <w:bookmarkEnd w:id="12"/>
      <w:r>
        <w:rPr>
          <w:rFonts w:ascii="Times New Roman" w:eastAsia="Times New Roman" w:hAnsi="Times New Roman" w:cs="Times New Roman"/>
          <w:i w:val="0"/>
          <w:iCs w:val="0"/>
          <w:color w:val="000000"/>
        </w:rPr>
        <w:t>Table 1. Selected five-year financial statement indicators</w:t>
      </w:r>
    </w:p>
    <w:p w14:paraId="0EDB534E" w14:textId="77777777" w:rsidR="00AD5C0F" w:rsidRDefault="000D17F8">
      <w:pPr>
        <w:spacing w:line="276" w:lineRule="auto"/>
        <w:jc w:val="center"/>
      </w:pPr>
      <w:r>
        <w:rPr>
          <w:noProof/>
        </w:rPr>
        <w:drawing>
          <wp:inline distT="114300" distB="114300" distL="114300" distR="114300" wp14:anchorId="6D89767D" wp14:editId="4D9380A9">
            <wp:extent cx="5731200" cy="143510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5731200" cy="1435100"/>
                    </a:xfrm>
                    <a:prstGeom prst="rect">
                      <a:avLst/>
                    </a:prstGeom>
                    <a:ln/>
                  </pic:spPr>
                </pic:pic>
              </a:graphicData>
            </a:graphic>
          </wp:inline>
        </w:drawing>
      </w:r>
    </w:p>
    <w:p w14:paraId="0F177D54"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rPr>
      </w:pPr>
      <w:r>
        <w:rPr>
          <w:rFonts w:ascii="Times New Roman" w:eastAsia="Times New Roman" w:hAnsi="Times New Roman" w:cs="Times New Roman"/>
          <w:color w:val="000000"/>
        </w:rPr>
        <w:t>Source: Scandic Hotels Group AB annual reports (2021-2025). SEK million.</w:t>
      </w:r>
    </w:p>
    <w:p w14:paraId="132FB684"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Table 1 demonstrates an impressive turnaround. From 2021 to 2025, sales (almost) doubled, while EBIT shifted from a SEK 440 million loss to a SEK 2,661 million gain. The shift happened in 2022 with the normalization of occupancy and room pricing. After 2023, the trend leveled off with 2025 net sales only increasing 1.5% and EBIT declining 6.2% with positive organic growth, while adjusted EBITDA declined from SEK 2,495 million to SEK 2,425 million. Scandic attributes part of the pressure to currency effects,</w:t>
      </w:r>
      <w:r>
        <w:rPr>
          <w:rFonts w:ascii="Times New Roman" w:eastAsia="Times New Roman" w:hAnsi="Times New Roman" w:cs="Times New Roman"/>
        </w:rPr>
        <w:t xml:space="preserve"> weaker Finnish performance, new-hotel costs, digital development, and Dalata-related costs (Scandic Hotels Group AB, 2025a). Thus, Scandic Hotels Group AB has seen a genuine recovery, with the decline in 2025 an indication not to project the rebound in 2022 as Scandic Hotels Group AB’s new estimated growth rate.</w:t>
      </w:r>
    </w:p>
    <w:p w14:paraId="2879A5DE" w14:textId="77777777" w:rsidR="00AD5C0F" w:rsidRDefault="000D17F8">
      <w:pPr>
        <w:pStyle w:val="Heading3"/>
        <w:rPr>
          <w:rFonts w:ascii="Times New Roman" w:eastAsia="Times New Roman" w:hAnsi="Times New Roman" w:cs="Times New Roman"/>
          <w:color w:val="000000"/>
        </w:rPr>
      </w:pPr>
      <w:bookmarkStart w:id="13" w:name="_anahmzoy5git" w:colFirst="0" w:colLast="0"/>
      <w:bookmarkEnd w:id="13"/>
      <w:r>
        <w:rPr>
          <w:rFonts w:ascii="Times New Roman" w:eastAsia="Times New Roman" w:hAnsi="Times New Roman" w:cs="Times New Roman"/>
          <w:color w:val="000000"/>
        </w:rPr>
        <w:t>2.2 Profitability</w:t>
      </w:r>
    </w:p>
    <w:p w14:paraId="5DDD0D2A" w14:textId="77777777" w:rsidR="00AD5C0F" w:rsidRDefault="000D17F8">
      <w:pPr>
        <w:keepNext/>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14:anchorId="2EBBB8C6" wp14:editId="72AC548D">
            <wp:extent cx="5486400" cy="1956587"/>
            <wp:effectExtent l="0" t="0" r="0" b="0"/>
            <wp:docPr id="1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srcRect/>
                    <a:stretch>
                      <a:fillRect/>
                    </a:stretch>
                  </pic:blipFill>
                  <pic:spPr>
                    <a:xfrm>
                      <a:off x="0" y="0"/>
                      <a:ext cx="5486400" cy="1956587"/>
                    </a:xfrm>
                    <a:prstGeom prst="rect">
                      <a:avLst/>
                    </a:prstGeom>
                    <a:ln/>
                  </pic:spPr>
                </pic:pic>
              </a:graphicData>
            </a:graphic>
          </wp:inline>
        </w:drawing>
      </w:r>
    </w:p>
    <w:p w14:paraId="044EE418" w14:textId="77777777" w:rsidR="00AD5C0F" w:rsidRDefault="000D17F8">
      <w:pPr>
        <w:pStyle w:val="Heading5"/>
        <w:spacing w:before="160" w:after="80" w:line="276" w:lineRule="auto"/>
        <w:jc w:val="center"/>
        <w:rPr>
          <w:rFonts w:ascii="Times New Roman" w:eastAsia="Times New Roman" w:hAnsi="Times New Roman" w:cs="Times New Roman"/>
          <w:b/>
          <w:bCs/>
          <w:color w:val="000000"/>
        </w:rPr>
      </w:pPr>
      <w:bookmarkStart w:id="14" w:name="_uu5t23hp919d" w:colFirst="0" w:colLast="0"/>
      <w:bookmarkEnd w:id="14"/>
      <w:r>
        <w:rPr>
          <w:rFonts w:ascii="Times New Roman" w:eastAsia="Times New Roman" w:hAnsi="Times New Roman" w:cs="Times New Roman"/>
          <w:b/>
          <w:bCs/>
          <w:color w:val="000000"/>
        </w:rPr>
        <w:t>Figure 1. Profitability and return on capital, 2021-2025</w:t>
      </w:r>
    </w:p>
    <w:p w14:paraId="61912C68"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Scandic Hotels Group AB annual reports (2021-2025).</w:t>
      </w:r>
    </w:p>
    <w:p w14:paraId="19617AC2"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 xml:space="preserve">The proxy for gross margin increased from 91.7% in 2021 to 92.7% in 2025, demonstrating that food and consumable inputs increased less than sales. This should not indicate that Scandic Hotels Group AB’s hotels operate with a 93% gross margin. The operating margin is more useful in this case; it increased from –4.4% in 2021 to 12.8% in 2022, and then stabilized between 12.7% and 12.9% in 2023 and 2024, declining to 11.9% in 2025. Net margin tracked the recovery, but remained low at 2.8% in 2025, compared to </w:t>
      </w:r>
      <w:r>
        <w:rPr>
          <w:rFonts w:ascii="Times New Roman" w:eastAsia="Times New Roman" w:hAnsi="Times New Roman" w:cs="Times New Roman"/>
        </w:rPr>
        <w:t>3.0% in 2024. This large gap between EBIT and profit after tax reflects financing costs, including lease interest, and tax costs. Management should work to maintain pricing discipline and productivity rather than new focus on volume.</w:t>
      </w:r>
    </w:p>
    <w:p w14:paraId="4BAF2A4F"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ROCE increased from -1.2% in 2021 to 6.2% in 2023 and fell to 5.7% in 2025. For this calculation, EBIT is divided by average total assets less current liabilities. While 5.7% is positive, it is a very low return considering the proposed project has a minimum return requirement of 8%. The decrease in both margin and ROCE shows deployment of assets in 2025 was less productive. As such, improving the quality of contracts made should be the main focus of the turnaround strategy, as should growing the business t</w:t>
      </w:r>
      <w:r>
        <w:rPr>
          <w:rFonts w:ascii="Times New Roman" w:eastAsia="Times New Roman" w:hAnsi="Times New Roman" w:cs="Times New Roman"/>
        </w:rPr>
        <w:t>hrough revenue-generating renovations and capital growth that is more selective and less focused on adding rooms. Corporate finance theory supports accepting investments only if the expected return will cover the opportunity cost of the capital employed (Brealey et al., 2023).</w:t>
      </w:r>
    </w:p>
    <w:p w14:paraId="19F6FDA1" w14:textId="77777777" w:rsidR="00AD5C0F" w:rsidRDefault="000D17F8">
      <w:pPr>
        <w:pStyle w:val="Heading3"/>
        <w:rPr>
          <w:rFonts w:ascii="Times New Roman" w:eastAsia="Times New Roman" w:hAnsi="Times New Roman" w:cs="Times New Roman"/>
          <w:color w:val="000000"/>
        </w:rPr>
      </w:pPr>
      <w:bookmarkStart w:id="15" w:name="_ia4gg5okdnrj" w:colFirst="0" w:colLast="0"/>
      <w:bookmarkEnd w:id="15"/>
      <w:r>
        <w:rPr>
          <w:rFonts w:ascii="Times New Roman" w:eastAsia="Times New Roman" w:hAnsi="Times New Roman" w:cs="Times New Roman"/>
          <w:color w:val="000000"/>
        </w:rPr>
        <w:t>2.3 Liquidity and cash flow</w:t>
      </w:r>
    </w:p>
    <w:p w14:paraId="336CD6AA" w14:textId="77777777" w:rsidR="00AD5C0F" w:rsidRDefault="000D17F8">
      <w:pPr>
        <w:keepNext/>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14:anchorId="58349025" wp14:editId="738ABD12">
            <wp:extent cx="5486400" cy="1956587"/>
            <wp:effectExtent l="0" t="0" r="0" b="0"/>
            <wp:docPr id="1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5486400" cy="1956587"/>
                    </a:xfrm>
                    <a:prstGeom prst="rect">
                      <a:avLst/>
                    </a:prstGeom>
                    <a:ln/>
                  </pic:spPr>
                </pic:pic>
              </a:graphicData>
            </a:graphic>
          </wp:inline>
        </w:drawing>
      </w:r>
    </w:p>
    <w:p w14:paraId="7174150A" w14:textId="77777777" w:rsidR="00AD5C0F" w:rsidRDefault="000D17F8">
      <w:pPr>
        <w:pStyle w:val="Heading5"/>
        <w:spacing w:before="160" w:after="80" w:line="276" w:lineRule="auto"/>
        <w:jc w:val="center"/>
        <w:rPr>
          <w:rFonts w:ascii="Times New Roman" w:eastAsia="Times New Roman" w:hAnsi="Times New Roman" w:cs="Times New Roman"/>
          <w:color w:val="000000"/>
        </w:rPr>
      </w:pPr>
      <w:bookmarkStart w:id="16" w:name="_2hx5mujpdblp" w:colFirst="0" w:colLast="0"/>
      <w:bookmarkEnd w:id="16"/>
      <w:r>
        <w:rPr>
          <w:rFonts w:ascii="Times New Roman" w:eastAsia="Times New Roman" w:hAnsi="Times New Roman" w:cs="Times New Roman"/>
          <w:color w:val="000000"/>
        </w:rPr>
        <w:t>Figure 2. Current ratio compared with the lodging benchmark</w:t>
      </w:r>
    </w:p>
    <w:p w14:paraId="0D58264F"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Scandic reports and ReadyRatios (2026). Benchmark is directional because it represents US-listed SIC 70 companies.</w:t>
      </w:r>
    </w:p>
    <w:p w14:paraId="09C259FA"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current ratio for Scandic improved from 2021’s 0.24x to 2025’s 0.32x compared to a directional lodging benchmark, but was materially below each year. In 2025 it was 0.32x compared to 0.83x. The quick ratio improved from 2024’s 0.17x to 2025’s 0.25x compared to a benchmark of 0.70x and the cash ratio improved from 2024’s 0.04x to 2025’s 0.14x compared to a benchmark of 0.46x. The current ratio improved, but because the benchmark quick ratio declined, the cash ratio supported less than one current liabili</w:t>
      </w:r>
      <w:r>
        <w:rPr>
          <w:rFonts w:ascii="Times New Roman" w:eastAsia="Times New Roman" w:hAnsi="Times New Roman" w:cs="Times New Roman"/>
        </w:rPr>
        <w:t>ty, creating exposure to supplier tightening, disruptive refinancing, and potential booking losses.</w:t>
      </w:r>
    </w:p>
    <w:p w14:paraId="000284EB"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Cash generation balances some risk. For 2025, operating cash flow was SEK6,459 million, or 0.98x current liabilities, compared to 0.66x for 2021. Scandic also reported a liquidity reserve of SEK3,124 million at the end of 2025 (Scandic Hotels Group AB, 2025a). These indicators illustrate that hotel operators can function with a current ratio below one. Customers typically pay quickly, inventories can be small and suppliers help fund the cycle. But caution is warranted when assessing operating cash flow unde</w:t>
      </w:r>
      <w:r>
        <w:rPr>
          <w:rFonts w:ascii="Times New Roman" w:eastAsia="Times New Roman" w:hAnsi="Times New Roman" w:cs="Times New Roman"/>
        </w:rPr>
        <w:t>r IFRS 16. According to the IFRS Foundation (2024), principal payments associated with a lease are classified as financing cash outflows. The standard correctly recognizes right-of-use assets and lease liabilities, but it can give a false impression of cash outflows being less economically significant. Cash outflows and committed facilities demonstrate defense against static ratios.</w:t>
      </w:r>
    </w:p>
    <w:p w14:paraId="7BB1EE94" w14:textId="77777777" w:rsidR="00AD5C0F" w:rsidRDefault="000D17F8">
      <w:pPr>
        <w:pStyle w:val="Heading3"/>
        <w:rPr>
          <w:rFonts w:ascii="Times New Roman" w:eastAsia="Times New Roman" w:hAnsi="Times New Roman" w:cs="Times New Roman"/>
          <w:color w:val="000000"/>
        </w:rPr>
      </w:pPr>
      <w:bookmarkStart w:id="17" w:name="_tqklv19krfb9" w:colFirst="0" w:colLast="0"/>
      <w:bookmarkEnd w:id="17"/>
      <w:r>
        <w:rPr>
          <w:rFonts w:ascii="Times New Roman" w:eastAsia="Times New Roman" w:hAnsi="Times New Roman" w:cs="Times New Roman"/>
          <w:color w:val="000000"/>
        </w:rPr>
        <w:t>2.4 Efficiency, gearing and investor ratios</w:t>
      </w:r>
    </w:p>
    <w:p w14:paraId="741AA158"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Efficiency is mixed. Inventory days improved from 43.1 in 2021 to 28.9 in 2023 but increased to 32.1 by 2025. Receivable days improved consistently from 12.3 to 8.2, reflecting a strong collection and a business model characterized by low customer credit. Payable days, however, fell from 76.5 to 50.4. The cash conversion cycle remained favorable at -10.1 days, although it deteriorated by approximately eleven days. This was the result of more supplier financing than inventory and receivable improvements. Sup</w:t>
      </w:r>
      <w:r>
        <w:rPr>
          <w:rFonts w:ascii="Times New Roman" w:eastAsia="Times New Roman" w:hAnsi="Times New Roman" w:cs="Times New Roman"/>
        </w:rPr>
        <w:t>plier financing must be managed in order to protect the cash conversion cycle. Scandic's decreasing payable days indicates that both creditors are borrowing less and losing liquidity cushion. The relationship between Scandic's payable days and target setting needs to be unraveled.</w:t>
      </w:r>
    </w:p>
    <w:p w14:paraId="3CACA514"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Scandic's lease-inclusive debt looks extremely high. 2025 debt to asset ratio stood between 84 percent and 87 percent, whereas debt to equity ratio was 15.1 percent. Interest cover calculation put the ratio at 1.42. Accounting for IFRS 16 debt and lease obligation along with lease related financing puts these ratios in an appropriate framework for assessing fixed contractual exposure. That said, these ratios can never mean true bank leverage. With these ratios Scandic reported SEK 35 million net interest be</w:t>
      </w:r>
      <w:r>
        <w:rPr>
          <w:rFonts w:ascii="Times New Roman" w:eastAsia="Times New Roman" w:hAnsi="Times New Roman" w:cs="Times New Roman"/>
        </w:rPr>
        <w:t>aring liabilities (excluding IFRS 16) and net debt to adjusted EBITDA of 0.0x.  Taking both into consideration indicates leases are highly restrictive, while the former indicates leases leave a lot of room to borrow more. As of 2025, Undiscounted lease payments aggregated SEK56,665 million, therefore, bank debt continuing to be low does not support much flexibility. (Scandic Hotels Group AB, 2025a).</w:t>
      </w:r>
    </w:p>
    <w:p w14:paraId="4645D0B3"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ratios used by investors indicate that there is a recovery underway, but the bar has been set higher. Estimated EPS for the year 2025 was SEK2.90, a drop from SEK3.19 in 2024. In 2021 it was SEK-8.79. SEK97.15 was the estimated closing year share price for 2025, resulting in a P/E ratio of 33.5x, as opposed to 14.7x in 2024. The Dalata deal may potentially be the reason for high confidence. That said high confidence can also increase the downside risk if expectations are not met. The 2024 dividend yield</w:t>
      </w:r>
      <w:r>
        <w:rPr>
          <w:rFonts w:ascii="Times New Roman" w:eastAsia="Times New Roman" w:hAnsi="Times New Roman" w:cs="Times New Roman"/>
        </w:rPr>
        <w:t xml:space="preserve"> of 7.4 percent, just like the SEK2.50 extra dividend, was artificially high. The SEK2.60 dividend proposed for 2025 will have a more realistic yield of 2.7 percent. Distributions should be prioritized behind liquidity and acquisition headroom rather than used to defend a short-term yield.</w:t>
      </w:r>
    </w:p>
    <w:p w14:paraId="7F643419"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Restored operating margin, rapid receivable collection, negative cash cycle, strong operating cash flow, and negligible net bank debt before leases are Scandic's key strengths. Primary challenges are low statutory liquidity, shrinking supplier-finance buffer, thin lease-inclusive interest cover, modest ROCE and an expensive acquisition due to geopolitical, currency and demand uncertainty. This supports a cash preservation, financing matching strategy to ensure positive NPV.</w:t>
      </w:r>
    </w:p>
    <w:p w14:paraId="422F9174"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relationships between the ratios give key insights, in comparison to the level of each individual ratio. Margin improvement, cash generation and return on capital improved in 2022, however it was not retained as current assets buffer. This is because leases and negative working capital combined to enable funding of operations through current liabilities. Workings capital was funded as Group signaled a planned expansion through the 2024 extraordinary dividend. The board should monitor key components of t</w:t>
      </w:r>
      <w:r>
        <w:rPr>
          <w:rFonts w:ascii="Times New Roman" w:eastAsia="Times New Roman" w:hAnsi="Times New Roman" w:cs="Times New Roman"/>
        </w:rPr>
        <w:t>he working capital including RevPAR, operating margin, free cash flow, committed liquidity, lease adjusted interest coverage and return on capital. High level warnings should be issued when margin continues to drop, payment days continue to shrink, and capital expenditure continues to improve ROCE. This integrated approach will better illustrate the presence of balance sheet risk over the improvement in share price and EPS.</w:t>
      </w:r>
    </w:p>
    <w:p w14:paraId="35EBD80C" w14:textId="77777777" w:rsidR="00AD5C0F" w:rsidRDefault="000D17F8">
      <w:pPr>
        <w:pStyle w:val="Heading2"/>
        <w:rPr>
          <w:rFonts w:ascii="Times New Roman" w:eastAsia="Times New Roman" w:hAnsi="Times New Roman" w:cs="Times New Roman"/>
          <w:color w:val="000000"/>
          <w:sz w:val="24"/>
          <w:szCs w:val="24"/>
        </w:rPr>
      </w:pPr>
      <w:bookmarkStart w:id="18" w:name="_11zgkou3zzf4" w:colFirst="0" w:colLast="0"/>
      <w:bookmarkEnd w:id="18"/>
      <w:r>
        <w:rPr>
          <w:rFonts w:ascii="Times New Roman" w:eastAsia="Times New Roman" w:hAnsi="Times New Roman" w:cs="Times New Roman"/>
          <w:color w:val="000000"/>
          <w:sz w:val="24"/>
          <w:szCs w:val="24"/>
        </w:rPr>
        <w:t>3. Working Capital Management Analysis</w:t>
      </w:r>
    </w:p>
    <w:p w14:paraId="33CC1416" w14:textId="77777777" w:rsidR="00AD5C0F" w:rsidRDefault="000D17F8">
      <w:pPr>
        <w:pStyle w:val="Heading3"/>
        <w:rPr>
          <w:rFonts w:ascii="Times New Roman" w:eastAsia="Times New Roman" w:hAnsi="Times New Roman" w:cs="Times New Roman"/>
        </w:rPr>
      </w:pPr>
      <w:bookmarkStart w:id="19" w:name="_sw466t2twqqt" w:colFirst="0" w:colLast="0"/>
      <w:bookmarkEnd w:id="19"/>
      <w:r>
        <w:rPr>
          <w:rFonts w:ascii="Times New Roman" w:eastAsia="Times New Roman" w:hAnsi="Times New Roman" w:cs="Times New Roman"/>
          <w:color w:val="000000"/>
        </w:rPr>
        <w:t>3.1 Cash operating cycle</w:t>
      </w:r>
    </w:p>
    <w:p w14:paraId="372B4DA9" w14:textId="77777777" w:rsidR="00AD5C0F" w:rsidRDefault="000D17F8">
      <w:pPr>
        <w:pStyle w:val="Heading4"/>
        <w:spacing w:before="160" w:after="80" w:line="276" w:lineRule="auto"/>
        <w:jc w:val="center"/>
        <w:rPr>
          <w:rFonts w:ascii="Times New Roman" w:eastAsia="Times New Roman" w:hAnsi="Times New Roman" w:cs="Times New Roman"/>
          <w:i w:val="0"/>
          <w:iCs w:val="0"/>
          <w:color w:val="000000"/>
        </w:rPr>
      </w:pPr>
      <w:bookmarkStart w:id="20" w:name="_60h3j89fbljt" w:colFirst="0" w:colLast="0"/>
      <w:bookmarkEnd w:id="20"/>
      <w:r>
        <w:rPr>
          <w:rFonts w:ascii="Times New Roman" w:eastAsia="Times New Roman" w:hAnsi="Times New Roman" w:cs="Times New Roman"/>
          <w:i w:val="0"/>
          <w:iCs w:val="0"/>
          <w:color w:val="000000"/>
        </w:rPr>
        <w:t>Table 2. Cash operating cycle</w:t>
      </w:r>
    </w:p>
    <w:p w14:paraId="134F12AE"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noProof/>
          <w:color w:val="000000"/>
        </w:rPr>
        <w:drawing>
          <wp:inline distT="114300" distB="114300" distL="114300" distR="114300" wp14:anchorId="2C844F61" wp14:editId="6AE60F08">
            <wp:extent cx="5731200" cy="1447800"/>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5731200" cy="1447800"/>
                    </a:xfrm>
                    <a:prstGeom prst="rect">
                      <a:avLst/>
                    </a:prstGeom>
                    <a:ln/>
                  </pic:spPr>
                </pic:pic>
              </a:graphicData>
            </a:graphic>
          </wp:inline>
        </w:drawing>
      </w:r>
    </w:p>
    <w:p w14:paraId="5B8C5F39"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 xml:space="preserve">Source: </w:t>
      </w:r>
      <w:r>
        <w:rPr>
          <w:rFonts w:ascii="Times New Roman" w:eastAsia="Times New Roman" w:hAnsi="Times New Roman" w:cs="Times New Roman"/>
          <w:color w:val="000000"/>
        </w:rPr>
        <w:t>A</w:t>
      </w:r>
      <w:r>
        <w:rPr>
          <w:rFonts w:ascii="Times New Roman" w:eastAsia="Times New Roman" w:hAnsi="Times New Roman" w:cs="Times New Roman"/>
          <w:color w:val="000000"/>
        </w:rPr>
        <w:t>verage balance-sheet balances and Scandic annual reports (2021-2025).</w:t>
      </w:r>
    </w:p>
    <w:p w14:paraId="332DE885" w14:textId="77777777" w:rsidR="00AD5C0F" w:rsidRDefault="000D17F8">
      <w:pPr>
        <w:keepNext/>
        <w:spacing w:line="276"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14:anchorId="16DB9B19" wp14:editId="01D9C4DC">
            <wp:extent cx="5486400" cy="1942121"/>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5486400" cy="1942121"/>
                    </a:xfrm>
                    <a:prstGeom prst="rect">
                      <a:avLst/>
                    </a:prstGeom>
                    <a:ln/>
                  </pic:spPr>
                </pic:pic>
              </a:graphicData>
            </a:graphic>
          </wp:inline>
        </w:drawing>
      </w:r>
    </w:p>
    <w:p w14:paraId="033E15DB" w14:textId="77777777" w:rsidR="00AD5C0F" w:rsidRDefault="000D17F8">
      <w:pPr>
        <w:pStyle w:val="Heading5"/>
        <w:spacing w:before="160" w:after="80" w:line="276" w:lineRule="auto"/>
        <w:jc w:val="center"/>
        <w:rPr>
          <w:rFonts w:ascii="Times New Roman" w:eastAsia="Times New Roman" w:hAnsi="Times New Roman" w:cs="Times New Roman"/>
          <w:b/>
          <w:bCs/>
          <w:color w:val="000000"/>
        </w:rPr>
      </w:pPr>
      <w:bookmarkStart w:id="21" w:name="_90e9jf7p3lyn" w:colFirst="0" w:colLast="0"/>
      <w:bookmarkEnd w:id="21"/>
      <w:r>
        <w:rPr>
          <w:rFonts w:ascii="Times New Roman" w:eastAsia="Times New Roman" w:hAnsi="Times New Roman" w:cs="Times New Roman"/>
          <w:b/>
          <w:bCs/>
          <w:color w:val="000000"/>
        </w:rPr>
        <w:t>Figure 3. Working-capital days and the cash conversion cycle</w:t>
      </w:r>
    </w:p>
    <w:p w14:paraId="7FD9165F"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Scandic annual reports (2021-2025).</w:t>
      </w:r>
    </w:p>
    <w:p w14:paraId="463C33F9"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2025 operating cycle was 40.3 days: 32.1 inventory days and 8.2 receivable days. Suppliers financed 50.4 days, leading to an unfavorable cash conversion cycle of 10.1 days. While an improvement is desired, this cycle is still beneficial as cash is typically collected prior to the payment to trade creditors. The direction, however, is adverse. In this case, 2021 saw a 4 day decrease in receivable days and an 11 day decrease in inventory days with a 26 day decrease in payable days. A further decrease in s</w:t>
      </w:r>
      <w:r>
        <w:rPr>
          <w:rFonts w:ascii="Times New Roman" w:eastAsia="Times New Roman" w:hAnsi="Times New Roman" w:cs="Times New Roman"/>
        </w:rPr>
        <w:t>upplier terms could lead to a zero cash conversion cycle and increase the reliance on revolving credit facilities during the seasonal lulls. Management must determine if this cycle decrease is a result of early payment discounts, improved supplier terms, a new procurement mix, or a conservative settlement after the pandemic.</w:t>
      </w:r>
    </w:p>
    <w:p w14:paraId="0EA2B2CC" w14:textId="77777777" w:rsidR="00AD5C0F" w:rsidRDefault="000D17F8">
      <w:pPr>
        <w:pStyle w:val="Heading3"/>
        <w:rPr>
          <w:rFonts w:ascii="Times New Roman" w:eastAsia="Times New Roman" w:hAnsi="Times New Roman" w:cs="Times New Roman"/>
          <w:color w:val="000000"/>
        </w:rPr>
      </w:pPr>
      <w:bookmarkStart w:id="22" w:name="_pfx6wo5prer9" w:colFirst="0" w:colLast="0"/>
      <w:bookmarkEnd w:id="22"/>
      <w:r>
        <w:rPr>
          <w:rFonts w:ascii="Times New Roman" w:eastAsia="Times New Roman" w:hAnsi="Times New Roman" w:cs="Times New Roman"/>
          <w:color w:val="000000"/>
        </w:rPr>
        <w:t>3.2 Liquidity reforms</w:t>
      </w:r>
    </w:p>
    <w:p w14:paraId="12B1FFB3"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 xml:space="preserve">To achieve a targeted 2025 scenario, it is expected that shortening DSO by one day, reducing inventory by three days and increasing payable terms by five days would equate to a SEK160.2 million release: SEK61.1 million release from receivables, SEK13.5 million from inventory, and SEK85.6 million from payables. This shows a potential business case and is not meant to be a forecast, as it assumes no adverse situations, such as a food shortage, supplier penalty, or loss of credit. This release must be pursued </w:t>
      </w:r>
      <w:r>
        <w:rPr>
          <w:rFonts w:ascii="Times New Roman" w:eastAsia="Times New Roman" w:hAnsi="Times New Roman" w:cs="Times New Roman"/>
        </w:rPr>
        <w:t>through improvements in the business.</w:t>
      </w:r>
    </w:p>
    <w:p w14:paraId="51AB235C" w14:textId="77777777" w:rsidR="00AD5C0F" w:rsidRDefault="000D17F8">
      <w:pPr>
        <w:numPr>
          <w:ilvl w:val="0"/>
          <w:numId w:val="2"/>
        </w:numPr>
        <w:spacing w:after="80"/>
        <w:rPr>
          <w:rFonts w:ascii="Times New Roman" w:eastAsia="Times New Roman" w:hAnsi="Times New Roman" w:cs="Times New Roman"/>
        </w:rPr>
      </w:pPr>
      <w:r>
        <w:rPr>
          <w:rFonts w:ascii="Times New Roman" w:eastAsia="Times New Roman" w:hAnsi="Times New Roman" w:cs="Times New Roman"/>
        </w:rPr>
        <w:t>Roll a rolling thirteen week cash forecast per country, hotel and currency, linked to occupancy, payroll, tax, rent, and renovation milestones. A central downside case should assume lower occupancy and rise due to energy prices and lower expected Dalata synergies.</w:t>
      </w:r>
    </w:p>
    <w:p w14:paraId="2D785624" w14:textId="77777777" w:rsidR="00AD5C0F" w:rsidRDefault="000D17F8">
      <w:pPr>
        <w:numPr>
          <w:ilvl w:val="0"/>
          <w:numId w:val="2"/>
        </w:numPr>
        <w:spacing w:after="80"/>
        <w:rPr>
          <w:rFonts w:ascii="Times New Roman" w:eastAsia="Times New Roman" w:hAnsi="Times New Roman" w:cs="Times New Roman"/>
        </w:rPr>
      </w:pPr>
      <w:r>
        <w:rPr>
          <w:rFonts w:ascii="Times New Roman" w:eastAsia="Times New Roman" w:hAnsi="Times New Roman" w:cs="Times New Roman"/>
        </w:rPr>
        <w:t>Automate corporate account billing and credit limits. Automate the resolution of corporate account billing disputes. Focus collection efforts on slow paying corporate and event accounts; do not apply broad, indiscriminate collection efforts.</w:t>
      </w:r>
    </w:p>
    <w:p w14:paraId="7C8D751F" w14:textId="77777777" w:rsidR="00AD5C0F" w:rsidRDefault="000D17F8">
      <w:pPr>
        <w:numPr>
          <w:ilvl w:val="0"/>
          <w:numId w:val="2"/>
        </w:numPr>
        <w:spacing w:after="80"/>
        <w:rPr>
          <w:rFonts w:ascii="Times New Roman" w:eastAsia="Times New Roman" w:hAnsi="Times New Roman" w:cs="Times New Roman"/>
        </w:rPr>
      </w:pPr>
      <w:r>
        <w:rPr>
          <w:rFonts w:ascii="Times New Roman" w:eastAsia="Times New Roman" w:hAnsi="Times New Roman" w:cs="Times New Roman"/>
        </w:rPr>
        <w:t>Use menu engineering, demand forecasting, and supplier data to eliminate slow-moving food and beverage inventory without sacrificcing guest availability. Pilot the three-day target in similar hotels; this approach may result in service complaints, stock-outs, and waste.</w:t>
      </w:r>
    </w:p>
    <w:p w14:paraId="59D3227E" w14:textId="77777777" w:rsidR="00AD5C0F" w:rsidRDefault="000D17F8">
      <w:pPr>
        <w:numPr>
          <w:ilvl w:val="0"/>
          <w:numId w:val="2"/>
        </w:numPr>
        <w:spacing w:after="80"/>
        <w:rPr>
          <w:rFonts w:ascii="Times New Roman" w:eastAsia="Times New Roman" w:hAnsi="Times New Roman" w:cs="Times New Roman"/>
        </w:rPr>
      </w:pPr>
      <w:r>
        <w:rPr>
          <w:rFonts w:ascii="Times New Roman" w:eastAsia="Times New Roman" w:hAnsi="Times New Roman" w:cs="Times New Roman"/>
        </w:rPr>
        <w:t>Segment suppliers before negotiating terms. Large, well-capitalized suppliers should be moved to 60 day contractual terms or supply chain finance. All other suppliers should be paid promptly. This supports ethical procurement and manages Scandic's liquidity risk to its partners.</w:t>
      </w:r>
    </w:p>
    <w:p w14:paraId="13DF1BC2" w14:textId="77777777" w:rsidR="00AD5C0F" w:rsidRDefault="000D17F8">
      <w:pPr>
        <w:pStyle w:val="Heading3"/>
        <w:rPr>
          <w:rFonts w:ascii="Times New Roman" w:eastAsia="Times New Roman" w:hAnsi="Times New Roman" w:cs="Times New Roman"/>
          <w:color w:val="000000"/>
        </w:rPr>
      </w:pPr>
      <w:bookmarkStart w:id="23" w:name="_5a2vgeda1s9y" w:colFirst="0" w:colLast="0"/>
      <w:bookmarkEnd w:id="23"/>
      <w:r>
        <w:rPr>
          <w:rFonts w:ascii="Times New Roman" w:eastAsia="Times New Roman" w:hAnsi="Times New Roman" w:cs="Times New Roman"/>
          <w:color w:val="000000"/>
        </w:rPr>
        <w:t>3.3 Short-term and long-term finance</w:t>
      </w:r>
    </w:p>
    <w:p w14:paraId="7138AF19" w14:textId="77777777" w:rsidR="00AD5C0F" w:rsidRDefault="000D17F8">
      <w:pPr>
        <w:pStyle w:val="Heading4"/>
        <w:spacing w:before="160" w:after="80" w:line="276" w:lineRule="auto"/>
        <w:jc w:val="center"/>
        <w:rPr>
          <w:rFonts w:ascii="Times New Roman" w:eastAsia="Times New Roman" w:hAnsi="Times New Roman" w:cs="Times New Roman"/>
          <w:i w:val="0"/>
          <w:iCs w:val="0"/>
          <w:color w:val="000000"/>
        </w:rPr>
      </w:pPr>
      <w:bookmarkStart w:id="24" w:name="_6yjwjh5bevkm" w:colFirst="0" w:colLast="0"/>
      <w:bookmarkEnd w:id="24"/>
      <w:r>
        <w:rPr>
          <w:rFonts w:ascii="Times New Roman" w:eastAsia="Times New Roman" w:hAnsi="Times New Roman" w:cs="Times New Roman"/>
          <w:i w:val="0"/>
          <w:iCs w:val="0"/>
          <w:color w:val="000000"/>
        </w:rPr>
        <w:t>Table 3. Financing alternatives for liquidity and growth</w:t>
      </w:r>
    </w:p>
    <w:p w14:paraId="26A2592E" w14:textId="77777777" w:rsidR="00AD5C0F" w:rsidRDefault="000D17F8">
      <w:pP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A61D6EF" wp14:editId="367F4C58">
            <wp:extent cx="5731200" cy="25146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2514600"/>
                    </a:xfrm>
                    <a:prstGeom prst="rect">
                      <a:avLst/>
                    </a:prstGeom>
                    <a:ln/>
                  </pic:spPr>
                </pic:pic>
              </a:graphicData>
            </a:graphic>
          </wp:inline>
        </w:drawing>
      </w:r>
    </w:p>
    <w:p w14:paraId="3D44005E"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Brealey et al. (2023) and Ross, Westerfield and Jordan (2024).</w:t>
      </w:r>
    </w:p>
    <w:p w14:paraId="74CEFB00" w14:textId="77777777" w:rsidR="00AD5C0F" w:rsidRDefault="000D17F8">
      <w:pPr>
        <w:spacing w:after="80"/>
        <w:rPr>
          <w:rFonts w:ascii="Times New Roman" w:eastAsia="Times New Roman" w:hAnsi="Times New Roman" w:cs="Times New Roman"/>
        </w:rPr>
      </w:pPr>
      <w:r>
        <w:rPr>
          <w:rFonts w:ascii="Times New Roman" w:eastAsia="Times New Roman" w:hAnsi="Times New Roman" w:cs="Times New Roman"/>
        </w:rPr>
        <w:t>The principle of matching should be applied to the financing mix. Seasonal payroll, food purchases, and short periods resulting in booking gaps can be funded through committed revolving credit. Renovations and acquisitions that are of a longer duration should not be funded through an overdraft. These should be funded through term debt, sustainability linked loans, or capital with maturity aligned to cash generation. Scandic's framework of SEK 7.5 billion for July 2026, with a three year opportunity and a po</w:t>
      </w:r>
      <w:r>
        <w:rPr>
          <w:rFonts w:ascii="Times New Roman" w:eastAsia="Times New Roman" w:hAnsi="Times New Roman" w:cs="Times New Roman"/>
        </w:rPr>
        <w:t>tential two year extension, is a significant increase to capacity. However, it introduces a material refinancing risk concentration (Scandic Hotels Group AB, 2026a). The combination of measures will ensure the preservation of liquidity without converting a short-term funding issue into a long-term solvency risk. Rather than funding the entire facility, it is preferable to implement part of the maturity schedule to preserve part of committed headroom and to cap the floating-rate exposure.</w:t>
      </w:r>
    </w:p>
    <w:p w14:paraId="43801B92"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Deepening working capital is essential for long term cash flow improvement. This is especially true on an international basis. It includes DSO, inventory days and exceptions for overdue payables. These are country finance director metrics. Joint procurement and supplier resilience metrics are centered on the supplier. Positive mix and currency effects should be separated from operational year on year improvements. The working capital cash balance should not fund dividends. It should restore the liquidity bu</w:t>
      </w:r>
      <w:r>
        <w:rPr>
          <w:rFonts w:ascii="Times New Roman" w:eastAsia="Times New Roman" w:hAnsi="Times New Roman" w:cs="Times New Roman"/>
        </w:rPr>
        <w:t>ffer and be allocated to other capital projects funded by positive NPV. The focus of the incentive scheme should be on sustainable cash conversion to support long term performance, as opposed to a one year-end balance. Invoice acceleration, even on a temporary basis, can improve year-end performance. This is often at the expense of long-term sustainability.</w:t>
      </w:r>
    </w:p>
    <w:p w14:paraId="24AE9186" w14:textId="77777777" w:rsidR="00AD5C0F" w:rsidRDefault="000D17F8">
      <w:pPr>
        <w:pStyle w:val="Heading2"/>
        <w:rPr>
          <w:rFonts w:ascii="Times New Roman" w:eastAsia="Times New Roman" w:hAnsi="Times New Roman" w:cs="Times New Roman"/>
          <w:color w:val="000000"/>
          <w:sz w:val="24"/>
          <w:szCs w:val="24"/>
        </w:rPr>
      </w:pPr>
      <w:bookmarkStart w:id="25" w:name="_bwi0cdoymzrs" w:colFirst="0" w:colLast="0"/>
      <w:bookmarkEnd w:id="25"/>
      <w:r>
        <w:rPr>
          <w:rFonts w:ascii="Times New Roman" w:eastAsia="Times New Roman" w:hAnsi="Times New Roman" w:cs="Times New Roman"/>
          <w:color w:val="000000"/>
          <w:sz w:val="24"/>
          <w:szCs w:val="24"/>
        </w:rPr>
        <w:t>4. Strategic Financial Restructuring Plan</w:t>
      </w:r>
    </w:p>
    <w:p w14:paraId="58118138" w14:textId="77777777" w:rsidR="00AD5C0F" w:rsidRDefault="000D17F8">
      <w:pPr>
        <w:pStyle w:val="Heading3"/>
        <w:rPr>
          <w:rFonts w:ascii="Times New Roman" w:eastAsia="Times New Roman" w:hAnsi="Times New Roman" w:cs="Times New Roman"/>
          <w:color w:val="000000"/>
        </w:rPr>
      </w:pPr>
      <w:bookmarkStart w:id="26" w:name="_qnyx908hxky0" w:colFirst="0" w:colLast="0"/>
      <w:bookmarkEnd w:id="26"/>
      <w:r>
        <w:rPr>
          <w:rFonts w:ascii="Times New Roman" w:eastAsia="Times New Roman" w:hAnsi="Times New Roman" w:cs="Times New Roman"/>
          <w:color w:val="000000"/>
        </w:rPr>
        <w:t>4.1 Restructuring objectives and options</w:t>
      </w:r>
    </w:p>
    <w:p w14:paraId="32971C62"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priorities are keeping net debt below the Scandic Group target of 1.0x; securing the required flexibility in operations given the large commitments; and financing the acquisition of the Dalata hotel-operations businesses without negatively impacting shareholder value. The group estimates that the purchase of the operating businesses will be in the region of EUR500 million, after closing adjustments. The group indicates that it plans to use cash and draw part of the debt facilities available (Scandic Hot</w:t>
      </w:r>
      <w:r>
        <w:rPr>
          <w:rFonts w:ascii="Times New Roman" w:eastAsia="Times New Roman" w:hAnsi="Times New Roman" w:cs="Times New Roman"/>
        </w:rPr>
        <w:t>els Group AB, 2025b). At the closing rate in the 2025 workbook of 10.818 EUR/SEK, this is approximately SEK5,409 million. The purchase price of about 6.0x 2024 EBITDA would put the acquired EBITDA at SEK902 million before the synergies.</w:t>
      </w:r>
    </w:p>
    <w:p w14:paraId="6A28A9AD"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 xml:space="preserve">Scandic should simultaneously pursue three strategies. First, Scandic should opt to exit underperforming leases and renegotiate leases to include more variable rent, management, and franchise contracts. Control is not as important in these contracts. Exiting leases can be beneficial, but poorly timed exits can lead to losses due to penalties and weaker overall coverage. Second, acquisition finance should contain some permanent capital with term debt instead of relying on financing an acquisition with a new </w:t>
      </w:r>
      <w:r>
        <w:rPr>
          <w:rFonts w:ascii="Times New Roman" w:eastAsia="Times New Roman" w:hAnsi="Times New Roman" w:cs="Times New Roman"/>
        </w:rPr>
        <w:t>debt facility. Third, non-essential interests or mature interests can be sold to raise funds and be redeployed to higher yield hotels. Until integration from Dalata is complete, a broad merger should not be pursued as the risk of a second transaction would be greater than the first.</w:t>
      </w:r>
    </w:p>
    <w:p w14:paraId="35023607" w14:textId="77777777" w:rsidR="00AD5C0F" w:rsidRDefault="000D17F8">
      <w:pPr>
        <w:pStyle w:val="Heading3"/>
        <w:rPr>
          <w:rFonts w:ascii="Times New Roman" w:eastAsia="Times New Roman" w:hAnsi="Times New Roman" w:cs="Times New Roman"/>
          <w:color w:val="000000"/>
        </w:rPr>
      </w:pPr>
      <w:bookmarkStart w:id="27" w:name="_58t7bd7w9s8" w:colFirst="0" w:colLast="0"/>
      <w:bookmarkEnd w:id="27"/>
      <w:r>
        <w:rPr>
          <w:rFonts w:ascii="Times New Roman" w:eastAsia="Times New Roman" w:hAnsi="Times New Roman" w:cs="Times New Roman"/>
          <w:color w:val="000000"/>
        </w:rPr>
        <w:t>4.2 Funding scenarios and recommendation</w:t>
      </w:r>
    </w:p>
    <w:p w14:paraId="30DF7EC3" w14:textId="77777777" w:rsidR="00AD5C0F" w:rsidRDefault="000D17F8">
      <w:pPr>
        <w:pStyle w:val="Heading4"/>
        <w:spacing w:before="160" w:after="80" w:line="276" w:lineRule="auto"/>
        <w:jc w:val="center"/>
        <w:rPr>
          <w:rFonts w:ascii="Times New Roman" w:eastAsia="Times New Roman" w:hAnsi="Times New Roman" w:cs="Times New Roman"/>
          <w:i w:val="0"/>
          <w:iCs w:val="0"/>
          <w:color w:val="000000"/>
        </w:rPr>
      </w:pPr>
      <w:bookmarkStart w:id="28" w:name="_9uitulo4w14u" w:colFirst="0" w:colLast="0"/>
      <w:bookmarkEnd w:id="28"/>
      <w:r>
        <w:rPr>
          <w:rFonts w:ascii="Times New Roman" w:eastAsia="Times New Roman" w:hAnsi="Times New Roman" w:cs="Times New Roman"/>
          <w:i w:val="0"/>
          <w:iCs w:val="0"/>
          <w:color w:val="000000"/>
        </w:rPr>
        <w:t>Table 4. Illustrative Dalata financing scenarios</w:t>
      </w:r>
    </w:p>
    <w:p w14:paraId="090EDEFA" w14:textId="77777777" w:rsidR="00AD5C0F" w:rsidRDefault="000D17F8">
      <w:pPr>
        <w:spacing w:line="276" w:lineRule="auto"/>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114300" distB="114300" distL="114300" distR="114300" wp14:anchorId="4CA09B51" wp14:editId="487359FA">
            <wp:extent cx="5731200" cy="16002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1600200"/>
                    </a:xfrm>
                    <a:prstGeom prst="rect">
                      <a:avLst/>
                    </a:prstGeom>
                    <a:ln/>
                  </pic:spPr>
                </pic:pic>
              </a:graphicData>
            </a:graphic>
          </wp:inline>
        </w:drawing>
      </w:r>
      <w:r>
        <w:rPr>
          <w:rFonts w:ascii="Times New Roman" w:eastAsia="Times New Roman" w:hAnsi="Times New Roman" w:cs="Times New Roman"/>
          <w:color w:val="000000"/>
        </w:rPr>
        <w:t>Source: Illustrative calculations using SEK35m existing net debt, SEK2,425m Scandic adjusted EBITDA, SEK5,409m price, implied SEK902m acquired EBITDA and SEK97.15 share-price proxy. Excludes synergies, fees, taxes, acquired debt/cash and purchase accounting.</w:t>
      </w:r>
    </w:p>
    <w:p w14:paraId="1A8CD206"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Full debt funding makes existing shareholders own a higher percentage of the company, but puts SNE's net debt/EBITDA at 1.64x, which is higher than the preferred ratio and before the impact and cost of integration. Full equity funding almost completely eliminates leverage, but would dilute existing holders by approximately 20.6% with the 2025 price proxy. It is more financially reasonable to have 60% of the funding as debt and 40% of the funding as equity, which would make the leverage approximately 0.99 an</w:t>
      </w:r>
      <w:r>
        <w:rPr>
          <w:rFonts w:ascii="Times New Roman" w:eastAsia="Times New Roman" w:hAnsi="Times New Roman" w:cs="Times New Roman"/>
        </w:rPr>
        <w:t>d the dilution approximately 9.4%. The equity funding can be lowered if verified synergies, retained cash flows, or lease exits fund a portion of the price, but these things should not be assumed until they are legally and operationally binding. This maintains the preferred capital structure while avoiding the high level of dilution that comes from fully equity funding.</w:t>
      </w:r>
    </w:p>
    <w:p w14:paraId="2761E24F"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Shareholder value depends on more than the acquisition multiple. The transaction broadens Beyond the Nordics builds scale on its Commercial Platform and improves geographic diversification. Counteracting this are possible overpayments, cultural misalignments, system migrations, and delayed carve-outs that could offset the apparent multiple. The Board should approve fund releases in stages and maintain a dedicated integration budget. Integration progress should be reported to them on at least a quarterly bas</w:t>
      </w:r>
      <w:r>
        <w:rPr>
          <w:rFonts w:ascii="Times New Roman" w:eastAsia="Times New Roman" w:hAnsi="Times New Roman" w:cs="Times New Roman"/>
        </w:rPr>
        <w:t>is regarding achieved synergies, guest satisfaction and employee retention, and return on capital employed. Post enforced liquidity and leverage ratios, dividend payouts should follow the policy of distributing at least 50% of profits, after the adjustment for IFRS 16.</w:t>
      </w:r>
    </w:p>
    <w:p w14:paraId="7133B807" w14:textId="77777777" w:rsidR="00AD5C0F" w:rsidRDefault="000D17F8">
      <w:pPr>
        <w:pStyle w:val="Heading3"/>
        <w:rPr>
          <w:rFonts w:ascii="Times New Roman" w:eastAsia="Times New Roman" w:hAnsi="Times New Roman" w:cs="Times New Roman"/>
          <w:color w:val="000000"/>
        </w:rPr>
      </w:pPr>
      <w:bookmarkStart w:id="29" w:name="_cyxvuzx0vjpf" w:colFirst="0" w:colLast="0"/>
      <w:bookmarkEnd w:id="29"/>
      <w:r>
        <w:rPr>
          <w:rFonts w:ascii="Times New Roman" w:eastAsia="Times New Roman" w:hAnsi="Times New Roman" w:cs="Times New Roman"/>
          <w:color w:val="000000"/>
        </w:rPr>
        <w:t>4.3 International and ethical considerations</w:t>
      </w:r>
    </w:p>
    <w:p w14:paraId="6827E1BF"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International growth introduces the risk of exposure to both cost and profit translation and transactional currency exposures in SEK, EUR, GBP, NOK and DKK. Once a commitment is made, the acquisition price should be hedged using appropriate instruments. Cash flows generated from the business should use currency natural hedging and selectively use forwards or swaps. Debt with currency exposure should be hedged only if cash flows are matched, any apparent savings may be more than offset by currency movements.</w:t>
      </w:r>
      <w:r>
        <w:rPr>
          <w:rFonts w:ascii="Times New Roman" w:eastAsia="Times New Roman" w:hAnsi="Times New Roman" w:cs="Times New Roman"/>
        </w:rPr>
        <w:t xml:space="preserve"> Address inflation and floating rate exposures with fixed rate caps, hedges, and stress testing covenants. Tax planning should focus on the economic substance with local transfer-pricing rules and OECD principles for profit shifts to maintain reputation. No short-term tax benefits would be adequate to offset the eventual loss of licence and reputational risks.</w:t>
      </w:r>
    </w:p>
    <w:p w14:paraId="5D0C4A4E"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Restructuring should align with ESG goals. Scandic reports a 39 percent decrease in Scope 1 and 2 emissions from its 2023 baseline, and a 31 percent decrease in avoidable food waste per guest night, relative to 2019, while aspiring for net-zero by 2050 (Scandic Hotels Group AB, 2025a). For sustainability-linked loans, measurable and demonstrable goals should be externally verified to avoid greenwashing efficiencies eroding the intended pricing benefit. Lease negotiations should allocate the costs and benefi</w:t>
      </w:r>
      <w:r>
        <w:rPr>
          <w:rFonts w:ascii="Times New Roman" w:eastAsia="Times New Roman" w:hAnsi="Times New Roman" w:cs="Times New Roman"/>
        </w:rPr>
        <w:t>ts from energy-efficient upgrades to both the operator and the property owner. Contract renegotiations for key suppliers should promote longer contract terms, especially for smaller suppliers. Lastly, data integration should strike a balance among all these objectives. Such controls should transform ESG from a reporting obligation to a barrier for value-destructive financing and operations.</w:t>
      </w:r>
    </w:p>
    <w:p w14:paraId="3B8B7E15"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Restructuring should be prioritized. Before completion, Scandic should fix the currency and financing plans, evaluate the EBITDA that was acquired and set a lower minimum liquidity covenant in contrast to the limits of the company’s legal financing activities. In the first 100 days, Scandic should perform a lease-by-lease analysis for profitability, integrate cash forecasting and identify redundant procurement and technology costs. By the end of year one, the Board should evaluate the cash flows from synerg</w:t>
      </w:r>
      <w:r>
        <w:rPr>
          <w:rFonts w:ascii="Times New Roman" w:eastAsia="Times New Roman" w:hAnsi="Times New Roman" w:cs="Times New Roman"/>
        </w:rPr>
        <w:t>ies against the case for the acquisition and put a hold to all discretionary expansions if the guest satisfaction, employee retention or any other criteria is no longer met. Integrated ROCE should be assessed after two years and if the returns are not adequate, the acquisition should be reviewed. This is an optimal approach and allows capital deployment to be delayed if market conditions change.</w:t>
      </w:r>
    </w:p>
    <w:p w14:paraId="7170CD1C" w14:textId="77777777" w:rsidR="00AD5C0F" w:rsidRDefault="000D17F8">
      <w:pPr>
        <w:pStyle w:val="Heading2"/>
        <w:rPr>
          <w:rFonts w:ascii="Times New Roman" w:eastAsia="Times New Roman" w:hAnsi="Times New Roman" w:cs="Times New Roman"/>
          <w:color w:val="000000"/>
          <w:sz w:val="24"/>
          <w:szCs w:val="24"/>
        </w:rPr>
      </w:pPr>
      <w:bookmarkStart w:id="30" w:name="_eydrvlvq0jv5" w:colFirst="0" w:colLast="0"/>
      <w:bookmarkEnd w:id="30"/>
      <w:r>
        <w:rPr>
          <w:rFonts w:ascii="Times New Roman" w:eastAsia="Times New Roman" w:hAnsi="Times New Roman" w:cs="Times New Roman"/>
          <w:color w:val="000000"/>
          <w:sz w:val="24"/>
          <w:szCs w:val="24"/>
        </w:rPr>
        <w:t>5. Investment Appraisal and Capital Budgeting</w:t>
      </w:r>
    </w:p>
    <w:p w14:paraId="0F799114" w14:textId="77777777" w:rsidR="00AD5C0F" w:rsidRDefault="000D17F8">
      <w:pPr>
        <w:pStyle w:val="Heading3"/>
        <w:rPr>
          <w:rFonts w:ascii="Times New Roman" w:eastAsia="Times New Roman" w:hAnsi="Times New Roman" w:cs="Times New Roman"/>
          <w:color w:val="000000"/>
        </w:rPr>
      </w:pPr>
      <w:bookmarkStart w:id="31" w:name="_zifuskcgskt1" w:colFirst="0" w:colLast="0"/>
      <w:bookmarkEnd w:id="31"/>
      <w:r>
        <w:rPr>
          <w:rFonts w:ascii="Times New Roman" w:eastAsia="Times New Roman" w:hAnsi="Times New Roman" w:cs="Times New Roman"/>
          <w:color w:val="000000"/>
        </w:rPr>
        <w:t>5.1 Method and assumptions</w:t>
      </w:r>
    </w:p>
    <w:p w14:paraId="45BF60F1"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Each takes £50 million to start, with five cash inflows after. The appraisal is based on 8% and a method of zero terminal value straight line depreciation at £10 million each year. Therefore, the average investment is £25 million. Investment time for payback is the nominal value investment recovery time. The average accounting profit is divided by the average investment. This is the ARR. Net present value (NPV) is zero at the cost of the investment and discounts all cash flows. PI is the present value of in</w:t>
      </w:r>
      <w:r>
        <w:rPr>
          <w:rFonts w:ascii="Times New Roman" w:eastAsia="Times New Roman" w:hAnsi="Times New Roman" w:cs="Times New Roman"/>
        </w:rPr>
        <w:t>flows divided by the cost. IRR is the discount rate at which NPV becomes zero. NPV is the dominant rule in making decisions because it evaluates the turnover in value to the shareholders beyond the opportunity cost of capital (Brealey et al., 2023). ARR and payback provide perspective in liquidity and accounting, but do not take the place of evaluating investment opportunities.</w:t>
      </w:r>
    </w:p>
    <w:p w14:paraId="59F6CBA0" w14:textId="77777777" w:rsidR="00AD5C0F" w:rsidRDefault="000D17F8">
      <w:pPr>
        <w:pStyle w:val="Heading4"/>
        <w:spacing w:before="160" w:after="80" w:line="276" w:lineRule="auto"/>
        <w:jc w:val="center"/>
        <w:rPr>
          <w:i w:val="0"/>
          <w:iCs w:val="0"/>
          <w:color w:val="000000"/>
        </w:rPr>
      </w:pPr>
      <w:bookmarkStart w:id="32" w:name="_olb0kqnpag5t" w:colFirst="0" w:colLast="0"/>
      <w:bookmarkEnd w:id="32"/>
      <w:r>
        <w:rPr>
          <w:i w:val="0"/>
          <w:iCs w:val="0"/>
          <w:color w:val="000000"/>
        </w:rPr>
        <w:t>Table 5. Project cash flows</w:t>
      </w:r>
    </w:p>
    <w:p w14:paraId="6BEE9D4D" w14:textId="77777777" w:rsidR="00AD5C0F" w:rsidRDefault="000D17F8">
      <w:pPr>
        <w:spacing w:line="276" w:lineRule="auto"/>
        <w:jc w:val="center"/>
      </w:pPr>
      <w:r>
        <w:rPr>
          <w:noProof/>
        </w:rPr>
        <w:drawing>
          <wp:inline distT="114300" distB="114300" distL="114300" distR="114300" wp14:anchorId="0C4FA6B6" wp14:editId="66BB5441">
            <wp:extent cx="5731200" cy="863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863600"/>
                    </a:xfrm>
                    <a:prstGeom prst="rect">
                      <a:avLst/>
                    </a:prstGeom>
                    <a:ln/>
                  </pic:spPr>
                </pic:pic>
              </a:graphicData>
            </a:graphic>
          </wp:inline>
        </w:drawing>
      </w:r>
    </w:p>
    <w:p w14:paraId="3C158D8E"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LCMB7002 assessment specification. £ million.</w:t>
      </w:r>
    </w:p>
    <w:p w14:paraId="21E460B9" w14:textId="77777777" w:rsidR="00AD5C0F" w:rsidRDefault="000D17F8">
      <w:pPr>
        <w:pStyle w:val="Heading3"/>
        <w:rPr>
          <w:color w:val="000000"/>
        </w:rPr>
      </w:pPr>
      <w:bookmarkStart w:id="33" w:name="_byhpts6tegh" w:colFirst="0" w:colLast="0"/>
      <w:bookmarkEnd w:id="33"/>
      <w:r>
        <w:rPr>
          <w:color w:val="000000"/>
        </w:rPr>
        <w:t>5.2 Results and critical evaluation</w:t>
      </w:r>
    </w:p>
    <w:p w14:paraId="515F4E68" w14:textId="77777777" w:rsidR="00AD5C0F" w:rsidRDefault="000D17F8">
      <w:pPr>
        <w:pStyle w:val="Heading4"/>
        <w:spacing w:before="160" w:after="80" w:line="276" w:lineRule="auto"/>
        <w:jc w:val="center"/>
        <w:rPr>
          <w:i w:val="0"/>
          <w:iCs w:val="0"/>
          <w:color w:val="000000"/>
        </w:rPr>
      </w:pPr>
      <w:bookmarkStart w:id="34" w:name="_f9hrymsvz8ft" w:colFirst="0" w:colLast="0"/>
      <w:bookmarkEnd w:id="34"/>
      <w:r>
        <w:rPr>
          <w:i w:val="0"/>
          <w:iCs w:val="0"/>
          <w:color w:val="000000"/>
        </w:rPr>
        <w:t>Table 6. Investment appraisal results</w:t>
      </w:r>
    </w:p>
    <w:p w14:paraId="504FC445" w14:textId="77777777" w:rsidR="00AD5C0F" w:rsidRDefault="000D17F8">
      <w:pPr>
        <w:spacing w:line="276" w:lineRule="auto"/>
        <w:jc w:val="center"/>
      </w:pPr>
      <w:r>
        <w:rPr>
          <w:noProof/>
        </w:rPr>
        <w:drawing>
          <wp:inline distT="114300" distB="114300" distL="114300" distR="114300" wp14:anchorId="3B9C2E09" wp14:editId="719EE2BD">
            <wp:extent cx="5731200" cy="113030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1130300"/>
                    </a:xfrm>
                    <a:prstGeom prst="rect">
                      <a:avLst/>
                    </a:prstGeom>
                    <a:ln/>
                  </pic:spPr>
                </pic:pic>
              </a:graphicData>
            </a:graphic>
          </wp:inline>
        </w:drawing>
      </w:r>
    </w:p>
    <w:p w14:paraId="1F2978C4"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Authorial calculations from Table 5; see Appendix C for discount factors and present values.</w:t>
      </w:r>
    </w:p>
    <w:p w14:paraId="150AA7AF" w14:textId="77777777" w:rsidR="00AD5C0F" w:rsidRDefault="000D17F8">
      <w:pPr>
        <w:keepNext/>
        <w:spacing w:line="276"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14:anchorId="776D53D5" wp14:editId="3836173A">
            <wp:extent cx="5303520" cy="1968281"/>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303520" cy="1968281"/>
                    </a:xfrm>
                    <a:prstGeom prst="rect">
                      <a:avLst/>
                    </a:prstGeom>
                    <a:ln/>
                  </pic:spPr>
                </pic:pic>
              </a:graphicData>
            </a:graphic>
          </wp:inline>
        </w:drawing>
      </w:r>
    </w:p>
    <w:p w14:paraId="54CFAC0E" w14:textId="77777777" w:rsidR="00AD5C0F" w:rsidRDefault="000D17F8">
      <w:pPr>
        <w:pStyle w:val="Heading5"/>
        <w:spacing w:before="160" w:after="80" w:line="276" w:lineRule="auto"/>
        <w:jc w:val="center"/>
        <w:rPr>
          <w:b/>
          <w:bCs/>
          <w:color w:val="000000"/>
        </w:rPr>
      </w:pPr>
      <w:bookmarkStart w:id="35" w:name="_v2bcphmfs7tb" w:colFirst="0" w:colLast="0"/>
      <w:bookmarkEnd w:id="35"/>
      <w:r>
        <w:rPr>
          <w:b/>
          <w:bCs/>
          <w:color w:val="000000"/>
        </w:rPr>
        <w:t>Figure 4. Net present value of Projects A-C</w:t>
      </w:r>
    </w:p>
    <w:p w14:paraId="3E0879DD" w14:textId="77777777" w:rsidR="00AD5C0F" w:rsidRDefault="000D17F8">
      <w:pPr>
        <w:pBdr>
          <w:top w:val="nil"/>
          <w:left w:val="nil"/>
          <w:bottom w:val="nil"/>
          <w:right w:val="nil"/>
          <w:between w:val="nil"/>
        </w:pBdr>
        <w:spacing w:before="80" w:after="160" w:line="276"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Source: Calculated from the LCMB7002 project cash flows at an 8% discount rate.</w:t>
      </w:r>
    </w:p>
    <w:p w14:paraId="6637F8E3"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 xml:space="preserve">Project A takes 4.50 years to pay back, but has an ARR of 3.2% and an IRR of 2.72%, which are both less than the 8% target. This Project has an NPV of -£6.54 million and a PI of 0.869x which means each £1 invested yields £0.87 of present value inflows. Project B also has annual constant cash flows, which appear to be more operationally safe, but are still not attractive. This Project has a payback time of 4.55 years, an NPV of -£6.08 million, a PI of 0.878x and an IRR of 3.26% Stability does not compensate </w:t>
      </w:r>
      <w:r>
        <w:rPr>
          <w:rFonts w:ascii="Times New Roman" w:eastAsia="Times New Roman" w:hAnsi="Times New Roman" w:cs="Times New Roman"/>
        </w:rPr>
        <w:t>for a bad return both projects have a nominal return of £50 million in five years showing why nominal payback can approve investments that erode value.</w:t>
      </w:r>
    </w:p>
    <w:p w14:paraId="0C5401FF"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Project C has dominant results across all the stated metrics. It returns capital in 3.60 years with a 12.0% ARR, produces a net present value of £0.86 million, a 1.017 PI and an 8.59% IRR. Therefore C is the preferred option and A and B are rejected. ARR has its utility in measuring expected accounting profit related to profit reported. ARR, however, is dependent on accounting conventions of depreciation and ignores cash flows. In terms of liquidity constrained firms, payback is taken into consideration, al</w:t>
      </w:r>
      <w:r>
        <w:rPr>
          <w:rFonts w:ascii="Times New Roman" w:eastAsia="Times New Roman" w:hAnsi="Times New Roman" w:cs="Times New Roman"/>
        </w:rPr>
        <w:t>though the time value of money and cash flows post payback are ignored. IRR, as a percentage, is straightforward, yet it can rank two different projects in terms of scale and timing in a misleading manner. PI is useful in the context of capital rationing, although NPV is still critical as it measures absolute value (Ross, Westerfield and Jordan, 2024).</w:t>
      </w:r>
    </w:p>
    <w:p w14:paraId="0DDD4BD6"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Project C has positive results, however it has a lot of cash flow risk. The NPV is only 1.7% of the initial cost and the IRR is only greater than the goal by 0.59 percentage points. Also, the largest cash inflow of £25 million and 38% of the total cash inflows will occur in year 4. A small error in any of the project costs, occupancy, pricing, or timing will result in Project C having low or negative value. Therefore Project C should clear a non-financial and sensitivity gateway prior to taking on the proje</w:t>
      </w:r>
      <w:r>
        <w:rPr>
          <w:rFonts w:ascii="Times New Roman" w:eastAsia="Times New Roman" w:hAnsi="Times New Roman" w:cs="Times New Roman"/>
        </w:rPr>
        <w:t>ct.</w:t>
      </w:r>
    </w:p>
    <w:p w14:paraId="7DB30D0E" w14:textId="77777777" w:rsidR="00AD5C0F" w:rsidRDefault="000D17F8">
      <w:pPr>
        <w:pStyle w:val="Heading4"/>
        <w:spacing w:before="160" w:after="80" w:line="276" w:lineRule="auto"/>
        <w:jc w:val="center"/>
        <w:rPr>
          <w:i w:val="0"/>
          <w:iCs w:val="0"/>
          <w:color w:val="000000"/>
        </w:rPr>
      </w:pPr>
      <w:bookmarkStart w:id="36" w:name="_r3pl9l2kr5qa" w:colFirst="0" w:colLast="0"/>
      <w:bookmarkEnd w:id="36"/>
      <w:r>
        <w:rPr>
          <w:i w:val="0"/>
          <w:iCs w:val="0"/>
          <w:color w:val="000000"/>
        </w:rPr>
        <w:t>Table 7. Simple sensitivity of Project C</w:t>
      </w:r>
    </w:p>
    <w:p w14:paraId="5908DAC1" w14:textId="77777777" w:rsidR="00AD5C0F" w:rsidRDefault="000D17F8">
      <w:pPr>
        <w:spacing w:line="276" w:lineRule="auto"/>
        <w:jc w:val="center"/>
        <w:rPr>
          <w:rFonts w:ascii="Times New Roman" w:eastAsia="Times New Roman" w:hAnsi="Times New Roman" w:cs="Times New Roman"/>
          <w:color w:val="000000"/>
        </w:rPr>
      </w:pPr>
      <w:r>
        <w:rPr>
          <w:noProof/>
        </w:rPr>
        <w:drawing>
          <wp:inline distT="114300" distB="114300" distL="114300" distR="114300" wp14:anchorId="0E25E7DC" wp14:editId="5F3CA9F4">
            <wp:extent cx="5731200" cy="13081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31200" cy="1308100"/>
                    </a:xfrm>
                    <a:prstGeom prst="rect">
                      <a:avLst/>
                    </a:prstGeom>
                    <a:ln/>
                  </pic:spPr>
                </pic:pic>
              </a:graphicData>
            </a:graphic>
          </wp:inline>
        </w:drawing>
      </w:r>
      <w:r>
        <w:rPr>
          <w:rFonts w:ascii="Times New Roman" w:eastAsia="Times New Roman" w:hAnsi="Times New Roman" w:cs="Times New Roman"/>
          <w:color w:val="000000"/>
        </w:rPr>
        <w:t>Source: Authorial sensitivity based on the base cash flows and 8% discount rate; no probability weighting is assumed.</w:t>
      </w:r>
    </w:p>
    <w:p w14:paraId="43BD03F1"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Sensitivity analysis illustrates insufficient safety margin. Impact of 5% decrease in all inflows leads to NPV of -£1.68 million. Impact of 10% cost overruns leads to NPV of -£4.14 million. Impact of one year delay leads to NPV of -£2.91 million. Management should get fixed price contracts, stage-gate approvals before major investments, and focus on leading indicators instead of accounting variances. If the project is a hotel development or conversion, leading indicators should include Approval of planning,</w:t>
      </w:r>
      <w:r>
        <w:rPr>
          <w:rFonts w:ascii="Times New Roman" w:eastAsia="Times New Roman" w:hAnsi="Times New Roman" w:cs="Times New Roman"/>
        </w:rPr>
        <w:t xml:space="preserve"> construction milestones, progress of recruiting, advance bookings, rate, and landlord contributions.</w:t>
      </w:r>
    </w:p>
    <w:p w14:paraId="454D089F" w14:textId="77777777" w:rsidR="00AD5C0F" w:rsidRDefault="000D17F8">
      <w:pPr>
        <w:pStyle w:val="Heading3"/>
        <w:rPr>
          <w:rFonts w:ascii="Times New Roman" w:eastAsia="Times New Roman" w:hAnsi="Times New Roman" w:cs="Times New Roman"/>
          <w:color w:val="000000"/>
        </w:rPr>
      </w:pPr>
      <w:bookmarkStart w:id="37" w:name="_knbkf3v7qsax" w:colFirst="0" w:colLast="0"/>
      <w:bookmarkEnd w:id="37"/>
      <w:r>
        <w:rPr>
          <w:rFonts w:ascii="Times New Roman" w:eastAsia="Times New Roman" w:hAnsi="Times New Roman" w:cs="Times New Roman"/>
          <w:color w:val="000000"/>
        </w:rPr>
        <w:t>5.3 Company-specific and non-financial risks</w:t>
      </w:r>
    </w:p>
    <w:p w14:paraId="37508DF5"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Scandic has the capacity to undertake a solid project exceeding the statutory current ratio with an expected 2025 operating cash flow of SEK6.46 billion and negligible bank net debt (excluding leases). Given an interest cover of 1.42x and the negative trend in supplier financing, using short-term working capital for the long-term (£50 million) investment of Project C is not advisable. Financing the project with a currency hedge should be matched by a currency of cash flows (GBP) in contrast with Scandic’s r</w:t>
      </w:r>
      <w:r>
        <w:rPr>
          <w:rFonts w:ascii="Times New Roman" w:eastAsia="Times New Roman" w:hAnsi="Times New Roman" w:cs="Times New Roman"/>
        </w:rPr>
        <w:t>eporting currency (SEK). Further, Project C Approval should be handled in such a way to safeguard the committed liquidity buffer required for the integration of Dalata and seasonal activities.</w:t>
      </w:r>
    </w:p>
    <w:p w14:paraId="2862D3CF" w14:textId="77777777" w:rsidR="00AD5C0F" w:rsidRDefault="00AD5C0F">
      <w:pPr>
        <w:rPr>
          <w:rFonts w:ascii="Times New Roman" w:eastAsia="Times New Roman" w:hAnsi="Times New Roman" w:cs="Times New Roman"/>
        </w:rPr>
      </w:pPr>
    </w:p>
    <w:p w14:paraId="726483F0" w14:textId="77777777" w:rsidR="00AD5C0F" w:rsidRDefault="00AD5C0F">
      <w:pPr>
        <w:rPr>
          <w:rFonts w:ascii="Times New Roman" w:eastAsia="Times New Roman" w:hAnsi="Times New Roman" w:cs="Times New Roman"/>
        </w:rPr>
      </w:pPr>
    </w:p>
    <w:p w14:paraId="152682EE" w14:textId="77777777" w:rsidR="00AD5C0F" w:rsidRDefault="00AD5C0F">
      <w:pPr>
        <w:rPr>
          <w:rFonts w:ascii="Times New Roman" w:eastAsia="Times New Roman" w:hAnsi="Times New Roman" w:cs="Times New Roman"/>
        </w:rPr>
      </w:pPr>
    </w:p>
    <w:p w14:paraId="017997CA" w14:textId="77777777" w:rsidR="00AD5C0F" w:rsidRDefault="00AD5C0F">
      <w:pPr>
        <w:rPr>
          <w:rFonts w:ascii="Times New Roman" w:eastAsia="Times New Roman" w:hAnsi="Times New Roman" w:cs="Times New Roman"/>
        </w:rPr>
      </w:pPr>
    </w:p>
    <w:p w14:paraId="30C0E41F" w14:textId="77777777" w:rsidR="00AD5C0F" w:rsidRDefault="00AD5C0F">
      <w:pPr>
        <w:rPr>
          <w:rFonts w:ascii="Times New Roman" w:eastAsia="Times New Roman" w:hAnsi="Times New Roman" w:cs="Times New Roman"/>
        </w:rPr>
      </w:pPr>
    </w:p>
    <w:p w14:paraId="72FC3487"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Non-financial risks could change both the cash flows and the discount rate. Political and planning risk may delay opening; labour shortages and wage inflation may reduce margins; cyber or data breaches can impair loyalty; and poor environmental performance can weaken corporate demand or trigger retrofit expenditure. Customer loyalty is especially important because repeat guests and direct bookings reduce commission costs and stabilise occupancy. Project C should therefore demonstrate fit with Scandic Friend</w:t>
      </w:r>
      <w:r>
        <w:rPr>
          <w:rFonts w:ascii="Times New Roman" w:eastAsia="Times New Roman" w:hAnsi="Times New Roman" w:cs="Times New Roman"/>
        </w:rPr>
        <w:t>s, accessible service standards and the Group's emissions and food-waste targets. Where material permits, energy or labour uncertainty cannot be contractually controlled, the base NPV should be recalculated rather than hidden in qualitative narrative. This preserves the separation between financial evidence and managerial optimism.</w:t>
      </w:r>
    </w:p>
    <w:p w14:paraId="50781E62"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Project governance should translate those risks into accountable controls. A named sponsor should own benefits, while an independent finance lead maintains the approved cash-flow baseline. Procurement should report committed cost, contingency use and claims; commercial teams should update occupancy and rate assumptions; and treasury should report currency and interest hedges. Release of each funding tranche should require confirmation that the remaining forecast still has a positive NPV at 8%, not merely th</w:t>
      </w:r>
      <w:r>
        <w:rPr>
          <w:rFonts w:ascii="Times New Roman" w:eastAsia="Times New Roman" w:hAnsi="Times New Roman" w:cs="Times New Roman"/>
        </w:rPr>
        <w:t>at expenditure is within the original budget. After opening, actual cash flow should be compared with the investment case at six- and twelve-month intervals. If performance is below plan, management should document whether the variance arose from volume, price, cost, timing or external risk and update the recovery plan. This creates a learning loop for future hotel investments and reduces optimism bias in subsequent proposals.</w:t>
      </w:r>
    </w:p>
    <w:p w14:paraId="2B327716" w14:textId="77777777" w:rsidR="00AD5C0F" w:rsidRDefault="000D17F8">
      <w:pPr>
        <w:pStyle w:val="Heading3"/>
        <w:rPr>
          <w:rFonts w:ascii="Times New Roman" w:eastAsia="Times New Roman" w:hAnsi="Times New Roman" w:cs="Times New Roman"/>
          <w:color w:val="000000"/>
        </w:rPr>
      </w:pPr>
      <w:bookmarkStart w:id="38" w:name="_20psguqd93sx" w:colFirst="0" w:colLast="0"/>
      <w:bookmarkEnd w:id="38"/>
      <w:r>
        <w:rPr>
          <w:rFonts w:ascii="Times New Roman" w:eastAsia="Times New Roman" w:hAnsi="Times New Roman" w:cs="Times New Roman"/>
          <w:color w:val="000000"/>
        </w:rPr>
        <w:t>5.4 Capital rationing</w:t>
      </w:r>
    </w:p>
    <w:p w14:paraId="4A0F4688" w14:textId="77777777" w:rsidR="00AD5C0F" w:rsidRDefault="000D17F8">
      <w:pPr>
        <w:pStyle w:val="Heading4"/>
        <w:spacing w:before="160" w:after="80" w:line="276" w:lineRule="auto"/>
        <w:jc w:val="center"/>
        <w:rPr>
          <w:i w:val="0"/>
          <w:iCs w:val="0"/>
          <w:color w:val="000000"/>
        </w:rPr>
      </w:pPr>
      <w:bookmarkStart w:id="39" w:name="_17vn1qcnjr04" w:colFirst="0" w:colLast="0"/>
      <w:bookmarkEnd w:id="39"/>
      <w:r>
        <w:rPr>
          <w:i w:val="0"/>
          <w:iCs w:val="0"/>
          <w:color w:val="000000"/>
        </w:rPr>
        <w:t>Table 8. Feasible portfolios under the £100 million ceiling</w:t>
      </w:r>
    </w:p>
    <w:p w14:paraId="4711AA72" w14:textId="77777777" w:rsidR="00AD5C0F" w:rsidRDefault="000D17F8">
      <w:pPr>
        <w:spacing w:line="276" w:lineRule="auto"/>
        <w:jc w:val="center"/>
        <w:rPr>
          <w:rFonts w:ascii="Times New Roman" w:eastAsia="Times New Roman" w:hAnsi="Times New Roman" w:cs="Times New Roman"/>
          <w:color w:val="000000"/>
        </w:rPr>
      </w:pPr>
      <w:r>
        <w:rPr>
          <w:noProof/>
        </w:rPr>
        <w:drawing>
          <wp:inline distT="114300" distB="114300" distL="114300" distR="114300" wp14:anchorId="3550D6F9" wp14:editId="7953E66B">
            <wp:extent cx="5731200" cy="1663700"/>
            <wp:effectExtent l="0" t="0" r="0" b="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9"/>
                    <a:srcRect/>
                    <a:stretch>
                      <a:fillRect/>
                    </a:stretch>
                  </pic:blipFill>
                  <pic:spPr>
                    <a:xfrm>
                      <a:off x="0" y="0"/>
                      <a:ext cx="5731200" cy="1663700"/>
                    </a:xfrm>
                    <a:prstGeom prst="rect">
                      <a:avLst/>
                    </a:prstGeom>
                    <a:ln/>
                  </pic:spPr>
                </pic:pic>
              </a:graphicData>
            </a:graphic>
          </wp:inline>
        </w:drawing>
      </w:r>
      <w:r>
        <w:rPr>
          <w:rFonts w:ascii="Times New Roman" w:eastAsia="Times New Roman" w:hAnsi="Times New Roman" w:cs="Times New Roman"/>
          <w:color w:val="000000"/>
        </w:rPr>
        <w:t>Source: Authorial calculations. Projects are assumed independent and indivisible; unused capital is permitted.</w:t>
      </w:r>
    </w:p>
    <w:p w14:paraId="0BC4A57E"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The £100 million budget is a spending limit. Of all feasible portfolios, Project C has the highest positive NPV and leaves £50 million unallocated. The addition of either Project A or B would reduce total shareholder wealth, and the best two-project scenario, Project B paired with C, still shows an NPV of approximately -£5.22 million. Thus, in this instance of capital rationing, filling the budget with a negative-NPV Project is unwarranted. In the event management had to spend the full amount, Project B com</w:t>
      </w:r>
      <w:r>
        <w:rPr>
          <w:rFonts w:ascii="Times New Roman" w:eastAsia="Times New Roman" w:hAnsi="Times New Roman" w:cs="Times New Roman"/>
        </w:rPr>
        <w:t>bined with C would be of least value destructive, but this constraint would run counter to value maximization and should be argued against.</w:t>
      </w:r>
    </w:p>
    <w:p w14:paraId="120D9098"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PI rankings would come into play if the truly scarce fund had to be allocated, however, the case here is rather straightforward as only one PI exceeds one. This assumes that the projects are independent with no strategic synergy and are discrete. If either Project A or B provided a qualitative benefit to Project C, the combined incremental cash flows should be reassessed; however, negative NPV cannot be overridden by qualitative statements. Thus, the final recommendation would be a conditional approval of P</w:t>
      </w:r>
      <w:r>
        <w:rPr>
          <w:rFonts w:ascii="Times New Roman" w:eastAsia="Times New Roman" w:hAnsi="Times New Roman" w:cs="Times New Roman"/>
        </w:rPr>
        <w:t>roject C after downside analysis, with the rejection of both Project A and B. The remaining £50 million should be kept for liquidity, Dalata integration, or positive-NPV opportunities.</w:t>
      </w:r>
    </w:p>
    <w:p w14:paraId="2D70C514" w14:textId="77777777" w:rsidR="00AD5C0F" w:rsidRDefault="000D17F8">
      <w:pPr>
        <w:pStyle w:val="Heading2"/>
        <w:rPr>
          <w:rFonts w:ascii="Times New Roman" w:eastAsia="Times New Roman" w:hAnsi="Times New Roman" w:cs="Times New Roman"/>
          <w:color w:val="000000"/>
          <w:sz w:val="24"/>
          <w:szCs w:val="24"/>
        </w:rPr>
      </w:pPr>
      <w:bookmarkStart w:id="40" w:name="_5ib48vl61h1b" w:colFirst="0" w:colLast="0"/>
      <w:bookmarkEnd w:id="40"/>
      <w:r>
        <w:rPr>
          <w:rFonts w:ascii="Times New Roman" w:eastAsia="Times New Roman" w:hAnsi="Times New Roman" w:cs="Times New Roman"/>
          <w:color w:val="000000"/>
          <w:sz w:val="24"/>
          <w:szCs w:val="24"/>
        </w:rPr>
        <w:t>6. Critical Reflection on AI Usage</w:t>
      </w:r>
    </w:p>
    <w:p w14:paraId="5A454A09" w14:textId="77777777" w:rsidR="00AD5C0F" w:rsidRDefault="000D17F8">
      <w:pPr>
        <w:pStyle w:val="Heading3"/>
        <w:keepNext w:val="0"/>
        <w:keepLines w:val="0"/>
        <w:spacing w:before="280" w:line="360" w:lineRule="auto"/>
        <w:rPr>
          <w:rFonts w:ascii="Times New Roman" w:eastAsia="Times New Roman" w:hAnsi="Times New Roman" w:cs="Times New Roman"/>
          <w:color w:val="1F1F1F"/>
          <w:sz w:val="26"/>
          <w:szCs w:val="26"/>
        </w:rPr>
      </w:pPr>
      <w:bookmarkStart w:id="41" w:name="_i8ysef5ax0zn" w:colFirst="0" w:colLast="0"/>
      <w:bookmarkEnd w:id="41"/>
      <w:r>
        <w:rPr>
          <w:rFonts w:ascii="Times New Roman" w:eastAsia="Times New Roman" w:hAnsi="Times New Roman" w:cs="Times New Roman"/>
          <w:color w:val="1F1F1F"/>
          <w:sz w:val="26"/>
          <w:szCs w:val="26"/>
        </w:rPr>
        <w:t>6.1 Tool Disclosure and Contribution</w:t>
      </w:r>
    </w:p>
    <w:p w14:paraId="2F3616D5"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AI use for this report was very low. For this report, ChatGPT was considered a minor supporting tool restricted by the assessment. In research, AI was used to interpret unfamiliar terms in a financial context. AI is also used for a low-effort, keyword search to figure out things that could be researched further with reliable sources.</w:t>
      </w:r>
    </w:p>
    <w:p w14:paraId="4916C1DE"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ChatGPT was not used for major research. It was not used to calculate financial ratios, perform an investment appraisal and capital rationing, and financial restructuring. The Numerical data for the Scandic Hotels group was entered into Microsoft Excel.</w:t>
      </w:r>
    </w:p>
    <w:p w14:paraId="09184F59"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The author sequenced the financial data for the Scandic Hotels group and relied on the results for the interpretations, as well as for Scandic's financial position and the final recommendations. As such, AI had a supporting role for this assessment, but did not create the opinions and recommendations based on the data.</w:t>
      </w:r>
    </w:p>
    <w:p w14:paraId="04A8B9D1" w14:textId="77777777" w:rsidR="00AD5C0F" w:rsidRDefault="000D17F8">
      <w:pPr>
        <w:pStyle w:val="Heading3"/>
        <w:keepNext w:val="0"/>
        <w:keepLines w:val="0"/>
        <w:spacing w:before="280" w:line="360" w:lineRule="auto"/>
        <w:rPr>
          <w:rFonts w:ascii="Times New Roman" w:eastAsia="Times New Roman" w:hAnsi="Times New Roman" w:cs="Times New Roman"/>
          <w:color w:val="1F1F1F"/>
          <w:sz w:val="26"/>
          <w:szCs w:val="26"/>
        </w:rPr>
      </w:pPr>
      <w:bookmarkStart w:id="42" w:name="_xbiuzc8hzt9m" w:colFirst="0" w:colLast="0"/>
      <w:bookmarkEnd w:id="42"/>
      <w:r>
        <w:rPr>
          <w:rFonts w:ascii="Times New Roman" w:eastAsia="Times New Roman" w:hAnsi="Times New Roman" w:cs="Times New Roman"/>
          <w:color w:val="1F1F1F"/>
          <w:sz w:val="26"/>
          <w:szCs w:val="26"/>
        </w:rPr>
        <w:t>6.2 Verification and Independent Evaluation</w:t>
      </w:r>
    </w:p>
    <w:p w14:paraId="57ED280B"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Generative AI-produced information cannot be automatically trusted as authoritative. Consequently, any responses from ChatGPT were initially treated as only a basis for understanding. Afterward, the included sources within the report were used to research the concepts and terminology. These sources included Scandic Hotels Group's reports, as well as other academic finance literature, IFRS, and additional professional sources.</w:t>
      </w:r>
    </w:p>
    <w:p w14:paraId="402612C6"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During the assessment, each calculation and substantiating evidence were independently reviewed. This included the calculation of profitability and liquidity ratios, working capital analysis, financing analysis, and evaluations of Projects A, B and C. Calculations were done using Excel, not ChatGPT. Conclusions were based on the evidence and supporting information.</w:t>
      </w:r>
    </w:p>
    <w:p w14:paraId="0FAB1B89"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This approach limited the scope of the evaluation to ensure that AI would not substitute critical evaluation or independent research. This also limited the likelihood that uncorroborated or inaccurate AI information would be relied upon to form the financial recommendations. When clarification of concepts was needed, authoritative sources were used to verify the meaning and context of the concepts in order to write the report.</w:t>
      </w:r>
    </w:p>
    <w:p w14:paraId="324C15EF" w14:textId="77777777" w:rsidR="00AD5C0F" w:rsidRDefault="000D17F8">
      <w:pPr>
        <w:pStyle w:val="Heading3"/>
        <w:keepNext w:val="0"/>
        <w:keepLines w:val="0"/>
        <w:spacing w:before="280" w:line="360" w:lineRule="auto"/>
        <w:rPr>
          <w:rFonts w:ascii="Times New Roman" w:eastAsia="Times New Roman" w:hAnsi="Times New Roman" w:cs="Times New Roman"/>
          <w:color w:val="1F1F1F"/>
          <w:sz w:val="26"/>
          <w:szCs w:val="26"/>
        </w:rPr>
      </w:pPr>
      <w:bookmarkStart w:id="43" w:name="_m9vc1teirsfo" w:colFirst="0" w:colLast="0"/>
      <w:bookmarkEnd w:id="43"/>
      <w:r>
        <w:rPr>
          <w:rFonts w:ascii="Times New Roman" w:eastAsia="Times New Roman" w:hAnsi="Times New Roman" w:cs="Times New Roman"/>
          <w:color w:val="1F1F1F"/>
          <w:sz w:val="26"/>
          <w:szCs w:val="26"/>
        </w:rPr>
        <w:t>6.3 Ethical and Professional Reflection</w:t>
      </w:r>
    </w:p>
    <w:p w14:paraId="2BF25063"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This assessment uses ChatGPT to provide automated responses to some limited prompts to illustrate issues surrounding the appropriate deployment of such systems in an academic and professional context. Nowadays, AI tools help users learn new vocabulary and suggest search topics. They should not be relied on for critical analysis, especially for assessing a company’s performance and providing advice on the most appropriate means to finance or invest in a company.</w:t>
      </w:r>
    </w:p>
    <w:p w14:paraId="0A02A249" w14:textId="77777777" w:rsidR="00AD5C0F" w:rsidRDefault="000D17F8">
      <w:pPr>
        <w:spacing w:before="240" w:after="240"/>
        <w:rPr>
          <w:rFonts w:ascii="Times New Roman" w:eastAsia="Times New Roman" w:hAnsi="Times New Roman" w:cs="Times New Roman"/>
        </w:rPr>
      </w:pPr>
      <w:r>
        <w:rPr>
          <w:rFonts w:ascii="Times New Roman" w:eastAsia="Times New Roman" w:hAnsi="Times New Roman" w:cs="Times New Roman"/>
        </w:rPr>
        <w:t>This report was largely independent as the above analysis explains. The financial data, calculations, interpretation, evaluation, and the final recommendations were provided based on the available company information, academic sources, and financial analysis. This report was developed without the use of AI to generate information.</w:t>
      </w:r>
    </w:p>
    <w:p w14:paraId="22188677" w14:textId="77777777" w:rsidR="00AD5C0F" w:rsidRDefault="000D17F8">
      <w:pPr>
        <w:pStyle w:val="Heading2"/>
        <w:rPr>
          <w:rFonts w:ascii="Times New Roman" w:eastAsia="Times New Roman" w:hAnsi="Times New Roman" w:cs="Times New Roman"/>
          <w:color w:val="000000"/>
          <w:sz w:val="24"/>
          <w:szCs w:val="24"/>
        </w:rPr>
      </w:pPr>
      <w:bookmarkStart w:id="44" w:name="_gnesebf3h0xb" w:colFirst="0" w:colLast="0"/>
      <w:bookmarkEnd w:id="44"/>
      <w:r>
        <w:rPr>
          <w:rFonts w:ascii="Times New Roman" w:eastAsia="Times New Roman" w:hAnsi="Times New Roman" w:cs="Times New Roman"/>
          <w:color w:val="000000"/>
          <w:sz w:val="24"/>
          <w:szCs w:val="24"/>
        </w:rPr>
        <w:t>7. Conclusion</w:t>
      </w:r>
    </w:p>
    <w:p w14:paraId="21EB42B2" w14:textId="77777777" w:rsidR="00AD5C0F" w:rsidRDefault="000D17F8">
      <w:pPr>
        <w:rPr>
          <w:rFonts w:ascii="Times New Roman" w:eastAsia="Times New Roman" w:hAnsi="Times New Roman" w:cs="Times New Roman"/>
        </w:rPr>
      </w:pPr>
      <w:r>
        <w:rPr>
          <w:rFonts w:ascii="Times New Roman" w:eastAsia="Times New Roman" w:hAnsi="Times New Roman" w:cs="Times New Roman"/>
        </w:rPr>
        <w:t>After recovering significantly from the events of 2021, Scandic had sales of SEK 22.3 billion in 2025 whilst reaching an 11.9% operating margin and SEK 6.46 billion in operating cash flow. Although Scandic's financial recovery significantly increased, many warning signs are still evident. For example, EBIT, net margin, ROCE, and EPS all worsened in 2025. In addition, statutory liquidity continued to be well below the directional sector benchmark. While the operating cash flow cycle was negative, IFRS 16 sig</w:t>
      </w:r>
      <w:r>
        <w:rPr>
          <w:rFonts w:ascii="Times New Roman" w:eastAsia="Times New Roman" w:hAnsi="Times New Roman" w:cs="Times New Roman"/>
        </w:rPr>
        <w:t>nificantly explains the reported gearing, and the leases Scandic has includes a high interest obligation and long-term lease commitments, which are economically concerning.</w:t>
      </w:r>
    </w:p>
    <w:p w14:paraId="596A7ABB" w14:textId="77777777" w:rsidR="00AD5C0F" w:rsidRDefault="00AD5C0F">
      <w:pPr>
        <w:rPr>
          <w:rFonts w:ascii="Times New Roman" w:eastAsia="Times New Roman" w:hAnsi="Times New Roman" w:cs="Times New Roman"/>
        </w:rPr>
      </w:pPr>
    </w:p>
    <w:p w14:paraId="64F3507E" w14:textId="77777777" w:rsidR="00AD5C0F" w:rsidRDefault="000D17F8">
      <w:pPr>
        <w:rPr>
          <w:rFonts w:ascii="Times New Roman" w:eastAsia="Times New Roman" w:hAnsi="Times New Roman" w:cs="Times New Roman"/>
        </w:rPr>
      </w:pPr>
      <w:r>
        <w:br w:type="page"/>
      </w:r>
    </w:p>
    <w:p w14:paraId="6563D593" w14:textId="77777777" w:rsidR="00AD5C0F" w:rsidRDefault="000D17F8">
      <w:pPr>
        <w:pStyle w:val="Heading2"/>
        <w:rPr>
          <w:rFonts w:ascii="Times New Roman" w:eastAsia="Times New Roman" w:hAnsi="Times New Roman" w:cs="Times New Roman"/>
          <w:color w:val="000000"/>
          <w:sz w:val="24"/>
          <w:szCs w:val="24"/>
        </w:rPr>
      </w:pPr>
      <w:bookmarkStart w:id="45" w:name="_dmvudo8vnfsn" w:colFirst="0" w:colLast="0"/>
      <w:bookmarkEnd w:id="45"/>
      <w:r>
        <w:rPr>
          <w:rFonts w:ascii="Times New Roman" w:eastAsia="Times New Roman" w:hAnsi="Times New Roman" w:cs="Times New Roman"/>
          <w:color w:val="000000"/>
          <w:sz w:val="24"/>
          <w:szCs w:val="24"/>
        </w:rPr>
        <w:t>References:</w:t>
      </w:r>
    </w:p>
    <w:p w14:paraId="42056682" w14:textId="77777777" w:rsidR="00AD5C0F" w:rsidRDefault="000D17F8">
      <w:pPr>
        <w:widowControl w:val="0"/>
        <w:numPr>
          <w:ilvl w:val="0"/>
          <w:numId w:val="1"/>
        </w:numPr>
        <w:spacing w:before="240"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Atrill, P. and McLaney, E. (2022) </w:t>
      </w:r>
      <w:r>
        <w:rPr>
          <w:rFonts w:ascii="Times New Roman" w:eastAsia="Times New Roman" w:hAnsi="Times New Roman" w:cs="Times New Roman"/>
          <w:i/>
          <w:iCs/>
          <w:color w:val="000000"/>
        </w:rPr>
        <w:t>Accounting and finance for non-specialists</w:t>
      </w:r>
      <w:r>
        <w:rPr>
          <w:rFonts w:ascii="Times New Roman" w:eastAsia="Times New Roman" w:hAnsi="Times New Roman" w:cs="Times New Roman"/>
          <w:color w:val="000000"/>
        </w:rPr>
        <w:t>. 12th edn. Harlow: Pearson.</w:t>
      </w:r>
    </w:p>
    <w:p w14:paraId="643A579A"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Boisjoly, R.P., Conine, T.E. and McDonald, M.B. (2020) ‘Working capital management: Financial and valuation impacts’, </w:t>
      </w:r>
      <w:r>
        <w:rPr>
          <w:rFonts w:ascii="Times New Roman" w:eastAsia="Times New Roman" w:hAnsi="Times New Roman" w:cs="Times New Roman"/>
          <w:i/>
          <w:iCs/>
          <w:color w:val="000000"/>
        </w:rPr>
        <w:t>Journal of Business Research</w:t>
      </w:r>
      <w:r>
        <w:rPr>
          <w:rFonts w:ascii="Times New Roman" w:eastAsia="Times New Roman" w:hAnsi="Times New Roman" w:cs="Times New Roman"/>
          <w:color w:val="000000"/>
        </w:rPr>
        <w:t>, 108, pp. 1–8.</w:t>
      </w:r>
      <w:hyperlink r:id="rId20">
        <w:r>
          <w:rPr>
            <w:rFonts w:ascii="Times New Roman" w:eastAsia="Times New Roman" w:hAnsi="Times New Roman" w:cs="Times New Roman"/>
            <w:color w:val="000000"/>
          </w:rPr>
          <w:t xml:space="preserve"> </w:t>
        </w:r>
      </w:hyperlink>
      <w:hyperlink r:id="rId21">
        <w:r>
          <w:rPr>
            <w:rFonts w:ascii="Times New Roman" w:eastAsia="Times New Roman" w:hAnsi="Times New Roman" w:cs="Times New Roman"/>
            <w:color w:val="1155CC"/>
            <w:u w:val="single"/>
          </w:rPr>
          <w:t>https://doi.org/10.1016/j.jbusres.2019.09.025</w:t>
        </w:r>
      </w:hyperlink>
    </w:p>
    <w:p w14:paraId="2D3F88A3"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Brealey, R.A., Myers, S.C., Allen, F. and Edmans, A. (2023) </w:t>
      </w:r>
      <w:r>
        <w:rPr>
          <w:rFonts w:ascii="Times New Roman" w:eastAsia="Times New Roman" w:hAnsi="Times New Roman" w:cs="Times New Roman"/>
          <w:i/>
          <w:iCs/>
          <w:color w:val="000000"/>
        </w:rPr>
        <w:t>Principles of corporate finance</w:t>
      </w:r>
      <w:r>
        <w:rPr>
          <w:rFonts w:ascii="Times New Roman" w:eastAsia="Times New Roman" w:hAnsi="Times New Roman" w:cs="Times New Roman"/>
          <w:color w:val="000000"/>
        </w:rPr>
        <w:t>. 14th edn. New York: McGraw Hill.</w:t>
      </w:r>
    </w:p>
    <w:p w14:paraId="796998F2"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European Central Bank (2024) </w:t>
      </w:r>
      <w:r>
        <w:rPr>
          <w:rFonts w:ascii="Times New Roman" w:eastAsia="Times New Roman" w:hAnsi="Times New Roman" w:cs="Times New Roman"/>
          <w:i/>
          <w:iCs/>
          <w:color w:val="000000"/>
        </w:rPr>
        <w:t>The rise of artificial intelligence: Benefits and risks for financial stability</w:t>
      </w:r>
      <w:r>
        <w:rPr>
          <w:rFonts w:ascii="Times New Roman" w:eastAsia="Times New Roman" w:hAnsi="Times New Roman" w:cs="Times New Roman"/>
          <w:color w:val="000000"/>
        </w:rPr>
        <w:t>.</w:t>
      </w:r>
      <w:hyperlink r:id="rId22">
        <w:r>
          <w:rPr>
            <w:rFonts w:ascii="Times New Roman" w:eastAsia="Times New Roman" w:hAnsi="Times New Roman" w:cs="Times New Roman"/>
            <w:color w:val="000000"/>
          </w:rPr>
          <w:t xml:space="preserve"> </w:t>
        </w:r>
      </w:hyperlink>
      <w:hyperlink r:id="rId23">
        <w:r>
          <w:rPr>
            <w:rFonts w:ascii="Times New Roman" w:eastAsia="Times New Roman" w:hAnsi="Times New Roman" w:cs="Times New Roman"/>
            <w:color w:val="1155CC"/>
            <w:u w:val="single"/>
          </w:rPr>
          <w:t>https://www.ecb.europa.eu/press/financial-stability-publications/fsr/special/html/ecb.fsrart202405_02~58c3ce5246.en.html</w:t>
        </w:r>
      </w:hyperlink>
    </w:p>
    <w:p w14:paraId="631D83E8"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European Parliament and Council (2024) </w:t>
      </w:r>
      <w:r>
        <w:rPr>
          <w:rFonts w:ascii="Times New Roman" w:eastAsia="Times New Roman" w:hAnsi="Times New Roman" w:cs="Times New Roman"/>
          <w:i/>
          <w:iCs/>
          <w:color w:val="000000"/>
        </w:rPr>
        <w:t>Regulation (EU) 2024/1689 laying down harmonised rules on artificial intelligence</w:t>
      </w:r>
      <w:r>
        <w:rPr>
          <w:rFonts w:ascii="Times New Roman" w:eastAsia="Times New Roman" w:hAnsi="Times New Roman" w:cs="Times New Roman"/>
          <w:color w:val="000000"/>
        </w:rPr>
        <w:t xml:space="preserve">. </w:t>
      </w:r>
      <w:r>
        <w:rPr>
          <w:rFonts w:ascii="Times New Roman" w:eastAsia="Times New Roman" w:hAnsi="Times New Roman" w:cs="Times New Roman"/>
          <w:i/>
          <w:iCs/>
          <w:color w:val="000000"/>
        </w:rPr>
        <w:t>Official Journal of the European Union</w:t>
      </w:r>
      <w:r>
        <w:rPr>
          <w:rFonts w:ascii="Times New Roman" w:eastAsia="Times New Roman" w:hAnsi="Times New Roman" w:cs="Times New Roman"/>
          <w:color w:val="000000"/>
        </w:rPr>
        <w:t>.</w:t>
      </w:r>
      <w:hyperlink r:id="rId24">
        <w:r>
          <w:rPr>
            <w:rFonts w:ascii="Times New Roman" w:eastAsia="Times New Roman" w:hAnsi="Times New Roman" w:cs="Times New Roman"/>
            <w:color w:val="000000"/>
          </w:rPr>
          <w:t xml:space="preserve"> </w:t>
        </w:r>
      </w:hyperlink>
      <w:hyperlink r:id="rId25">
        <w:r>
          <w:rPr>
            <w:rFonts w:ascii="Times New Roman" w:eastAsia="Times New Roman" w:hAnsi="Times New Roman" w:cs="Times New Roman"/>
            <w:color w:val="1155CC"/>
            <w:u w:val="single"/>
          </w:rPr>
          <w:t>https://eur-lex.europa.eu/eli/reg/2024/1689/oj/eng</w:t>
        </w:r>
      </w:hyperlink>
    </w:p>
    <w:p w14:paraId="7E5A4F31"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Financial Stability Board (2024) </w:t>
      </w:r>
      <w:r>
        <w:rPr>
          <w:rFonts w:ascii="Times New Roman" w:eastAsia="Times New Roman" w:hAnsi="Times New Roman" w:cs="Times New Roman"/>
          <w:i/>
          <w:iCs/>
          <w:color w:val="000000"/>
        </w:rPr>
        <w:t>The financial stability implications of artificial intelligence</w:t>
      </w:r>
      <w:r>
        <w:rPr>
          <w:rFonts w:ascii="Times New Roman" w:eastAsia="Times New Roman" w:hAnsi="Times New Roman" w:cs="Times New Roman"/>
          <w:color w:val="000000"/>
        </w:rPr>
        <w:t>. Basel: Financial Stability Board.</w:t>
      </w:r>
      <w:hyperlink r:id="rId26">
        <w:r>
          <w:rPr>
            <w:rFonts w:ascii="Times New Roman" w:eastAsia="Times New Roman" w:hAnsi="Times New Roman" w:cs="Times New Roman"/>
            <w:color w:val="000000"/>
          </w:rPr>
          <w:t xml:space="preserve"> </w:t>
        </w:r>
      </w:hyperlink>
      <w:hyperlink r:id="rId27">
        <w:r>
          <w:rPr>
            <w:rFonts w:ascii="Times New Roman" w:eastAsia="Times New Roman" w:hAnsi="Times New Roman" w:cs="Times New Roman"/>
            <w:color w:val="1155CC"/>
            <w:u w:val="single"/>
          </w:rPr>
          <w:t>https://www.fsb.org/2024/11/the-financial-stability-implications-of-artificial-intelligence/</w:t>
        </w:r>
      </w:hyperlink>
    </w:p>
    <w:p w14:paraId="699D0AED"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IFRS Foundation (2024) </w:t>
      </w:r>
      <w:r>
        <w:rPr>
          <w:rFonts w:ascii="Times New Roman" w:eastAsia="Times New Roman" w:hAnsi="Times New Roman" w:cs="Times New Roman"/>
          <w:i/>
          <w:iCs/>
          <w:color w:val="000000"/>
        </w:rPr>
        <w:t>IFRS 16 Leases</w:t>
      </w:r>
      <w:r>
        <w:rPr>
          <w:rFonts w:ascii="Times New Roman" w:eastAsia="Times New Roman" w:hAnsi="Times New Roman" w:cs="Times New Roman"/>
          <w:color w:val="000000"/>
        </w:rPr>
        <w:t>.</w:t>
      </w:r>
      <w:hyperlink r:id="rId28">
        <w:r>
          <w:rPr>
            <w:rFonts w:ascii="Times New Roman" w:eastAsia="Times New Roman" w:hAnsi="Times New Roman" w:cs="Times New Roman"/>
            <w:color w:val="000000"/>
          </w:rPr>
          <w:t xml:space="preserve"> </w:t>
        </w:r>
      </w:hyperlink>
      <w:hyperlink r:id="rId29">
        <w:r>
          <w:rPr>
            <w:rFonts w:ascii="Times New Roman" w:eastAsia="Times New Roman" w:hAnsi="Times New Roman" w:cs="Times New Roman"/>
            <w:color w:val="1155CC"/>
            <w:u w:val="single"/>
          </w:rPr>
          <w:t>https://www.ifrs.org/issued-standards/list-of-standards/ifrs-16-leases/</w:t>
        </w:r>
      </w:hyperlink>
    </w:p>
    <w:p w14:paraId="48B9172A"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OECD (2024) </w:t>
      </w:r>
      <w:r>
        <w:rPr>
          <w:rFonts w:ascii="Times New Roman" w:eastAsia="Times New Roman" w:hAnsi="Times New Roman" w:cs="Times New Roman"/>
          <w:i/>
          <w:iCs/>
          <w:color w:val="000000"/>
        </w:rPr>
        <w:t>Recommendation of the Council on artificial intelligence</w:t>
      </w:r>
      <w:r>
        <w:rPr>
          <w:rFonts w:ascii="Times New Roman" w:eastAsia="Times New Roman" w:hAnsi="Times New Roman" w:cs="Times New Roman"/>
          <w:color w:val="000000"/>
        </w:rPr>
        <w:t>. Paris: OECD.</w:t>
      </w:r>
      <w:hyperlink r:id="rId30">
        <w:r>
          <w:rPr>
            <w:rFonts w:ascii="Times New Roman" w:eastAsia="Times New Roman" w:hAnsi="Times New Roman" w:cs="Times New Roman"/>
            <w:color w:val="000000"/>
          </w:rPr>
          <w:t xml:space="preserve"> </w:t>
        </w:r>
      </w:hyperlink>
      <w:hyperlink r:id="rId31">
        <w:r>
          <w:rPr>
            <w:rFonts w:ascii="Times New Roman" w:eastAsia="Times New Roman" w:hAnsi="Times New Roman" w:cs="Times New Roman"/>
            <w:color w:val="1155CC"/>
            <w:u w:val="single"/>
          </w:rPr>
          <w:t>https://legalinstruments.oecd.org/en/instruments/oecd-legal-0449</w:t>
        </w:r>
      </w:hyperlink>
    </w:p>
    <w:p w14:paraId="7FBA83C4"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ReadyRatios (2026) </w:t>
      </w:r>
      <w:r>
        <w:rPr>
          <w:rFonts w:ascii="Times New Roman" w:eastAsia="Times New Roman" w:hAnsi="Times New Roman" w:cs="Times New Roman"/>
          <w:i/>
          <w:iCs/>
          <w:color w:val="000000"/>
        </w:rPr>
        <w:t>Hotels, rooming houses, camps and other lodging places: Industry financial ratios</w:t>
      </w:r>
      <w:r>
        <w:rPr>
          <w:rFonts w:ascii="Times New Roman" w:eastAsia="Times New Roman" w:hAnsi="Times New Roman" w:cs="Times New Roman"/>
          <w:color w:val="000000"/>
        </w:rPr>
        <w:t>.</w:t>
      </w:r>
      <w:hyperlink r:id="rId32">
        <w:r>
          <w:rPr>
            <w:rFonts w:ascii="Times New Roman" w:eastAsia="Times New Roman" w:hAnsi="Times New Roman" w:cs="Times New Roman"/>
            <w:color w:val="000000"/>
          </w:rPr>
          <w:t xml:space="preserve"> </w:t>
        </w:r>
      </w:hyperlink>
      <w:hyperlink r:id="rId33">
        <w:r>
          <w:rPr>
            <w:rFonts w:ascii="Times New Roman" w:eastAsia="Times New Roman" w:hAnsi="Times New Roman" w:cs="Times New Roman"/>
            <w:color w:val="1155CC"/>
            <w:u w:val="single"/>
          </w:rPr>
          <w:t>https://www.readyratios.com/sec/industry/70/</w:t>
        </w:r>
      </w:hyperlink>
    </w:p>
    <w:p w14:paraId="315DEA6B"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Ross, S.A., Westerfield, R.W. and Jordan, B.D. (2024) </w:t>
      </w:r>
      <w:r>
        <w:rPr>
          <w:rFonts w:ascii="Times New Roman" w:eastAsia="Times New Roman" w:hAnsi="Times New Roman" w:cs="Times New Roman"/>
          <w:i/>
          <w:iCs/>
          <w:color w:val="000000"/>
        </w:rPr>
        <w:t>Fundamentals of corporate finance</w:t>
      </w:r>
      <w:r>
        <w:rPr>
          <w:rFonts w:ascii="Times New Roman" w:eastAsia="Times New Roman" w:hAnsi="Times New Roman" w:cs="Times New Roman"/>
          <w:color w:val="000000"/>
        </w:rPr>
        <w:t>. 14th edn. New York: McGraw Hill.</w:t>
      </w:r>
    </w:p>
    <w:p w14:paraId="7AF6DA38"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(2021) </w:t>
      </w:r>
      <w:r>
        <w:rPr>
          <w:rFonts w:ascii="Times New Roman" w:eastAsia="Times New Roman" w:hAnsi="Times New Roman" w:cs="Times New Roman"/>
          <w:i/>
          <w:iCs/>
          <w:color w:val="000000"/>
        </w:rPr>
        <w:t>Annual and sustainability report 2021</w:t>
      </w:r>
      <w:r>
        <w:rPr>
          <w:rFonts w:ascii="Times New Roman" w:eastAsia="Times New Roman" w:hAnsi="Times New Roman" w:cs="Times New Roman"/>
          <w:color w:val="000000"/>
        </w:rPr>
        <w:t>.</w:t>
      </w:r>
      <w:hyperlink r:id="rId34">
        <w:r>
          <w:rPr>
            <w:rFonts w:ascii="Times New Roman" w:eastAsia="Times New Roman" w:hAnsi="Times New Roman" w:cs="Times New Roman"/>
            <w:color w:val="000000"/>
          </w:rPr>
          <w:t xml:space="preserve"> </w:t>
        </w:r>
      </w:hyperlink>
      <w:hyperlink r:id="rId35">
        <w:r>
          <w:rPr>
            <w:rFonts w:ascii="Times New Roman" w:eastAsia="Times New Roman" w:hAnsi="Times New Roman" w:cs="Times New Roman"/>
            <w:color w:val="1155CC"/>
            <w:u w:val="single"/>
          </w:rPr>
          <w:t>https://www.scandichotelsgroup.com/files/Reports/Annual_reports/Annual-and-sustainability-report-2021.pdf</w:t>
        </w:r>
      </w:hyperlink>
    </w:p>
    <w:p w14:paraId="6B1E7DE4"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(2022) </w:t>
      </w:r>
      <w:r>
        <w:rPr>
          <w:rFonts w:ascii="Times New Roman" w:eastAsia="Times New Roman" w:hAnsi="Times New Roman" w:cs="Times New Roman"/>
          <w:i/>
          <w:iCs/>
          <w:color w:val="000000"/>
        </w:rPr>
        <w:t>Annual and sustainability report 2022</w:t>
      </w:r>
      <w:r>
        <w:rPr>
          <w:rFonts w:ascii="Times New Roman" w:eastAsia="Times New Roman" w:hAnsi="Times New Roman" w:cs="Times New Roman"/>
          <w:color w:val="000000"/>
        </w:rPr>
        <w:t>.</w:t>
      </w:r>
      <w:hyperlink r:id="rId36">
        <w:r>
          <w:rPr>
            <w:rFonts w:ascii="Times New Roman" w:eastAsia="Times New Roman" w:hAnsi="Times New Roman" w:cs="Times New Roman"/>
            <w:color w:val="000000"/>
          </w:rPr>
          <w:t xml:space="preserve"> </w:t>
        </w:r>
      </w:hyperlink>
      <w:hyperlink r:id="rId37">
        <w:r>
          <w:rPr>
            <w:rFonts w:ascii="Times New Roman" w:eastAsia="Times New Roman" w:hAnsi="Times New Roman" w:cs="Times New Roman"/>
            <w:color w:val="1155CC"/>
            <w:u w:val="single"/>
          </w:rPr>
          <w:t>https://www.scandichotelsgroup.com/files/AGM2023/Scandic-annual-and-sustainability-report-2022.pdf</w:t>
        </w:r>
      </w:hyperlink>
    </w:p>
    <w:p w14:paraId="0BD09515"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(2023) </w:t>
      </w:r>
      <w:r>
        <w:rPr>
          <w:rFonts w:ascii="Times New Roman" w:eastAsia="Times New Roman" w:hAnsi="Times New Roman" w:cs="Times New Roman"/>
          <w:i/>
          <w:iCs/>
          <w:color w:val="000000"/>
        </w:rPr>
        <w:t>Annual and sustainability report 2023</w:t>
      </w:r>
      <w:r>
        <w:rPr>
          <w:rFonts w:ascii="Times New Roman" w:eastAsia="Times New Roman" w:hAnsi="Times New Roman" w:cs="Times New Roman"/>
          <w:color w:val="000000"/>
        </w:rPr>
        <w:t>.</w:t>
      </w:r>
      <w:hyperlink r:id="rId38">
        <w:r>
          <w:rPr>
            <w:rFonts w:ascii="Times New Roman" w:eastAsia="Times New Roman" w:hAnsi="Times New Roman" w:cs="Times New Roman"/>
            <w:color w:val="000000"/>
          </w:rPr>
          <w:t xml:space="preserve"> </w:t>
        </w:r>
      </w:hyperlink>
      <w:hyperlink r:id="rId39">
        <w:r>
          <w:rPr>
            <w:rFonts w:ascii="Times New Roman" w:eastAsia="Times New Roman" w:hAnsi="Times New Roman" w:cs="Times New Roman"/>
            <w:color w:val="1155CC"/>
            <w:u w:val="single"/>
          </w:rPr>
          <w:t>https://www.scandichotelsgroup.com/files/AGM2024/Scandic-Annual-and-sustainability-report-2023.pdf</w:t>
        </w:r>
      </w:hyperlink>
    </w:p>
    <w:p w14:paraId="5BF406D7"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(2024) </w:t>
      </w:r>
      <w:r>
        <w:rPr>
          <w:rFonts w:ascii="Times New Roman" w:eastAsia="Times New Roman" w:hAnsi="Times New Roman" w:cs="Times New Roman"/>
          <w:i/>
          <w:iCs/>
          <w:color w:val="000000"/>
        </w:rPr>
        <w:t>Annual and sustainability report 2024</w:t>
      </w:r>
      <w:r>
        <w:rPr>
          <w:rFonts w:ascii="Times New Roman" w:eastAsia="Times New Roman" w:hAnsi="Times New Roman" w:cs="Times New Roman"/>
          <w:color w:val="000000"/>
        </w:rPr>
        <w:t>.</w:t>
      </w:r>
      <w:hyperlink r:id="rId40">
        <w:r>
          <w:rPr>
            <w:rFonts w:ascii="Times New Roman" w:eastAsia="Times New Roman" w:hAnsi="Times New Roman" w:cs="Times New Roman"/>
            <w:color w:val="000000"/>
          </w:rPr>
          <w:t xml:space="preserve"> </w:t>
        </w:r>
      </w:hyperlink>
      <w:hyperlink r:id="rId41">
        <w:r>
          <w:rPr>
            <w:rFonts w:ascii="Times New Roman" w:eastAsia="Times New Roman" w:hAnsi="Times New Roman" w:cs="Times New Roman"/>
            <w:color w:val="1155CC"/>
            <w:u w:val="single"/>
          </w:rPr>
          <w:t>https://www.scandichotelsgroup.com/files/Reports/Annual_reports/2024/Scandic-annual-and-sustainability-report-2024-print.pdf</w:t>
        </w:r>
      </w:hyperlink>
    </w:p>
    <w:p w14:paraId="3BB7597F"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(2025a) </w:t>
      </w:r>
      <w:r>
        <w:rPr>
          <w:rFonts w:ascii="Times New Roman" w:eastAsia="Times New Roman" w:hAnsi="Times New Roman" w:cs="Times New Roman"/>
          <w:i/>
          <w:iCs/>
          <w:color w:val="000000"/>
        </w:rPr>
        <w:t>Annual and sustainability report 2025</w:t>
      </w:r>
      <w:r>
        <w:rPr>
          <w:rFonts w:ascii="Times New Roman" w:eastAsia="Times New Roman" w:hAnsi="Times New Roman" w:cs="Times New Roman"/>
          <w:color w:val="000000"/>
        </w:rPr>
        <w:t>.</w:t>
      </w:r>
      <w:hyperlink r:id="rId42">
        <w:r>
          <w:rPr>
            <w:rFonts w:ascii="Times New Roman" w:eastAsia="Times New Roman" w:hAnsi="Times New Roman" w:cs="Times New Roman"/>
            <w:color w:val="000000"/>
          </w:rPr>
          <w:t xml:space="preserve"> </w:t>
        </w:r>
      </w:hyperlink>
      <w:hyperlink r:id="rId43">
        <w:r>
          <w:rPr>
            <w:rFonts w:ascii="Times New Roman" w:eastAsia="Times New Roman" w:hAnsi="Times New Roman" w:cs="Times New Roman"/>
            <w:color w:val="1155CC"/>
            <w:u w:val="single"/>
          </w:rPr>
          <w:t>https://www.scandichotelsgroup.com/files/Reports/Annual_reports/2025/scandic-ar25-links-eng-260408.pdf</w:t>
        </w:r>
      </w:hyperlink>
    </w:p>
    <w:p w14:paraId="03F12C7D"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(2025b) </w:t>
      </w:r>
      <w:r>
        <w:rPr>
          <w:rFonts w:ascii="Times New Roman" w:eastAsia="Times New Roman" w:hAnsi="Times New Roman" w:cs="Times New Roman"/>
          <w:i/>
          <w:iCs/>
          <w:color w:val="000000"/>
        </w:rPr>
        <w:t>Dalata acquisition</w:t>
      </w:r>
      <w:r>
        <w:rPr>
          <w:rFonts w:ascii="Times New Roman" w:eastAsia="Times New Roman" w:hAnsi="Times New Roman" w:cs="Times New Roman"/>
          <w:color w:val="000000"/>
        </w:rPr>
        <w:t>.</w:t>
      </w:r>
      <w:hyperlink r:id="rId44">
        <w:r>
          <w:rPr>
            <w:rFonts w:ascii="Times New Roman" w:eastAsia="Times New Roman" w:hAnsi="Times New Roman" w:cs="Times New Roman"/>
            <w:color w:val="000000"/>
          </w:rPr>
          <w:t xml:space="preserve"> </w:t>
        </w:r>
      </w:hyperlink>
      <w:hyperlink r:id="rId45">
        <w:r>
          <w:rPr>
            <w:rFonts w:ascii="Times New Roman" w:eastAsia="Times New Roman" w:hAnsi="Times New Roman" w:cs="Times New Roman"/>
            <w:color w:val="1155CC"/>
            <w:u w:val="single"/>
          </w:rPr>
          <w:t>https://www.scandichotelsgroup.com/investors/dalata-acquisition/</w:t>
        </w:r>
      </w:hyperlink>
    </w:p>
    <w:p w14:paraId="56447899"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(2026a) </w:t>
      </w:r>
      <w:r>
        <w:rPr>
          <w:rFonts w:ascii="Times New Roman" w:eastAsia="Times New Roman" w:hAnsi="Times New Roman" w:cs="Times New Roman"/>
          <w:i/>
          <w:iCs/>
          <w:color w:val="000000"/>
        </w:rPr>
        <w:t>Scandic secures new long-term financing framework</w:t>
      </w:r>
      <w:r>
        <w:rPr>
          <w:rFonts w:ascii="Times New Roman" w:eastAsia="Times New Roman" w:hAnsi="Times New Roman" w:cs="Times New Roman"/>
          <w:color w:val="000000"/>
        </w:rPr>
        <w:t>, 6 July.</w:t>
      </w:r>
      <w:hyperlink r:id="rId46">
        <w:r>
          <w:rPr>
            <w:rFonts w:ascii="Times New Roman" w:eastAsia="Times New Roman" w:hAnsi="Times New Roman" w:cs="Times New Roman"/>
            <w:color w:val="000000"/>
          </w:rPr>
          <w:t xml:space="preserve"> </w:t>
        </w:r>
      </w:hyperlink>
      <w:hyperlink r:id="rId47">
        <w:r>
          <w:rPr>
            <w:rFonts w:ascii="Times New Roman" w:eastAsia="Times New Roman" w:hAnsi="Times New Roman" w:cs="Times New Roman"/>
            <w:color w:val="1155CC"/>
            <w:u w:val="single"/>
          </w:rPr>
          <w:t>https://www.scandichotelsgroup.com/media/press-releases/2026/scandic-secures-new-long-term-financing-framework/</w:t>
        </w:r>
      </w:hyperlink>
    </w:p>
    <w:p w14:paraId="1BD36079"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Scandic Hotels Group AB (2026b) </w:t>
      </w:r>
      <w:r>
        <w:rPr>
          <w:rFonts w:ascii="Times New Roman" w:eastAsia="Times New Roman" w:hAnsi="Times New Roman" w:cs="Times New Roman"/>
          <w:i/>
          <w:iCs/>
          <w:color w:val="000000"/>
        </w:rPr>
        <w:t>Half-year report 2026</w:t>
      </w:r>
      <w:r>
        <w:rPr>
          <w:rFonts w:ascii="Times New Roman" w:eastAsia="Times New Roman" w:hAnsi="Times New Roman" w:cs="Times New Roman"/>
          <w:color w:val="000000"/>
        </w:rPr>
        <w:t>.</w:t>
      </w:r>
      <w:hyperlink r:id="rId48">
        <w:r>
          <w:rPr>
            <w:rFonts w:ascii="Times New Roman" w:eastAsia="Times New Roman" w:hAnsi="Times New Roman" w:cs="Times New Roman"/>
            <w:color w:val="000000"/>
          </w:rPr>
          <w:t xml:space="preserve"> </w:t>
        </w:r>
      </w:hyperlink>
      <w:hyperlink r:id="rId49">
        <w:r>
          <w:rPr>
            <w:rFonts w:ascii="Times New Roman" w:eastAsia="Times New Roman" w:hAnsi="Times New Roman" w:cs="Times New Roman"/>
            <w:color w:val="1155CC"/>
            <w:u w:val="single"/>
          </w:rPr>
          <w:t>https://www.scandichotelsgroup.com/files/Main/13379/4374601/scandic-q2-report-2026-eng.pdf</w:t>
        </w:r>
      </w:hyperlink>
    </w:p>
    <w:p w14:paraId="1728C219" w14:textId="77777777" w:rsidR="00AD5C0F" w:rsidRDefault="000D17F8">
      <w:pPr>
        <w:widowControl w:val="0"/>
        <w:numPr>
          <w:ilvl w:val="0"/>
          <w:numId w:val="1"/>
        </w:numPr>
        <w:spacing w:after="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Shabsigh, G. and Boukherouaa, E.B. (2023) ‘Generative artificial intelligence in finance: Risk considerations’, </w:t>
      </w:r>
      <w:r>
        <w:rPr>
          <w:rFonts w:ascii="Times New Roman" w:eastAsia="Times New Roman" w:hAnsi="Times New Roman" w:cs="Times New Roman"/>
          <w:i/>
          <w:iCs/>
          <w:color w:val="000000"/>
        </w:rPr>
        <w:t>IMF Fintech Note</w:t>
      </w:r>
      <w:r>
        <w:rPr>
          <w:rFonts w:ascii="Times New Roman" w:eastAsia="Times New Roman" w:hAnsi="Times New Roman" w:cs="Times New Roman"/>
          <w:color w:val="000000"/>
        </w:rPr>
        <w:t>, 2023/006.</w:t>
      </w:r>
      <w:hyperlink r:id="rId50">
        <w:r>
          <w:rPr>
            <w:rFonts w:ascii="Times New Roman" w:eastAsia="Times New Roman" w:hAnsi="Times New Roman" w:cs="Times New Roman"/>
            <w:color w:val="000000"/>
          </w:rPr>
          <w:t xml:space="preserve"> </w:t>
        </w:r>
      </w:hyperlink>
      <w:hyperlink r:id="rId51">
        <w:r>
          <w:rPr>
            <w:rFonts w:ascii="Times New Roman" w:eastAsia="Times New Roman" w:hAnsi="Times New Roman" w:cs="Times New Roman"/>
            <w:color w:val="1155CC"/>
            <w:u w:val="single"/>
          </w:rPr>
          <w:t>https://doi.org/10.5089/9798400251092.063</w:t>
        </w:r>
      </w:hyperlink>
    </w:p>
    <w:p w14:paraId="11AAFF25" w14:textId="77777777" w:rsidR="00AD5C0F" w:rsidRDefault="000D17F8">
      <w:pPr>
        <w:widowControl w:val="0"/>
        <w:numPr>
          <w:ilvl w:val="0"/>
          <w:numId w:val="1"/>
        </w:numPr>
        <w:spacing w:after="240" w:line="276"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UN Tourism (2025) </w:t>
      </w:r>
      <w:r>
        <w:rPr>
          <w:rFonts w:ascii="Times New Roman" w:eastAsia="Times New Roman" w:hAnsi="Times New Roman" w:cs="Times New Roman"/>
          <w:i/>
          <w:iCs/>
          <w:color w:val="000000"/>
        </w:rPr>
        <w:t>International tourism recovers pre-pandemic levels in 2024</w:t>
      </w:r>
      <w:r>
        <w:rPr>
          <w:rFonts w:ascii="Times New Roman" w:eastAsia="Times New Roman" w:hAnsi="Times New Roman" w:cs="Times New Roman"/>
          <w:color w:val="000000"/>
        </w:rPr>
        <w:t>, 21 January.</w:t>
      </w:r>
      <w:hyperlink r:id="rId52">
        <w:r>
          <w:rPr>
            <w:rFonts w:ascii="Times New Roman" w:eastAsia="Times New Roman" w:hAnsi="Times New Roman" w:cs="Times New Roman"/>
            <w:color w:val="000000"/>
          </w:rPr>
          <w:t xml:space="preserve"> </w:t>
        </w:r>
      </w:hyperlink>
      <w:hyperlink r:id="rId53">
        <w:r>
          <w:rPr>
            <w:rFonts w:ascii="Times New Roman" w:eastAsia="Times New Roman" w:hAnsi="Times New Roman" w:cs="Times New Roman"/>
            <w:color w:val="1155CC"/>
            <w:u w:val="single"/>
          </w:rPr>
          <w:t>https://www.unwto.org/news/international-tourism-recovers-pre-pandemic-levels-in-2024</w:t>
        </w:r>
      </w:hyperlink>
    </w:p>
    <w:p w14:paraId="680ADB8C" w14:textId="77777777" w:rsidR="00AD5C0F" w:rsidRDefault="000D17F8">
      <w:pPr>
        <w:rPr>
          <w:rFonts w:ascii="Times New Roman" w:eastAsia="Times New Roman" w:hAnsi="Times New Roman" w:cs="Times New Roman"/>
        </w:rPr>
      </w:pPr>
      <w:r>
        <w:br w:type="page"/>
      </w:r>
    </w:p>
    <w:p w14:paraId="0395710A" w14:textId="77777777" w:rsidR="00AD5C0F" w:rsidRDefault="000D17F8">
      <w:pPr>
        <w:pStyle w:val="Heading2"/>
        <w:rPr>
          <w:rFonts w:ascii="Times New Roman" w:eastAsia="Times New Roman" w:hAnsi="Times New Roman" w:cs="Times New Roman"/>
          <w:color w:val="000000"/>
          <w:sz w:val="24"/>
          <w:szCs w:val="24"/>
        </w:rPr>
      </w:pPr>
      <w:bookmarkStart w:id="46" w:name="_1kweryfgxpry" w:colFirst="0" w:colLast="0"/>
      <w:bookmarkEnd w:id="46"/>
      <w:r>
        <w:rPr>
          <w:rFonts w:ascii="Times New Roman" w:eastAsia="Times New Roman" w:hAnsi="Times New Roman" w:cs="Times New Roman"/>
          <w:color w:val="000000"/>
          <w:sz w:val="24"/>
          <w:szCs w:val="24"/>
        </w:rPr>
        <w:t>Appendices</w:t>
      </w:r>
    </w:p>
    <w:p w14:paraId="171E44AF" w14:textId="77777777" w:rsidR="00AD5C0F" w:rsidRDefault="000D17F8">
      <w:pPr>
        <w:pStyle w:val="Heading3"/>
        <w:rPr>
          <w:rFonts w:ascii="Times New Roman" w:eastAsia="Times New Roman" w:hAnsi="Times New Roman" w:cs="Times New Roman"/>
          <w:color w:val="000000"/>
        </w:rPr>
      </w:pPr>
      <w:bookmarkStart w:id="47" w:name="_yv9pgf60b8qt" w:colFirst="0" w:colLast="0"/>
      <w:bookmarkEnd w:id="47"/>
      <w:r>
        <w:rPr>
          <w:rFonts w:ascii="Times New Roman" w:eastAsia="Times New Roman" w:hAnsi="Times New Roman" w:cs="Times New Roman"/>
          <w:color w:val="000000"/>
        </w:rPr>
        <w:t>Appendix A. Full Ratio Tables</w:t>
      </w:r>
    </w:p>
    <w:p w14:paraId="7F3D9BF4" w14:textId="77777777" w:rsidR="00AD5C0F" w:rsidRDefault="000D17F8">
      <w:pPr>
        <w:pStyle w:val="Heading4"/>
        <w:spacing w:before="160" w:after="80" w:line="276" w:lineRule="auto"/>
        <w:jc w:val="center"/>
        <w:rPr>
          <w:rFonts w:ascii="Times New Roman" w:eastAsia="Times New Roman" w:hAnsi="Times New Roman" w:cs="Times New Roman"/>
          <w:i w:val="0"/>
          <w:iCs w:val="0"/>
          <w:color w:val="000000"/>
        </w:rPr>
      </w:pPr>
      <w:bookmarkStart w:id="48" w:name="_kbm3c4six0g0" w:colFirst="0" w:colLast="0"/>
      <w:bookmarkEnd w:id="48"/>
      <w:r>
        <w:rPr>
          <w:rFonts w:ascii="Times New Roman" w:eastAsia="Times New Roman" w:hAnsi="Times New Roman" w:cs="Times New Roman"/>
          <w:i w:val="0"/>
          <w:iCs w:val="0"/>
          <w:color w:val="000000"/>
        </w:rPr>
        <w:t>Table 9. Profitability and liquidity ratios</w:t>
      </w:r>
    </w:p>
    <w:p w14:paraId="7994CA2F" w14:textId="77777777" w:rsidR="00AD5C0F" w:rsidRDefault="000D17F8">
      <w:pPr>
        <w:spacing w:line="276" w:lineRule="auto"/>
        <w:jc w:val="center"/>
        <w:rPr>
          <w:rFonts w:ascii="Times New Roman" w:eastAsia="Times New Roman" w:hAnsi="Times New Roman" w:cs="Times New Roman"/>
          <w:color w:val="000000"/>
        </w:rPr>
      </w:pPr>
      <w:r>
        <w:rPr>
          <w:noProof/>
        </w:rPr>
        <w:drawing>
          <wp:inline distT="114300" distB="114300" distL="114300" distR="114300" wp14:anchorId="22BBA084" wp14:editId="1309B55B">
            <wp:extent cx="5731200" cy="16510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4"/>
                    <a:srcRect/>
                    <a:stretch>
                      <a:fillRect/>
                    </a:stretch>
                  </pic:blipFill>
                  <pic:spPr>
                    <a:xfrm>
                      <a:off x="0" y="0"/>
                      <a:ext cx="5731200" cy="1651000"/>
                    </a:xfrm>
                    <a:prstGeom prst="rect">
                      <a:avLst/>
                    </a:prstGeom>
                    <a:ln/>
                  </pic:spPr>
                </pic:pic>
              </a:graphicData>
            </a:graphic>
          </wp:inline>
        </w:drawing>
      </w:r>
      <w:r>
        <w:rPr>
          <w:rFonts w:ascii="Times New Roman" w:eastAsia="Times New Roman" w:hAnsi="Times New Roman" w:cs="Times New Roman"/>
          <w:color w:val="000000"/>
        </w:rPr>
        <w:t>Source: Scandic annual reports (2021-2025).</w:t>
      </w:r>
    </w:p>
    <w:p w14:paraId="5C1D7884" w14:textId="77777777" w:rsidR="00AD5C0F" w:rsidRDefault="000D17F8">
      <w:pPr>
        <w:pStyle w:val="Heading4"/>
        <w:spacing w:before="160" w:after="80" w:line="276" w:lineRule="auto"/>
        <w:jc w:val="center"/>
        <w:rPr>
          <w:i w:val="0"/>
          <w:iCs w:val="0"/>
          <w:color w:val="000000"/>
        </w:rPr>
      </w:pPr>
      <w:bookmarkStart w:id="49" w:name="_a8l5w0ttofjt" w:colFirst="0" w:colLast="0"/>
      <w:bookmarkEnd w:id="49"/>
      <w:r>
        <w:rPr>
          <w:i w:val="0"/>
          <w:iCs w:val="0"/>
          <w:color w:val="000000"/>
        </w:rPr>
        <w:t>Table 10. Efficiency and gearing ratios</w:t>
      </w:r>
    </w:p>
    <w:p w14:paraId="71A53B23" w14:textId="77777777" w:rsidR="00AD5C0F" w:rsidRDefault="000D17F8">
      <w:pPr>
        <w:spacing w:line="276" w:lineRule="auto"/>
        <w:jc w:val="center"/>
        <w:rPr>
          <w:rFonts w:ascii="Times New Roman" w:eastAsia="Times New Roman" w:hAnsi="Times New Roman" w:cs="Times New Roman"/>
          <w:color w:val="000000"/>
        </w:rPr>
      </w:pPr>
      <w:r>
        <w:rPr>
          <w:noProof/>
        </w:rPr>
        <w:drawing>
          <wp:inline distT="114300" distB="114300" distL="114300" distR="114300" wp14:anchorId="767F2FE2" wp14:editId="085CEA6A">
            <wp:extent cx="5731200" cy="16764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5"/>
                    <a:srcRect/>
                    <a:stretch>
                      <a:fillRect/>
                    </a:stretch>
                  </pic:blipFill>
                  <pic:spPr>
                    <a:xfrm>
                      <a:off x="0" y="0"/>
                      <a:ext cx="5731200" cy="1676400"/>
                    </a:xfrm>
                    <a:prstGeom prst="rect">
                      <a:avLst/>
                    </a:prstGeom>
                    <a:ln/>
                  </pic:spPr>
                </pic:pic>
              </a:graphicData>
            </a:graphic>
          </wp:inline>
        </w:drawing>
      </w:r>
      <w:r>
        <w:rPr>
          <w:rFonts w:ascii="Times New Roman" w:eastAsia="Times New Roman" w:hAnsi="Times New Roman" w:cs="Times New Roman"/>
          <w:color w:val="000000"/>
        </w:rPr>
        <w:t>Source: Scandic annual reports (2021-2025). Debt includes IFRS 16 lease liabilities.</w:t>
      </w:r>
    </w:p>
    <w:p w14:paraId="6ADAB016"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11. Investment and cash-flow ratios</w:t>
      </w:r>
    </w:p>
    <w:p w14:paraId="62A23E4A"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noProof/>
          <w:color w:val="000000"/>
        </w:rPr>
        <w:drawing>
          <wp:inline distT="114300" distB="114300" distL="114300" distR="114300" wp14:anchorId="6F999AFA" wp14:editId="72DB6B0B">
            <wp:extent cx="5731200" cy="2032000"/>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6"/>
                    <a:srcRect/>
                    <a:stretch>
                      <a:fillRect/>
                    </a:stretch>
                  </pic:blipFill>
                  <pic:spPr>
                    <a:xfrm>
                      <a:off x="0" y="0"/>
                      <a:ext cx="5731200" cy="2032000"/>
                    </a:xfrm>
                    <a:prstGeom prst="rect">
                      <a:avLst/>
                    </a:prstGeom>
                    <a:ln/>
                  </pic:spPr>
                </pic:pic>
              </a:graphicData>
            </a:graphic>
          </wp:inline>
        </w:drawing>
      </w:r>
      <w:r>
        <w:rPr>
          <w:rFonts w:ascii="Times New Roman" w:eastAsia="Times New Roman" w:hAnsi="Times New Roman" w:cs="Times New Roman"/>
          <w:color w:val="000000"/>
        </w:rPr>
        <w:t>Source: Calculated from Scandic annual reports (2021-2025). 2024 dividend includes an extraordinary SEK2.50 per share.</w:t>
      </w:r>
    </w:p>
    <w:p w14:paraId="053C984B" w14:textId="77777777" w:rsidR="00AD5C0F" w:rsidRDefault="000D17F8">
      <w:pPr>
        <w:spacing w:line="276" w:lineRule="auto"/>
        <w:jc w:val="center"/>
        <w:rPr>
          <w:rFonts w:ascii="Times New Roman" w:eastAsia="Times New Roman" w:hAnsi="Times New Roman" w:cs="Times New Roman"/>
          <w:color w:val="000000"/>
        </w:rPr>
      </w:pPr>
      <w:r>
        <w:br w:type="page"/>
      </w:r>
    </w:p>
    <w:p w14:paraId="00AB2EF2" w14:textId="77777777" w:rsidR="00AD5C0F" w:rsidRDefault="000D17F8">
      <w:pPr>
        <w:pStyle w:val="Heading3"/>
        <w:jc w:val="left"/>
        <w:rPr>
          <w:rFonts w:ascii="Times New Roman" w:eastAsia="Times New Roman" w:hAnsi="Times New Roman" w:cs="Times New Roman"/>
          <w:color w:val="000000"/>
        </w:rPr>
      </w:pPr>
      <w:bookmarkStart w:id="50" w:name="_1z285rhim5zo" w:colFirst="0" w:colLast="0"/>
      <w:bookmarkEnd w:id="50"/>
      <w:r>
        <w:rPr>
          <w:rFonts w:ascii="Times New Roman" w:eastAsia="Times New Roman" w:hAnsi="Times New Roman" w:cs="Times New Roman"/>
          <w:color w:val="000000"/>
        </w:rPr>
        <w:t>Appendix B. Ratio Definitions and Methodological Caveats</w:t>
      </w:r>
    </w:p>
    <w:p w14:paraId="4234A825"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12. Ratio formula guide</w:t>
      </w:r>
    </w:p>
    <w:p w14:paraId="7923700D"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noProof/>
          <w:color w:val="000000"/>
        </w:rPr>
        <w:drawing>
          <wp:inline distT="114300" distB="114300" distL="114300" distR="114300" wp14:anchorId="66A6795C" wp14:editId="1B8A9BB6">
            <wp:extent cx="5731200" cy="36703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7"/>
                    <a:srcRect/>
                    <a:stretch>
                      <a:fillRect/>
                    </a:stretch>
                  </pic:blipFill>
                  <pic:spPr>
                    <a:xfrm>
                      <a:off x="0" y="0"/>
                      <a:ext cx="5731200" cy="3670300"/>
                    </a:xfrm>
                    <a:prstGeom prst="rect">
                      <a:avLst/>
                    </a:prstGeom>
                    <a:ln/>
                  </pic:spPr>
                </pic:pic>
              </a:graphicData>
            </a:graphic>
          </wp:inline>
        </w:drawing>
      </w:r>
      <w:r>
        <w:rPr>
          <w:rFonts w:ascii="Times New Roman" w:eastAsia="Times New Roman" w:hAnsi="Times New Roman" w:cs="Times New Roman"/>
          <w:color w:val="000000"/>
        </w:rPr>
        <w:t>Source: Definitions adapted from Atrill and McLaney (2022) and applied consistently to Scandic data.</w:t>
      </w:r>
    </w:p>
    <w:p w14:paraId="5F8E9B81" w14:textId="77777777" w:rsidR="00AD5C0F" w:rsidRDefault="000D17F8">
      <w:pPr>
        <w:spacing w:line="276" w:lineRule="auto"/>
        <w:jc w:val="center"/>
        <w:rPr>
          <w:rFonts w:ascii="Times New Roman" w:eastAsia="Times New Roman" w:hAnsi="Times New Roman" w:cs="Times New Roman"/>
          <w:color w:val="000000"/>
        </w:rPr>
      </w:pPr>
      <w:r>
        <w:br w:type="page"/>
      </w:r>
    </w:p>
    <w:p w14:paraId="7CF09C92" w14:textId="77777777" w:rsidR="00AD5C0F" w:rsidRDefault="000D17F8">
      <w:pPr>
        <w:pStyle w:val="Heading3"/>
        <w:jc w:val="left"/>
        <w:rPr>
          <w:rFonts w:ascii="Times New Roman" w:eastAsia="Times New Roman" w:hAnsi="Times New Roman" w:cs="Times New Roman"/>
          <w:color w:val="000000"/>
        </w:rPr>
      </w:pPr>
      <w:bookmarkStart w:id="51" w:name="_trdkhp37ccu6" w:colFirst="0" w:colLast="0"/>
      <w:bookmarkEnd w:id="51"/>
      <w:r>
        <w:rPr>
          <w:rFonts w:ascii="Times New Roman" w:eastAsia="Times New Roman" w:hAnsi="Times New Roman" w:cs="Times New Roman"/>
          <w:color w:val="000000"/>
        </w:rPr>
        <w:t>Appendix C. Investment Appraisal Calculations</w:t>
      </w:r>
    </w:p>
    <w:p w14:paraId="35B37EC8" w14:textId="77777777" w:rsidR="00AD5C0F" w:rsidRDefault="000D17F8">
      <w:pPr>
        <w:pStyle w:val="Heading4"/>
        <w:spacing w:before="160" w:after="80" w:line="276" w:lineRule="auto"/>
        <w:jc w:val="center"/>
        <w:rPr>
          <w:i w:val="0"/>
          <w:iCs w:val="0"/>
          <w:color w:val="000000"/>
        </w:rPr>
      </w:pPr>
      <w:bookmarkStart w:id="52" w:name="_ebw7e8gpy5am" w:colFirst="0" w:colLast="0"/>
      <w:bookmarkEnd w:id="52"/>
      <w:r>
        <w:rPr>
          <w:i w:val="0"/>
          <w:iCs w:val="0"/>
          <w:color w:val="000000"/>
        </w:rPr>
        <w:t>Table 13. Discounted cash flows - Project A</w:t>
      </w:r>
    </w:p>
    <w:p w14:paraId="42138E28" w14:textId="77777777" w:rsidR="00AD5C0F" w:rsidRDefault="000D17F8">
      <w:pPr>
        <w:rPr>
          <w:rFonts w:ascii="Times New Roman" w:eastAsia="Times New Roman" w:hAnsi="Times New Roman" w:cs="Times New Roman"/>
          <w:color w:val="000000"/>
        </w:rPr>
      </w:pPr>
      <w:r>
        <w:rPr>
          <w:noProof/>
        </w:rPr>
        <w:drawing>
          <wp:inline distT="114300" distB="114300" distL="114300" distR="114300" wp14:anchorId="2F844E10" wp14:editId="01B39774">
            <wp:extent cx="5731200" cy="142240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8"/>
                    <a:srcRect/>
                    <a:stretch>
                      <a:fillRect/>
                    </a:stretch>
                  </pic:blipFill>
                  <pic:spPr>
                    <a:xfrm>
                      <a:off x="0" y="0"/>
                      <a:ext cx="5731200" cy="1422400"/>
                    </a:xfrm>
                    <a:prstGeom prst="rect">
                      <a:avLst/>
                    </a:prstGeom>
                    <a:ln/>
                  </pic:spPr>
                </pic:pic>
              </a:graphicData>
            </a:graphic>
          </wp:inline>
        </w:drawing>
      </w:r>
      <w:r>
        <w:rPr>
          <w:rFonts w:ascii="Times New Roman" w:eastAsia="Times New Roman" w:hAnsi="Times New Roman" w:cs="Times New Roman"/>
          <w:color w:val="000000"/>
        </w:rPr>
        <w:t>Source: Authorial calculation; Year 0 is £(50.00)m and is not discounted.</w:t>
      </w:r>
    </w:p>
    <w:p w14:paraId="034163A9"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14. Discounted cash flows - Project B</w:t>
      </w:r>
    </w:p>
    <w:p w14:paraId="7E98F6AC"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noProof/>
          <w:color w:val="000000"/>
        </w:rPr>
        <w:drawing>
          <wp:inline distT="114300" distB="114300" distL="114300" distR="114300" wp14:anchorId="61C5F63C" wp14:editId="02844561">
            <wp:extent cx="5731200" cy="14351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9"/>
                    <a:srcRect/>
                    <a:stretch>
                      <a:fillRect/>
                    </a:stretch>
                  </pic:blipFill>
                  <pic:spPr>
                    <a:xfrm>
                      <a:off x="0" y="0"/>
                      <a:ext cx="5731200" cy="1435100"/>
                    </a:xfrm>
                    <a:prstGeom prst="rect">
                      <a:avLst/>
                    </a:prstGeom>
                    <a:ln/>
                  </pic:spPr>
                </pic:pic>
              </a:graphicData>
            </a:graphic>
          </wp:inline>
        </w:drawing>
      </w:r>
      <w:r>
        <w:rPr>
          <w:rFonts w:ascii="Times New Roman" w:eastAsia="Times New Roman" w:hAnsi="Times New Roman" w:cs="Times New Roman"/>
          <w:color w:val="000000"/>
        </w:rPr>
        <w:t>Source: Authorial calculation; Year 0 is £(50.00)m and is not discounted.</w:t>
      </w:r>
    </w:p>
    <w:p w14:paraId="4D3C321A" w14:textId="77777777" w:rsidR="00AD5C0F" w:rsidRDefault="000D17F8">
      <w:pPr>
        <w:pStyle w:val="Heading4"/>
        <w:spacing w:before="160" w:after="80" w:line="276" w:lineRule="auto"/>
        <w:jc w:val="center"/>
        <w:rPr>
          <w:i w:val="0"/>
          <w:iCs w:val="0"/>
          <w:color w:val="000000"/>
        </w:rPr>
      </w:pPr>
      <w:bookmarkStart w:id="53" w:name="_o2nbt4wwt5ta" w:colFirst="0" w:colLast="0"/>
      <w:bookmarkEnd w:id="53"/>
      <w:r>
        <w:rPr>
          <w:i w:val="0"/>
          <w:iCs w:val="0"/>
          <w:color w:val="000000"/>
        </w:rPr>
        <w:t>Table 15. Discounted cash flows - Project C</w:t>
      </w:r>
    </w:p>
    <w:p w14:paraId="195AE564" w14:textId="77777777" w:rsidR="00AD5C0F" w:rsidRDefault="000D17F8">
      <w:pPr>
        <w:jc w:val="center"/>
        <w:rPr>
          <w:rFonts w:ascii="Times New Roman" w:eastAsia="Times New Roman" w:hAnsi="Times New Roman" w:cs="Times New Roman"/>
          <w:color w:val="000000"/>
        </w:rPr>
      </w:pPr>
      <w:r>
        <w:rPr>
          <w:noProof/>
        </w:rPr>
        <w:drawing>
          <wp:inline distT="114300" distB="114300" distL="114300" distR="114300" wp14:anchorId="27663BBC" wp14:editId="180E5632">
            <wp:extent cx="5731200" cy="14605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0"/>
                    <a:srcRect/>
                    <a:stretch>
                      <a:fillRect/>
                    </a:stretch>
                  </pic:blipFill>
                  <pic:spPr>
                    <a:xfrm>
                      <a:off x="0" y="0"/>
                      <a:ext cx="5731200" cy="1460500"/>
                    </a:xfrm>
                    <a:prstGeom prst="rect">
                      <a:avLst/>
                    </a:prstGeom>
                    <a:ln/>
                  </pic:spPr>
                </pic:pic>
              </a:graphicData>
            </a:graphic>
          </wp:inline>
        </w:drawing>
      </w:r>
      <w:r>
        <w:rPr>
          <w:rFonts w:ascii="Times New Roman" w:eastAsia="Times New Roman" w:hAnsi="Times New Roman" w:cs="Times New Roman"/>
          <w:color w:val="000000"/>
        </w:rPr>
        <w:t>Source: Authorial calculation; Year 0 is £(50.00)m and is not discounted.</w:t>
      </w:r>
    </w:p>
    <w:p w14:paraId="4F1EEDEA" w14:textId="77777777" w:rsidR="00AD5C0F" w:rsidRDefault="000D17F8">
      <w:pPr>
        <w:spacing w:line="276" w:lineRule="auto"/>
        <w:jc w:val="center"/>
        <w:rPr>
          <w:rFonts w:ascii="Times New Roman" w:eastAsia="Times New Roman" w:hAnsi="Times New Roman" w:cs="Times New Roman"/>
          <w:color w:val="000000"/>
        </w:rPr>
      </w:pPr>
      <w:r>
        <w:br w:type="page"/>
      </w:r>
    </w:p>
    <w:p w14:paraId="709A19E0" w14:textId="77777777" w:rsidR="00AD5C0F" w:rsidRDefault="000D17F8">
      <w:pPr>
        <w:pStyle w:val="Heading3"/>
        <w:jc w:val="left"/>
        <w:rPr>
          <w:rFonts w:ascii="Times New Roman" w:eastAsia="Times New Roman" w:hAnsi="Times New Roman" w:cs="Times New Roman"/>
          <w:color w:val="000000"/>
        </w:rPr>
      </w:pPr>
      <w:bookmarkStart w:id="54" w:name="_5i08dpc0qmnv" w:colFirst="0" w:colLast="0"/>
      <w:bookmarkEnd w:id="54"/>
      <w:r>
        <w:rPr>
          <w:rFonts w:ascii="Times New Roman" w:eastAsia="Times New Roman" w:hAnsi="Times New Roman" w:cs="Times New Roman"/>
          <w:color w:val="000000"/>
        </w:rPr>
        <w:t>Appendix D. Capital Rationing and Restructuring Scenarios</w:t>
      </w:r>
    </w:p>
    <w:p w14:paraId="62DF877B"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16. Capital-rationing conclusion</w:t>
      </w:r>
    </w:p>
    <w:p w14:paraId="345D631C"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noProof/>
          <w:color w:val="000000"/>
        </w:rPr>
        <w:drawing>
          <wp:inline distT="114300" distB="114300" distL="114300" distR="114300" wp14:anchorId="790D7DCC" wp14:editId="159FFFCF">
            <wp:extent cx="5731200" cy="10033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1"/>
                    <a:srcRect/>
                    <a:stretch>
                      <a:fillRect/>
                    </a:stretch>
                  </pic:blipFill>
                  <pic:spPr>
                    <a:xfrm>
                      <a:off x="0" y="0"/>
                      <a:ext cx="5731200" cy="1003300"/>
                    </a:xfrm>
                    <a:prstGeom prst="rect">
                      <a:avLst/>
                    </a:prstGeom>
                    <a:ln/>
                  </pic:spPr>
                </pic:pic>
              </a:graphicData>
            </a:graphic>
          </wp:inline>
        </w:drawing>
      </w:r>
      <w:r>
        <w:rPr>
          <w:rFonts w:ascii="Times New Roman" w:eastAsia="Times New Roman" w:hAnsi="Times New Roman" w:cs="Times New Roman"/>
          <w:color w:val="000000"/>
        </w:rPr>
        <w:t>Source: Authorial calculation under the assessment's £100m ceiling.</w:t>
      </w:r>
    </w:p>
    <w:p w14:paraId="7DAFF273"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t>Table 17. Recommended restructuring actions</w:t>
      </w:r>
    </w:p>
    <w:p w14:paraId="61F51857" w14:textId="77777777" w:rsidR="00AD5C0F" w:rsidRDefault="000D17F8">
      <w:pPr>
        <w:keepNext/>
        <w:pBdr>
          <w:top w:val="nil"/>
          <w:left w:val="nil"/>
          <w:bottom w:val="nil"/>
          <w:right w:val="nil"/>
          <w:between w:val="nil"/>
        </w:pBdr>
        <w:spacing w:before="160" w:after="80" w:line="276" w:lineRule="auto"/>
        <w:jc w:val="center"/>
        <w:rPr>
          <w:rFonts w:ascii="Times New Roman" w:eastAsia="Times New Roman" w:hAnsi="Times New Roman" w:cs="Times New Roman"/>
          <w:color w:val="000000"/>
        </w:rPr>
      </w:pPr>
      <w:r>
        <w:rPr>
          <w:rFonts w:ascii="Times New Roman" w:eastAsia="Times New Roman" w:hAnsi="Times New Roman" w:cs="Times New Roman"/>
          <w:b/>
          <w:bCs/>
          <w:noProof/>
          <w:color w:val="000000"/>
        </w:rPr>
        <w:drawing>
          <wp:inline distT="114300" distB="114300" distL="114300" distR="114300" wp14:anchorId="3625760D" wp14:editId="562E9FFF">
            <wp:extent cx="5731200" cy="2197100"/>
            <wp:effectExtent l="0" t="0" r="0" b="0"/>
            <wp:docPr id="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62"/>
                    <a:srcRect/>
                    <a:stretch>
                      <a:fillRect/>
                    </a:stretch>
                  </pic:blipFill>
                  <pic:spPr>
                    <a:xfrm>
                      <a:off x="0" y="0"/>
                      <a:ext cx="5731200" cy="2197100"/>
                    </a:xfrm>
                    <a:prstGeom prst="rect">
                      <a:avLst/>
                    </a:prstGeom>
                    <a:ln/>
                  </pic:spPr>
                </pic:pic>
              </a:graphicData>
            </a:graphic>
          </wp:inline>
        </w:drawing>
      </w:r>
      <w:r>
        <w:rPr>
          <w:rFonts w:ascii="Times New Roman" w:eastAsia="Times New Roman" w:hAnsi="Times New Roman" w:cs="Times New Roman"/>
          <w:color w:val="000000"/>
        </w:rPr>
        <w:t>Source: Synthesis of the report recommendations.</w:t>
      </w:r>
    </w:p>
    <w:sectPr w:rsidR="00AD5C0F">
      <w:headerReference w:type="default" r:id="rId63"/>
      <w:footerReference w:type="default" r:id="rId64"/>
      <w:footerReference w:type="first" r:id="rId65"/>
      <w:pgSz w:w="11906" w:h="16838"/>
      <w:pgMar w:top="1440" w:right="1440" w:bottom="1440" w:left="1440" w:header="706" w:footer="706"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45D0F" w14:textId="77777777" w:rsidR="000D17F8" w:rsidRDefault="000D17F8">
      <w:pPr>
        <w:spacing w:after="0" w:line="240" w:lineRule="auto"/>
      </w:pPr>
      <w:r>
        <w:separator/>
      </w:r>
    </w:p>
  </w:endnote>
  <w:endnote w:type="continuationSeparator" w:id="0">
    <w:p w14:paraId="084D7DF6" w14:textId="77777777" w:rsidR="000D17F8" w:rsidRDefault="000D1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embedRegular r:id="rId5" w:fontKey="{00000000-0000-0000-0000-000000000000}"/>
    <w:embedBold r:id="rId6" w:fontKey="{00000000-0000-0000-0000-0000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Roboto">
    <w:panose1 w:val="02000000000000000000"/>
    <w:charset w:val="00"/>
    <w:family w:val="auto"/>
    <w:pitch w:val="variable"/>
    <w:sig w:usb0="E00002FF" w:usb1="5000217F" w:usb2="00000021" w:usb3="00000000" w:csb0="0000019F" w:csb1="00000000"/>
    <w:embedRegular r:id="rId1" w:fontKey="{00000000-0000-0000-0000-000000000000}"/>
    <w:embedBold r:id="rId2" w:fontKey="{00000000-0000-0000-0000-000000000000}"/>
    <w:embedItalic r:id="rId3" w:fontKey="{00000000-0000-0000-0000-000000000000}"/>
    <w:embedBoldItalic r:id="rId4" w:fontKey="{00000000-0000-0000-0000-0000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DC208" w14:textId="77777777" w:rsidR="00AD5C0F" w:rsidRDefault="000D17F8">
    <w:pPr>
      <w:pBdr>
        <w:top w:val="nil"/>
        <w:left w:val="nil"/>
        <w:bottom w:val="nil"/>
        <w:right w:val="nil"/>
        <w:between w:val="nil"/>
      </w:pBdr>
      <w:tabs>
        <w:tab w:val="center" w:pos="4680"/>
        <w:tab w:val="right" w:pos="9360"/>
      </w:tabs>
      <w:spacing w:after="0" w:line="240" w:lineRule="auto"/>
      <w:jc w:val="right"/>
    </w:pPr>
    <w:r>
      <w:rPr>
        <w:color w:val="5B6573"/>
        <w:sz w:val="18"/>
        <w:szCs w:val="18"/>
      </w:rPr>
      <w:t xml:space="preserve">Page </w:t>
    </w:r>
    <w:r>
      <w:rPr>
        <w:color w:val="5B6573"/>
        <w:sz w:val="18"/>
        <w:szCs w:val="18"/>
      </w:rPr>
      <w:fldChar w:fldCharType="begin"/>
    </w:r>
    <w:r>
      <w:rPr>
        <w:color w:val="5B6573"/>
        <w:sz w:val="18"/>
        <w:szCs w:val="18"/>
      </w:rPr>
      <w:instrText>PAGE</w:instrText>
    </w:r>
    <w:r>
      <w:rPr>
        <w:color w:val="5B6573"/>
        <w:sz w:val="18"/>
        <w:szCs w:val="18"/>
      </w:rPr>
      <w:fldChar w:fldCharType="separate"/>
    </w:r>
    <w:r>
      <w:rPr>
        <w:color w:val="5B6573"/>
        <w:sz w:val="18"/>
        <w:szCs w:val="18"/>
      </w:rPr>
      <w:fldChar w:fldCharType="end"/>
    </w:r>
    <w:r>
      <w:rPr>
        <w:color w:val="5B6573"/>
        <w:sz w:val="18"/>
        <w:szCs w:val="18"/>
      </w:rPr>
      <w:t xml:space="preserve"> of </w:t>
    </w:r>
    <w:r>
      <w:rPr>
        <w:color w:val="5B6573"/>
        <w:sz w:val="18"/>
        <w:szCs w:val="18"/>
      </w:rPr>
      <w:fldChar w:fldCharType="begin"/>
    </w:r>
    <w:r>
      <w:rPr>
        <w:color w:val="5B6573"/>
        <w:sz w:val="18"/>
        <w:szCs w:val="18"/>
      </w:rPr>
      <w:instrText>NUMPAGES</w:instrText>
    </w:r>
    <w:r>
      <w:rPr>
        <w:color w:val="5B6573"/>
        <w:sz w:val="18"/>
        <w:szCs w:val="18"/>
      </w:rPr>
      <w:fldChar w:fldCharType="separate"/>
    </w:r>
    <w:r>
      <w:rPr>
        <w:color w:val="5B6573"/>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5BCB7" w14:textId="77777777" w:rsidR="00AD5C0F" w:rsidRDefault="000D17F8">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EE3D2" w14:textId="77777777" w:rsidR="000D17F8" w:rsidRDefault="000D17F8">
      <w:pPr>
        <w:spacing w:after="0" w:line="240" w:lineRule="auto"/>
      </w:pPr>
      <w:r>
        <w:separator/>
      </w:r>
    </w:p>
  </w:footnote>
  <w:footnote w:type="continuationSeparator" w:id="0">
    <w:p w14:paraId="095EC283" w14:textId="77777777" w:rsidR="000D17F8" w:rsidRDefault="000D1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0206D" w14:textId="77777777" w:rsidR="00AD5C0F" w:rsidRDefault="00AD5C0F">
    <w:pPr>
      <w:pBdr>
        <w:top w:val="nil"/>
        <w:left w:val="nil"/>
        <w:bottom w:val="nil"/>
        <w:right w:val="nil"/>
        <w:between w:val="nil"/>
      </w:pBdr>
      <w:tabs>
        <w:tab w:val="center" w:pos="4680"/>
        <w:tab w:val="right" w:pos="9360"/>
      </w:tabs>
      <w:spacing w:after="0" w:line="240" w:lineRule="auto"/>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31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CC394D"/>
    <w:multiLevelType w:val="multilevel"/>
    <w:tmpl w:val="FFFFFFFF"/>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797182698">
    <w:abstractNumId w:val="0"/>
  </w:num>
  <w:num w:numId="2" w16cid:durableId="716470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C0F"/>
    <w:rsid w:val="000D17F8"/>
    <w:rsid w:val="00906E10"/>
    <w:rsid w:val="00AD5C0F"/>
    <w:rsid w:val="00B8070B"/>
    <w:rsid w:val="00CA3AD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4:docId w14:val="5E44D7FD"/>
  <w15:docId w15:val="{AB3F4085-8F33-D74A-A80C-7FF307F55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F1F1F"/>
        <w:sz w:val="24"/>
        <w:szCs w:val="24"/>
        <w:lang w:val="en" w:eastAsia="en-US" w:bidi="hi-IN"/>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200" w:line="276" w:lineRule="auto"/>
      <w:outlineLvl w:val="0"/>
    </w:pPr>
    <w:rPr>
      <w:b/>
      <w:bCs/>
      <w:color w:val="17365D"/>
      <w:sz w:val="32"/>
      <w:szCs w:val="32"/>
    </w:rPr>
  </w:style>
  <w:style w:type="paragraph" w:styleId="Heading2">
    <w:name w:val="heading 2"/>
    <w:basedOn w:val="Normal"/>
    <w:next w:val="Normal"/>
    <w:uiPriority w:val="9"/>
    <w:unhideWhenUsed/>
    <w:qFormat/>
    <w:pPr>
      <w:keepNext/>
      <w:keepLines/>
      <w:spacing w:before="240" w:line="276" w:lineRule="auto"/>
      <w:outlineLvl w:val="1"/>
    </w:pPr>
    <w:rPr>
      <w:b/>
      <w:bCs/>
      <w:color w:val="2E74B5"/>
      <w:sz w:val="27"/>
      <w:szCs w:val="27"/>
    </w:rPr>
  </w:style>
  <w:style w:type="paragraph" w:styleId="Heading3">
    <w:name w:val="heading 3"/>
    <w:basedOn w:val="Normal"/>
    <w:next w:val="Normal"/>
    <w:uiPriority w:val="9"/>
    <w:unhideWhenUsed/>
    <w:qFormat/>
    <w:pPr>
      <w:keepNext/>
      <w:keepLines/>
      <w:spacing w:before="160" w:after="80" w:line="276" w:lineRule="auto"/>
      <w:outlineLvl w:val="2"/>
    </w:pPr>
    <w:rPr>
      <w:b/>
      <w:bCs/>
      <w:color w:val="17365D"/>
    </w:rPr>
  </w:style>
  <w:style w:type="paragraph" w:styleId="Heading4">
    <w:name w:val="heading 4"/>
    <w:basedOn w:val="Normal"/>
    <w:next w:val="Normal"/>
    <w:uiPriority w:val="9"/>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hyperlink" Target="https://www.fsb.org/2024/11/the-financial-stability-implications-of-artificial-intelligence/" TargetMode="External" /><Relationship Id="rId39" Type="http://schemas.openxmlformats.org/officeDocument/2006/relationships/hyperlink" Target="https://www.scandichotelsgroup.com/files/AGM2024/Scandic-Annual-and-sustainability-report-2023.pdf" TargetMode="External" /><Relationship Id="rId21" Type="http://schemas.openxmlformats.org/officeDocument/2006/relationships/hyperlink" Target="https://doi.org/10.1016/j.jbusres.2019.09.025" TargetMode="External" /><Relationship Id="rId34" Type="http://schemas.openxmlformats.org/officeDocument/2006/relationships/hyperlink" Target="https://www.scandichotelsgroup.com/files/Reports/Annual_reports/Annual-and-sustainability-report-2021.pdf" TargetMode="External" /><Relationship Id="rId42" Type="http://schemas.openxmlformats.org/officeDocument/2006/relationships/hyperlink" Target="https://www.scandichotelsgroup.com/files/Reports/Annual_reports/2025/scandic-ar25-links-eng-260408.pdf" TargetMode="External" /><Relationship Id="rId47" Type="http://schemas.openxmlformats.org/officeDocument/2006/relationships/hyperlink" Target="https://www.scandichotelsgroup.com/media/press-releases/2026/scandic-secures-new-long-term-financing-framework/" TargetMode="External" /><Relationship Id="rId50" Type="http://schemas.openxmlformats.org/officeDocument/2006/relationships/hyperlink" Target="https://doi.org/10.5089/9798400251092.063" TargetMode="External" /><Relationship Id="rId55" Type="http://schemas.openxmlformats.org/officeDocument/2006/relationships/image" Target="media/image15.png" /><Relationship Id="rId63" Type="http://schemas.openxmlformats.org/officeDocument/2006/relationships/header" Target="header1.xml" /><Relationship Id="rId7" Type="http://schemas.openxmlformats.org/officeDocument/2006/relationships/image" Target="media/image1.png" /><Relationship Id="rId2" Type="http://schemas.openxmlformats.org/officeDocument/2006/relationships/styles" Target="styles.xml" /><Relationship Id="rId16" Type="http://schemas.openxmlformats.org/officeDocument/2006/relationships/image" Target="media/image10.png" /><Relationship Id="rId29" Type="http://schemas.openxmlformats.org/officeDocument/2006/relationships/hyperlink" Target="https://www.ifrs.org/issued-standards/list-of-standards/ifrs-16-lease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eur-lex.europa.eu/eli/reg/2024/1689/oj/eng" TargetMode="External" /><Relationship Id="rId32" Type="http://schemas.openxmlformats.org/officeDocument/2006/relationships/hyperlink" Target="https://www.readyratios.com/sec/industry/70/" TargetMode="External" /><Relationship Id="rId37" Type="http://schemas.openxmlformats.org/officeDocument/2006/relationships/hyperlink" Target="https://www.scandichotelsgroup.com/files/AGM2023/Scandic-annual-and-sustainability-report-2022.pdf" TargetMode="External" /><Relationship Id="rId40" Type="http://schemas.openxmlformats.org/officeDocument/2006/relationships/hyperlink" Target="https://www.scandichotelsgroup.com/files/Reports/Annual_reports/2024/Scandic-annual-and-sustainability-report-2024-print.pdf" TargetMode="External" /><Relationship Id="rId45" Type="http://schemas.openxmlformats.org/officeDocument/2006/relationships/hyperlink" Target="https://www.scandichotelsgroup.com/investors/dalata-acquisition/" TargetMode="External" /><Relationship Id="rId53" Type="http://schemas.openxmlformats.org/officeDocument/2006/relationships/hyperlink" Target="https://www.unwto.org/news/international-tourism-recovers-pre-pandemic-levels-in-2024" TargetMode="External" /><Relationship Id="rId58" Type="http://schemas.openxmlformats.org/officeDocument/2006/relationships/image" Target="media/image18.png" /><Relationship Id="rId66"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www.ecb.europa.eu/press/financial-stability-publications/fsr/special/html/ecb.fsrart202405_02~58c3ce5246.en.html" TargetMode="External" /><Relationship Id="rId28" Type="http://schemas.openxmlformats.org/officeDocument/2006/relationships/hyperlink" Target="https://www.ifrs.org/issued-standards/list-of-standards/ifrs-16-leases/" TargetMode="External" /><Relationship Id="rId36" Type="http://schemas.openxmlformats.org/officeDocument/2006/relationships/hyperlink" Target="https://www.scandichotelsgroup.com/files/AGM2023/Scandic-annual-and-sustainability-report-2022.pdf" TargetMode="External" /><Relationship Id="rId49" Type="http://schemas.openxmlformats.org/officeDocument/2006/relationships/hyperlink" Target="https://www.scandichotelsgroup.com/files/Main/13379/4374601/scandic-q2-report-2026-eng.pdf" TargetMode="External" /><Relationship Id="rId57" Type="http://schemas.openxmlformats.org/officeDocument/2006/relationships/image" Target="media/image17.png" /><Relationship Id="rId61" Type="http://schemas.openxmlformats.org/officeDocument/2006/relationships/image" Target="media/image21.png"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hyperlink" Target="https://legalinstruments.oecd.org/en/instruments/oecd-legal-0449" TargetMode="External" /><Relationship Id="rId44" Type="http://schemas.openxmlformats.org/officeDocument/2006/relationships/hyperlink" Target="https://www.scandichotelsgroup.com/investors/dalata-acquisition/" TargetMode="External" /><Relationship Id="rId52" Type="http://schemas.openxmlformats.org/officeDocument/2006/relationships/hyperlink" Target="https://www.unwto.org/news/international-tourism-recovers-pre-pandemic-levels-in-2024" TargetMode="External" /><Relationship Id="rId60" Type="http://schemas.openxmlformats.org/officeDocument/2006/relationships/image" Target="media/image20.png" /><Relationship Id="rId65"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ecb.europa.eu/press/financial-stability-publications/fsr/special/html/ecb.fsrart202405_02~58c3ce5246.en.html" TargetMode="External" /><Relationship Id="rId27" Type="http://schemas.openxmlformats.org/officeDocument/2006/relationships/hyperlink" Target="https://www.fsb.org/2024/11/the-financial-stability-implications-of-artificial-intelligence/" TargetMode="External" /><Relationship Id="rId30" Type="http://schemas.openxmlformats.org/officeDocument/2006/relationships/hyperlink" Target="https://legalinstruments.oecd.org/en/instruments/oecd-legal-0449" TargetMode="External" /><Relationship Id="rId35" Type="http://schemas.openxmlformats.org/officeDocument/2006/relationships/hyperlink" Target="https://www.scandichotelsgroup.com/files/Reports/Annual_reports/Annual-and-sustainability-report-2021.pdf" TargetMode="External" /><Relationship Id="rId43" Type="http://schemas.openxmlformats.org/officeDocument/2006/relationships/hyperlink" Target="https://www.scandichotelsgroup.com/files/Reports/Annual_reports/2025/scandic-ar25-links-eng-260408.pdf" TargetMode="External" /><Relationship Id="rId48" Type="http://schemas.openxmlformats.org/officeDocument/2006/relationships/hyperlink" Target="https://www.scandichotelsgroup.com/files/Main/13379/4374601/scandic-q2-report-2026-eng.pdf" TargetMode="External" /><Relationship Id="rId56" Type="http://schemas.openxmlformats.org/officeDocument/2006/relationships/image" Target="media/image16.png" /><Relationship Id="rId64" Type="http://schemas.openxmlformats.org/officeDocument/2006/relationships/footer" Target="footer1.xml" /><Relationship Id="rId8" Type="http://schemas.openxmlformats.org/officeDocument/2006/relationships/image" Target="media/image2.png" /><Relationship Id="rId51" Type="http://schemas.openxmlformats.org/officeDocument/2006/relationships/hyperlink" Target="https://doi.org/10.5089/9798400251092.063" TargetMode="Externa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yperlink" Target="https://eur-lex.europa.eu/eli/reg/2024/1689/oj/eng" TargetMode="External" /><Relationship Id="rId33" Type="http://schemas.openxmlformats.org/officeDocument/2006/relationships/hyperlink" Target="https://www.readyratios.com/sec/industry/70/" TargetMode="External" /><Relationship Id="rId38" Type="http://schemas.openxmlformats.org/officeDocument/2006/relationships/hyperlink" Target="https://www.scandichotelsgroup.com/files/AGM2024/Scandic-Annual-and-sustainability-report-2023.pdf" TargetMode="External" /><Relationship Id="rId46" Type="http://schemas.openxmlformats.org/officeDocument/2006/relationships/hyperlink" Target="https://www.scandichotelsgroup.com/media/press-releases/2026/scandic-secures-new-long-term-financing-framework/" TargetMode="External" /><Relationship Id="rId59" Type="http://schemas.openxmlformats.org/officeDocument/2006/relationships/image" Target="media/image19.png" /><Relationship Id="rId67" Type="http://schemas.openxmlformats.org/officeDocument/2006/relationships/theme" Target="theme/theme1.xml" /><Relationship Id="rId20" Type="http://schemas.openxmlformats.org/officeDocument/2006/relationships/hyperlink" Target="https://doi.org/10.1016/j.jbusres.2019.09.025" TargetMode="External" /><Relationship Id="rId41" Type="http://schemas.openxmlformats.org/officeDocument/2006/relationships/hyperlink" Target="https://www.scandichotelsgroup.com/files/Reports/Annual_reports/2024/Scandic-annual-and-sustainability-report-2024-print.pdf" TargetMode="External" /><Relationship Id="rId54" Type="http://schemas.openxmlformats.org/officeDocument/2006/relationships/image" Target="media/image14.png" /><Relationship Id="rId62" Type="http://schemas.openxmlformats.org/officeDocument/2006/relationships/image" Target="media/image22.png" /></Relationships>
</file>

<file path=word/_rels/fontTable.xml.rels><?xml version="1.0" encoding="UTF-8" standalone="yes"?>
<Relationships xmlns="http://schemas.openxmlformats.org/package/2006/relationships"><Relationship Id="rId3" Type="http://schemas.openxmlformats.org/officeDocument/2006/relationships/font" Target="fonts/Roboto-italic.ttf" /><Relationship Id="rId2" Type="http://schemas.openxmlformats.org/officeDocument/2006/relationships/font" Target="fonts/Roboto-bold.ttf" /><Relationship Id="rId6" Type="http://schemas.openxmlformats.org/officeDocument/2006/relationships/font" Target="fonts/NotoSansSymbols-bold.ttf" /><Relationship Id="rId1" Type="http://schemas.openxmlformats.org/officeDocument/2006/relationships/font" Target="fonts/Roboto-regular.ttf" /><Relationship Id="rId5" Type="http://schemas.openxmlformats.org/officeDocument/2006/relationships/font" Target="fonts/NotoSansSymbols-regular.ttf" /><Relationship Id="rId4" Type="http://schemas.openxmlformats.org/officeDocument/2006/relationships/font" Target="fonts/Roboto-boldItalic.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6948</Words>
  <Characters>39604</Characters>
  <Application>Microsoft Office Word</Application>
  <DocSecurity>0</DocSecurity>
  <Lines>330</Lines>
  <Paragraphs>92</Paragraphs>
  <ScaleCrop>false</ScaleCrop>
  <Company/>
  <LinksUpToDate>false</LinksUpToDate>
  <CharactersWithSpaces>46460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Abhijeet Kanel</cp:lastModifiedBy>
  <cp:revision>2</cp:revision>
  <dcterms:created xsi:type="dcterms:W3CDTF">2026-08-13T12:42:00Z</dcterms:created>
  <dcterms:modified xsi:type="dcterms:W3CDTF">2026-08-13T12:42:00Z</dcterms:modified>
</cp:coreProperties>
</file>