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4550E" w14:textId="30DC693D" w:rsidR="00840D95" w:rsidRPr="00840D95" w:rsidRDefault="00840D95" w:rsidP="00840D95">
      <w:pPr>
        <w:pStyle w:val="NormalWeb"/>
        <w:jc w:val="center"/>
        <w:rPr>
          <w:b/>
          <w:bCs/>
          <w:sz w:val="32"/>
          <w:szCs w:val="32"/>
        </w:rPr>
      </w:pPr>
      <w:r w:rsidRPr="00840D95">
        <w:rPr>
          <w:b/>
          <w:bCs/>
          <w:sz w:val="32"/>
          <w:szCs w:val="32"/>
        </w:rPr>
        <w:t xml:space="preserve">Marian Raducanu </w:t>
      </w:r>
    </w:p>
    <w:p w14:paraId="45C77AB1" w14:textId="6425EE33" w:rsidR="00840D95" w:rsidRPr="00840D95" w:rsidRDefault="00840D95" w:rsidP="00840D95">
      <w:pPr>
        <w:pStyle w:val="NormalWeb"/>
        <w:jc w:val="center"/>
        <w:rPr>
          <w:b/>
          <w:bCs/>
          <w:sz w:val="32"/>
          <w:szCs w:val="32"/>
        </w:rPr>
      </w:pPr>
      <w:r w:rsidRPr="00840D95">
        <w:rPr>
          <w:b/>
          <w:bCs/>
          <w:sz w:val="32"/>
          <w:szCs w:val="32"/>
        </w:rPr>
        <w:t xml:space="preserve">Academic Skills – Assignment 2 </w:t>
      </w:r>
    </w:p>
    <w:p w14:paraId="21E47919" w14:textId="3EE3D74D" w:rsidR="00840D95" w:rsidRPr="00840D95" w:rsidRDefault="00840D95" w:rsidP="00840D95">
      <w:pPr>
        <w:pStyle w:val="NormalWeb"/>
        <w:jc w:val="center"/>
        <w:rPr>
          <w:b/>
          <w:bCs/>
          <w:sz w:val="32"/>
          <w:szCs w:val="32"/>
        </w:rPr>
      </w:pPr>
      <w:r w:rsidRPr="00840D95">
        <w:rPr>
          <w:b/>
          <w:bCs/>
          <w:sz w:val="32"/>
          <w:szCs w:val="32"/>
        </w:rPr>
        <w:t xml:space="preserve">Essay </w:t>
      </w:r>
    </w:p>
    <w:p w14:paraId="0C0811AB" w14:textId="571E4257" w:rsidR="00840D95" w:rsidRPr="00840D95" w:rsidRDefault="00840D95" w:rsidP="00840D95">
      <w:pPr>
        <w:pStyle w:val="NormalWeb"/>
        <w:jc w:val="center"/>
        <w:rPr>
          <w:b/>
          <w:bCs/>
          <w:sz w:val="32"/>
          <w:szCs w:val="32"/>
        </w:rPr>
      </w:pPr>
      <w:r w:rsidRPr="00840D95">
        <w:rPr>
          <w:b/>
          <w:bCs/>
          <w:sz w:val="32"/>
          <w:szCs w:val="32"/>
        </w:rPr>
        <w:t xml:space="preserve"> “T</w:t>
      </w:r>
      <w:r w:rsidRPr="00840D95">
        <w:rPr>
          <w:b/>
          <w:bCs/>
          <w:sz w:val="32"/>
          <w:szCs w:val="32"/>
        </w:rPr>
        <w:t>he Parable of the Good Samaritan as recorded in Luke 10:25-37</w:t>
      </w:r>
      <w:r w:rsidRPr="00840D95">
        <w:rPr>
          <w:b/>
          <w:bCs/>
          <w:sz w:val="32"/>
          <w:szCs w:val="32"/>
        </w:rPr>
        <w:t>”</w:t>
      </w:r>
    </w:p>
    <w:p w14:paraId="6A00457E" w14:textId="77777777" w:rsidR="00840D95" w:rsidRDefault="00840D95" w:rsidP="00840D95">
      <w:pPr>
        <w:pStyle w:val="NormalWeb"/>
      </w:pPr>
    </w:p>
    <w:p w14:paraId="14B107E8" w14:textId="77777777" w:rsidR="00840D95" w:rsidRDefault="00840D95" w:rsidP="00840D95">
      <w:pPr>
        <w:pStyle w:val="NormalWeb"/>
      </w:pPr>
    </w:p>
    <w:p w14:paraId="3343E6BE" w14:textId="77777777" w:rsidR="00840D95" w:rsidRDefault="00840D95" w:rsidP="00840D95">
      <w:pPr>
        <w:pStyle w:val="NormalWeb"/>
      </w:pPr>
    </w:p>
    <w:p w14:paraId="45191652" w14:textId="77777777" w:rsidR="00840D95" w:rsidRPr="00E33E29" w:rsidRDefault="00840D95" w:rsidP="00840D95">
      <w:pPr>
        <w:pStyle w:val="NormalWeb"/>
        <w:rPr>
          <w:b/>
          <w:bCs/>
          <w:sz w:val="28"/>
          <w:szCs w:val="28"/>
        </w:rPr>
      </w:pPr>
      <w:r w:rsidRPr="00E33E29">
        <w:rPr>
          <w:b/>
          <w:bCs/>
          <w:sz w:val="28"/>
          <w:szCs w:val="28"/>
        </w:rPr>
        <w:t>Introduction</w:t>
      </w:r>
    </w:p>
    <w:p w14:paraId="6E7A1D21" w14:textId="67F0A1CF" w:rsidR="00840D95" w:rsidRDefault="00840D95" w:rsidP="00840D95">
      <w:pPr>
        <w:pStyle w:val="NormalWeb"/>
      </w:pPr>
      <w:r>
        <w:t>The New Testament contains many of the most theologically significant parables — however none is more theologically significant than the Parable of the Good Samaritan (Luke 10:25-37). While the Parable of the Good Samaritan has now become an idiom in modern society as simply a good story about showing compassion to strangers, such familiarity also obscures the radical impact that the parable had when it was first told in the early centuries of Palestinian Judaism. To examine the original radical impact that Jesus's parable had on his audience of early Palestinian Jews, I will utilize a close reading of the parable combined with a historical understanding of the social world from which the parable emerged. Thus, while my focus will be upon the literary structure of the parable itself, it will also be influenced by a historical understanding of the early Palestinian Jewish community and thus the ways in which the parable challenges traditional understandings of what constitutes a "</w:t>
      </w:r>
      <w:r>
        <w:t>neighbour</w:t>
      </w:r>
      <w:r>
        <w:t>" in a way that challenges long-standing ethno-religious and social norms.</w:t>
      </w:r>
    </w:p>
    <w:p w14:paraId="5DBC76EB" w14:textId="17B749FC" w:rsidR="00840D95" w:rsidRDefault="00840D95" w:rsidP="00840D95">
      <w:pPr>
        <w:pStyle w:val="NormalWeb"/>
      </w:pPr>
      <w:r>
        <w:t xml:space="preserve">In addition to a close reading of the parable itself and the social history of the time from which the parable emerges, I will argue that the parable of the Good Samaritan is not only a parable about being compassionate to others, but a parable that challenges the traditional views of </w:t>
      </w:r>
      <w:r>
        <w:t>neighbourliness</w:t>
      </w:r>
      <w:r>
        <w:t xml:space="preserve"> held by those who are familiar with the teachings of Jesus. In this sense, I will seek to show that the parable of the Good Samaritan is a parable that not only challenged the traditional views of those who heard it </w:t>
      </w:r>
      <w:r>
        <w:t>first but</w:t>
      </w:r>
      <w:r>
        <w:t xml:space="preserve"> continues to challenge Christians today as well.</w:t>
      </w:r>
    </w:p>
    <w:p w14:paraId="13DC8E18" w14:textId="77777777" w:rsidR="00840D95" w:rsidRPr="00E33E29" w:rsidRDefault="00840D95" w:rsidP="00840D95">
      <w:pPr>
        <w:pStyle w:val="NormalWeb"/>
        <w:rPr>
          <w:b/>
          <w:bCs/>
        </w:rPr>
      </w:pPr>
    </w:p>
    <w:p w14:paraId="23E62A31" w14:textId="0F43E2DF" w:rsidR="00840D95" w:rsidRPr="00E33E29" w:rsidRDefault="00840D95" w:rsidP="00840D95">
      <w:pPr>
        <w:pStyle w:val="NormalWeb"/>
        <w:rPr>
          <w:b/>
          <w:bCs/>
        </w:rPr>
      </w:pPr>
      <w:r w:rsidRPr="00E33E29">
        <w:rPr>
          <w:b/>
          <w:bCs/>
        </w:rPr>
        <w:t>Boundaries Broken: Neighbour-Love and Self-Identity in Luke 10:25-37</w:t>
      </w:r>
    </w:p>
    <w:p w14:paraId="4FED5A77" w14:textId="5FDD4F3B" w:rsidR="00840D95" w:rsidRDefault="00840D95" w:rsidP="00840D95">
      <w:pPr>
        <w:pStyle w:val="NormalWeb"/>
      </w:pPr>
      <w:r>
        <w:t xml:space="preserve">Jesus's story of the Good Samaritan, which appears in Luke 10:25-37, is among the most culturally impactful stories in </w:t>
      </w:r>
      <w:r>
        <w:t>all</w:t>
      </w:r>
      <w:r>
        <w:t xml:space="preserve"> Western history. It has been so profoundly influential that it has also obscured the revolutionary character of Jesus's message to his first century Palestinian audience. This paper will show that the Good Samaritan parable does not function merely as a story about compassion, but as a deliberate breach of cultural and religious barriers that redefined "neighbour" via unexpected role reversal. By looking into the literary </w:t>
      </w:r>
      <w:r>
        <w:lastRenderedPageBreak/>
        <w:t>structure of the story, the socio-historical context of Jesus's time and the theological significance of the story, we may see how Luke uses this parable to call into question both the conventional purity concerns and ethnic prejudices of Jesus's Jewish audience while also calling into question the exclusive tendencies of Jesus's Christian readers.</w:t>
      </w:r>
    </w:p>
    <w:p w14:paraId="5FB457B4" w14:textId="77777777" w:rsidR="00840D95" w:rsidRPr="00E33E29" w:rsidRDefault="00840D95" w:rsidP="00840D95">
      <w:pPr>
        <w:pStyle w:val="NormalWeb"/>
        <w:rPr>
          <w:b/>
          <w:bCs/>
          <w:sz w:val="28"/>
          <w:szCs w:val="28"/>
        </w:rPr>
      </w:pPr>
      <w:r w:rsidRPr="00E33E29">
        <w:rPr>
          <w:b/>
          <w:bCs/>
          <w:sz w:val="28"/>
          <w:szCs w:val="28"/>
        </w:rPr>
        <w:t>The Contextual Framework of the Story: A Lawyer's Question</w:t>
      </w:r>
    </w:p>
    <w:p w14:paraId="24957161" w14:textId="77777777" w:rsidR="00840D95" w:rsidRDefault="00840D95" w:rsidP="00840D95">
      <w:pPr>
        <w:pStyle w:val="NormalWeb"/>
      </w:pPr>
      <w:r>
        <w:t>The story of the Good Samaritan emerges from a very specific dialogical environment that influences how we understand it. A lawyer comes to Jesus asking, "Teacher, what shall I do to have eternal life?"1 Jesus answers the lawyer by redirecting the lawyer's question back to him; the lawyer appropriately quotes the Shema (Deuteronomy 6:5) and Leviticus 19:18, linking together love for God and love for neighbor.2 The lawyer then asks a follow-up question, which clearly shows us what the parable is ultimately concerned with: "And who is my neighbor?"3 That question was not a philosophical abstraction but had significant practical implications in a society where Romans occupied Palestine, Jews and Samaritans were hostile toward each other, and there were strict regulations regarding purity.</w:t>
      </w:r>
    </w:p>
    <w:p w14:paraId="142B59AD" w14:textId="4C6905BC" w:rsidR="00840D95" w:rsidRDefault="00840D95" w:rsidP="00840D95">
      <w:pPr>
        <w:pStyle w:val="NormalWeb"/>
      </w:pPr>
      <w:r>
        <w:t xml:space="preserve">Joel Green has stated that the lawyer's question wanting to justify himself, indicates that the lawyer was attempting to create boundaries that would restrict the limits of obligations to </w:t>
      </w:r>
      <w:r>
        <w:t>neighbours</w:t>
      </w:r>
      <w:r>
        <w:t xml:space="preserve">. The Greek word </w:t>
      </w:r>
      <w:proofErr w:type="spellStart"/>
      <w:r>
        <w:t>dikaiosunē</w:t>
      </w:r>
      <w:proofErr w:type="spellEnd"/>
      <w:r>
        <w:t xml:space="preserve"> , means to seek vindication or to be right in one's actions, therefore the lawyer probably thought Jesus would say that the lawyer could only consider those people as </w:t>
      </w:r>
      <w:r>
        <w:t>neighbours</w:t>
      </w:r>
      <w:r>
        <w:t xml:space="preserve"> that he considered to be either fellow Israelites or at least righteous Gentile that followed the seven Noahide Laws, however instead of giving the lawyer the type of answer he was expecting, Jesus gave the lawyer a story that systematically disassembled the boundaries that the lawyer wanted to construct.</w:t>
      </w:r>
    </w:p>
    <w:p w14:paraId="2DFB74C2" w14:textId="77777777" w:rsidR="00840D95" w:rsidRPr="00E33E29" w:rsidRDefault="00840D95" w:rsidP="00840D95">
      <w:pPr>
        <w:pStyle w:val="NormalWeb"/>
        <w:rPr>
          <w:b/>
          <w:bCs/>
          <w:sz w:val="28"/>
          <w:szCs w:val="28"/>
        </w:rPr>
      </w:pPr>
      <w:r w:rsidRPr="00E33E29">
        <w:rPr>
          <w:b/>
          <w:bCs/>
          <w:sz w:val="28"/>
          <w:szCs w:val="28"/>
        </w:rPr>
        <w:t>The Shock of Switching Roles</w:t>
      </w:r>
    </w:p>
    <w:p w14:paraId="22BB01A2" w14:textId="1B91B8A5" w:rsidR="00840D95" w:rsidRDefault="00840D95" w:rsidP="00840D95">
      <w:pPr>
        <w:pStyle w:val="NormalWeb"/>
      </w:pPr>
      <w:r>
        <w:t xml:space="preserve">The way the Parable is structured is based upon </w:t>
      </w:r>
      <w:r>
        <w:t>several</w:t>
      </w:r>
      <w:r>
        <w:t xml:space="preserve"> assumptions which are developed and then turned around. On the road from Jerusalem to Jericho, a man is robbed by thieves, who strip and beat him and leave him "half-dead</w:t>
      </w:r>
      <w:r w:rsidR="00E33E29">
        <w:t>”.</w:t>
      </w:r>
      <w:r>
        <w:t xml:space="preserve"> The road from Jerusalem to Jericho dropped approximately 3300 feet over 17 miles of desert land that was notorious for bandits.</w:t>
      </w:r>
    </w:p>
    <w:p w14:paraId="7B3A6CD4" w14:textId="77777777" w:rsidR="00840D95" w:rsidRDefault="00840D95" w:rsidP="00840D95">
      <w:pPr>
        <w:pStyle w:val="NormalWeb"/>
      </w:pPr>
      <w:r>
        <w:t>His condition - stripped, and unconscious - is also important. His ethnicity and social status identifiers have been erased, so he can't be identified.</w:t>
      </w:r>
    </w:p>
    <w:p w14:paraId="0B6DFE13" w14:textId="77777777" w:rsidR="00840D95" w:rsidRDefault="00840D95" w:rsidP="00840D95">
      <w:pPr>
        <w:pStyle w:val="NormalWeb"/>
      </w:pPr>
      <w:r>
        <w:t>Two people pass the man on the road. They are both religious professionals - a priest and a Levite. Each saw the man and walked past on the other side. There are different explanations for why they did it. Some scholars believe they avoided him because of concerns about being ritually unclean due to contact with a corpse (Leviticus 21:1-3, Numbers 19:11-13). Others think there could have been concerns about getting caught up by late bandits or they felt they would be responsible for helping the man. Kenneth Bailey believes their actions represent a priority of religious duties over humanity's needs and represent a religiosity that lacks compassion.</w:t>
      </w:r>
    </w:p>
    <w:p w14:paraId="15B8D886" w14:textId="77777777" w:rsidR="00840D95" w:rsidRDefault="00840D95" w:rsidP="00840D95">
      <w:pPr>
        <w:pStyle w:val="NormalWeb"/>
      </w:pPr>
      <w:r>
        <w:t xml:space="preserve">The surprise is when the third person arrives. He is a Samaritan and came across where the man was. For Jesus' Jewish audience, the introduction of a Samaritan as the hero of the story would have been quite a shock. Samaritans were viewed as heretics from the Northern Kingdom who had intermarried with the colonizers from outside the area and established a separate temple at Mount Gerizim. John's Gospel portrays the hatred that existed between </w:t>
      </w:r>
      <w:r>
        <w:lastRenderedPageBreak/>
        <w:t>Jews and Samaritans: "The Jews have no dealings with the Samaritans" (John 4:9) and the Jewish antagonists try to belittle Jesus by calling him "a Samaritan" (John 8:48). Josephus documents several violent conflicts between the two groups, including a Samaritan slaughter of Galilean pilgrims around 52 AD.</w:t>
      </w:r>
    </w:p>
    <w:p w14:paraId="6F575A4E" w14:textId="411CD554" w:rsidR="00840D95" w:rsidRDefault="00840D95" w:rsidP="00840D95">
      <w:pPr>
        <w:pStyle w:val="NormalWeb"/>
      </w:pPr>
      <w:r>
        <w:t>However, this Samaritan reacts with incredible compassion. Luke uses the Greek word (</w:t>
      </w:r>
      <w:proofErr w:type="spellStart"/>
      <w:r>
        <w:t>esplanchnisthē</w:t>
      </w:r>
      <w:proofErr w:type="spellEnd"/>
      <w:r>
        <w:t>) to express that he was "moved with compassion" or that "his bowels yearned". This phrase means visceral or gut-wrenching emotion and is used repeatedly in Luke to show Jesus' compassionate reaction to humans suffering (Luke 7:13, 15:20). The Samaritan does everything he can to help the man. He dresses the man's wounds, applies oil and wine (two common first-century medical remedies), puts the man on his own donkey, takes him to an inn and pays for the man's room and board for as long as he is needed. The Samaritan agrees to pay back any excess costs.</w:t>
      </w:r>
    </w:p>
    <w:p w14:paraId="05304313" w14:textId="6A1D39E5" w:rsidR="00840D95" w:rsidRPr="00E33E29" w:rsidRDefault="00840D95" w:rsidP="00840D95">
      <w:pPr>
        <w:pStyle w:val="NormalWeb"/>
        <w:rPr>
          <w:b/>
          <w:bCs/>
          <w:sz w:val="28"/>
          <w:szCs w:val="28"/>
        </w:rPr>
      </w:pPr>
      <w:r w:rsidRPr="00E33E29">
        <w:rPr>
          <w:b/>
          <w:bCs/>
          <w:sz w:val="28"/>
          <w:szCs w:val="28"/>
        </w:rPr>
        <w:t xml:space="preserve">Reframing </w:t>
      </w:r>
      <w:r w:rsidR="00E33E29" w:rsidRPr="00E33E29">
        <w:rPr>
          <w:b/>
          <w:bCs/>
          <w:sz w:val="28"/>
          <w:szCs w:val="28"/>
        </w:rPr>
        <w:t>Neighbourliness</w:t>
      </w:r>
    </w:p>
    <w:p w14:paraId="2789D033" w14:textId="25FDF5D7" w:rsidR="00840D95" w:rsidRDefault="00840D95" w:rsidP="00840D95">
      <w:pPr>
        <w:pStyle w:val="NormalWeb"/>
      </w:pPr>
      <w:r>
        <w:t xml:space="preserve">In the final section of the parable, the message becomes even more provocative. Instead of answering "Who is my </w:t>
      </w:r>
      <w:r w:rsidR="00E33E29">
        <w:t>neighbour</w:t>
      </w:r>
      <w:r>
        <w:t xml:space="preserve">?"--which would allow the lawyer to define his obligation--Jesus reframes the question: "Do you think the man who was shown mercy became a </w:t>
      </w:r>
      <w:r w:rsidR="00E33E29">
        <w:t>neighbour</w:t>
      </w:r>
      <w:r>
        <w:t xml:space="preserve"> to the man who fell into the robbers' hands?"19 This rhetorical flip-flop moves attention away from defining whom one should provide aid to, and toward determining whether one can act like a </w:t>
      </w:r>
      <w:r w:rsidR="00E33E29">
        <w:t>neighbour</w:t>
      </w:r>
      <w:r>
        <w:t xml:space="preserve"> to anyone in need.</w:t>
      </w:r>
    </w:p>
    <w:p w14:paraId="6D04F304" w14:textId="151AD0F1" w:rsidR="00840D95" w:rsidRDefault="00840D95" w:rsidP="00840D95">
      <w:pPr>
        <w:pStyle w:val="NormalWeb"/>
      </w:pPr>
      <w:r>
        <w:t xml:space="preserve">The lawyer hesitates to identify the Samaritan as the </w:t>
      </w:r>
      <w:r w:rsidR="00E33E29">
        <w:t>neighbour and</w:t>
      </w:r>
      <w:r>
        <w:t xml:space="preserve"> </w:t>
      </w:r>
      <w:r w:rsidR="00E33E29">
        <w:t>says,</w:t>
      </w:r>
      <w:r>
        <w:t xml:space="preserve"> "the one who showed him mercy."20 His reluctance to name the Samaritan shows the parable's powerful attack against ethnic prejudices. Then Jesus orders the lawyer to go and act similarly.21 The command here is sometimes under-appreciated. Jesus isn't simply calling for general compassion. He is specifically asking his Jewish listeners to replicate the Samaritan's extreme crossing of boundaries </w:t>
      </w:r>
      <w:r w:rsidR="00E33E29">
        <w:t>to</w:t>
      </w:r>
      <w:r>
        <w:t xml:space="preserve"> display mercy to others. As Amy-Jill Levine states, "The parable forces readers to view the enemy as a </w:t>
      </w:r>
      <w:r w:rsidR="00E33E29">
        <w:t>neighbour</w:t>
      </w:r>
      <w:r>
        <w:t>", and to recognize "that the insulted other may be the very one that displays what we ought to be doing".22</w:t>
      </w:r>
    </w:p>
    <w:p w14:paraId="4F4DC0B0" w14:textId="77777777" w:rsidR="00840D95" w:rsidRDefault="00840D95" w:rsidP="00840D95">
      <w:pPr>
        <w:pStyle w:val="NormalWeb"/>
      </w:pPr>
      <w:r>
        <w:t>This parable is a profoundly theological and ethical one that goes far beyond the application of situational ethics to consider whether right relationship with God can ever exist apart from merciful actions toward those in need - regardless of who they are. Jesus' answer implies that the two are inseparable, which aligns well with broader Lukan themes that emphasize God has a preferential option for the marginalized, and that love in practice is required as proof of authentic belief (Luke 6:27-36, 14:12-14, 16:19-31) [19].</w:t>
      </w:r>
    </w:p>
    <w:p w14:paraId="74E5F820" w14:textId="77777777" w:rsidR="00840D95" w:rsidRDefault="00840D95" w:rsidP="00840D95">
      <w:pPr>
        <w:pStyle w:val="NormalWeb"/>
      </w:pPr>
      <w:r>
        <w:t xml:space="preserve">Additionally, this parable challenges any theology that puts ritual purity above human well-being. The priest and the Levite are examples of a religious system that may have been corrupted by the very rules it was created to uphold, and this critique resonates with Jesus' disputes over Sabbath healings and eating at tables with "sinners." François </w:t>
      </w:r>
      <w:proofErr w:type="spellStart"/>
      <w:r>
        <w:t>Bovon</w:t>
      </w:r>
      <w:proofErr w:type="spellEnd"/>
      <w:r>
        <w:t xml:space="preserve"> argues that Luke portrays the Samaritan as being obedient to the law in a way that outdoes the priest and Levite who were professionally committed to obeying the law, and thus critiques "piety without mercy" [21].</w:t>
      </w:r>
    </w:p>
    <w:p w14:paraId="356CDBD0" w14:textId="2D4CC141" w:rsidR="00840D95" w:rsidRDefault="00840D95" w:rsidP="00840D95">
      <w:pPr>
        <w:pStyle w:val="NormalWeb"/>
      </w:pPr>
      <w:r>
        <w:t xml:space="preserve">In addition to functioning as an example of what is meant by "mercy," the parable also serves as a </w:t>
      </w:r>
      <w:r w:rsidR="00E33E29">
        <w:t>Christological</w:t>
      </w:r>
      <w:r>
        <w:t xml:space="preserve"> example within Luke's narrative. The compassionate Samaritan who rescues the dying victim foreshadows Jesus, who was rejected by his own people but offered </w:t>
      </w:r>
      <w:r>
        <w:lastRenderedPageBreak/>
        <w:t xml:space="preserve">salvation to all. Early Christian interpreters, including Origen and Augustine, interpreted this parable allegorically and identified Jesus as the Samaritan, the injured man as fallen humanity, and the inn as the church. Although modern scholars generally reject such allegory as overly detailed, recognizing the parable's </w:t>
      </w:r>
      <w:r w:rsidR="00E33E29">
        <w:t>Christological</w:t>
      </w:r>
      <w:r>
        <w:t xml:space="preserve"> implications remains a valid observation: Jesus is both telling the story and personifying the Samaritan's transcending mercy.</w:t>
      </w:r>
    </w:p>
    <w:p w14:paraId="2C397B87" w14:textId="77777777" w:rsidR="00840D95" w:rsidRPr="00E33E29" w:rsidRDefault="00840D95" w:rsidP="00840D95">
      <w:pPr>
        <w:pStyle w:val="NormalWeb"/>
        <w:rPr>
          <w:b/>
          <w:bCs/>
          <w:sz w:val="28"/>
          <w:szCs w:val="28"/>
        </w:rPr>
      </w:pPr>
      <w:r w:rsidRPr="00E33E29">
        <w:rPr>
          <w:b/>
          <w:bCs/>
          <w:sz w:val="28"/>
          <w:szCs w:val="28"/>
        </w:rPr>
        <w:t>Contemporary Significance and Obstacles</w:t>
      </w:r>
    </w:p>
    <w:p w14:paraId="3444B007" w14:textId="77777777" w:rsidR="00840D95" w:rsidRDefault="00840D95" w:rsidP="00840D95">
      <w:pPr>
        <w:pStyle w:val="NormalWeb"/>
      </w:pPr>
      <w:r>
        <w:t>A large part of why this parable continues to be relevant today is because it allows for reinterpretation in new ways. Every generation needs to decide who is going to function as "the Samaritan" in their own society—the unanticipated other, the socially despised outsider, the person from whom you would least expect moral guidance. In contemporary Western societies, this could involve refugees seeking asylum, individuals from opposing political parties, or individuals of different religions.</w:t>
      </w:r>
    </w:p>
    <w:p w14:paraId="4A21C90B" w14:textId="77777777" w:rsidR="00840D95" w:rsidRDefault="00840D95" w:rsidP="00840D95">
      <w:pPr>
        <w:pStyle w:val="NormalWeb"/>
      </w:pPr>
      <w:r>
        <w:t>Robert Tannehill cautions against reducing the offense of the parable to simple tolerance or humanitarian aid.25 The text does not just urge generic acceptance of others; it urges us to recognize moral excellence in those we construct as enemies and to allow that realization to challenge how we think of ourselves. The parable will not permit us to comfortably maintain our assumptions regarding who is righteous and who is worthy of our condescension.</w:t>
      </w:r>
    </w:p>
    <w:p w14:paraId="0D2A964C" w14:textId="65606555" w:rsidR="00840D95" w:rsidRDefault="00840D95" w:rsidP="00840D95">
      <w:pPr>
        <w:pStyle w:val="NormalWeb"/>
      </w:pPr>
      <w:r>
        <w:t xml:space="preserve">In addition to urging </w:t>
      </w:r>
      <w:r w:rsidR="00E33E29">
        <w:t>everyone</w:t>
      </w:r>
      <w:r>
        <w:t xml:space="preserve"> to act in accordance with her/his conscience through acts of personal mercy, the parable also invites us to examine systemic injustices. Why was the road so dangerous? What economic pressure forced bandits to live there? What are the social systems that lead us to categorize certain groups as "</w:t>
      </w:r>
      <w:r w:rsidR="00E33E29">
        <w:t>neighbours</w:t>
      </w:r>
      <w:r>
        <w:t>" and others as "others" and therefore lead us to feel indifferent to them? Luise Schottroff argues that the parable should provoke us to ask these kinds of systemic violence and social justice issues and the structures that create victims.</w:t>
      </w:r>
    </w:p>
    <w:p w14:paraId="79CA2A98" w14:textId="77777777" w:rsidR="00840D95" w:rsidRPr="00E33E29" w:rsidRDefault="00840D95" w:rsidP="00840D95">
      <w:pPr>
        <w:pStyle w:val="NormalWeb"/>
        <w:rPr>
          <w:b/>
          <w:bCs/>
          <w:sz w:val="28"/>
          <w:szCs w:val="28"/>
        </w:rPr>
      </w:pPr>
      <w:r w:rsidRPr="00E33E29">
        <w:rPr>
          <w:b/>
          <w:bCs/>
          <w:sz w:val="28"/>
          <w:szCs w:val="28"/>
        </w:rPr>
        <w:t>Conclusion</w:t>
      </w:r>
    </w:p>
    <w:p w14:paraId="5BD10586" w14:textId="4EDC431E" w:rsidR="00840D95" w:rsidRDefault="00840D95" w:rsidP="00840D95">
      <w:pPr>
        <w:pStyle w:val="NormalWeb"/>
      </w:pPr>
      <w:r>
        <w:t xml:space="preserve">The Parable of the Good Samaritan is so unsettling because it does not allow for convenient interpretation or application. Religious professionals will find their </w:t>
      </w:r>
      <w:r w:rsidR="00E33E29">
        <w:t>institutionally oriented</w:t>
      </w:r>
      <w:r>
        <w:t xml:space="preserve"> focus on the needs of the church challenged by the parable’s insistence that people should prioritize the immediate needs of others. The parable also presents a challenge to ethnic and cultural prejudices by showing the "other" — that person whom one may despise — as the model of what it means to act with virtue. The parable defines </w:t>
      </w:r>
      <w:r w:rsidR="00E33E29">
        <w:t>neighbourliness</w:t>
      </w:r>
      <w:r>
        <w:t xml:space="preserve"> not as something to determine about another, but rather as a concrete action to perform for someone in need. Perhaps most startlingly, the parable implies that receiving eternal life is not the result of formulating doctrine correctly; instead, it is a function of exhibiting radical mercy and crossing boundaries of every sort in imitation of the unselective and undiscriminating compassion of God.</w:t>
      </w:r>
    </w:p>
    <w:p w14:paraId="7CCDCCB4" w14:textId="3FE4378A" w:rsidR="00840D95" w:rsidRDefault="00840D95" w:rsidP="00840D95">
      <w:pPr>
        <w:pStyle w:val="NormalWeb"/>
      </w:pPr>
      <w:r>
        <w:t xml:space="preserve">Whether for the original audience of Luke, or for today’s reader, the parable raises the same disquieting questions: Are we able to accept moral guidance from unfamiliar sources? Are we prepared to recognize as righteous individuals we previously excluded as outsiders? The lawyer was seeking to establish the bounds within which he would be willing to provide love (i.e., he asked "who is my </w:t>
      </w:r>
      <w:r w:rsidR="00E33E29">
        <w:t>neighbour</w:t>
      </w:r>
      <w:r>
        <w:t xml:space="preserve">?" </w:t>
      </w:r>
      <w:r w:rsidR="00E33E29">
        <w:t>to</w:t>
      </w:r>
      <w:r>
        <w:t xml:space="preserve"> establish his limits). The response given by Jesus eliminates these limits altogether, indicating that each person has the capacity to be </w:t>
      </w:r>
      <w:r w:rsidR="00E33E29">
        <w:t>neighbour</w:t>
      </w:r>
      <w:r>
        <w:t xml:space="preserve"> </w:t>
      </w:r>
      <w:r>
        <w:lastRenderedPageBreak/>
        <w:t xml:space="preserve">to all others, and that we are called to act as </w:t>
      </w:r>
      <w:r w:rsidR="00E33E29">
        <w:t>neighbours</w:t>
      </w:r>
      <w:r>
        <w:t xml:space="preserve"> to all others. The reorientation of our perspective presented by the parable is the source of both the scandalous nature of the parable and the profound theology contained within it.</w:t>
      </w:r>
    </w:p>
    <w:p w14:paraId="082AB29A" w14:textId="77777777" w:rsidR="00840D95" w:rsidRPr="00840D95" w:rsidRDefault="00840D95" w:rsidP="00840D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40D95">
        <w:rPr>
          <w:rFonts w:ascii="Times New Roman" w:eastAsia="Times New Roman" w:hAnsi="Times New Roman" w:cs="Times New Roman"/>
          <w:b/>
          <w:bCs/>
          <w:kern w:val="0"/>
          <w:sz w:val="36"/>
          <w:szCs w:val="36"/>
          <w:lang w:eastAsia="en-GB"/>
          <w14:ligatures w14:val="none"/>
        </w:rPr>
        <w:t>Bibliography</w:t>
      </w:r>
    </w:p>
    <w:p w14:paraId="6912843A"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Bailey, Kenneth E., </w:t>
      </w:r>
      <w:r w:rsidRPr="00840D95">
        <w:rPr>
          <w:rFonts w:ascii="Times New Roman" w:eastAsia="Times New Roman" w:hAnsi="Times New Roman" w:cs="Times New Roman"/>
          <w:i/>
          <w:iCs/>
          <w:kern w:val="0"/>
          <w:lang w:eastAsia="en-GB"/>
          <w14:ligatures w14:val="none"/>
        </w:rPr>
        <w:t>Jesus Through Middle Eastern Eyes: Cultural Studies in the Gospels</w:t>
      </w:r>
      <w:r w:rsidRPr="00840D95">
        <w:rPr>
          <w:rFonts w:ascii="Times New Roman" w:eastAsia="Times New Roman" w:hAnsi="Times New Roman" w:cs="Times New Roman"/>
          <w:kern w:val="0"/>
          <w:lang w:eastAsia="en-GB"/>
          <w14:ligatures w14:val="none"/>
        </w:rPr>
        <w:t xml:space="preserve"> (London: SPCK, 2008).</w:t>
      </w:r>
    </w:p>
    <w:p w14:paraId="06678D73"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840D95">
        <w:rPr>
          <w:rFonts w:ascii="Times New Roman" w:eastAsia="Times New Roman" w:hAnsi="Times New Roman" w:cs="Times New Roman"/>
          <w:kern w:val="0"/>
          <w:lang w:eastAsia="en-GB"/>
          <w14:ligatures w14:val="none"/>
        </w:rPr>
        <w:t>Bovon</w:t>
      </w:r>
      <w:proofErr w:type="spellEnd"/>
      <w:r w:rsidRPr="00840D95">
        <w:rPr>
          <w:rFonts w:ascii="Times New Roman" w:eastAsia="Times New Roman" w:hAnsi="Times New Roman" w:cs="Times New Roman"/>
          <w:kern w:val="0"/>
          <w:lang w:eastAsia="en-GB"/>
          <w14:ligatures w14:val="none"/>
        </w:rPr>
        <w:t xml:space="preserve">, François, </w:t>
      </w:r>
      <w:r w:rsidRPr="00840D95">
        <w:rPr>
          <w:rFonts w:ascii="Times New Roman" w:eastAsia="Times New Roman" w:hAnsi="Times New Roman" w:cs="Times New Roman"/>
          <w:i/>
          <w:iCs/>
          <w:kern w:val="0"/>
          <w:lang w:eastAsia="en-GB"/>
          <w14:ligatures w14:val="none"/>
        </w:rPr>
        <w:t>Luke 1: A Commentary on the Gospel of Luke 1:1–9:50</w:t>
      </w:r>
      <w:r w:rsidRPr="00840D95">
        <w:rPr>
          <w:rFonts w:ascii="Times New Roman" w:eastAsia="Times New Roman" w:hAnsi="Times New Roman" w:cs="Times New Roman"/>
          <w:kern w:val="0"/>
          <w:lang w:eastAsia="en-GB"/>
          <w14:ligatures w14:val="none"/>
        </w:rPr>
        <w:t xml:space="preserve">, trans. by Christine M. Thomas, </w:t>
      </w:r>
      <w:proofErr w:type="spellStart"/>
      <w:r w:rsidRPr="00840D95">
        <w:rPr>
          <w:rFonts w:ascii="Times New Roman" w:eastAsia="Times New Roman" w:hAnsi="Times New Roman" w:cs="Times New Roman"/>
          <w:kern w:val="0"/>
          <w:lang w:eastAsia="en-GB"/>
          <w14:ligatures w14:val="none"/>
        </w:rPr>
        <w:t>Hermeneia</w:t>
      </w:r>
      <w:proofErr w:type="spellEnd"/>
      <w:r w:rsidRPr="00840D95">
        <w:rPr>
          <w:rFonts w:ascii="Times New Roman" w:eastAsia="Times New Roman" w:hAnsi="Times New Roman" w:cs="Times New Roman"/>
          <w:kern w:val="0"/>
          <w:lang w:eastAsia="en-GB"/>
          <w14:ligatures w14:val="none"/>
        </w:rPr>
        <w:t xml:space="preserve"> (Minneapolis: Fortress Press, 2002).</w:t>
      </w:r>
    </w:p>
    <w:p w14:paraId="4DAA293A"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Fitzmyer, Joseph A., </w:t>
      </w:r>
      <w:r w:rsidRPr="00840D95">
        <w:rPr>
          <w:rFonts w:ascii="Times New Roman" w:eastAsia="Times New Roman" w:hAnsi="Times New Roman" w:cs="Times New Roman"/>
          <w:i/>
          <w:iCs/>
          <w:kern w:val="0"/>
          <w:lang w:eastAsia="en-GB"/>
          <w14:ligatures w14:val="none"/>
        </w:rPr>
        <w:t>The Gospel According to Luke X–XXIV</w:t>
      </w:r>
      <w:r w:rsidRPr="00840D95">
        <w:rPr>
          <w:rFonts w:ascii="Times New Roman" w:eastAsia="Times New Roman" w:hAnsi="Times New Roman" w:cs="Times New Roman"/>
          <w:kern w:val="0"/>
          <w:lang w:eastAsia="en-GB"/>
          <w14:ligatures w14:val="none"/>
        </w:rPr>
        <w:t>, Anchor Yale Bible, 28A (New Haven: Yale University Press, 1985).</w:t>
      </w:r>
    </w:p>
    <w:p w14:paraId="13FC759B"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Green, Joel B., </w:t>
      </w:r>
      <w:r w:rsidRPr="00840D95">
        <w:rPr>
          <w:rFonts w:ascii="Times New Roman" w:eastAsia="Times New Roman" w:hAnsi="Times New Roman" w:cs="Times New Roman"/>
          <w:i/>
          <w:iCs/>
          <w:kern w:val="0"/>
          <w:lang w:eastAsia="en-GB"/>
          <w14:ligatures w14:val="none"/>
        </w:rPr>
        <w:t>The Gospel of Luke</w:t>
      </w:r>
      <w:r w:rsidRPr="00840D95">
        <w:rPr>
          <w:rFonts w:ascii="Times New Roman" w:eastAsia="Times New Roman" w:hAnsi="Times New Roman" w:cs="Times New Roman"/>
          <w:kern w:val="0"/>
          <w:lang w:eastAsia="en-GB"/>
          <w14:ligatures w14:val="none"/>
        </w:rPr>
        <w:t>, New International Commentary on the New Testament (Grand Rapids: Eerdmans, 1997).</w:t>
      </w:r>
    </w:p>
    <w:p w14:paraId="5738857D"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Josephus, Flavius, </w:t>
      </w:r>
      <w:r w:rsidRPr="00840D95">
        <w:rPr>
          <w:rFonts w:ascii="Times New Roman" w:eastAsia="Times New Roman" w:hAnsi="Times New Roman" w:cs="Times New Roman"/>
          <w:i/>
          <w:iCs/>
          <w:kern w:val="0"/>
          <w:lang w:eastAsia="en-GB"/>
          <w14:ligatures w14:val="none"/>
        </w:rPr>
        <w:t>Jewish Antiquities</w:t>
      </w:r>
      <w:r w:rsidRPr="00840D95">
        <w:rPr>
          <w:rFonts w:ascii="Times New Roman" w:eastAsia="Times New Roman" w:hAnsi="Times New Roman" w:cs="Times New Roman"/>
          <w:kern w:val="0"/>
          <w:lang w:eastAsia="en-GB"/>
          <w14:ligatures w14:val="none"/>
        </w:rPr>
        <w:t>, trans. by Louis H. Feldman, Loeb Classical Library (Cambridge, MA: Harvard University Press, 1965).</w:t>
      </w:r>
    </w:p>
    <w:p w14:paraId="2E65DF82"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Levine, Amy-Jill, </w:t>
      </w:r>
      <w:r w:rsidRPr="00840D95">
        <w:rPr>
          <w:rFonts w:ascii="Times New Roman" w:eastAsia="Times New Roman" w:hAnsi="Times New Roman" w:cs="Times New Roman"/>
          <w:i/>
          <w:iCs/>
          <w:kern w:val="0"/>
          <w:lang w:eastAsia="en-GB"/>
          <w14:ligatures w14:val="none"/>
        </w:rPr>
        <w:t>Short Stories by Jesus: The Enigmatic Parables of a Controversial Rabbi</w:t>
      </w:r>
      <w:r w:rsidRPr="00840D95">
        <w:rPr>
          <w:rFonts w:ascii="Times New Roman" w:eastAsia="Times New Roman" w:hAnsi="Times New Roman" w:cs="Times New Roman"/>
          <w:kern w:val="0"/>
          <w:lang w:eastAsia="en-GB"/>
          <w14:ligatures w14:val="none"/>
        </w:rPr>
        <w:t xml:space="preserve"> (New York: </w:t>
      </w:r>
      <w:proofErr w:type="spellStart"/>
      <w:r w:rsidRPr="00840D95">
        <w:rPr>
          <w:rFonts w:ascii="Times New Roman" w:eastAsia="Times New Roman" w:hAnsi="Times New Roman" w:cs="Times New Roman"/>
          <w:kern w:val="0"/>
          <w:lang w:eastAsia="en-GB"/>
          <w14:ligatures w14:val="none"/>
        </w:rPr>
        <w:t>HarperOne</w:t>
      </w:r>
      <w:proofErr w:type="spellEnd"/>
      <w:r w:rsidRPr="00840D95">
        <w:rPr>
          <w:rFonts w:ascii="Times New Roman" w:eastAsia="Times New Roman" w:hAnsi="Times New Roman" w:cs="Times New Roman"/>
          <w:kern w:val="0"/>
          <w:lang w:eastAsia="en-GB"/>
          <w14:ligatures w14:val="none"/>
        </w:rPr>
        <w:t>, 2014).</w:t>
      </w:r>
    </w:p>
    <w:p w14:paraId="153C4290"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Schottroff, Luise, </w:t>
      </w:r>
      <w:r w:rsidRPr="00840D95">
        <w:rPr>
          <w:rFonts w:ascii="Times New Roman" w:eastAsia="Times New Roman" w:hAnsi="Times New Roman" w:cs="Times New Roman"/>
          <w:i/>
          <w:iCs/>
          <w:kern w:val="0"/>
          <w:lang w:eastAsia="en-GB"/>
          <w14:ligatures w14:val="none"/>
        </w:rPr>
        <w:t>The Parables of Jesus</w:t>
      </w:r>
      <w:r w:rsidRPr="00840D95">
        <w:rPr>
          <w:rFonts w:ascii="Times New Roman" w:eastAsia="Times New Roman" w:hAnsi="Times New Roman" w:cs="Times New Roman"/>
          <w:kern w:val="0"/>
          <w:lang w:eastAsia="en-GB"/>
          <w14:ligatures w14:val="none"/>
        </w:rPr>
        <w:t>, trans. by Linda M. Maloney (Minneapolis: Fortress Press, 2006).</w:t>
      </w:r>
    </w:p>
    <w:p w14:paraId="43D25AF7"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Tannehill, Robert C., </w:t>
      </w:r>
      <w:r w:rsidRPr="00840D95">
        <w:rPr>
          <w:rFonts w:ascii="Times New Roman" w:eastAsia="Times New Roman" w:hAnsi="Times New Roman" w:cs="Times New Roman"/>
          <w:i/>
          <w:iCs/>
          <w:kern w:val="0"/>
          <w:lang w:eastAsia="en-GB"/>
          <w14:ligatures w14:val="none"/>
        </w:rPr>
        <w:t>The Narrative Unity of Luke-Acts: A Literary Interpretation</w:t>
      </w:r>
      <w:r w:rsidRPr="00840D95">
        <w:rPr>
          <w:rFonts w:ascii="Times New Roman" w:eastAsia="Times New Roman" w:hAnsi="Times New Roman" w:cs="Times New Roman"/>
          <w:kern w:val="0"/>
          <w:lang w:eastAsia="en-GB"/>
          <w14:ligatures w14:val="none"/>
        </w:rPr>
        <w:t xml:space="preserve">, Volume 1: </w:t>
      </w:r>
      <w:r w:rsidRPr="00840D95">
        <w:rPr>
          <w:rFonts w:ascii="Times New Roman" w:eastAsia="Times New Roman" w:hAnsi="Times New Roman" w:cs="Times New Roman"/>
          <w:i/>
          <w:iCs/>
          <w:kern w:val="0"/>
          <w:lang w:eastAsia="en-GB"/>
          <w14:ligatures w14:val="none"/>
        </w:rPr>
        <w:t>The Gospel According to Luke</w:t>
      </w:r>
      <w:r w:rsidRPr="00840D95">
        <w:rPr>
          <w:rFonts w:ascii="Times New Roman" w:eastAsia="Times New Roman" w:hAnsi="Times New Roman" w:cs="Times New Roman"/>
          <w:kern w:val="0"/>
          <w:lang w:eastAsia="en-GB"/>
          <w14:ligatures w14:val="none"/>
        </w:rPr>
        <w:t xml:space="preserve"> (Philadelphia: Fortress Press, 1986).</w:t>
      </w:r>
    </w:p>
    <w:p w14:paraId="77F88899" w14:textId="77777777" w:rsidR="00840D95" w:rsidRPr="00840D95" w:rsidRDefault="00840D95" w:rsidP="00840D95">
      <w:p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i/>
          <w:iCs/>
          <w:kern w:val="0"/>
          <w:lang w:eastAsia="en-GB"/>
          <w14:ligatures w14:val="none"/>
        </w:rPr>
        <w:t>The Holy Bible: New Revised Standard Version</w:t>
      </w:r>
      <w:r w:rsidRPr="00840D95">
        <w:rPr>
          <w:rFonts w:ascii="Times New Roman" w:eastAsia="Times New Roman" w:hAnsi="Times New Roman" w:cs="Times New Roman"/>
          <w:kern w:val="0"/>
          <w:lang w:eastAsia="en-GB"/>
          <w14:ligatures w14:val="none"/>
        </w:rPr>
        <w:t xml:space="preserve"> (Oxford: Oxford University Press, 1989).</w:t>
      </w:r>
    </w:p>
    <w:p w14:paraId="149D51BE" w14:textId="77777777" w:rsidR="00840D95" w:rsidRPr="00840D95" w:rsidRDefault="00840D95" w:rsidP="00840D95">
      <w:pPr>
        <w:spacing w:after="0"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pict w14:anchorId="0D2CBBBB">
          <v:rect id="_x0000_i1025" style="width:0;height:1.5pt" o:hralign="center" o:hrstd="t" o:hr="t" fillcolor="#a0a0a0" stroked="f"/>
        </w:pict>
      </w:r>
    </w:p>
    <w:p w14:paraId="58D1D677" w14:textId="660C995F" w:rsidR="00840D95" w:rsidRPr="00840D95" w:rsidRDefault="00840D95" w:rsidP="00840D9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40D95">
        <w:rPr>
          <w:rFonts w:ascii="Times New Roman" w:eastAsia="Times New Roman" w:hAnsi="Times New Roman" w:cs="Times New Roman"/>
          <w:b/>
          <w:bCs/>
          <w:kern w:val="0"/>
          <w:sz w:val="36"/>
          <w:szCs w:val="36"/>
          <w:lang w:eastAsia="en-GB"/>
          <w14:ligatures w14:val="none"/>
        </w:rPr>
        <w:t>Footnotes</w:t>
      </w:r>
    </w:p>
    <w:p w14:paraId="051D6F79" w14:textId="3F615AAD"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10:25, </w:t>
      </w:r>
      <w:r w:rsidRPr="00840D95">
        <w:rPr>
          <w:rFonts w:ascii="Times New Roman" w:eastAsia="Times New Roman" w:hAnsi="Times New Roman" w:cs="Times New Roman"/>
          <w:i/>
          <w:iCs/>
          <w:kern w:val="0"/>
          <w:lang w:eastAsia="en-GB"/>
          <w14:ligatures w14:val="none"/>
        </w:rPr>
        <w:t>New Revised Standard Version</w:t>
      </w:r>
      <w:r w:rsidRPr="00840D95">
        <w:rPr>
          <w:rFonts w:ascii="Times New Roman" w:eastAsia="Times New Roman" w:hAnsi="Times New Roman" w:cs="Times New Roman"/>
          <w:kern w:val="0"/>
          <w:lang w:eastAsia="en-GB"/>
          <w14:ligatures w14:val="none"/>
        </w:rPr>
        <w:t xml:space="preserve"> (Oxford: Oxford University Press, 1989). All subsequent biblical quotations are from this translation unless otherwise noted. </w:t>
      </w:r>
    </w:p>
    <w:p w14:paraId="554A1912" w14:textId="46D047DA"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10:27. The combination of Deuteronomy 6:5 and Leviticus 19:18 appears also in Mark 12:28-34 and Matthew 22:34-40, suggesting it was recognised as a summary of Torah obligations. </w:t>
      </w:r>
    </w:p>
    <w:p w14:paraId="16B0B683" w14:textId="3BC31A2F"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10:29. </w:t>
      </w:r>
    </w:p>
    <w:p w14:paraId="14567371" w14:textId="163CF657"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Joel B. Green, </w:t>
      </w:r>
      <w:r w:rsidRPr="00840D95">
        <w:rPr>
          <w:rFonts w:ascii="Times New Roman" w:eastAsia="Times New Roman" w:hAnsi="Times New Roman" w:cs="Times New Roman"/>
          <w:i/>
          <w:iCs/>
          <w:kern w:val="0"/>
          <w:lang w:eastAsia="en-GB"/>
          <w14:ligatures w14:val="none"/>
        </w:rPr>
        <w:t>The Gospel of Luke</w:t>
      </w:r>
      <w:r w:rsidRPr="00840D95">
        <w:rPr>
          <w:rFonts w:ascii="Times New Roman" w:eastAsia="Times New Roman" w:hAnsi="Times New Roman" w:cs="Times New Roman"/>
          <w:kern w:val="0"/>
          <w:lang w:eastAsia="en-GB"/>
          <w14:ligatures w14:val="none"/>
        </w:rPr>
        <w:t xml:space="preserve">, New International Commentary on the New Testament (Grand Rapids: Eerdmans, 1997), p. 430. </w:t>
      </w:r>
    </w:p>
    <w:p w14:paraId="53978433" w14:textId="4DDC4481"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10:30. </w:t>
      </w:r>
    </w:p>
    <w:p w14:paraId="76B783AC" w14:textId="02C80108"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Kenneth E. Bailey, </w:t>
      </w:r>
      <w:r w:rsidRPr="00840D95">
        <w:rPr>
          <w:rFonts w:ascii="Times New Roman" w:eastAsia="Times New Roman" w:hAnsi="Times New Roman" w:cs="Times New Roman"/>
          <w:i/>
          <w:iCs/>
          <w:kern w:val="0"/>
          <w:lang w:eastAsia="en-GB"/>
          <w14:ligatures w14:val="none"/>
        </w:rPr>
        <w:t>Jesus Through Middle Eastern Eyes: Cultural Studies in the Gospels</w:t>
      </w:r>
      <w:r w:rsidRPr="00840D95">
        <w:rPr>
          <w:rFonts w:ascii="Times New Roman" w:eastAsia="Times New Roman" w:hAnsi="Times New Roman" w:cs="Times New Roman"/>
          <w:kern w:val="0"/>
          <w:lang w:eastAsia="en-GB"/>
          <w14:ligatures w14:val="none"/>
        </w:rPr>
        <w:t xml:space="preserve"> (London: SPCK, 2008), p. 286. </w:t>
      </w:r>
    </w:p>
    <w:p w14:paraId="794353F1" w14:textId="4EDCAC3A"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10:31-32. </w:t>
      </w:r>
    </w:p>
    <w:p w14:paraId="26F84B80" w14:textId="1B600CED"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lastRenderedPageBreak/>
        <w:t xml:space="preserve">Joseph A. Fitzmyer, </w:t>
      </w:r>
      <w:r w:rsidRPr="00840D95">
        <w:rPr>
          <w:rFonts w:ascii="Times New Roman" w:eastAsia="Times New Roman" w:hAnsi="Times New Roman" w:cs="Times New Roman"/>
          <w:i/>
          <w:iCs/>
          <w:kern w:val="0"/>
          <w:lang w:eastAsia="en-GB"/>
          <w14:ligatures w14:val="none"/>
        </w:rPr>
        <w:t>The Gospel According to Luke X–XXIV</w:t>
      </w:r>
      <w:r w:rsidRPr="00840D95">
        <w:rPr>
          <w:rFonts w:ascii="Times New Roman" w:eastAsia="Times New Roman" w:hAnsi="Times New Roman" w:cs="Times New Roman"/>
          <w:kern w:val="0"/>
          <w:lang w:eastAsia="en-GB"/>
          <w14:ligatures w14:val="none"/>
        </w:rPr>
        <w:t xml:space="preserve">, Anchor Yale Bible, 28A (New Haven: Yale University Press, 1985), p. 886. </w:t>
      </w:r>
    </w:p>
    <w:p w14:paraId="1E752639" w14:textId="00F03CFB"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Bailey, </w:t>
      </w:r>
      <w:r w:rsidRPr="00840D95">
        <w:rPr>
          <w:rFonts w:ascii="Times New Roman" w:eastAsia="Times New Roman" w:hAnsi="Times New Roman" w:cs="Times New Roman"/>
          <w:i/>
          <w:iCs/>
          <w:kern w:val="0"/>
          <w:lang w:eastAsia="en-GB"/>
          <w14:ligatures w14:val="none"/>
        </w:rPr>
        <w:t>Jesus Through Middle Eastern Eyes</w:t>
      </w:r>
      <w:r w:rsidRPr="00840D95">
        <w:rPr>
          <w:rFonts w:ascii="Times New Roman" w:eastAsia="Times New Roman" w:hAnsi="Times New Roman" w:cs="Times New Roman"/>
          <w:kern w:val="0"/>
          <w:lang w:eastAsia="en-GB"/>
          <w14:ligatures w14:val="none"/>
        </w:rPr>
        <w:t xml:space="preserve">, pp. 287-88. </w:t>
      </w:r>
    </w:p>
    <w:p w14:paraId="0F481F71" w14:textId="6A6A0936"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10:33. </w:t>
      </w:r>
    </w:p>
    <w:p w14:paraId="5CEAF782" w14:textId="41AECFE3"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On Samaritan-Jewish relations, see Josephus, </w:t>
      </w:r>
      <w:r w:rsidRPr="00840D95">
        <w:rPr>
          <w:rFonts w:ascii="Times New Roman" w:eastAsia="Times New Roman" w:hAnsi="Times New Roman" w:cs="Times New Roman"/>
          <w:i/>
          <w:iCs/>
          <w:kern w:val="0"/>
          <w:lang w:eastAsia="en-GB"/>
          <w14:ligatures w14:val="none"/>
        </w:rPr>
        <w:t>Jewish Antiquities</w:t>
      </w:r>
      <w:r w:rsidRPr="00840D95">
        <w:rPr>
          <w:rFonts w:ascii="Times New Roman" w:eastAsia="Times New Roman" w:hAnsi="Times New Roman" w:cs="Times New Roman"/>
          <w:kern w:val="0"/>
          <w:lang w:eastAsia="en-GB"/>
          <w14:ligatures w14:val="none"/>
        </w:rPr>
        <w:t xml:space="preserve">, 11.340-347, trans. by Louis H. Feldman, Loeb Classical Library (Cambridge, MA: Harvard University Press, 1965). </w:t>
      </w:r>
    </w:p>
    <w:p w14:paraId="3D261EAD" w14:textId="121EC66C"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Josephus, </w:t>
      </w:r>
      <w:r w:rsidRPr="00840D95">
        <w:rPr>
          <w:rFonts w:ascii="Times New Roman" w:eastAsia="Times New Roman" w:hAnsi="Times New Roman" w:cs="Times New Roman"/>
          <w:i/>
          <w:iCs/>
          <w:kern w:val="0"/>
          <w:lang w:eastAsia="en-GB"/>
          <w14:ligatures w14:val="none"/>
        </w:rPr>
        <w:t>Jewish Antiquities</w:t>
      </w:r>
      <w:r w:rsidRPr="00840D95">
        <w:rPr>
          <w:rFonts w:ascii="Times New Roman" w:eastAsia="Times New Roman" w:hAnsi="Times New Roman" w:cs="Times New Roman"/>
          <w:kern w:val="0"/>
          <w:lang w:eastAsia="en-GB"/>
          <w14:ligatures w14:val="none"/>
        </w:rPr>
        <w:t xml:space="preserve">, 20.118-136. </w:t>
      </w:r>
    </w:p>
    <w:p w14:paraId="7A73B4A0" w14:textId="4D856920"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10:33. See Green, </w:t>
      </w:r>
      <w:r w:rsidRPr="00840D95">
        <w:rPr>
          <w:rFonts w:ascii="Times New Roman" w:eastAsia="Times New Roman" w:hAnsi="Times New Roman" w:cs="Times New Roman"/>
          <w:i/>
          <w:iCs/>
          <w:kern w:val="0"/>
          <w:lang w:eastAsia="en-GB"/>
          <w14:ligatures w14:val="none"/>
        </w:rPr>
        <w:t>The Gospel of Luke</w:t>
      </w:r>
      <w:r w:rsidRPr="00840D95">
        <w:rPr>
          <w:rFonts w:ascii="Times New Roman" w:eastAsia="Times New Roman" w:hAnsi="Times New Roman" w:cs="Times New Roman"/>
          <w:kern w:val="0"/>
          <w:lang w:eastAsia="en-GB"/>
          <w14:ligatures w14:val="none"/>
        </w:rPr>
        <w:t xml:space="preserve">, p. 431, on the significance of this term. </w:t>
      </w:r>
    </w:p>
    <w:p w14:paraId="43E55FE7" w14:textId="093EE936"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10:34-35. </w:t>
      </w:r>
    </w:p>
    <w:p w14:paraId="519CEB79" w14:textId="5B69E9E5"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10:36. </w:t>
      </w:r>
    </w:p>
    <w:p w14:paraId="0C025089" w14:textId="6FCE60F1"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10:37. </w:t>
      </w:r>
    </w:p>
    <w:p w14:paraId="4FD84780" w14:textId="4104CA36"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Luke 10:37. </w:t>
      </w:r>
    </w:p>
    <w:p w14:paraId="373BC807" w14:textId="23A30BB4"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Amy-Jill Levine, </w:t>
      </w:r>
      <w:r w:rsidRPr="00840D95">
        <w:rPr>
          <w:rFonts w:ascii="Times New Roman" w:eastAsia="Times New Roman" w:hAnsi="Times New Roman" w:cs="Times New Roman"/>
          <w:i/>
          <w:iCs/>
          <w:kern w:val="0"/>
          <w:lang w:eastAsia="en-GB"/>
          <w14:ligatures w14:val="none"/>
        </w:rPr>
        <w:t>Short Stories by Jesus: The Enigmatic Parables of a Controversial Rabbi</w:t>
      </w:r>
      <w:r w:rsidRPr="00840D95">
        <w:rPr>
          <w:rFonts w:ascii="Times New Roman" w:eastAsia="Times New Roman" w:hAnsi="Times New Roman" w:cs="Times New Roman"/>
          <w:kern w:val="0"/>
          <w:lang w:eastAsia="en-GB"/>
          <w14:ligatures w14:val="none"/>
        </w:rPr>
        <w:t xml:space="preserve"> (New York: </w:t>
      </w:r>
      <w:proofErr w:type="spellStart"/>
      <w:r w:rsidRPr="00840D95">
        <w:rPr>
          <w:rFonts w:ascii="Times New Roman" w:eastAsia="Times New Roman" w:hAnsi="Times New Roman" w:cs="Times New Roman"/>
          <w:kern w:val="0"/>
          <w:lang w:eastAsia="en-GB"/>
          <w14:ligatures w14:val="none"/>
        </w:rPr>
        <w:t>HarperOne</w:t>
      </w:r>
      <w:proofErr w:type="spellEnd"/>
      <w:r w:rsidRPr="00840D95">
        <w:rPr>
          <w:rFonts w:ascii="Times New Roman" w:eastAsia="Times New Roman" w:hAnsi="Times New Roman" w:cs="Times New Roman"/>
          <w:kern w:val="0"/>
          <w:lang w:eastAsia="en-GB"/>
          <w14:ligatures w14:val="none"/>
        </w:rPr>
        <w:t xml:space="preserve">, 2014), pp. 94-95. </w:t>
      </w:r>
    </w:p>
    <w:p w14:paraId="0B7575CF" w14:textId="215A6360"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François Bovon, </w:t>
      </w:r>
      <w:r w:rsidRPr="00840D95">
        <w:rPr>
          <w:rFonts w:ascii="Times New Roman" w:eastAsia="Times New Roman" w:hAnsi="Times New Roman" w:cs="Times New Roman"/>
          <w:i/>
          <w:iCs/>
          <w:kern w:val="0"/>
          <w:lang w:eastAsia="en-GB"/>
          <w14:ligatures w14:val="none"/>
        </w:rPr>
        <w:t>Luke 1: A Commentary on the Gospel of Luke 1:1–9:50</w:t>
      </w:r>
      <w:r w:rsidRPr="00840D95">
        <w:rPr>
          <w:rFonts w:ascii="Times New Roman" w:eastAsia="Times New Roman" w:hAnsi="Times New Roman" w:cs="Times New Roman"/>
          <w:kern w:val="0"/>
          <w:lang w:eastAsia="en-GB"/>
          <w14:ligatures w14:val="none"/>
        </w:rPr>
        <w:t xml:space="preserve">, trans. by Christine M. Thomas, </w:t>
      </w:r>
      <w:proofErr w:type="spellStart"/>
      <w:r w:rsidRPr="00840D95">
        <w:rPr>
          <w:rFonts w:ascii="Times New Roman" w:eastAsia="Times New Roman" w:hAnsi="Times New Roman" w:cs="Times New Roman"/>
          <w:kern w:val="0"/>
          <w:lang w:eastAsia="en-GB"/>
          <w14:ligatures w14:val="none"/>
        </w:rPr>
        <w:t>Hermeneia</w:t>
      </w:r>
      <w:proofErr w:type="spellEnd"/>
      <w:r w:rsidRPr="00840D95">
        <w:rPr>
          <w:rFonts w:ascii="Times New Roman" w:eastAsia="Times New Roman" w:hAnsi="Times New Roman" w:cs="Times New Roman"/>
          <w:kern w:val="0"/>
          <w:lang w:eastAsia="en-GB"/>
          <w14:ligatures w14:val="none"/>
        </w:rPr>
        <w:t xml:space="preserve"> (Minneapolis: Fortress Press, 2002), p. 28. </w:t>
      </w:r>
    </w:p>
    <w:p w14:paraId="343541B1" w14:textId="63B7E85F"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See Luke 6:1-11, 14:1-6, 15:1-2. </w:t>
      </w:r>
    </w:p>
    <w:p w14:paraId="7A2605AE" w14:textId="419DF474"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840D95">
        <w:rPr>
          <w:rFonts w:ascii="Times New Roman" w:eastAsia="Times New Roman" w:hAnsi="Times New Roman" w:cs="Times New Roman"/>
          <w:kern w:val="0"/>
          <w:lang w:eastAsia="en-GB"/>
          <w14:ligatures w14:val="none"/>
        </w:rPr>
        <w:t>Bovon</w:t>
      </w:r>
      <w:proofErr w:type="spellEnd"/>
      <w:r w:rsidRPr="00840D95">
        <w:rPr>
          <w:rFonts w:ascii="Times New Roman" w:eastAsia="Times New Roman" w:hAnsi="Times New Roman" w:cs="Times New Roman"/>
          <w:kern w:val="0"/>
          <w:lang w:eastAsia="en-GB"/>
          <w14:ligatures w14:val="none"/>
        </w:rPr>
        <w:t xml:space="preserve">, </w:t>
      </w:r>
      <w:r w:rsidRPr="00840D95">
        <w:rPr>
          <w:rFonts w:ascii="Times New Roman" w:eastAsia="Times New Roman" w:hAnsi="Times New Roman" w:cs="Times New Roman"/>
          <w:i/>
          <w:iCs/>
          <w:kern w:val="0"/>
          <w:lang w:eastAsia="en-GB"/>
          <w14:ligatures w14:val="none"/>
        </w:rPr>
        <w:t>Luke 1</w:t>
      </w:r>
      <w:r w:rsidRPr="00840D95">
        <w:rPr>
          <w:rFonts w:ascii="Times New Roman" w:eastAsia="Times New Roman" w:hAnsi="Times New Roman" w:cs="Times New Roman"/>
          <w:kern w:val="0"/>
          <w:lang w:eastAsia="en-GB"/>
          <w14:ligatures w14:val="none"/>
        </w:rPr>
        <w:t xml:space="preserve">, p. 31. </w:t>
      </w:r>
    </w:p>
    <w:p w14:paraId="1FB4D102" w14:textId="5309FF8F"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Fitzmyer, </w:t>
      </w:r>
      <w:r w:rsidRPr="00840D95">
        <w:rPr>
          <w:rFonts w:ascii="Times New Roman" w:eastAsia="Times New Roman" w:hAnsi="Times New Roman" w:cs="Times New Roman"/>
          <w:i/>
          <w:iCs/>
          <w:kern w:val="0"/>
          <w:lang w:eastAsia="en-GB"/>
          <w14:ligatures w14:val="none"/>
        </w:rPr>
        <w:t>The Gospel According to Luke X–XXIV</w:t>
      </w:r>
      <w:r w:rsidRPr="00840D95">
        <w:rPr>
          <w:rFonts w:ascii="Times New Roman" w:eastAsia="Times New Roman" w:hAnsi="Times New Roman" w:cs="Times New Roman"/>
          <w:kern w:val="0"/>
          <w:lang w:eastAsia="en-GB"/>
          <w14:ligatures w14:val="none"/>
        </w:rPr>
        <w:t xml:space="preserve">, pp. 883-84, discusses this allegorical tradition. </w:t>
      </w:r>
    </w:p>
    <w:p w14:paraId="76C309AC" w14:textId="1E8AEF45"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Robert C. Tannehill, </w:t>
      </w:r>
      <w:r w:rsidRPr="00840D95">
        <w:rPr>
          <w:rFonts w:ascii="Times New Roman" w:eastAsia="Times New Roman" w:hAnsi="Times New Roman" w:cs="Times New Roman"/>
          <w:i/>
          <w:iCs/>
          <w:kern w:val="0"/>
          <w:lang w:eastAsia="en-GB"/>
          <w14:ligatures w14:val="none"/>
        </w:rPr>
        <w:t>The Narrative Unity of Luke-Acts: A Literary Interpretation</w:t>
      </w:r>
      <w:r w:rsidRPr="00840D95">
        <w:rPr>
          <w:rFonts w:ascii="Times New Roman" w:eastAsia="Times New Roman" w:hAnsi="Times New Roman" w:cs="Times New Roman"/>
          <w:kern w:val="0"/>
          <w:lang w:eastAsia="en-GB"/>
          <w14:ligatures w14:val="none"/>
        </w:rPr>
        <w:t xml:space="preserve">, Volume 1: </w:t>
      </w:r>
      <w:r w:rsidRPr="00840D95">
        <w:rPr>
          <w:rFonts w:ascii="Times New Roman" w:eastAsia="Times New Roman" w:hAnsi="Times New Roman" w:cs="Times New Roman"/>
          <w:i/>
          <w:iCs/>
          <w:kern w:val="0"/>
          <w:lang w:eastAsia="en-GB"/>
          <w14:ligatures w14:val="none"/>
        </w:rPr>
        <w:t>The Gospel According to Luke</w:t>
      </w:r>
      <w:r w:rsidRPr="00840D95">
        <w:rPr>
          <w:rFonts w:ascii="Times New Roman" w:eastAsia="Times New Roman" w:hAnsi="Times New Roman" w:cs="Times New Roman"/>
          <w:kern w:val="0"/>
          <w:lang w:eastAsia="en-GB"/>
          <w14:ligatures w14:val="none"/>
        </w:rPr>
        <w:t xml:space="preserve"> (Philadelphia: Fortress Press, 1986), p. 180. </w:t>
      </w:r>
    </w:p>
    <w:p w14:paraId="3357046B" w14:textId="313377E2" w:rsidR="00840D95" w:rsidRPr="00840D95" w:rsidRDefault="00840D95" w:rsidP="00840D95">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40D95">
        <w:rPr>
          <w:rFonts w:ascii="Times New Roman" w:eastAsia="Times New Roman" w:hAnsi="Times New Roman" w:cs="Times New Roman"/>
          <w:kern w:val="0"/>
          <w:lang w:eastAsia="en-GB"/>
          <w14:ligatures w14:val="none"/>
        </w:rPr>
        <w:t xml:space="preserve">Luise Schottroff, </w:t>
      </w:r>
      <w:r w:rsidRPr="00840D95">
        <w:rPr>
          <w:rFonts w:ascii="Times New Roman" w:eastAsia="Times New Roman" w:hAnsi="Times New Roman" w:cs="Times New Roman"/>
          <w:i/>
          <w:iCs/>
          <w:kern w:val="0"/>
          <w:lang w:eastAsia="en-GB"/>
          <w14:ligatures w14:val="none"/>
        </w:rPr>
        <w:t>The Parables of Jesus</w:t>
      </w:r>
      <w:r w:rsidRPr="00840D95">
        <w:rPr>
          <w:rFonts w:ascii="Times New Roman" w:eastAsia="Times New Roman" w:hAnsi="Times New Roman" w:cs="Times New Roman"/>
          <w:kern w:val="0"/>
          <w:lang w:eastAsia="en-GB"/>
          <w14:ligatures w14:val="none"/>
        </w:rPr>
        <w:t xml:space="preserve">, trans. by Linda M. Maloney (Minneapolis: Fortress Press, 2006), p. 139. </w:t>
      </w:r>
    </w:p>
    <w:p w14:paraId="339C6F9C" w14:textId="77777777" w:rsidR="00CF1CBE" w:rsidRDefault="00CF1CBE"/>
    <w:sectPr w:rsidR="00CF1C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8F17A" w14:textId="77777777" w:rsidR="00173489" w:rsidRDefault="00173489" w:rsidP="00B50230">
      <w:pPr>
        <w:spacing w:after="0" w:line="240" w:lineRule="auto"/>
      </w:pPr>
      <w:r>
        <w:separator/>
      </w:r>
    </w:p>
  </w:endnote>
  <w:endnote w:type="continuationSeparator" w:id="0">
    <w:p w14:paraId="1F03CADD" w14:textId="77777777" w:rsidR="00173489" w:rsidRDefault="00173489" w:rsidP="00B50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1C158" w14:textId="77777777" w:rsidR="00173489" w:rsidRDefault="00173489" w:rsidP="00B50230">
      <w:pPr>
        <w:spacing w:after="0" w:line="240" w:lineRule="auto"/>
      </w:pPr>
      <w:r>
        <w:separator/>
      </w:r>
    </w:p>
  </w:footnote>
  <w:footnote w:type="continuationSeparator" w:id="0">
    <w:p w14:paraId="5C48A4C2" w14:textId="77777777" w:rsidR="00173489" w:rsidRDefault="00173489" w:rsidP="00B502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5703E0"/>
    <w:multiLevelType w:val="multilevel"/>
    <w:tmpl w:val="8E18A0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8825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D95"/>
    <w:rsid w:val="00173489"/>
    <w:rsid w:val="00840D95"/>
    <w:rsid w:val="00941E52"/>
    <w:rsid w:val="00B50230"/>
    <w:rsid w:val="00CF1CBE"/>
    <w:rsid w:val="00E33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AED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D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D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D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D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D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D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D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D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D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D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D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D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D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D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D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D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D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D95"/>
    <w:rPr>
      <w:rFonts w:eastAsiaTheme="majorEastAsia" w:cstheme="majorBidi"/>
      <w:color w:val="272727" w:themeColor="text1" w:themeTint="D8"/>
    </w:rPr>
  </w:style>
  <w:style w:type="paragraph" w:styleId="Title">
    <w:name w:val="Title"/>
    <w:basedOn w:val="Normal"/>
    <w:next w:val="Normal"/>
    <w:link w:val="TitleChar"/>
    <w:uiPriority w:val="10"/>
    <w:qFormat/>
    <w:rsid w:val="00840D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D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D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D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D95"/>
    <w:pPr>
      <w:spacing w:before="160"/>
      <w:jc w:val="center"/>
    </w:pPr>
    <w:rPr>
      <w:i/>
      <w:iCs/>
      <w:color w:val="404040" w:themeColor="text1" w:themeTint="BF"/>
    </w:rPr>
  </w:style>
  <w:style w:type="character" w:customStyle="1" w:styleId="QuoteChar">
    <w:name w:val="Quote Char"/>
    <w:basedOn w:val="DefaultParagraphFont"/>
    <w:link w:val="Quote"/>
    <w:uiPriority w:val="29"/>
    <w:rsid w:val="00840D95"/>
    <w:rPr>
      <w:i/>
      <w:iCs/>
      <w:color w:val="404040" w:themeColor="text1" w:themeTint="BF"/>
    </w:rPr>
  </w:style>
  <w:style w:type="paragraph" w:styleId="ListParagraph">
    <w:name w:val="List Paragraph"/>
    <w:basedOn w:val="Normal"/>
    <w:uiPriority w:val="34"/>
    <w:qFormat/>
    <w:rsid w:val="00840D95"/>
    <w:pPr>
      <w:ind w:left="720"/>
      <w:contextualSpacing/>
    </w:pPr>
  </w:style>
  <w:style w:type="character" w:styleId="IntenseEmphasis">
    <w:name w:val="Intense Emphasis"/>
    <w:basedOn w:val="DefaultParagraphFont"/>
    <w:uiPriority w:val="21"/>
    <w:qFormat/>
    <w:rsid w:val="00840D95"/>
    <w:rPr>
      <w:i/>
      <w:iCs/>
      <w:color w:val="0F4761" w:themeColor="accent1" w:themeShade="BF"/>
    </w:rPr>
  </w:style>
  <w:style w:type="paragraph" w:styleId="IntenseQuote">
    <w:name w:val="Intense Quote"/>
    <w:basedOn w:val="Normal"/>
    <w:next w:val="Normal"/>
    <w:link w:val="IntenseQuoteChar"/>
    <w:uiPriority w:val="30"/>
    <w:qFormat/>
    <w:rsid w:val="00840D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D95"/>
    <w:rPr>
      <w:i/>
      <w:iCs/>
      <w:color w:val="0F4761" w:themeColor="accent1" w:themeShade="BF"/>
    </w:rPr>
  </w:style>
  <w:style w:type="character" w:styleId="IntenseReference">
    <w:name w:val="Intense Reference"/>
    <w:basedOn w:val="DefaultParagraphFont"/>
    <w:uiPriority w:val="32"/>
    <w:qFormat/>
    <w:rsid w:val="00840D95"/>
    <w:rPr>
      <w:b/>
      <w:bCs/>
      <w:smallCaps/>
      <w:color w:val="0F4761" w:themeColor="accent1" w:themeShade="BF"/>
      <w:spacing w:val="5"/>
    </w:rPr>
  </w:style>
  <w:style w:type="paragraph" w:styleId="NormalWeb">
    <w:name w:val="Normal (Web)"/>
    <w:basedOn w:val="Normal"/>
    <w:uiPriority w:val="99"/>
    <w:semiHidden/>
    <w:unhideWhenUsed/>
    <w:rsid w:val="00840D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50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230"/>
  </w:style>
  <w:style w:type="paragraph" w:styleId="Footer">
    <w:name w:val="footer"/>
    <w:basedOn w:val="Normal"/>
    <w:link w:val="FooterChar"/>
    <w:uiPriority w:val="99"/>
    <w:unhideWhenUsed/>
    <w:rsid w:val="00B50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2440</Words>
  <Characters>13913</Characters>
  <Application>Microsoft Office Word</Application>
  <DocSecurity>0</DocSecurity>
  <Lines>115</Lines>
  <Paragraphs>32</Paragraphs>
  <ScaleCrop>false</ScaleCrop>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2025-12-09T13:23:00Z</dcterms:created>
  <dcterms:modified xsi:type="dcterms:W3CDTF">2025-12-09T13:24:00Z</dcterms:modified>
</cp:coreProperties>
</file>