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kern w:val="2"/>
          <w:sz w:val="2"/>
          <w:szCs w:val="24"/>
          <w:lang w:eastAsia="zh-CN"/>
          <w14:ligatures w14:val="standardContextual"/>
        </w:rPr>
        <w:id w:val="484592990"/>
        <w:docPartObj>
          <w:docPartGallery w:val="Cover Pages"/>
          <w:docPartUnique/>
        </w:docPartObj>
      </w:sdtPr>
      <w:sdtEndPr>
        <w:rPr>
          <w:b/>
          <w:bCs/>
          <w:sz w:val="24"/>
        </w:rPr>
      </w:sdtEndPr>
      <w:sdtContent>
        <w:p w14:paraId="57E9ACBE" w14:textId="1F764B02" w:rsidR="0005519C" w:rsidRDefault="00D45CAB">
          <w:pPr>
            <w:pStyle w:val="NoSpacing"/>
            <w:rPr>
              <w:sz w:val="2"/>
            </w:rPr>
          </w:pPr>
          <w:r>
            <w:rPr>
              <w:noProof/>
            </w:rPr>
            <mc:AlternateContent>
              <mc:Choice Requires="wps">
                <w:drawing>
                  <wp:anchor distT="0" distB="0" distL="114300" distR="114300" simplePos="0" relativeHeight="251662336" behindDoc="0" locked="0" layoutInCell="1" allowOverlap="1" wp14:anchorId="7E0F5511" wp14:editId="793DBD85">
                    <wp:simplePos x="0" y="0"/>
                    <wp:positionH relativeFrom="page">
                      <wp:posOffset>481013</wp:posOffset>
                    </wp:positionH>
                    <wp:positionV relativeFrom="margin">
                      <wp:align>top</wp:align>
                    </wp:positionV>
                    <wp:extent cx="6486525" cy="914400"/>
                    <wp:effectExtent l="0" t="0" r="0" b="0"/>
                    <wp:wrapNone/>
                    <wp:docPr id="62" name="Text Box 66"/>
                    <wp:cNvGraphicFramePr/>
                    <a:graphic xmlns:a="http://schemas.openxmlformats.org/drawingml/2006/main">
                      <a:graphicData uri="http://schemas.microsoft.com/office/word/2010/wordprocessingShape">
                        <wps:wsp>
                          <wps:cNvSpPr txBox="1"/>
                          <wps:spPr>
                            <a:xfrm>
                              <a:off x="0" y="0"/>
                              <a:ext cx="6486525"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3986CFA" w14:textId="47A8D389" w:rsidR="0005519C" w:rsidRDefault="00867E25">
                                <w:pPr>
                                  <w:pStyle w:val="NoSpacing"/>
                                  <w:rPr>
                                    <w:rFonts w:asciiTheme="majorHAnsi" w:eastAsiaTheme="majorEastAsia" w:hAnsiTheme="majorHAnsi" w:cstheme="majorBidi"/>
                                    <w:caps/>
                                    <w:color w:val="2C7FCE" w:themeColor="text2" w:themeTint="99"/>
                                    <w:sz w:val="68"/>
                                    <w:szCs w:val="68"/>
                                  </w:rPr>
                                </w:pPr>
                                <w:r>
                                  <w:rPr>
                                    <w:rFonts w:asciiTheme="majorHAnsi" w:eastAsiaTheme="majorEastAsia" w:hAnsiTheme="majorHAnsi" w:cstheme="majorBidi"/>
                                    <w:caps/>
                                    <w:color w:val="2C7FCE" w:themeColor="text2" w:themeTint="99"/>
                                    <w:sz w:val="64"/>
                                    <w:szCs w:val="64"/>
                                  </w:rPr>
                                  <w:t>aDVANCED pROJECT mANAGEMENT</w:t>
                                </w:r>
                              </w:p>
                              <w:p w14:paraId="49997941" w14:textId="1BF3D554" w:rsidR="0005519C" w:rsidRDefault="00867E25">
                                <w:pPr>
                                  <w:pStyle w:val="NoSpacing"/>
                                  <w:spacing w:before="120"/>
                                  <w:rPr>
                                    <w:color w:val="156082" w:themeColor="accent1"/>
                                    <w:sz w:val="36"/>
                                    <w:szCs w:val="36"/>
                                  </w:rPr>
                                </w:pPr>
                                <w:r>
                                  <w:rPr>
                                    <w:color w:val="156082" w:themeColor="accent1"/>
                                    <w:sz w:val="36"/>
                                    <w:szCs w:val="36"/>
                                  </w:rPr>
                                  <w:t>Report with Gantt Chart</w:t>
                                </w:r>
                              </w:p>
                              <w:p w14:paraId="1FCD8290" w14:textId="77777777" w:rsidR="0005519C" w:rsidRDefault="0005519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type w14:anchorId="7E0F5511" id="_x0000_t202" coordsize="21600,21600" o:spt="202" path="m,l,21600r21600,l21600,xe">
                    <v:stroke joinstyle="miter"/>
                    <v:path gradientshapeok="t" o:connecttype="rect"/>
                  </v:shapetype>
                  <v:shape id="Text Box 66" o:spid="_x0000_s1026" type="#_x0000_t202" style="position:absolute;margin-left:37.9pt;margin-top:0;width:510.75pt;height:1in;z-index:251662336;visibility:visible;mso-wrap-style:square;mso-width-percent:0;mso-height-percent:0;mso-wrap-distance-left:9pt;mso-wrap-distance-top:0;mso-wrap-distance-right:9pt;mso-wrap-distance-bottom:0;mso-position-horizontal:absolute;mso-position-horizontal-relative:page;mso-position-vertical:top;mso-position-vertical-relative:margin;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" filled="f" stroked="f" strokeweight=".5pt">
                    <v:textbox style="mso-fit-shape-to-text:t">
                      <w:txbxContent>
                        <w:p w14:paraId="43986CFA" w14:textId="47A8D389" w:rsidR="0005519C" w:rsidRDefault="00867E25">
                          <w:pPr>
                            <w:pStyle w:val="NoSpacing"/>
                            <w:rPr>
                              <w:rFonts w:asciiTheme="majorHAnsi" w:eastAsiaTheme="majorEastAsia" w:hAnsiTheme="majorHAnsi" w:cstheme="majorBidi"/>
                              <w:caps/>
                              <w:color w:val="2C7FCE" w:themeColor="text2" w:themeTint="99"/>
                              <w:sz w:val="68"/>
                              <w:szCs w:val="68"/>
                            </w:rPr>
                          </w:pPr>
                          <w:r>
                            <w:rPr>
                              <w:rFonts w:asciiTheme="majorHAnsi" w:eastAsiaTheme="majorEastAsia" w:hAnsiTheme="majorHAnsi" w:cstheme="majorBidi"/>
                              <w:caps/>
                              <w:color w:val="2C7FCE" w:themeColor="text2" w:themeTint="99"/>
                              <w:sz w:val="64"/>
                              <w:szCs w:val="64"/>
                            </w:rPr>
                            <w:t>aDVANCED pROJECT mANAGEMENT</w:t>
                          </w:r>
                        </w:p>
                        <w:p w14:paraId="49997941" w14:textId="1BF3D554" w:rsidR="0005519C" w:rsidRDefault="00867E25">
                          <w:pPr>
                            <w:pStyle w:val="NoSpacing"/>
                            <w:spacing w:before="120"/>
                            <w:rPr>
                              <w:color w:val="156082" w:themeColor="accent1"/>
                              <w:sz w:val="36"/>
                              <w:szCs w:val="36"/>
                            </w:rPr>
                          </w:pPr>
                          <w:r>
                            <w:rPr>
                              <w:color w:val="156082" w:themeColor="accent1"/>
                              <w:sz w:val="36"/>
                              <w:szCs w:val="36"/>
                            </w:rPr>
                            <w:t>Report with Gantt Chart</w:t>
                          </w:r>
                        </w:p>
                        <w:p w14:paraId="1FCD8290" w14:textId="77777777" w:rsidR="0005519C" w:rsidRDefault="0005519C"/>
                      </w:txbxContent>
                    </v:textbox>
                    <w10:wrap anchorx="page" anchory="margin"/>
                  </v:shape>
                </w:pict>
              </mc:Fallback>
            </mc:AlternateContent>
          </w:r>
        </w:p>
        <w:p w14:paraId="3A94EB30" w14:textId="32CA8C54" w:rsidR="0005519C" w:rsidRDefault="0005519C">
          <w:r>
            <w:rPr>
              <w:noProof/>
              <w:color w:val="156082" w:themeColor="accent1"/>
              <w:sz w:val="36"/>
              <w:szCs w:val="36"/>
            </w:rPr>
            <mc:AlternateContent>
              <mc:Choice Requires="wpg">
                <w:drawing>
                  <wp:anchor distT="0" distB="0" distL="114300" distR="114300" simplePos="0" relativeHeight="251661312" behindDoc="1" locked="0" layoutInCell="1" allowOverlap="1" wp14:anchorId="77875AA2" wp14:editId="1EACFD7A">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23DF3869" id="Group 2" o:spid="_x0000_s1026" style="position:absolute;margin-left:0;margin-top:0;width:432.65pt;height:448.55pt;z-index:-251655168;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6D84F846" wp14:editId="21359629">
                    <wp:simplePos x="0" y="0"/>
                    <wp:positionH relativeFrom="page">
                      <wp:align>center</wp:align>
                    </wp:positionH>
                    <wp:positionV relativeFrom="margin">
                      <wp:align>bottom</wp:align>
                    </wp:positionV>
                    <wp:extent cx="5943600" cy="374904"/>
                    <wp:effectExtent l="0" t="0" r="0" b="2540"/>
                    <wp:wrapNone/>
                    <wp:docPr id="69" name="Text Box 73"/>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126DE62" w14:textId="6CC33B23" w:rsidR="0005519C" w:rsidRDefault="001006CA">
                                <w:pPr>
                                  <w:pStyle w:val="NoSpacing"/>
                                  <w:jc w:val="right"/>
                                  <w:rPr>
                                    <w:color w:val="156082" w:themeColor="accent1"/>
                                    <w:sz w:val="36"/>
                                    <w:szCs w:val="36"/>
                                  </w:rPr>
                                </w:pPr>
                                <w:sdt>
                                  <w:sdtPr>
                                    <w:rPr>
                                      <w:color w:val="156082"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05519C">
                                      <w:rPr>
                                        <w:color w:val="156082" w:themeColor="accent1"/>
                                        <w:sz w:val="36"/>
                                        <w:szCs w:val="36"/>
                                      </w:rPr>
                                      <w:t>Mark Preston – ID 2223676</w:t>
                                    </w:r>
                                  </w:sdtContent>
                                </w:sdt>
                              </w:p>
                              <w:sdt>
                                <w:sdtPr>
                                  <w:rPr>
                                    <w:color w:val="156082"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0B2E3F1B" w14:textId="52B38060" w:rsidR="0005519C" w:rsidRDefault="00E705E9">
                                    <w:pPr>
                                      <w:pStyle w:val="NoSpacing"/>
                                      <w:jc w:val="right"/>
                                      <w:rPr>
                                        <w:color w:val="156082" w:themeColor="accent1"/>
                                        <w:sz w:val="36"/>
                                        <w:szCs w:val="36"/>
                                      </w:rPr>
                                    </w:pPr>
                                    <w:r>
                                      <w:rPr>
                                        <w:color w:val="156082" w:themeColor="accent1"/>
                                        <w:sz w:val="36"/>
                                        <w:szCs w:val="36"/>
                                      </w:rPr>
                                      <w:t>HND / BSc Construction Management</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6D84F846" id="Text Box 73" o:spid="_x0000_s1027" type="#_x0000_t202" style="position:absolute;margin-left:0;margin-top:0;width:468pt;height:29.5pt;z-index:251660288;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" filled="f" stroked="f" strokeweight=".5pt">
                    <v:textbox style="mso-fit-shape-to-text:t" inset="0,0,0,0">
                      <w:txbxContent>
                        <w:p w14:paraId="4126DE62" w14:textId="6CC33B23" w:rsidR="0005519C" w:rsidRDefault="001006CA">
                          <w:pPr>
                            <w:pStyle w:val="NoSpacing"/>
                            <w:jc w:val="right"/>
                            <w:rPr>
                              <w:color w:val="156082" w:themeColor="accent1"/>
                              <w:sz w:val="36"/>
                              <w:szCs w:val="36"/>
                            </w:rPr>
                          </w:pPr>
                          <w:sdt>
                            <w:sdtPr>
                              <w:rPr>
                                <w:color w:val="156082"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05519C">
                                <w:rPr>
                                  <w:color w:val="156082" w:themeColor="accent1"/>
                                  <w:sz w:val="36"/>
                                  <w:szCs w:val="36"/>
                                </w:rPr>
                                <w:t>Mark Preston – ID 2223676</w:t>
                              </w:r>
                            </w:sdtContent>
                          </w:sdt>
                        </w:p>
                        <w:sdt>
                          <w:sdtPr>
                            <w:rPr>
                              <w:color w:val="156082"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0B2E3F1B" w14:textId="52B38060" w:rsidR="0005519C" w:rsidRDefault="00E705E9">
                              <w:pPr>
                                <w:pStyle w:val="NoSpacing"/>
                                <w:jc w:val="right"/>
                                <w:rPr>
                                  <w:color w:val="156082" w:themeColor="accent1"/>
                                  <w:sz w:val="36"/>
                                  <w:szCs w:val="36"/>
                                </w:rPr>
                              </w:pPr>
                              <w:r>
                                <w:rPr>
                                  <w:color w:val="156082" w:themeColor="accent1"/>
                                  <w:sz w:val="36"/>
                                  <w:szCs w:val="36"/>
                                </w:rPr>
                                <w:t>HND / BSc Construction Management</w:t>
                              </w:r>
                            </w:p>
                          </w:sdtContent>
                        </w:sdt>
                      </w:txbxContent>
                    </v:textbox>
                    <w10:wrap anchorx="page" anchory="margin"/>
                  </v:shape>
                </w:pict>
              </mc:Fallback>
            </mc:AlternateContent>
          </w:r>
        </w:p>
        <w:p w14:paraId="045F6C42" w14:textId="7557001F" w:rsidR="0005519C" w:rsidRDefault="0005519C">
          <w:pPr>
            <w:rPr>
              <w:b/>
              <w:bCs/>
            </w:rPr>
          </w:pPr>
          <w:r>
            <w:rPr>
              <w:b/>
              <w:bCs/>
            </w:rPr>
            <w:br w:type="page"/>
          </w:r>
        </w:p>
      </w:sdtContent>
    </w:sdt>
    <w:p w14:paraId="3C233AB5" w14:textId="2E8FFC75" w:rsidR="002223CB" w:rsidRDefault="006640C9" w:rsidP="002223CB">
      <w:pPr>
        <w:pStyle w:val="NoSpacing"/>
        <w:jc w:val="center"/>
        <w:rPr>
          <w:u w:val="single"/>
        </w:rPr>
      </w:pPr>
      <w:r w:rsidRPr="00915A6E">
        <w:rPr>
          <w:u w:val="single"/>
        </w:rPr>
        <w:lastRenderedPageBreak/>
        <w:t>Contents Page</w:t>
      </w:r>
    </w:p>
    <w:p w14:paraId="5855514D" w14:textId="77777777" w:rsidR="002223CB" w:rsidRDefault="002223CB" w:rsidP="002223CB">
      <w:pPr>
        <w:pStyle w:val="NoSpacing"/>
        <w:jc w:val="center"/>
        <w:rPr>
          <w:u w:val="single"/>
        </w:rPr>
      </w:pPr>
    </w:p>
    <w:p w14:paraId="5CADFD41" w14:textId="4C7518F0" w:rsidR="002223CB" w:rsidRPr="002223CB" w:rsidRDefault="002223CB" w:rsidP="002223CB">
      <w:pPr>
        <w:pStyle w:val="NoSpacing"/>
        <w:rPr>
          <w:u w:val="dotted"/>
        </w:rPr>
      </w:pPr>
      <w:r w:rsidRPr="002223CB">
        <w:rPr>
          <w:u w:val="dotted"/>
        </w:rPr>
        <w:t>Task 1</w:t>
      </w:r>
    </w:p>
    <w:p w14:paraId="011CD5BE" w14:textId="77777777" w:rsidR="00052C19" w:rsidRPr="00A7518F" w:rsidRDefault="00052C19" w:rsidP="00915A6E">
      <w:pPr>
        <w:pStyle w:val="NoSpacing"/>
      </w:pPr>
    </w:p>
    <w:p w14:paraId="09C4FF0E" w14:textId="7BA0D8F5" w:rsidR="00915A6E" w:rsidRDefault="00FF2544" w:rsidP="00783C54">
      <w:pPr>
        <w:pStyle w:val="NoSpacing"/>
        <w:numPr>
          <w:ilvl w:val="0"/>
          <w:numId w:val="1"/>
        </w:numPr>
      </w:pPr>
      <w:r w:rsidRPr="00273E2B">
        <w:t>Introduction</w:t>
      </w:r>
      <w:r w:rsidR="002223CB">
        <w:t xml:space="preserve"> </w:t>
      </w:r>
      <w:r w:rsidR="00290B6A">
        <w:t>– Page 2</w:t>
      </w:r>
    </w:p>
    <w:p w14:paraId="3F1F2E79" w14:textId="75872C1F" w:rsidR="00E2307A" w:rsidRDefault="00E2307A" w:rsidP="00E2307A">
      <w:pPr>
        <w:pStyle w:val="NoSpacing"/>
        <w:ind w:left="360"/>
      </w:pPr>
    </w:p>
    <w:p w14:paraId="76555BF5" w14:textId="3668A494" w:rsidR="00E2307A" w:rsidRDefault="00E2307A" w:rsidP="00E2307A">
      <w:pPr>
        <w:pStyle w:val="NoSpacing"/>
        <w:numPr>
          <w:ilvl w:val="0"/>
          <w:numId w:val="1"/>
        </w:numPr>
      </w:pPr>
      <w:r>
        <w:t>Project Overview – Page 3, 4</w:t>
      </w:r>
    </w:p>
    <w:p w14:paraId="029E5472" w14:textId="77777777" w:rsidR="00915A6E" w:rsidRPr="00273E2B" w:rsidRDefault="00915A6E" w:rsidP="00915A6E">
      <w:pPr>
        <w:pStyle w:val="NoSpacing"/>
        <w:ind w:left="360"/>
      </w:pPr>
    </w:p>
    <w:p w14:paraId="08F871D3" w14:textId="5701B135" w:rsidR="00FF2544" w:rsidRPr="002223CB" w:rsidRDefault="002223CB" w:rsidP="002223CB">
      <w:pPr>
        <w:pStyle w:val="NoSpacing"/>
        <w:numPr>
          <w:ilvl w:val="0"/>
          <w:numId w:val="1"/>
        </w:numPr>
        <w:rPr>
          <w:u w:val="dotted"/>
        </w:rPr>
      </w:pPr>
      <w:r w:rsidRPr="00B97476">
        <w:t>Critical Resources (Labour, Materials, Plant, Finance</w:t>
      </w:r>
      <w:r w:rsidRPr="00B97476">
        <w:rPr>
          <w:u w:val="dotted"/>
        </w:rPr>
        <w:t>)</w:t>
      </w:r>
      <w:r w:rsidR="00290B6A">
        <w:t xml:space="preserve"> – Page</w:t>
      </w:r>
      <w:r w:rsidR="008C28C5">
        <w:t xml:space="preserve"> 4, 5</w:t>
      </w:r>
    </w:p>
    <w:p w14:paraId="7F35764D" w14:textId="77777777" w:rsidR="00915A6E" w:rsidRPr="00273E2B" w:rsidRDefault="00915A6E" w:rsidP="00915A6E">
      <w:pPr>
        <w:pStyle w:val="NoSpacing"/>
      </w:pPr>
    </w:p>
    <w:p w14:paraId="3E336AD1" w14:textId="3319E0F5" w:rsidR="00FF2544" w:rsidRPr="002223CB" w:rsidRDefault="002223CB" w:rsidP="002223CB">
      <w:pPr>
        <w:pStyle w:val="NoSpacing"/>
        <w:numPr>
          <w:ilvl w:val="0"/>
          <w:numId w:val="1"/>
        </w:numPr>
        <w:rPr>
          <w:u w:val="dotted"/>
        </w:rPr>
      </w:pPr>
      <w:r w:rsidRPr="00B97476">
        <w:t>Information, Site Constraints, Monitoring, Control, Delay Management</w:t>
      </w:r>
      <w:r>
        <w:t xml:space="preserve"> &amp;</w:t>
      </w:r>
      <w:r w:rsidRPr="00B97476">
        <w:t xml:space="preserve"> Evaluation</w:t>
      </w:r>
      <w:r w:rsidR="00290B6A">
        <w:t xml:space="preserve"> – Page </w:t>
      </w:r>
      <w:r w:rsidR="008C28C5">
        <w:t>5, 6</w:t>
      </w:r>
    </w:p>
    <w:p w14:paraId="521563CD" w14:textId="77777777" w:rsidR="002223CB" w:rsidRDefault="002223CB" w:rsidP="002223CB">
      <w:pPr>
        <w:pStyle w:val="ListParagraph"/>
        <w:rPr>
          <w:u w:val="dotted"/>
        </w:rPr>
      </w:pPr>
    </w:p>
    <w:p w14:paraId="50BBDCE0" w14:textId="6FF65690" w:rsidR="002223CB" w:rsidRPr="002223CB" w:rsidRDefault="002223CB" w:rsidP="002223CB">
      <w:pPr>
        <w:pStyle w:val="NoSpacing"/>
        <w:rPr>
          <w:u w:val="dotted"/>
        </w:rPr>
      </w:pPr>
      <w:r>
        <w:rPr>
          <w:u w:val="dotted"/>
        </w:rPr>
        <w:t>Task 2</w:t>
      </w:r>
    </w:p>
    <w:p w14:paraId="275EFA6B" w14:textId="77777777" w:rsidR="00915A6E" w:rsidRPr="00273E2B" w:rsidRDefault="00915A6E" w:rsidP="00915A6E">
      <w:pPr>
        <w:pStyle w:val="NoSpacing"/>
      </w:pPr>
    </w:p>
    <w:p w14:paraId="5595B27C" w14:textId="0573F5D2" w:rsidR="00FF2544" w:rsidRPr="008C28C5" w:rsidRDefault="008C28C5" w:rsidP="008C28C5">
      <w:pPr>
        <w:pStyle w:val="NoSpacing"/>
        <w:numPr>
          <w:ilvl w:val="0"/>
          <w:numId w:val="1"/>
        </w:numPr>
        <w:rPr>
          <w:u w:val="dotted"/>
        </w:rPr>
      </w:pPr>
      <w:r w:rsidRPr="00B97476">
        <w:t>Construction Programme Explanation</w:t>
      </w:r>
      <w:r w:rsidR="00290B6A">
        <w:t xml:space="preserve"> – Page 6, 7</w:t>
      </w:r>
    </w:p>
    <w:p w14:paraId="73AA0ABE" w14:textId="77777777" w:rsidR="008C28C5" w:rsidRDefault="008C28C5" w:rsidP="008C28C5">
      <w:pPr>
        <w:pStyle w:val="NoSpacing"/>
        <w:ind w:left="360"/>
      </w:pPr>
    </w:p>
    <w:p w14:paraId="709036C9" w14:textId="663D301C" w:rsidR="008C28C5" w:rsidRPr="008C28C5" w:rsidRDefault="008C28C5" w:rsidP="008C28C5">
      <w:pPr>
        <w:pStyle w:val="NoSpacing"/>
        <w:numPr>
          <w:ilvl w:val="0"/>
          <w:numId w:val="1"/>
        </w:numPr>
        <w:rPr>
          <w:u w:val="dotted"/>
        </w:rPr>
      </w:pPr>
      <w:r>
        <w:t>Conclusion – Page 7, 8</w:t>
      </w:r>
    </w:p>
    <w:p w14:paraId="561FE932" w14:textId="77777777" w:rsidR="008C28C5" w:rsidRDefault="008C28C5" w:rsidP="008C28C5">
      <w:pPr>
        <w:pStyle w:val="ListParagraph"/>
        <w:rPr>
          <w:u w:val="dotted"/>
        </w:rPr>
      </w:pPr>
    </w:p>
    <w:p w14:paraId="5FEB04B1" w14:textId="4313A1E8" w:rsidR="008C28C5" w:rsidRDefault="008C28C5" w:rsidP="008C28C5">
      <w:pPr>
        <w:pStyle w:val="NoSpacing"/>
        <w:numPr>
          <w:ilvl w:val="0"/>
          <w:numId w:val="1"/>
        </w:numPr>
      </w:pPr>
      <w:r w:rsidRPr="008C28C5">
        <w:t>References</w:t>
      </w:r>
      <w:r>
        <w:t xml:space="preserve"> – Page 9</w:t>
      </w:r>
    </w:p>
    <w:p w14:paraId="6D5632AE" w14:textId="77777777" w:rsidR="008C28C5" w:rsidRDefault="008C28C5" w:rsidP="008C28C5">
      <w:pPr>
        <w:pStyle w:val="NoSpacing"/>
        <w:ind w:left="720"/>
      </w:pPr>
    </w:p>
    <w:p w14:paraId="0ED77BE9" w14:textId="2572514F" w:rsidR="008C28C5" w:rsidRPr="008C28C5" w:rsidRDefault="008C28C5" w:rsidP="008C28C5">
      <w:pPr>
        <w:pStyle w:val="NoSpacing"/>
        <w:numPr>
          <w:ilvl w:val="0"/>
          <w:numId w:val="1"/>
        </w:numPr>
      </w:pPr>
      <w:r>
        <w:t>Appendices – Page 10</w:t>
      </w:r>
    </w:p>
    <w:p w14:paraId="00206774" w14:textId="77777777" w:rsidR="00915A6E" w:rsidRPr="00273E2B" w:rsidRDefault="00915A6E" w:rsidP="00915A6E">
      <w:pPr>
        <w:pStyle w:val="NoSpacing"/>
      </w:pPr>
    </w:p>
    <w:p w14:paraId="29B6201D" w14:textId="77777777" w:rsidR="006640C9" w:rsidRPr="00A7518F" w:rsidRDefault="006640C9" w:rsidP="00E626C3">
      <w:pPr>
        <w:pStyle w:val="NoSpacing"/>
        <w:rPr>
          <w:b/>
          <w:bCs/>
        </w:rPr>
      </w:pPr>
    </w:p>
    <w:p w14:paraId="12A4E737" w14:textId="77777777" w:rsidR="006640C9" w:rsidRPr="00A7518F" w:rsidRDefault="006640C9" w:rsidP="00E626C3">
      <w:pPr>
        <w:pStyle w:val="NoSpacing"/>
        <w:rPr>
          <w:b/>
          <w:bCs/>
        </w:rPr>
      </w:pPr>
    </w:p>
    <w:p w14:paraId="499559E4" w14:textId="77777777" w:rsidR="006640C9" w:rsidRPr="00A7518F" w:rsidRDefault="006640C9" w:rsidP="00E626C3">
      <w:pPr>
        <w:pStyle w:val="NoSpacing"/>
        <w:rPr>
          <w:b/>
          <w:bCs/>
        </w:rPr>
      </w:pPr>
    </w:p>
    <w:p w14:paraId="648BB525" w14:textId="77777777" w:rsidR="006640C9" w:rsidRPr="00A7518F" w:rsidRDefault="006640C9" w:rsidP="00E626C3">
      <w:pPr>
        <w:pStyle w:val="NoSpacing"/>
        <w:rPr>
          <w:b/>
          <w:bCs/>
        </w:rPr>
      </w:pPr>
    </w:p>
    <w:p w14:paraId="5254D8E5" w14:textId="77777777" w:rsidR="006640C9" w:rsidRPr="00A7518F" w:rsidRDefault="006640C9" w:rsidP="00E626C3">
      <w:pPr>
        <w:pStyle w:val="NoSpacing"/>
        <w:rPr>
          <w:b/>
          <w:bCs/>
        </w:rPr>
      </w:pPr>
    </w:p>
    <w:p w14:paraId="6F2ED2F8" w14:textId="77777777" w:rsidR="006640C9" w:rsidRPr="00A7518F" w:rsidRDefault="006640C9" w:rsidP="00E626C3">
      <w:pPr>
        <w:pStyle w:val="NoSpacing"/>
        <w:rPr>
          <w:b/>
          <w:bCs/>
        </w:rPr>
      </w:pPr>
    </w:p>
    <w:p w14:paraId="75160A7F" w14:textId="77777777" w:rsidR="006640C9" w:rsidRPr="00A7518F" w:rsidRDefault="006640C9" w:rsidP="00E626C3">
      <w:pPr>
        <w:pStyle w:val="NoSpacing"/>
        <w:rPr>
          <w:b/>
          <w:bCs/>
        </w:rPr>
      </w:pPr>
    </w:p>
    <w:p w14:paraId="60911DDE" w14:textId="77777777" w:rsidR="006640C9" w:rsidRPr="00A7518F" w:rsidRDefault="006640C9" w:rsidP="00E626C3">
      <w:pPr>
        <w:pStyle w:val="NoSpacing"/>
        <w:rPr>
          <w:b/>
          <w:bCs/>
        </w:rPr>
      </w:pPr>
    </w:p>
    <w:p w14:paraId="6E1FB060" w14:textId="77777777" w:rsidR="006640C9" w:rsidRPr="00A7518F" w:rsidRDefault="006640C9" w:rsidP="00E626C3">
      <w:pPr>
        <w:pStyle w:val="NoSpacing"/>
        <w:rPr>
          <w:b/>
          <w:bCs/>
        </w:rPr>
      </w:pPr>
    </w:p>
    <w:p w14:paraId="3094574B" w14:textId="77777777" w:rsidR="006640C9" w:rsidRPr="00A7518F" w:rsidRDefault="006640C9" w:rsidP="00E626C3">
      <w:pPr>
        <w:pStyle w:val="NoSpacing"/>
        <w:rPr>
          <w:b/>
          <w:bCs/>
        </w:rPr>
      </w:pPr>
    </w:p>
    <w:p w14:paraId="14C60C02" w14:textId="77777777" w:rsidR="006640C9" w:rsidRPr="00A7518F" w:rsidRDefault="006640C9" w:rsidP="00E626C3">
      <w:pPr>
        <w:pStyle w:val="NoSpacing"/>
        <w:rPr>
          <w:b/>
          <w:bCs/>
        </w:rPr>
      </w:pPr>
    </w:p>
    <w:p w14:paraId="5828DD0D" w14:textId="77777777" w:rsidR="006640C9" w:rsidRPr="00A7518F" w:rsidRDefault="006640C9" w:rsidP="00E626C3">
      <w:pPr>
        <w:pStyle w:val="NoSpacing"/>
        <w:rPr>
          <w:b/>
          <w:bCs/>
        </w:rPr>
      </w:pPr>
    </w:p>
    <w:p w14:paraId="6A7E8AA9" w14:textId="77777777" w:rsidR="006640C9" w:rsidRPr="00A7518F" w:rsidRDefault="006640C9" w:rsidP="00E626C3">
      <w:pPr>
        <w:pStyle w:val="NoSpacing"/>
        <w:rPr>
          <w:b/>
          <w:bCs/>
        </w:rPr>
      </w:pPr>
    </w:p>
    <w:p w14:paraId="2487C3D2" w14:textId="77777777" w:rsidR="006640C9" w:rsidRPr="00A7518F" w:rsidRDefault="006640C9" w:rsidP="00E626C3">
      <w:pPr>
        <w:pStyle w:val="NoSpacing"/>
        <w:rPr>
          <w:b/>
          <w:bCs/>
        </w:rPr>
      </w:pPr>
    </w:p>
    <w:p w14:paraId="7231E7D3" w14:textId="77777777" w:rsidR="006640C9" w:rsidRPr="00A7518F" w:rsidRDefault="006640C9" w:rsidP="00E626C3">
      <w:pPr>
        <w:pStyle w:val="NoSpacing"/>
        <w:rPr>
          <w:b/>
          <w:bCs/>
        </w:rPr>
      </w:pPr>
    </w:p>
    <w:p w14:paraId="72DB5060" w14:textId="77777777" w:rsidR="006640C9" w:rsidRPr="00A7518F" w:rsidRDefault="006640C9" w:rsidP="00E626C3">
      <w:pPr>
        <w:pStyle w:val="NoSpacing"/>
        <w:rPr>
          <w:b/>
          <w:bCs/>
        </w:rPr>
      </w:pPr>
    </w:p>
    <w:p w14:paraId="4B92280C" w14:textId="77777777" w:rsidR="006640C9" w:rsidRPr="00A7518F" w:rsidRDefault="006640C9" w:rsidP="00E626C3">
      <w:pPr>
        <w:pStyle w:val="NoSpacing"/>
        <w:rPr>
          <w:b/>
          <w:bCs/>
        </w:rPr>
      </w:pPr>
    </w:p>
    <w:p w14:paraId="3425ABBD" w14:textId="77777777" w:rsidR="006640C9" w:rsidRPr="00A7518F" w:rsidRDefault="006640C9" w:rsidP="00E626C3">
      <w:pPr>
        <w:pStyle w:val="NoSpacing"/>
        <w:rPr>
          <w:b/>
          <w:bCs/>
        </w:rPr>
      </w:pPr>
    </w:p>
    <w:p w14:paraId="2D675DEC" w14:textId="77777777" w:rsidR="00AC2BE5" w:rsidRPr="00A7518F" w:rsidRDefault="00AC2BE5" w:rsidP="00E626C3">
      <w:pPr>
        <w:pStyle w:val="NoSpacing"/>
        <w:rPr>
          <w:rFonts w:cs="Arial"/>
        </w:rPr>
      </w:pPr>
    </w:p>
    <w:p w14:paraId="7C8DB9FA" w14:textId="77777777" w:rsidR="00AC2BE5" w:rsidRPr="00A7518F" w:rsidRDefault="00AC2BE5" w:rsidP="00E626C3">
      <w:pPr>
        <w:pStyle w:val="NoSpacing"/>
        <w:rPr>
          <w:rFonts w:cs="Arial"/>
        </w:rPr>
      </w:pPr>
    </w:p>
    <w:p w14:paraId="6C6CC4FF" w14:textId="77777777" w:rsidR="00AC2BE5" w:rsidRPr="00A7518F" w:rsidRDefault="00AC2BE5" w:rsidP="00E626C3">
      <w:pPr>
        <w:pStyle w:val="NoSpacing"/>
        <w:rPr>
          <w:rFonts w:cs="Arial"/>
        </w:rPr>
      </w:pPr>
    </w:p>
    <w:p w14:paraId="630F15B8" w14:textId="77777777" w:rsidR="00CD5DF4" w:rsidRPr="00A7518F" w:rsidRDefault="00CD5DF4" w:rsidP="00E626C3">
      <w:pPr>
        <w:pStyle w:val="NoSpacing"/>
        <w:rPr>
          <w:rFonts w:cs="Arial"/>
        </w:rPr>
      </w:pPr>
    </w:p>
    <w:p w14:paraId="38856E34" w14:textId="77777777" w:rsidR="00B97476" w:rsidRDefault="00B97476" w:rsidP="00B97476">
      <w:pPr>
        <w:pStyle w:val="NoSpacing"/>
      </w:pPr>
    </w:p>
    <w:p w14:paraId="0A9C7002" w14:textId="77777777" w:rsidR="008C28C5" w:rsidRDefault="008C28C5" w:rsidP="00B97476">
      <w:pPr>
        <w:pStyle w:val="NoSpacing"/>
        <w:rPr>
          <w:u w:val="single"/>
        </w:rPr>
      </w:pPr>
    </w:p>
    <w:p w14:paraId="417F5EFC" w14:textId="77777777" w:rsidR="008C28C5" w:rsidRDefault="008C28C5" w:rsidP="00B97476">
      <w:pPr>
        <w:pStyle w:val="NoSpacing"/>
        <w:rPr>
          <w:u w:val="single"/>
        </w:rPr>
      </w:pPr>
    </w:p>
    <w:p w14:paraId="158731E9" w14:textId="77777777" w:rsidR="008C28C5" w:rsidRDefault="008C28C5" w:rsidP="00B97476">
      <w:pPr>
        <w:pStyle w:val="NoSpacing"/>
        <w:rPr>
          <w:u w:val="single"/>
        </w:rPr>
      </w:pPr>
    </w:p>
    <w:p w14:paraId="521BB652" w14:textId="77777777" w:rsidR="008C28C5" w:rsidRDefault="008C28C5" w:rsidP="00B97476">
      <w:pPr>
        <w:pStyle w:val="NoSpacing"/>
        <w:rPr>
          <w:u w:val="single"/>
        </w:rPr>
      </w:pPr>
    </w:p>
    <w:p w14:paraId="67647A77" w14:textId="77777777" w:rsidR="008C28C5" w:rsidRDefault="008C28C5" w:rsidP="00B97476">
      <w:pPr>
        <w:pStyle w:val="NoSpacing"/>
        <w:rPr>
          <w:u w:val="single"/>
        </w:rPr>
      </w:pPr>
    </w:p>
    <w:p w14:paraId="69BF6C2F" w14:textId="77777777" w:rsidR="008C28C5" w:rsidRDefault="008C28C5" w:rsidP="00B97476">
      <w:pPr>
        <w:pStyle w:val="NoSpacing"/>
        <w:rPr>
          <w:u w:val="single"/>
        </w:rPr>
      </w:pPr>
    </w:p>
    <w:p w14:paraId="4080E247" w14:textId="14BB1FCB" w:rsidR="00B97476" w:rsidRDefault="00B97476" w:rsidP="00B97476">
      <w:pPr>
        <w:pStyle w:val="NoSpacing"/>
        <w:rPr>
          <w:u w:val="single"/>
        </w:rPr>
      </w:pPr>
      <w:r w:rsidRPr="00B97476">
        <w:rPr>
          <w:u w:val="single"/>
        </w:rPr>
        <w:t>Task 1</w:t>
      </w:r>
    </w:p>
    <w:p w14:paraId="045F4E21" w14:textId="77777777" w:rsidR="00B97476" w:rsidRPr="00B97476" w:rsidRDefault="00B97476" w:rsidP="00B97476">
      <w:pPr>
        <w:pStyle w:val="NoSpacing"/>
        <w:rPr>
          <w:u w:val="single"/>
        </w:rPr>
      </w:pPr>
    </w:p>
    <w:p w14:paraId="2B758E6B" w14:textId="4F1F26A6" w:rsidR="00B97476" w:rsidRDefault="00B97476" w:rsidP="00B97476">
      <w:pPr>
        <w:pStyle w:val="NoSpacing"/>
        <w:rPr>
          <w:u w:val="dotted"/>
        </w:rPr>
      </w:pPr>
      <w:r w:rsidRPr="00B97476">
        <w:rPr>
          <w:u w:val="dotted"/>
        </w:rPr>
        <w:t xml:space="preserve">Introduction </w:t>
      </w:r>
    </w:p>
    <w:p w14:paraId="7CD48669" w14:textId="77777777" w:rsidR="002223CB" w:rsidRPr="00B97476" w:rsidRDefault="002223CB" w:rsidP="00B97476">
      <w:pPr>
        <w:pStyle w:val="NoSpacing"/>
        <w:rPr>
          <w:u w:val="dotted"/>
        </w:rPr>
      </w:pPr>
    </w:p>
    <w:p w14:paraId="57E5636E" w14:textId="77777777" w:rsidR="00B97476" w:rsidRDefault="00B97476" w:rsidP="00B97476">
      <w:pPr>
        <w:pStyle w:val="NoSpacing"/>
      </w:pPr>
      <w:r w:rsidRPr="00B97476">
        <w:t xml:space="preserve">This report examines the construction stage of the approved residential development at Upper Bank, Nantong Way, </w:t>
      </w:r>
      <w:proofErr w:type="spellStart"/>
      <w:r w:rsidRPr="00B97476">
        <w:t>Pentrechwyth</w:t>
      </w:r>
      <w:proofErr w:type="spellEnd"/>
      <w:r w:rsidRPr="00B97476">
        <w:t>, Swansea, under planning reference 2021/0944/FUL. The project involves the construction of 30 apartments with associated parking, landscaping, refuse storage, and cycle facilities. The apartments will comprise of four separate blocks, with 3 different house types. Upper floor flats will have balconies whilst ground floor flats will have access to private amenity space. The proposed seventh &amp; eighth phase of this development forms part of the wider regeneration of the Upper Bank area, which Swansea Council has identified as a priority zone for new housing and redevelopment (Swansea Council, 2021).</w:t>
      </w:r>
    </w:p>
    <w:p w14:paraId="3E18BDAA" w14:textId="77777777" w:rsidR="00B97476" w:rsidRPr="00B97476" w:rsidRDefault="00B97476" w:rsidP="00B97476">
      <w:pPr>
        <w:pStyle w:val="NoSpacing"/>
      </w:pPr>
    </w:p>
    <w:p w14:paraId="16245485" w14:textId="77777777" w:rsidR="00B97476" w:rsidRPr="00B97476" w:rsidRDefault="00B97476" w:rsidP="00B97476">
      <w:pPr>
        <w:pStyle w:val="NoSpacing"/>
      </w:pPr>
      <w:r w:rsidRPr="00B97476">
        <w:rPr>
          <w:noProof/>
        </w:rPr>
        <w:drawing>
          <wp:inline distT="0" distB="0" distL="0" distR="0" wp14:anchorId="74CDF227" wp14:editId="1BCFB75C">
            <wp:extent cx="5547039" cy="5156791"/>
            <wp:effectExtent l="0" t="0" r="0" b="6350"/>
            <wp:docPr id="5981868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8186830" name=""/>
                    <pic:cNvPicPr/>
                  </pic:nvPicPr>
                  <pic:blipFill>
                    <a:blip r:embed="rId7"/>
                    <a:stretch>
                      <a:fillRect/>
                    </a:stretch>
                  </pic:blipFill>
                  <pic:spPr>
                    <a:xfrm>
                      <a:off x="0" y="0"/>
                      <a:ext cx="5584460" cy="5191579"/>
                    </a:xfrm>
                    <a:prstGeom prst="rect">
                      <a:avLst/>
                    </a:prstGeom>
                  </pic:spPr>
                </pic:pic>
              </a:graphicData>
            </a:graphic>
          </wp:inline>
        </w:drawing>
      </w:r>
    </w:p>
    <w:p w14:paraId="0ACB38D4" w14:textId="77777777" w:rsidR="00B97476" w:rsidRPr="00B97476" w:rsidRDefault="00B97476" w:rsidP="00B97476">
      <w:pPr>
        <w:pStyle w:val="NoSpacing"/>
        <w:jc w:val="center"/>
      </w:pPr>
      <w:r w:rsidRPr="00B97476">
        <w:t>(Swansea Council, 2021)</w:t>
      </w:r>
    </w:p>
    <w:p w14:paraId="314FCD92" w14:textId="77777777" w:rsidR="00B97476" w:rsidRPr="00B97476" w:rsidRDefault="00B97476" w:rsidP="00B97476">
      <w:pPr>
        <w:pStyle w:val="NoSpacing"/>
      </w:pPr>
    </w:p>
    <w:p w14:paraId="5D8E287D" w14:textId="77777777" w:rsidR="00B97476" w:rsidRPr="00B97476" w:rsidRDefault="00B97476" w:rsidP="00B97476">
      <w:pPr>
        <w:pStyle w:val="NoSpacing"/>
      </w:pPr>
    </w:p>
    <w:p w14:paraId="0A7C205A" w14:textId="77777777" w:rsidR="00B97476" w:rsidRDefault="00B97476" w:rsidP="00B97476">
      <w:pPr>
        <w:pStyle w:val="NoSpacing"/>
      </w:pPr>
    </w:p>
    <w:p w14:paraId="15F157FA" w14:textId="77777777" w:rsidR="00B97476" w:rsidRDefault="00B97476" w:rsidP="00B97476">
      <w:pPr>
        <w:pStyle w:val="NoSpacing"/>
      </w:pPr>
    </w:p>
    <w:p w14:paraId="42ACBF18" w14:textId="77777777" w:rsidR="00B97476" w:rsidRDefault="00B97476" w:rsidP="00B97476">
      <w:pPr>
        <w:pStyle w:val="NoSpacing"/>
      </w:pPr>
    </w:p>
    <w:p w14:paraId="47336386" w14:textId="77777777" w:rsidR="00B97476" w:rsidRDefault="00B97476" w:rsidP="00B97476">
      <w:pPr>
        <w:pStyle w:val="NoSpacing"/>
      </w:pPr>
    </w:p>
    <w:p w14:paraId="0CD27CE4" w14:textId="77777777" w:rsidR="00B97476" w:rsidRDefault="00B97476" w:rsidP="00B97476">
      <w:pPr>
        <w:pStyle w:val="NoSpacing"/>
      </w:pPr>
    </w:p>
    <w:p w14:paraId="6A24CC8B" w14:textId="6E8C4432" w:rsidR="00B97476" w:rsidRDefault="00E2307A" w:rsidP="00B97476">
      <w:pPr>
        <w:pStyle w:val="NoSpacing"/>
      </w:pPr>
      <w:r w:rsidRPr="00E2307A">
        <w:rPr>
          <w:u w:val="dotted"/>
        </w:rPr>
        <w:t>Project Overview</w:t>
      </w:r>
    </w:p>
    <w:p w14:paraId="08563718" w14:textId="77777777" w:rsidR="00E2307A" w:rsidRDefault="00E2307A" w:rsidP="00B97476">
      <w:pPr>
        <w:pStyle w:val="NoSpacing"/>
      </w:pPr>
    </w:p>
    <w:p w14:paraId="31B42412" w14:textId="791A7DBA" w:rsidR="00B97476" w:rsidRDefault="00B97476" w:rsidP="00B97476">
      <w:pPr>
        <w:pStyle w:val="NoSpacing"/>
      </w:pPr>
      <w:r w:rsidRPr="00B97476">
        <w:t xml:space="preserve">The site is located on previously industrial land and is 470m east of the River Tawe. A stream is culverted beneath the site and a large pond is located north of the site. The land contains made ground, remnants of old structures, and uneven levels, all of which must be addressed during early construction stages (Swansea Council, 2021). Several sources of contamination include railway land, engine shed, wagon repair works, slag heaps and a depot. </w:t>
      </w:r>
    </w:p>
    <w:p w14:paraId="6975BF7D" w14:textId="77777777" w:rsidR="00B97476" w:rsidRPr="00B97476" w:rsidRDefault="00B97476" w:rsidP="00B97476">
      <w:pPr>
        <w:pStyle w:val="NoSpacing"/>
      </w:pPr>
    </w:p>
    <w:p w14:paraId="66D88627" w14:textId="77777777" w:rsidR="00B97476" w:rsidRDefault="00B97476" w:rsidP="00B97476">
      <w:pPr>
        <w:pStyle w:val="NoSpacing"/>
      </w:pPr>
      <w:r w:rsidRPr="00B97476">
        <w:t xml:space="preserve">The site is underlain by rocks of the Swansea Member of the Pennant Sandstone Formation. Till superficial deposits are shown to overly the solid geology. The Till comprises variably sandy gravelly clay/silt with bands/lenses of clayey sandy gravel. Significant amounts of made ground, containing slag, ash and concrete cover the majority of the site and increases in thickness from east (approximately 1.0m) to west (approximately 4m). The bedrock underlying the site has been classed as a Secondary </w:t>
      </w:r>
      <w:proofErr w:type="gramStart"/>
      <w:r w:rsidRPr="00B97476">
        <w:t>A</w:t>
      </w:r>
      <w:proofErr w:type="gramEnd"/>
      <w:r w:rsidRPr="00B97476">
        <w:t xml:space="preserve"> Aquifer. The superficial deposits are recorded as being Secondary Aquifer Undifferentiated. (Swansea Council, 2021).</w:t>
      </w:r>
    </w:p>
    <w:p w14:paraId="668A4E39" w14:textId="77777777" w:rsidR="00B97476" w:rsidRPr="00B97476" w:rsidRDefault="00B97476" w:rsidP="00B97476">
      <w:pPr>
        <w:pStyle w:val="NoSpacing"/>
      </w:pPr>
    </w:p>
    <w:p w14:paraId="1B9F682D" w14:textId="77777777" w:rsidR="00B97476" w:rsidRDefault="00B97476" w:rsidP="00B97476">
      <w:pPr>
        <w:pStyle w:val="NoSpacing"/>
      </w:pPr>
      <w:r w:rsidRPr="00B97476">
        <w:t>The Flood Consequences Assessment submitted with the application shows that parts of the site fall within a flood</w:t>
      </w:r>
      <w:r w:rsidRPr="00B97476">
        <w:noBreakHyphen/>
        <w:t>risk area. As a result, the development must include raised finished floor levels, sustainable drainage systems, and controlled surface</w:t>
      </w:r>
      <w:r w:rsidRPr="00B97476">
        <w:noBreakHyphen/>
        <w:t>water discharge to comply with planning conditions (Swansea Council, 2021). These requirements directly affect the sequencing of groundworks, drainage installation, and foundation construction. No radon or ground gas protection will be required for this development.</w:t>
      </w:r>
    </w:p>
    <w:p w14:paraId="2D82EBD8" w14:textId="77777777" w:rsidR="00B97476" w:rsidRPr="00B97476" w:rsidRDefault="00B97476" w:rsidP="00B97476">
      <w:pPr>
        <w:pStyle w:val="NoSpacing"/>
      </w:pPr>
    </w:p>
    <w:p w14:paraId="4D6C504D" w14:textId="77777777" w:rsidR="00B97476" w:rsidRPr="00B97476" w:rsidRDefault="00B97476" w:rsidP="00B97476">
      <w:pPr>
        <w:pStyle w:val="NoSpacing"/>
      </w:pPr>
      <w:r w:rsidRPr="00B97476">
        <w:rPr>
          <w:noProof/>
        </w:rPr>
        <w:drawing>
          <wp:inline distT="0" distB="0" distL="0" distR="0" wp14:anchorId="0ABA1247" wp14:editId="1F5BD6B5">
            <wp:extent cx="5680187" cy="3763926"/>
            <wp:effectExtent l="0" t="0" r="0" b="8255"/>
            <wp:docPr id="2004062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406246" name=""/>
                    <pic:cNvPicPr/>
                  </pic:nvPicPr>
                  <pic:blipFill>
                    <a:blip r:embed="rId8"/>
                    <a:stretch>
                      <a:fillRect/>
                    </a:stretch>
                  </pic:blipFill>
                  <pic:spPr>
                    <a:xfrm>
                      <a:off x="0" y="0"/>
                      <a:ext cx="5697095" cy="3775130"/>
                    </a:xfrm>
                    <a:prstGeom prst="rect">
                      <a:avLst/>
                    </a:prstGeom>
                  </pic:spPr>
                </pic:pic>
              </a:graphicData>
            </a:graphic>
          </wp:inline>
        </w:drawing>
      </w:r>
    </w:p>
    <w:p w14:paraId="4F517E87" w14:textId="77777777" w:rsidR="00B97476" w:rsidRPr="00B97476" w:rsidRDefault="00B97476" w:rsidP="00B97476">
      <w:pPr>
        <w:pStyle w:val="NoSpacing"/>
        <w:jc w:val="center"/>
      </w:pPr>
      <w:r w:rsidRPr="00B97476">
        <w:t>(Swansea Council, 2021)</w:t>
      </w:r>
    </w:p>
    <w:p w14:paraId="046FD1BF" w14:textId="77777777" w:rsidR="00B97476" w:rsidRPr="00B97476" w:rsidRDefault="00B97476" w:rsidP="00B97476">
      <w:pPr>
        <w:pStyle w:val="NoSpacing"/>
      </w:pPr>
    </w:p>
    <w:p w14:paraId="1468D8A9" w14:textId="77777777" w:rsidR="00A41B2E" w:rsidRDefault="00A41B2E" w:rsidP="00B97476">
      <w:pPr>
        <w:pStyle w:val="NoSpacing"/>
      </w:pPr>
    </w:p>
    <w:p w14:paraId="50CE318D" w14:textId="1CF5952E" w:rsidR="00B97476" w:rsidRDefault="00B97476" w:rsidP="00B97476">
      <w:pPr>
        <w:pStyle w:val="NoSpacing"/>
      </w:pPr>
      <w:r w:rsidRPr="00B97476">
        <w:lastRenderedPageBreak/>
        <w:t xml:space="preserve">The scheme is a modern residential development by </w:t>
      </w:r>
      <w:proofErr w:type="spellStart"/>
      <w:r w:rsidRPr="00B97476">
        <w:t>Hygrove</w:t>
      </w:r>
      <w:proofErr w:type="spellEnd"/>
      <w:r w:rsidRPr="00B97476">
        <w:t xml:space="preserve"> Homes (Swansea) Ltd. As per the Application for Planning Permission, the proposed materials for the walls are a ‘mix of red brick, stone (block) and render’, a ‘Marley “modern-smooth grey” concrete roof tile’ for the roof, ‘white uPVC’ for the windows and ‘front door: composite, mixed colours’ with ‘white uPVC’ for the rear/ patio doors. (Swansea Council, 2021) I have assumed a 100-150mm cavity (insulated with PIR boards), 100mm blockwork for the internal leaf and 12.5mm plasterboard on dabs for the internal finish. Swansea Council’s design documents emphasise the use of durable, low</w:t>
      </w:r>
      <w:r w:rsidRPr="00B97476">
        <w:noBreakHyphen/>
        <w:t>maintenance materials to ensure long</w:t>
      </w:r>
      <w:r w:rsidRPr="00B97476">
        <w:noBreakHyphen/>
        <w:t>term performance and visual quality (Swansea Council, 2021). The apartment</w:t>
      </w:r>
      <w:r w:rsidR="00E2307A">
        <w:t xml:space="preserve"> blocks vary slightly but are</w:t>
      </w:r>
      <w:r w:rsidRPr="00B97476">
        <w:t xml:space="preserve"> arranged around</w:t>
      </w:r>
      <w:r w:rsidR="00E2307A">
        <w:t xml:space="preserve"> communal</w:t>
      </w:r>
      <w:r w:rsidRPr="00B97476">
        <w:t xml:space="preserve"> central stairwells</w:t>
      </w:r>
      <w:r w:rsidR="00E2307A">
        <w:t xml:space="preserve"> with internal bike stores and</w:t>
      </w:r>
      <w:r w:rsidR="00A41B2E">
        <w:t xml:space="preserve"> mixture of internal/external</w:t>
      </w:r>
      <w:r w:rsidR="00E2307A">
        <w:t xml:space="preserve"> bins stores (GF)</w:t>
      </w:r>
      <w:r w:rsidRPr="00B97476">
        <w:t>. These designs will influence the construction programme, especially during the external</w:t>
      </w:r>
      <w:r w:rsidRPr="00B97476">
        <w:noBreakHyphen/>
        <w:t>envelope and internal</w:t>
      </w:r>
      <w:r w:rsidRPr="00B97476">
        <w:noBreakHyphen/>
        <w:t>fit</w:t>
      </w:r>
      <w:r w:rsidRPr="00B97476">
        <w:noBreakHyphen/>
        <w:t>out stages.</w:t>
      </w:r>
    </w:p>
    <w:p w14:paraId="07D643CE" w14:textId="77777777" w:rsidR="005C598A" w:rsidRDefault="005C598A" w:rsidP="00B97476">
      <w:pPr>
        <w:pStyle w:val="NoSpacing"/>
      </w:pPr>
    </w:p>
    <w:p w14:paraId="47AEB830" w14:textId="0197DB16" w:rsidR="005C598A" w:rsidRDefault="00EA4F04" w:rsidP="00B97476">
      <w:pPr>
        <w:pStyle w:val="NoSpacing"/>
      </w:pPr>
      <w:r>
        <w:t xml:space="preserve">Example: </w:t>
      </w:r>
      <w:r w:rsidR="005C598A">
        <w:t>Type A49 – Apartment 9 x 2 Bed: Planning GA Elevations &amp;</w:t>
      </w:r>
      <w:r>
        <w:t xml:space="preserve"> Floor Plans</w:t>
      </w:r>
      <w:r w:rsidR="005C598A">
        <w:t xml:space="preserve"> </w:t>
      </w:r>
    </w:p>
    <w:p w14:paraId="5DD64EBB" w14:textId="77777777" w:rsidR="00DF7595" w:rsidRDefault="00DF7595" w:rsidP="00B97476">
      <w:pPr>
        <w:pStyle w:val="NoSpacing"/>
      </w:pPr>
    </w:p>
    <w:p w14:paraId="2078444B" w14:textId="24FA5D27" w:rsidR="00DF7595" w:rsidRDefault="00DF7595" w:rsidP="00B97476">
      <w:pPr>
        <w:pStyle w:val="NoSpacing"/>
      </w:pPr>
      <w:r>
        <w:t>Front Elevation -</w:t>
      </w:r>
    </w:p>
    <w:p w14:paraId="7CD4359E" w14:textId="77777777" w:rsidR="00E2307A" w:rsidRDefault="00E2307A" w:rsidP="00B97476">
      <w:pPr>
        <w:pStyle w:val="NoSpacing"/>
      </w:pPr>
    </w:p>
    <w:p w14:paraId="228FD3EF" w14:textId="701609E5" w:rsidR="00E2307A" w:rsidRDefault="00A41B2E" w:rsidP="00A41B2E">
      <w:pPr>
        <w:pStyle w:val="NoSpacing"/>
        <w:jc w:val="center"/>
      </w:pPr>
      <w:r w:rsidRPr="00A41B2E">
        <w:drawing>
          <wp:inline distT="0" distB="0" distL="0" distR="0" wp14:anchorId="18868B9B" wp14:editId="4F98D007">
            <wp:extent cx="5664540" cy="2573079"/>
            <wp:effectExtent l="0" t="0" r="0" b="0"/>
            <wp:docPr id="13895123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9512385" name=""/>
                    <pic:cNvPicPr/>
                  </pic:nvPicPr>
                  <pic:blipFill>
                    <a:blip r:embed="rId9"/>
                    <a:stretch>
                      <a:fillRect/>
                    </a:stretch>
                  </pic:blipFill>
                  <pic:spPr>
                    <a:xfrm>
                      <a:off x="0" y="0"/>
                      <a:ext cx="5804066" cy="2636458"/>
                    </a:xfrm>
                    <a:prstGeom prst="rect">
                      <a:avLst/>
                    </a:prstGeom>
                  </pic:spPr>
                </pic:pic>
              </a:graphicData>
            </a:graphic>
          </wp:inline>
        </w:drawing>
      </w:r>
    </w:p>
    <w:p w14:paraId="7497A5E9" w14:textId="77777777" w:rsidR="00DF7595" w:rsidRDefault="00DF7595" w:rsidP="00A41B2E">
      <w:pPr>
        <w:pStyle w:val="NoSpacing"/>
        <w:jc w:val="center"/>
      </w:pPr>
    </w:p>
    <w:p w14:paraId="32CE4A08" w14:textId="6611F3D5" w:rsidR="00DF7595" w:rsidRDefault="00DF7595" w:rsidP="00DF7595">
      <w:pPr>
        <w:pStyle w:val="NoSpacing"/>
      </w:pPr>
      <w:r>
        <w:t xml:space="preserve">Rear Elevation - </w:t>
      </w:r>
    </w:p>
    <w:p w14:paraId="02416379" w14:textId="77777777" w:rsidR="00EA4F04" w:rsidRDefault="00EA4F04" w:rsidP="00A41B2E">
      <w:pPr>
        <w:pStyle w:val="NoSpacing"/>
        <w:jc w:val="center"/>
      </w:pPr>
    </w:p>
    <w:p w14:paraId="529664BC" w14:textId="129103DF" w:rsidR="00A41B2E" w:rsidRDefault="00A41B2E" w:rsidP="00A41B2E">
      <w:pPr>
        <w:pStyle w:val="NoSpacing"/>
        <w:jc w:val="center"/>
      </w:pPr>
      <w:r w:rsidRPr="00A41B2E">
        <w:drawing>
          <wp:inline distT="0" distB="0" distL="0" distR="0" wp14:anchorId="604E4286" wp14:editId="194F070F">
            <wp:extent cx="5686189" cy="2519917"/>
            <wp:effectExtent l="0" t="0" r="0" b="0"/>
            <wp:docPr id="1749201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920192" name=""/>
                    <pic:cNvPicPr/>
                  </pic:nvPicPr>
                  <pic:blipFill>
                    <a:blip r:embed="rId10"/>
                    <a:stretch>
                      <a:fillRect/>
                    </a:stretch>
                  </pic:blipFill>
                  <pic:spPr>
                    <a:xfrm>
                      <a:off x="0" y="0"/>
                      <a:ext cx="5721279" cy="2535467"/>
                    </a:xfrm>
                    <a:prstGeom prst="rect">
                      <a:avLst/>
                    </a:prstGeom>
                  </pic:spPr>
                </pic:pic>
              </a:graphicData>
            </a:graphic>
          </wp:inline>
        </w:drawing>
      </w:r>
    </w:p>
    <w:p w14:paraId="346A4742" w14:textId="751D7BD1" w:rsidR="005C598A" w:rsidRPr="00B97476" w:rsidRDefault="005C598A" w:rsidP="00A41B2E">
      <w:pPr>
        <w:pStyle w:val="NoSpacing"/>
        <w:jc w:val="center"/>
      </w:pPr>
      <w:r w:rsidRPr="005C598A">
        <w:t>(Swansea Council, 2021)</w:t>
      </w:r>
    </w:p>
    <w:p w14:paraId="114FCBA9" w14:textId="77777777" w:rsidR="00B97476" w:rsidRPr="00B97476" w:rsidRDefault="00B97476" w:rsidP="00B97476">
      <w:pPr>
        <w:pStyle w:val="NoSpacing"/>
      </w:pPr>
    </w:p>
    <w:p w14:paraId="56CB5E4D" w14:textId="6F075DA9" w:rsidR="00EA4F04" w:rsidRPr="00DF7595" w:rsidRDefault="00DF7595" w:rsidP="00DF7595">
      <w:pPr>
        <w:pStyle w:val="NoSpacing"/>
      </w:pPr>
      <w:r>
        <w:lastRenderedPageBreak/>
        <w:t>Ground Floor Layout -</w:t>
      </w:r>
    </w:p>
    <w:p w14:paraId="151F50A8" w14:textId="77777777" w:rsidR="00DF7595" w:rsidRPr="00EA4F04" w:rsidRDefault="00DF7595" w:rsidP="00DF7595">
      <w:pPr>
        <w:pStyle w:val="NoSpacing"/>
        <w:rPr>
          <w:u w:val="dotted"/>
        </w:rPr>
      </w:pPr>
    </w:p>
    <w:p w14:paraId="2B02B3D5" w14:textId="7349C0C4" w:rsidR="00EA4F04" w:rsidRDefault="00EA4F04" w:rsidP="00EA4F04">
      <w:pPr>
        <w:pStyle w:val="NoSpacing"/>
        <w:jc w:val="center"/>
      </w:pPr>
      <w:r w:rsidRPr="00EA4F04">
        <w:drawing>
          <wp:inline distT="0" distB="0" distL="0" distR="0" wp14:anchorId="31765292" wp14:editId="7B525EDE">
            <wp:extent cx="5864216" cy="3551274"/>
            <wp:effectExtent l="0" t="0" r="3810" b="0"/>
            <wp:docPr id="10282635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8263516" name=""/>
                    <pic:cNvPicPr/>
                  </pic:nvPicPr>
                  <pic:blipFill>
                    <a:blip r:embed="rId11"/>
                    <a:stretch>
                      <a:fillRect/>
                    </a:stretch>
                  </pic:blipFill>
                  <pic:spPr>
                    <a:xfrm>
                      <a:off x="0" y="0"/>
                      <a:ext cx="5911301" cy="3579788"/>
                    </a:xfrm>
                    <a:prstGeom prst="rect">
                      <a:avLst/>
                    </a:prstGeom>
                  </pic:spPr>
                </pic:pic>
              </a:graphicData>
            </a:graphic>
          </wp:inline>
        </w:drawing>
      </w:r>
    </w:p>
    <w:p w14:paraId="7CCB05BF" w14:textId="77777777" w:rsidR="00DF7595" w:rsidRDefault="00DF7595" w:rsidP="00EA4F04">
      <w:pPr>
        <w:pStyle w:val="NoSpacing"/>
        <w:jc w:val="center"/>
      </w:pPr>
    </w:p>
    <w:p w14:paraId="3E957261" w14:textId="7F016900" w:rsidR="00DF7595" w:rsidRPr="00DF7595" w:rsidRDefault="00DF7595" w:rsidP="00DF7595">
      <w:pPr>
        <w:pStyle w:val="NoSpacing"/>
      </w:pPr>
      <w:r w:rsidRPr="00DF7595">
        <w:t>First &amp; Second Floor Layout</w:t>
      </w:r>
      <w:r>
        <w:t xml:space="preserve"> -</w:t>
      </w:r>
    </w:p>
    <w:p w14:paraId="294B1351" w14:textId="77777777" w:rsidR="00EA4F04" w:rsidRDefault="00EA4F04" w:rsidP="00EA4F04">
      <w:pPr>
        <w:pStyle w:val="NoSpacing"/>
        <w:jc w:val="center"/>
      </w:pPr>
    </w:p>
    <w:p w14:paraId="29764B18" w14:textId="4717B363" w:rsidR="00EA4F04" w:rsidRDefault="00EA4F04" w:rsidP="00EA4F04">
      <w:pPr>
        <w:pStyle w:val="NoSpacing"/>
        <w:jc w:val="center"/>
      </w:pPr>
      <w:r w:rsidRPr="00EA4F04">
        <w:drawing>
          <wp:inline distT="0" distB="0" distL="0" distR="0" wp14:anchorId="44EA4393" wp14:editId="02D372F2">
            <wp:extent cx="6050012" cy="4104168"/>
            <wp:effectExtent l="0" t="0" r="8255" b="0"/>
            <wp:docPr id="10069990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6999087" name=""/>
                    <pic:cNvPicPr/>
                  </pic:nvPicPr>
                  <pic:blipFill>
                    <a:blip r:embed="rId12"/>
                    <a:stretch>
                      <a:fillRect/>
                    </a:stretch>
                  </pic:blipFill>
                  <pic:spPr>
                    <a:xfrm>
                      <a:off x="0" y="0"/>
                      <a:ext cx="6074846" cy="4121014"/>
                    </a:xfrm>
                    <a:prstGeom prst="rect">
                      <a:avLst/>
                    </a:prstGeom>
                  </pic:spPr>
                </pic:pic>
              </a:graphicData>
            </a:graphic>
          </wp:inline>
        </w:drawing>
      </w:r>
    </w:p>
    <w:p w14:paraId="76F527A2" w14:textId="77777777" w:rsidR="00DF7595" w:rsidRPr="00DF7595" w:rsidRDefault="00DF7595" w:rsidP="00DF7595">
      <w:pPr>
        <w:pStyle w:val="NoSpacing"/>
        <w:jc w:val="center"/>
      </w:pPr>
      <w:r w:rsidRPr="00DF7595">
        <w:t>(Swansea Council, 2021)</w:t>
      </w:r>
    </w:p>
    <w:p w14:paraId="3D44D947" w14:textId="5DF344B6" w:rsidR="00B97476" w:rsidRPr="00B97476" w:rsidRDefault="00DF7595" w:rsidP="00B97476">
      <w:pPr>
        <w:pStyle w:val="NoSpacing"/>
      </w:pPr>
      <w:r w:rsidRPr="00DF7595">
        <w:lastRenderedPageBreak/>
        <w:t>Access to the site is gained from Nantong Way, which also serves other developments in the area. The planning application highlights the need for strict traffic</w:t>
      </w:r>
      <w:r w:rsidRPr="00DF7595">
        <w:noBreakHyphen/>
        <w:t>management measures during construction to avoid disruption to nearby residents and businesses (Swansea Council, 2021). This includes controlled delivery times, designated access points, and coordination with</w:t>
      </w:r>
      <w:r w:rsidR="00CA1B79">
        <w:t xml:space="preserve"> </w:t>
      </w:r>
      <w:r w:rsidR="00B97476" w:rsidRPr="00B97476">
        <w:t>Swansea Council’s highways department. The limited space on site restricts material storage and plant movement, meaning that a just</w:t>
      </w:r>
      <w:r w:rsidR="00B97476" w:rsidRPr="00B97476">
        <w:noBreakHyphen/>
        <w:t>in</w:t>
      </w:r>
      <w:r w:rsidR="00B97476" w:rsidRPr="00B97476">
        <w:noBreakHyphen/>
        <w:t>time delivery approach is required. This constraint must be reflected in the construction programme to avoid delays caused by congestion or lack of storage space.</w:t>
      </w:r>
    </w:p>
    <w:p w14:paraId="2C1D28BF" w14:textId="77777777" w:rsidR="00B97476" w:rsidRDefault="00B97476" w:rsidP="00B97476">
      <w:pPr>
        <w:pStyle w:val="NoSpacing"/>
      </w:pPr>
    </w:p>
    <w:p w14:paraId="15504C31" w14:textId="20C7CD56" w:rsidR="00B97476" w:rsidRPr="00B97476" w:rsidRDefault="00B97476" w:rsidP="00B97476">
      <w:pPr>
        <w:pStyle w:val="NoSpacing"/>
      </w:pPr>
      <w:r w:rsidRPr="00B97476">
        <w:t>Environmental considerations also shape the construction process. The ecological assessments submitted with the planning application identify local wildlife habitats and recommend mitigation measures such as controlled lighting, protection of vegetation, and restrictions on when certain activities can take place (Swansea Council, 2021). The site’s proximity to the River Tawe means that pollution</w:t>
      </w:r>
      <w:r w:rsidRPr="00B97476">
        <w:noBreakHyphen/>
        <w:t>prevention measures must be in place, including controlled fuel storage, sediment</w:t>
      </w:r>
      <w:r w:rsidRPr="00B97476">
        <w:noBreakHyphen/>
        <w:t>control systems, and compliance with a Construction Environmental Management Plan (CEMP). These requirements influence the timing of site clearance, drainage works, and external landscaping.</w:t>
      </w:r>
    </w:p>
    <w:p w14:paraId="1F66E3D4" w14:textId="77777777" w:rsidR="00B97476" w:rsidRDefault="00B97476" w:rsidP="00B97476">
      <w:pPr>
        <w:pStyle w:val="NoSpacing"/>
      </w:pPr>
    </w:p>
    <w:p w14:paraId="241D7579" w14:textId="0673911A" w:rsidR="00B97476" w:rsidRPr="00B97476" w:rsidRDefault="00B97476" w:rsidP="00B97476">
      <w:pPr>
        <w:pStyle w:val="NoSpacing"/>
      </w:pPr>
      <w:r w:rsidRPr="00B97476">
        <w:t>The wider construction context in the UK also affects the project. The UK Government’s Construction Statistics report notes ongoing challenges such as labour shortages, rising material costs, and supply</w:t>
      </w:r>
      <w:r w:rsidRPr="00B97476">
        <w:noBreakHyphen/>
        <w:t>chain disruptions (UK Government, 2023). These national issues can influence the availability of skilled workers, the cost of materials such as steel and concrete, and the reliability of delivery schedules. Considering these factors during programme planning helps reduce the risk of delays and cost increases.</w:t>
      </w:r>
      <w:r w:rsidR="00CA1B79">
        <w:t xml:space="preserve"> </w:t>
      </w:r>
      <w:r w:rsidRPr="00B97476">
        <w:t>Site</w:t>
      </w:r>
      <w:r w:rsidRPr="00B97476">
        <w:noBreakHyphen/>
        <w:t>specific constraints, design</w:t>
      </w:r>
      <w:r w:rsidRPr="00B97476">
        <w:noBreakHyphen/>
        <w:t>driven sequencing and regulatory compliance summarise the main factors shaping the construction stage of the development.</w:t>
      </w:r>
    </w:p>
    <w:p w14:paraId="19307754" w14:textId="77777777" w:rsidR="00B97476" w:rsidRPr="00B97476" w:rsidRDefault="00B97476" w:rsidP="00B97476">
      <w:pPr>
        <w:pStyle w:val="NoSpacing"/>
      </w:pPr>
    </w:p>
    <w:p w14:paraId="735E9938" w14:textId="77777777" w:rsidR="00B97476" w:rsidRDefault="00B97476" w:rsidP="00B97476">
      <w:pPr>
        <w:pStyle w:val="NoSpacing"/>
        <w:rPr>
          <w:u w:val="dotted"/>
        </w:rPr>
      </w:pPr>
      <w:bookmarkStart w:id="0" w:name="_Hlk219676206"/>
      <w:r w:rsidRPr="00B97476">
        <w:rPr>
          <w:u w:val="dotted"/>
        </w:rPr>
        <w:t>Critical Resources (Labour, Materials, Plant, Finance)</w:t>
      </w:r>
    </w:p>
    <w:bookmarkEnd w:id="0"/>
    <w:p w14:paraId="02FDAEE0" w14:textId="77777777" w:rsidR="00B97476" w:rsidRPr="00B97476" w:rsidRDefault="00B97476" w:rsidP="00B97476">
      <w:pPr>
        <w:pStyle w:val="NoSpacing"/>
        <w:rPr>
          <w:u w:val="dotted"/>
        </w:rPr>
      </w:pPr>
    </w:p>
    <w:p w14:paraId="0F28F308" w14:textId="77777777" w:rsidR="00B97476" w:rsidRDefault="00B97476" w:rsidP="00B97476">
      <w:pPr>
        <w:pStyle w:val="NoSpacing"/>
      </w:pPr>
      <w:r w:rsidRPr="00B97476">
        <w:t>The construction of this development at Upper Bank relies heavily on the effective management of several key resources. These include labour, materials, plant, and finance. Each resource plays a major role in determining whether the project stays on schedule, remains within budget, and meets the standards required by Swansea Council’s planning approval. The planning application for 2021/0944/FUL highlights the complexity of the site and the need for careful coordination of resources due to restricted access, environmental constraints, and the scale of the site (Swansea Council, 2021). Understanding how these resources interact is essential for successful project delivery.</w:t>
      </w:r>
    </w:p>
    <w:p w14:paraId="4E2AC9B2" w14:textId="77777777" w:rsidR="00B97476" w:rsidRPr="00B97476" w:rsidRDefault="00B97476" w:rsidP="00B97476">
      <w:pPr>
        <w:pStyle w:val="NoSpacing"/>
      </w:pPr>
    </w:p>
    <w:p w14:paraId="31002CC9" w14:textId="77777777" w:rsidR="00B97476" w:rsidRPr="00B97476" w:rsidRDefault="00B97476" w:rsidP="00B97476">
      <w:pPr>
        <w:pStyle w:val="NoSpacing"/>
      </w:pPr>
      <w:r w:rsidRPr="00B97476">
        <w:t>Labour is one of the most important resources in construction. This project requires a wide range of skilled and semi</w:t>
      </w:r>
      <w:r w:rsidRPr="00B97476">
        <w:noBreakHyphen/>
        <w:t>skilled workers, including groundworkers, concrete operatives, bricklayers, carpenters, electricians, plumbers, plasterers, and decorators. The UK Government’s Construction Statistics report notes that the industry continues to face labour shortages, especially in skilled trades (UK Government, 2023). These shortages can lead to delays if the required workforce is not available at the right time. For example, if there are not enough bricklayers on site the superstructures may fall behind schedule, pushing back the entire programme. Labour shortages can also increase costs, as contractors may need to pay higher rates to secure workers.</w:t>
      </w:r>
    </w:p>
    <w:p w14:paraId="798B5527" w14:textId="77777777" w:rsidR="00CA1B79" w:rsidRDefault="00CA1B79" w:rsidP="00B97476">
      <w:pPr>
        <w:pStyle w:val="NoSpacing"/>
      </w:pPr>
    </w:p>
    <w:p w14:paraId="6EC2DB4E" w14:textId="1A924C71" w:rsidR="00B97476" w:rsidRDefault="00B97476" w:rsidP="00B97476">
      <w:pPr>
        <w:pStyle w:val="NoSpacing"/>
      </w:pPr>
      <w:r w:rsidRPr="00B97476">
        <w:t xml:space="preserve">Materials are another essential resource. The project requires large quantities of concrete, bricks, blocks, insulation, render, steelwork, timber, windows, doors, plasterboard, and MEP components. The planning application specifies the use of durable materials to achieve the </w:t>
      </w:r>
      <w:r w:rsidRPr="00B97476">
        <w:lastRenderedPageBreak/>
        <w:t>desired architectural appearance and long</w:t>
      </w:r>
      <w:r w:rsidRPr="00B97476">
        <w:noBreakHyphen/>
        <w:t>term performance (Swansea Council, 2021). However, material availability has been affected by supply</w:t>
      </w:r>
      <w:r w:rsidRPr="00B97476">
        <w:noBreakHyphen/>
        <w:t>chain disruptions and rising costs, particularly for steel, timber, and concrete products (UK Government, 2023). Delays in material deliveries can have a major impact on the programme. For example, if reinforcement steel arrives late, the substructure &amp; superstructure cannot progress. The limited storage space on site, highlighted in the planning documents, means that materials must be delivered on a just</w:t>
      </w:r>
      <w:r w:rsidRPr="00B97476">
        <w:noBreakHyphen/>
        <w:t>in</w:t>
      </w:r>
      <w:r w:rsidRPr="00B97476">
        <w:noBreakHyphen/>
        <w:t>time basis (Swansea Council, 2021). This increases the importance of reliable suppliers and accurate delivery scheduling.</w:t>
      </w:r>
    </w:p>
    <w:p w14:paraId="4508F244" w14:textId="77777777" w:rsidR="00B97476" w:rsidRPr="00B97476" w:rsidRDefault="00B97476" w:rsidP="00B97476">
      <w:pPr>
        <w:pStyle w:val="NoSpacing"/>
      </w:pPr>
    </w:p>
    <w:p w14:paraId="446439B2" w14:textId="77777777" w:rsidR="00B97476" w:rsidRDefault="00B97476" w:rsidP="00B97476">
      <w:pPr>
        <w:pStyle w:val="NoSpacing"/>
      </w:pPr>
      <w:r w:rsidRPr="00B97476">
        <w:t>Plant and equipment are also vital for the project. The development requires excavators, dumpers, compactors, scaffolding etc. The planning application notes that the site has restricted access and limited space for plant movement and storage (Swansea Council, 2021). This means that plant must be carefully managed to avoid congestion and ensure safety. Plant hire costs can be high, and delays in the programme can increase these costs. Rising fuel prices and high demand for plant across the industry have also contributed to increased hire rates (UK Government, 2023). Efficient plant management is therefore essential to avoid unnecessary expenditure.</w:t>
      </w:r>
    </w:p>
    <w:p w14:paraId="3A926B55" w14:textId="77777777" w:rsidR="00B97476" w:rsidRPr="00B97476" w:rsidRDefault="00B97476" w:rsidP="00B97476">
      <w:pPr>
        <w:pStyle w:val="NoSpacing"/>
      </w:pPr>
    </w:p>
    <w:p w14:paraId="54062CF7" w14:textId="77777777" w:rsidR="00B97476" w:rsidRPr="00B97476" w:rsidRDefault="00B97476" w:rsidP="00B97476">
      <w:pPr>
        <w:pStyle w:val="NoSpacing"/>
      </w:pPr>
      <w:r w:rsidRPr="00B97476">
        <w:t>Finance underpins all aspects of the project. Construction requires continuous cash flow to pay for labour, materials, plant hire, subcontractors, and overheads. The planning application includes cost estimates and viability assessments that demonstrate the financial feasibility of the development (Swansea Council, 2021). However, rising construction costs and economic uncertainty create financial risks. Inflation has increased the cost of materials, labour, and energy, placing additional pressure on project budgets (UK Government, 2023). Effective cost control is essential to ensure that the project remains financially viable. This includes regular cost reporting, cash</w:t>
      </w:r>
      <w:r w:rsidRPr="00B97476">
        <w:noBreakHyphen/>
        <w:t>flow forecasting, and careful management of subcontractor payments.</w:t>
      </w:r>
    </w:p>
    <w:p w14:paraId="0BF7EEA1" w14:textId="77777777" w:rsidR="00B97476" w:rsidRDefault="00B97476" w:rsidP="00B97476">
      <w:pPr>
        <w:pStyle w:val="NoSpacing"/>
      </w:pPr>
      <w:r w:rsidRPr="00B97476">
        <w:t>Resource availability, cost</w:t>
      </w:r>
      <w:r w:rsidRPr="00B97476">
        <w:noBreakHyphen/>
        <w:t>driven planning and supply</w:t>
      </w:r>
      <w:r w:rsidRPr="00B97476">
        <w:noBreakHyphen/>
        <w:t>chain reliability highlight the main factors that influence labour, materials, plant, and finance on this project.</w:t>
      </w:r>
    </w:p>
    <w:p w14:paraId="2A6ADF7F" w14:textId="77777777" w:rsidR="00B97476" w:rsidRPr="00B97476" w:rsidRDefault="00B97476" w:rsidP="00B97476">
      <w:pPr>
        <w:pStyle w:val="NoSpacing"/>
      </w:pPr>
    </w:p>
    <w:p w14:paraId="418A435F" w14:textId="224CBEB8" w:rsidR="00B97476" w:rsidRDefault="00B97476" w:rsidP="00B97476">
      <w:pPr>
        <w:pStyle w:val="NoSpacing"/>
        <w:rPr>
          <w:u w:val="dotted"/>
        </w:rPr>
      </w:pPr>
      <w:bookmarkStart w:id="1" w:name="_Hlk219676277"/>
      <w:r w:rsidRPr="00B97476">
        <w:rPr>
          <w:u w:val="dotted"/>
        </w:rPr>
        <w:t>Information, Site Constraints, Monitoring, Control, Delay Management</w:t>
      </w:r>
      <w:r w:rsidR="002223CB">
        <w:rPr>
          <w:u w:val="dotted"/>
        </w:rPr>
        <w:t xml:space="preserve"> &amp;</w:t>
      </w:r>
      <w:r w:rsidRPr="00B97476">
        <w:rPr>
          <w:u w:val="dotted"/>
        </w:rPr>
        <w:t xml:space="preserve"> Evaluation</w:t>
      </w:r>
    </w:p>
    <w:bookmarkEnd w:id="1"/>
    <w:p w14:paraId="77EFE440" w14:textId="77777777" w:rsidR="00B97476" w:rsidRPr="00B97476" w:rsidRDefault="00B97476" w:rsidP="00B97476">
      <w:pPr>
        <w:pStyle w:val="NoSpacing"/>
        <w:rPr>
          <w:u w:val="dotted"/>
        </w:rPr>
      </w:pPr>
    </w:p>
    <w:p w14:paraId="704765C8" w14:textId="77777777" w:rsidR="00B97476" w:rsidRDefault="00B97476" w:rsidP="00B97476">
      <w:pPr>
        <w:pStyle w:val="NoSpacing"/>
      </w:pPr>
      <w:r w:rsidRPr="00B97476">
        <w:t>Information is one of the most important resources in the construction process because every stage of the project depends on accurate and up</w:t>
      </w:r>
      <w:r w:rsidRPr="00B97476">
        <w:noBreakHyphen/>
        <w:t>to</w:t>
      </w:r>
      <w:r w:rsidRPr="00B97476">
        <w:noBreakHyphen/>
        <w:t>date documentation. The planning application for 2021/0944/FUL includes architectural drawings, drainage strategies, ecological assessments, and planning conditions, all of which guide how the building must be constructed (Swansea Council, 2021). If this information is unclear or delayed, work on site can slow down or stop. For example, if mechanical, electrical, and plumbing (MEP) coordination drawings are late, first</w:t>
      </w:r>
      <w:r w:rsidRPr="00B97476">
        <w:noBreakHyphen/>
        <w:t>fix installations cannot begin. This shows why a clear document</w:t>
      </w:r>
      <w:r w:rsidRPr="00B97476">
        <w:noBreakHyphen/>
        <w:t>control system and regular communication between the contractor, design team, and client are essential.</w:t>
      </w:r>
    </w:p>
    <w:p w14:paraId="721C3AD9" w14:textId="77777777" w:rsidR="00CA1B79" w:rsidRPr="00B97476" w:rsidRDefault="00CA1B79" w:rsidP="00B97476">
      <w:pPr>
        <w:pStyle w:val="NoSpacing"/>
      </w:pPr>
    </w:p>
    <w:p w14:paraId="7E18946D" w14:textId="77777777" w:rsidR="00B97476" w:rsidRDefault="00B97476" w:rsidP="00B97476">
      <w:pPr>
        <w:pStyle w:val="NoSpacing"/>
      </w:pPr>
      <w:r w:rsidRPr="00B97476">
        <w:t>Site constraints also have a major influence on how the project is planned and delivered. The planning application identifies several constraints specific to the Upper Bank site, including limited access from Nantong Way, the presence of made ground, ecological sensitivities, and the site’s proximity to the River Tawe (Swansea Council, 2021). The restricted access means that deliveries must be carefully scheduled to avoid congestion. Large vehicles such as window and balcony supplier deliveries must be coordinated so they do not arrive at the same time. The limited space on site also restricts material storage, meaning that materials must be delivered on a just</w:t>
      </w:r>
      <w:r w:rsidRPr="00B97476">
        <w:noBreakHyphen/>
        <w:t>in</w:t>
      </w:r>
      <w:r w:rsidRPr="00B97476">
        <w:noBreakHyphen/>
        <w:t>time basis. This increases the risk of delays if suppliers fail to deliver on schedule. The planning documents also highlight environmental risks due to the site’s location near the river, requiring pollution</w:t>
      </w:r>
      <w:r w:rsidRPr="00B97476">
        <w:noBreakHyphen/>
        <w:t>prevention measures such as controlled fuel storage, sediment</w:t>
      </w:r>
      <w:r w:rsidRPr="00B97476">
        <w:noBreakHyphen/>
        <w:t xml:space="preserve">control systems, and compliance with the Construction Environmental Management </w:t>
      </w:r>
      <w:r w:rsidRPr="00B97476">
        <w:lastRenderedPageBreak/>
        <w:t>Plan (Swansea Council, 2021). Ecological assessments identify local wildlife habitats, meaning that some activities, such as vegetation clearance, may need to be timed carefully to avoid disturbance.</w:t>
      </w:r>
    </w:p>
    <w:p w14:paraId="2DD8A4FF" w14:textId="77777777" w:rsidR="00B97476" w:rsidRPr="00B97476" w:rsidRDefault="00B97476" w:rsidP="00B97476">
      <w:pPr>
        <w:pStyle w:val="NoSpacing"/>
      </w:pPr>
    </w:p>
    <w:p w14:paraId="100313A9" w14:textId="77777777" w:rsidR="00B97476" w:rsidRDefault="00B97476" w:rsidP="00B97476">
      <w:pPr>
        <w:pStyle w:val="NoSpacing"/>
      </w:pPr>
      <w:r w:rsidRPr="00B97476">
        <w:t xml:space="preserve">Monitoring and controlling resources </w:t>
      </w:r>
      <w:proofErr w:type="gramStart"/>
      <w:r w:rsidRPr="00B97476">
        <w:t>is</w:t>
      </w:r>
      <w:proofErr w:type="gramEnd"/>
      <w:r w:rsidRPr="00B97476">
        <w:t xml:space="preserve"> essential to ensure that the project stays on schedule and within budget. Programme monitoring is usually carried out using Gantt charts, weekly progress meetings, daily site diaries, and photographic records. The site manager compares planned progress with actual progress and identifies any delays. If tasks fall behind schedule, corrective action can be taken, such as re</w:t>
      </w:r>
      <w:r w:rsidRPr="00B97476">
        <w:noBreakHyphen/>
        <w:t>sequencing work or increasing labour. Labour monitoring involves checking timesheets, productivity levels, and subcontractor reports. Material monitoring includes tracking delivery schedules and stock levels, which is especially important on this project due to limited storage space (Swansea Council, 2021). Plant monitoring involves checking utilisation rates and hire periods to avoid unnecessary costs. Cost monitoring includes regular cost reports and cash</w:t>
      </w:r>
      <w:r w:rsidRPr="00B97476">
        <w:noBreakHyphen/>
        <w:t>flow forecasts, which are essential given rising construction costs and inflation (UK Government, 2023).</w:t>
      </w:r>
    </w:p>
    <w:p w14:paraId="58AC825E" w14:textId="77777777" w:rsidR="00B97476" w:rsidRPr="00B97476" w:rsidRDefault="00B97476" w:rsidP="00B97476">
      <w:pPr>
        <w:pStyle w:val="NoSpacing"/>
      </w:pPr>
    </w:p>
    <w:p w14:paraId="20B81CAB" w14:textId="11F6B56D" w:rsidR="00B97476" w:rsidRDefault="00B97476" w:rsidP="00B97476">
      <w:pPr>
        <w:pStyle w:val="NoSpacing"/>
      </w:pPr>
      <w:r w:rsidRPr="00B97476">
        <w:t>Delay management is another key part of construction control. Delays can be caused by bad weather, material shortages, labour shortages, design changes, or unforeseen ground conditions. One common method of managing delays is re</w:t>
      </w:r>
      <w:r w:rsidRPr="00B97476">
        <w:noBreakHyphen/>
        <w:t>sequencing work. For example, if the blockwork is delayed due delivery issues, external drainage, groundworks may continue instead. Increasing labour or using overtime can also help recover lost time, although this may increase costs. Using alternative materials or suppliers is another option, but this must be approved by the design team to ensure compliance with the planning application and building regulations (Swansea Council, 2021). If delays are caused by factors outside the contractor’s control, an extension of time may be requested under the contract.</w:t>
      </w:r>
      <w:r w:rsidR="00567820">
        <w:t xml:space="preserve"> </w:t>
      </w:r>
      <w:r w:rsidRPr="00B97476">
        <w:t xml:space="preserve">Information flow, constraint driven planning and delay response strategies highlight the main principles and are critical for this project planning.  </w:t>
      </w:r>
    </w:p>
    <w:p w14:paraId="0F385634" w14:textId="77777777" w:rsidR="00567820" w:rsidRDefault="00567820" w:rsidP="00B97476">
      <w:pPr>
        <w:pStyle w:val="NoSpacing"/>
      </w:pPr>
    </w:p>
    <w:p w14:paraId="334D390D" w14:textId="417D9FAE" w:rsidR="00567820" w:rsidRDefault="00567820" w:rsidP="00567820">
      <w:pPr>
        <w:pStyle w:val="NoSpacing"/>
        <w:jc w:val="center"/>
      </w:pPr>
      <w:r>
        <w:rPr>
          <w:noProof/>
        </w:rPr>
        <w:drawing>
          <wp:inline distT="0" distB="0" distL="0" distR="0" wp14:anchorId="1A101723" wp14:editId="302070A0">
            <wp:extent cx="5635355" cy="3168502"/>
            <wp:effectExtent l="0" t="0" r="3810" b="0"/>
            <wp:docPr id="71660990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656005" cy="3180113"/>
                    </a:xfrm>
                    <a:prstGeom prst="rect">
                      <a:avLst/>
                    </a:prstGeom>
                    <a:noFill/>
                  </pic:spPr>
                </pic:pic>
              </a:graphicData>
            </a:graphic>
          </wp:inline>
        </w:drawing>
      </w:r>
    </w:p>
    <w:p w14:paraId="2DACFA5A" w14:textId="097D5668" w:rsidR="00567820" w:rsidRPr="00B97476" w:rsidRDefault="00567820" w:rsidP="00567820">
      <w:pPr>
        <w:pStyle w:val="NoSpacing"/>
        <w:jc w:val="center"/>
      </w:pPr>
      <w:r w:rsidRPr="00567820">
        <w:t>(RIB Software SE, n.d.)</w:t>
      </w:r>
    </w:p>
    <w:p w14:paraId="52309DDE" w14:textId="77777777" w:rsidR="00B97476" w:rsidRPr="00B97476" w:rsidRDefault="00B97476" w:rsidP="00B97476">
      <w:pPr>
        <w:pStyle w:val="NoSpacing"/>
      </w:pPr>
    </w:p>
    <w:p w14:paraId="73FB5FE3" w14:textId="77777777" w:rsidR="00567820" w:rsidRDefault="00567820" w:rsidP="00B97476">
      <w:pPr>
        <w:pStyle w:val="NoSpacing"/>
        <w:rPr>
          <w:u w:val="single"/>
        </w:rPr>
      </w:pPr>
    </w:p>
    <w:p w14:paraId="7A98D0C8" w14:textId="77777777" w:rsidR="00567820" w:rsidRDefault="00567820" w:rsidP="00B97476">
      <w:pPr>
        <w:pStyle w:val="NoSpacing"/>
        <w:rPr>
          <w:u w:val="single"/>
        </w:rPr>
      </w:pPr>
    </w:p>
    <w:p w14:paraId="1C7EA49B" w14:textId="77777777" w:rsidR="00567820" w:rsidRDefault="00567820" w:rsidP="00B97476">
      <w:pPr>
        <w:pStyle w:val="NoSpacing"/>
        <w:rPr>
          <w:u w:val="single"/>
        </w:rPr>
      </w:pPr>
    </w:p>
    <w:p w14:paraId="2E252E02" w14:textId="538E7DD8" w:rsidR="00B97476" w:rsidRDefault="00B97476" w:rsidP="00B97476">
      <w:pPr>
        <w:pStyle w:val="NoSpacing"/>
        <w:rPr>
          <w:u w:val="single"/>
        </w:rPr>
      </w:pPr>
      <w:r w:rsidRPr="00B97476">
        <w:rPr>
          <w:u w:val="single"/>
        </w:rPr>
        <w:lastRenderedPageBreak/>
        <w:t>Task 2</w:t>
      </w:r>
    </w:p>
    <w:p w14:paraId="49C3DF29" w14:textId="77777777" w:rsidR="00B97476" w:rsidRPr="00B97476" w:rsidRDefault="00B97476" w:rsidP="00B97476">
      <w:pPr>
        <w:pStyle w:val="NoSpacing"/>
        <w:rPr>
          <w:u w:val="single"/>
        </w:rPr>
      </w:pPr>
    </w:p>
    <w:p w14:paraId="6362CCD4" w14:textId="77777777" w:rsidR="00B97476" w:rsidRDefault="00B97476" w:rsidP="00B97476">
      <w:pPr>
        <w:pStyle w:val="NoSpacing"/>
        <w:rPr>
          <w:u w:val="dotted"/>
        </w:rPr>
      </w:pPr>
      <w:bookmarkStart w:id="2" w:name="_Hlk219677378"/>
      <w:r w:rsidRPr="00B97476">
        <w:rPr>
          <w:u w:val="dotted"/>
        </w:rPr>
        <w:t>Construction Programme Explanation</w:t>
      </w:r>
    </w:p>
    <w:bookmarkEnd w:id="2"/>
    <w:p w14:paraId="2F18CC90" w14:textId="77777777" w:rsidR="00B97476" w:rsidRPr="00B97476" w:rsidRDefault="00B97476" w:rsidP="00B97476">
      <w:pPr>
        <w:pStyle w:val="NoSpacing"/>
        <w:rPr>
          <w:u w:val="dotted"/>
        </w:rPr>
      </w:pPr>
    </w:p>
    <w:p w14:paraId="069237F9" w14:textId="7A791007" w:rsidR="00EE57A2" w:rsidRDefault="00B97476" w:rsidP="00A01610">
      <w:pPr>
        <w:pStyle w:val="NoSpacing"/>
      </w:pPr>
      <w:r w:rsidRPr="00B97476">
        <w:t>The construction programme at Upper Bank will follow a logical sequence that reflects both industry practice and the specific requirements set out in the planning application. The programme begins with site establishment and continues through groundworks, foundations, external envelope, internal works, mechanical, electrical and plumbing (MEP) installations, external works, and final handover. Each stage is shaped by the site conditions, design requirements, and planning constraints identified in the 2021/0944/FUL application (Swansea Council, 2021). A clear and realistic programme is essential to ensure that the project is delivered safely, efficiently, and in compliance with planning conditions.</w:t>
      </w:r>
      <w:r w:rsidR="00A01610">
        <w:t xml:space="preserve"> An extremely basic example of the construction stages of a generic single dwelling is shown below.</w:t>
      </w:r>
    </w:p>
    <w:p w14:paraId="2DA4819C" w14:textId="77777777" w:rsidR="00A01610" w:rsidRDefault="00A01610" w:rsidP="00A01610">
      <w:pPr>
        <w:pStyle w:val="NoSpacing"/>
      </w:pPr>
    </w:p>
    <w:p w14:paraId="0BBE3CBA" w14:textId="03E9D926" w:rsidR="00B97476" w:rsidRDefault="00A01610" w:rsidP="00A01610">
      <w:pPr>
        <w:pStyle w:val="NoSpacing"/>
        <w:jc w:val="center"/>
      </w:pPr>
      <w:r>
        <w:rPr>
          <w:noProof/>
        </w:rPr>
        <w:drawing>
          <wp:inline distT="0" distB="0" distL="0" distR="0" wp14:anchorId="178856D5" wp14:editId="7C778FF8">
            <wp:extent cx="4954772" cy="2976733"/>
            <wp:effectExtent l="0" t="0" r="0" b="0"/>
            <wp:docPr id="937996936"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024081" cy="3018373"/>
                    </a:xfrm>
                    <a:prstGeom prst="rect">
                      <a:avLst/>
                    </a:prstGeom>
                    <a:noFill/>
                  </pic:spPr>
                </pic:pic>
              </a:graphicData>
            </a:graphic>
          </wp:inline>
        </w:drawing>
      </w:r>
    </w:p>
    <w:p w14:paraId="1BAE7883" w14:textId="40D9F61B" w:rsidR="00A01610" w:rsidRDefault="00A01610" w:rsidP="00A01610">
      <w:pPr>
        <w:pStyle w:val="NoSpacing"/>
        <w:jc w:val="center"/>
      </w:pPr>
      <w:r w:rsidRPr="00A01610">
        <w:t>(MECHA Engineering, n.d.)</w:t>
      </w:r>
    </w:p>
    <w:p w14:paraId="293DB249" w14:textId="77777777" w:rsidR="00A01610" w:rsidRPr="00B97476" w:rsidRDefault="00A01610" w:rsidP="00A01610">
      <w:pPr>
        <w:pStyle w:val="NoSpacing"/>
        <w:jc w:val="center"/>
      </w:pPr>
    </w:p>
    <w:p w14:paraId="4AB6EAAF" w14:textId="77777777" w:rsidR="00B97476" w:rsidRPr="00B97476" w:rsidRDefault="00B97476" w:rsidP="00B97476">
      <w:pPr>
        <w:pStyle w:val="NoSpacing"/>
      </w:pPr>
      <w:r w:rsidRPr="00B97476">
        <w:t>The first stage is site establishment. This includes setting up welfare facilities, securing the site boundary, installing temporary services, and establishing access routes. The planning application highlights restricted access from Nantong Way and the need for controlled delivery times to avoid disruption to nearby residents and businesses (Swansea Council, 2021). These constraints mean that traffic</w:t>
      </w:r>
      <w:r w:rsidRPr="00B97476">
        <w:noBreakHyphen/>
        <w:t>management measures must be in place from the start. Once the site is secure, groundworks can begin. This stage involves site clearance, excavation, remediation of made ground, and installation of temporary drainage. The ecological assessments submitted with the planning application identify local wildlife habitats, meaning that vegetation clearance may need to be timed carefully to avoid disturbance (Swansea Council, 2021). These environmental requirements influence the sequencing of early works.</w:t>
      </w:r>
    </w:p>
    <w:p w14:paraId="1E2E874A" w14:textId="77777777" w:rsidR="00A01610" w:rsidRDefault="00B97476" w:rsidP="00B97476">
      <w:pPr>
        <w:pStyle w:val="NoSpacing"/>
      </w:pPr>
      <w:r w:rsidRPr="00B97476">
        <w:t xml:space="preserve">After groundworks, the foundation stage begins. </w:t>
      </w:r>
    </w:p>
    <w:p w14:paraId="41DC65DA" w14:textId="77777777" w:rsidR="00A01610" w:rsidRDefault="00A01610" w:rsidP="00B97476">
      <w:pPr>
        <w:pStyle w:val="NoSpacing"/>
      </w:pPr>
    </w:p>
    <w:p w14:paraId="665607D9" w14:textId="2C09730A" w:rsidR="00B97476" w:rsidRDefault="00B97476" w:rsidP="00B97476">
      <w:pPr>
        <w:pStyle w:val="NoSpacing"/>
      </w:pPr>
      <w:r w:rsidRPr="00B97476">
        <w:t>The planning documents note that the site contains areas of made ground and variable soil conditions, requiring reinforced concrete foundations designed to manage settlement risks (Swansea Council, 2021)</w:t>
      </w:r>
      <w:r w:rsidR="00A01610">
        <w:t xml:space="preserve"> </w:t>
      </w:r>
      <w:r w:rsidRPr="00B97476">
        <w:t>Foundation works include excavation, reinforcement installation, concrete pours, and curing periods. These tasks must be sequenced carefully to ensure structural integrity. The UK Government (2023) reports that reinforcement steel has experienced supply</w:t>
      </w:r>
      <w:r w:rsidRPr="00B97476">
        <w:noBreakHyphen/>
        <w:t xml:space="preserve">chain pressures, which may affect lead times. To reduce the risk of delays, </w:t>
      </w:r>
      <w:r w:rsidRPr="00B97476">
        <w:lastRenderedPageBreak/>
        <w:t>the programme includes early procurement of reinforcement steel and coordination with suppliers.</w:t>
      </w:r>
    </w:p>
    <w:p w14:paraId="70B0F9B7" w14:textId="77777777" w:rsidR="00B97476" w:rsidRPr="00B97476" w:rsidRDefault="00B97476" w:rsidP="00B97476">
      <w:pPr>
        <w:pStyle w:val="NoSpacing"/>
      </w:pPr>
    </w:p>
    <w:p w14:paraId="0D780C97" w14:textId="4398DD92" w:rsidR="00B97476" w:rsidRDefault="00B97476" w:rsidP="00B97476">
      <w:pPr>
        <w:pStyle w:val="NoSpacing"/>
      </w:pPr>
      <w:r w:rsidRPr="00B97476">
        <w:t>Once the foundations are complete, the block work (inner &amp; outer leaves) can commence, installing floor joists when required. The planning application specifies the building’s height &amp; floor layouts (Swansea Council, 2021). The planning documents</w:t>
      </w:r>
      <w:r w:rsidR="00CA1B79">
        <w:t xml:space="preserve"> also</w:t>
      </w:r>
      <w:r w:rsidRPr="00B97476">
        <w:t xml:space="preserve"> describe the outer leaf made up of brickwork, rendered blockwork, modern windows as well as balcony’s (Swansea Council, 2021). These materials must be installed in a sequence that ensures the building becomes watertight as early as possible. The limited storage space on site means that the materials, windows etc must be delivered on a just</w:t>
      </w:r>
      <w:r w:rsidRPr="00B97476">
        <w:noBreakHyphen/>
        <w:t>in</w:t>
      </w:r>
      <w:r w:rsidRPr="00B97476">
        <w:noBreakHyphen/>
        <w:t>time basis. This increases the importance of reliable suppliers and accurate scheduling.</w:t>
      </w:r>
    </w:p>
    <w:p w14:paraId="5ECFB48D" w14:textId="77777777" w:rsidR="00B97476" w:rsidRPr="00B97476" w:rsidRDefault="00B97476" w:rsidP="00B97476">
      <w:pPr>
        <w:pStyle w:val="NoSpacing"/>
      </w:pPr>
    </w:p>
    <w:p w14:paraId="5187C0E4" w14:textId="4C07D06B" w:rsidR="00B97476" w:rsidRDefault="00B97476" w:rsidP="00B97476">
      <w:pPr>
        <w:pStyle w:val="NoSpacing"/>
      </w:pPr>
      <w:r w:rsidRPr="00B97476">
        <w:t>Once the building is watertight, internal works can begin. These include partition installation, plaster boarding, plastering, flooring, joinery, and decoration. The programme must sequence these tasks to avoid clashes between trades. For example, plastering cannot begin until partitions are installed, and flooring cannot be laid until plastering is complete. The internal works stage also includes the installation of kitchens, bathrooms, and internal doors, all of which must be coordinated with MEP installations.</w:t>
      </w:r>
    </w:p>
    <w:p w14:paraId="161AA091" w14:textId="77777777" w:rsidR="00B97476" w:rsidRPr="00B97476" w:rsidRDefault="00B97476" w:rsidP="00B97476">
      <w:pPr>
        <w:pStyle w:val="NoSpacing"/>
      </w:pPr>
    </w:p>
    <w:p w14:paraId="5FFFC1F8" w14:textId="77777777" w:rsidR="00B97476" w:rsidRDefault="00B97476" w:rsidP="00B97476">
      <w:pPr>
        <w:pStyle w:val="NoSpacing"/>
      </w:pPr>
      <w:r w:rsidRPr="00B97476">
        <w:t>MEP installations are a major part of the programme. The planning application includes detailed drainage and ventilation strategies that must be followed during this stage (Swansea Council, 2021). MEP works include first</w:t>
      </w:r>
      <w:r w:rsidRPr="00B97476">
        <w:noBreakHyphen/>
        <w:t>fix installation of pipes, cables, and ductwork, followed by second</w:t>
      </w:r>
      <w:r w:rsidRPr="00B97476">
        <w:noBreakHyphen/>
        <w:t>fix installation of sockets, switches, radiators, and sanitaryware. Testing and commissioning must be carried out before handover.</w:t>
      </w:r>
    </w:p>
    <w:p w14:paraId="6438098C" w14:textId="77777777" w:rsidR="00B97476" w:rsidRPr="00B97476" w:rsidRDefault="00B97476" w:rsidP="00B97476">
      <w:pPr>
        <w:pStyle w:val="NoSpacing"/>
      </w:pPr>
    </w:p>
    <w:p w14:paraId="2E0763B7" w14:textId="6FA7DFA2" w:rsidR="00B97476" w:rsidRPr="00B97476" w:rsidRDefault="00B97476" w:rsidP="00B97476">
      <w:pPr>
        <w:pStyle w:val="NoSpacing"/>
      </w:pPr>
      <w:r w:rsidRPr="00B97476">
        <w:t>External works form the final major stage. These include landscaping, paving, parking areas, boundary treatments, and external lighting. The planning application includes detailed landscaping proposals designed to improve the appearance of the development and provide usable outdoor space (Swansea Council, 2021). External works must be timed to avoid damage from ongoing construction activities.</w:t>
      </w:r>
      <w:r w:rsidR="00CA1B79">
        <w:t xml:space="preserve"> </w:t>
      </w:r>
      <w:r>
        <w:t>P</w:t>
      </w:r>
      <w:r w:rsidRPr="00B97476">
        <w:t xml:space="preserve">rogramme sequencing, resource coordination, delay mitigation </w:t>
      </w:r>
      <w:r w:rsidR="007D25BB" w:rsidRPr="00B97476">
        <w:t>summarises</w:t>
      </w:r>
      <w:r w:rsidRPr="00B97476">
        <w:t xml:space="preserve"> the main principles behind the construction programme.</w:t>
      </w:r>
    </w:p>
    <w:p w14:paraId="6C8941E3" w14:textId="77777777" w:rsidR="00B97476" w:rsidRPr="00B97476" w:rsidRDefault="00B97476" w:rsidP="00B97476">
      <w:pPr>
        <w:pStyle w:val="NoSpacing"/>
      </w:pPr>
    </w:p>
    <w:p w14:paraId="68B19C92" w14:textId="77777777" w:rsidR="00B97476" w:rsidRDefault="00B97476" w:rsidP="00B97476">
      <w:pPr>
        <w:pStyle w:val="NoSpacing"/>
        <w:rPr>
          <w:u w:val="dotted"/>
        </w:rPr>
      </w:pPr>
      <w:r w:rsidRPr="00B97476">
        <w:rPr>
          <w:u w:val="dotted"/>
        </w:rPr>
        <w:t>Conclusion</w:t>
      </w:r>
    </w:p>
    <w:p w14:paraId="37F87527" w14:textId="77777777" w:rsidR="00B97476" w:rsidRPr="00B97476" w:rsidRDefault="00B97476" w:rsidP="00B97476">
      <w:pPr>
        <w:pStyle w:val="NoSpacing"/>
        <w:rPr>
          <w:u w:val="dotted"/>
        </w:rPr>
      </w:pPr>
    </w:p>
    <w:p w14:paraId="00D077AB" w14:textId="77777777" w:rsidR="00B97476" w:rsidRPr="00B97476" w:rsidRDefault="00B97476" w:rsidP="00B97476">
      <w:pPr>
        <w:pStyle w:val="NoSpacing"/>
      </w:pPr>
      <w:r w:rsidRPr="00B97476">
        <w:t>In conclusion, the construction of the 30 apartments at Upper Bank requires a combination of strong planning, effective resource management, and careful monitoring. By following the planning conditions, coordinating resources, and responding proactively to challenges, the project can be delivered efficiently and to a high standard. The development has the potential to contribute positively to the regeneration of the Upper Bank area and provide much</w:t>
      </w:r>
      <w:r w:rsidRPr="00B97476">
        <w:noBreakHyphen/>
        <w:t>needed housing for the local community.</w:t>
      </w:r>
    </w:p>
    <w:p w14:paraId="588B7A71" w14:textId="77777777" w:rsidR="00B97476" w:rsidRPr="00B97476" w:rsidRDefault="00B97476" w:rsidP="00B97476">
      <w:pPr>
        <w:pStyle w:val="NoSpacing"/>
      </w:pPr>
    </w:p>
    <w:p w14:paraId="79E5180A" w14:textId="77777777" w:rsidR="00B97476" w:rsidRPr="00B97476" w:rsidRDefault="00B97476" w:rsidP="00B97476">
      <w:pPr>
        <w:pStyle w:val="NoSpacing"/>
      </w:pPr>
    </w:p>
    <w:p w14:paraId="005279BC" w14:textId="4FE7DE75" w:rsidR="00361EBA" w:rsidRPr="00361EBA" w:rsidRDefault="00361EBA" w:rsidP="00361EBA">
      <w:pPr>
        <w:pStyle w:val="NoSpacing"/>
      </w:pPr>
      <w:r w:rsidRPr="00361EBA">
        <w:br/>
      </w:r>
    </w:p>
    <w:p w14:paraId="64D83EE0" w14:textId="77777777" w:rsidR="00B97476" w:rsidRPr="00B97476" w:rsidRDefault="00B97476" w:rsidP="00B97476">
      <w:pPr>
        <w:pStyle w:val="NoSpacing"/>
      </w:pPr>
    </w:p>
    <w:p w14:paraId="56F11255" w14:textId="77777777" w:rsidR="00B97476" w:rsidRPr="00B97476" w:rsidRDefault="00B97476" w:rsidP="00B97476">
      <w:pPr>
        <w:pStyle w:val="NoSpacing"/>
      </w:pPr>
    </w:p>
    <w:p w14:paraId="7959237D" w14:textId="77777777" w:rsidR="00B97476" w:rsidRPr="00B97476" w:rsidRDefault="00B97476" w:rsidP="00B97476">
      <w:pPr>
        <w:pStyle w:val="NoSpacing"/>
      </w:pPr>
    </w:p>
    <w:p w14:paraId="6BB35FBA" w14:textId="77777777" w:rsidR="00B97476" w:rsidRPr="00B97476" w:rsidRDefault="00B97476" w:rsidP="00B97476">
      <w:pPr>
        <w:pStyle w:val="NoSpacing"/>
      </w:pPr>
    </w:p>
    <w:p w14:paraId="5B6C635F" w14:textId="77777777" w:rsidR="00B97476" w:rsidRPr="00B97476" w:rsidRDefault="00B97476" w:rsidP="00B97476">
      <w:pPr>
        <w:pStyle w:val="NoSpacing"/>
      </w:pPr>
    </w:p>
    <w:p w14:paraId="682D16A4" w14:textId="77777777" w:rsidR="00B97476" w:rsidRPr="00B97476" w:rsidRDefault="00B97476" w:rsidP="00B97476">
      <w:pPr>
        <w:pStyle w:val="NoSpacing"/>
      </w:pPr>
    </w:p>
    <w:p w14:paraId="653F71F3" w14:textId="77777777" w:rsidR="001006CA" w:rsidRDefault="001006CA" w:rsidP="001006CA">
      <w:pPr>
        <w:pStyle w:val="NoSpacing"/>
      </w:pPr>
    </w:p>
    <w:p w14:paraId="3001DC43" w14:textId="2AAA605C" w:rsidR="00B97476" w:rsidRDefault="00B97476" w:rsidP="001006CA">
      <w:pPr>
        <w:pStyle w:val="NoSpacing"/>
        <w:jc w:val="center"/>
        <w:rPr>
          <w:u w:val="single"/>
        </w:rPr>
      </w:pPr>
      <w:r w:rsidRPr="00B97476">
        <w:rPr>
          <w:u w:val="single"/>
        </w:rPr>
        <w:lastRenderedPageBreak/>
        <w:t>References</w:t>
      </w:r>
    </w:p>
    <w:p w14:paraId="782A341D" w14:textId="77777777" w:rsidR="00B97476" w:rsidRPr="00B97476" w:rsidRDefault="00B97476" w:rsidP="00B97476">
      <w:pPr>
        <w:pStyle w:val="NoSpacing"/>
        <w:jc w:val="center"/>
        <w:rPr>
          <w:u w:val="single"/>
        </w:rPr>
      </w:pPr>
    </w:p>
    <w:p w14:paraId="754955DF" w14:textId="658E6E11" w:rsidR="008C28C5" w:rsidRDefault="008C28C5" w:rsidP="00B97476">
      <w:pPr>
        <w:pStyle w:val="NoSpacing"/>
      </w:pPr>
      <w:r w:rsidRPr="008C28C5">
        <w:t>Building Cost Information Service (BCIS) (2023) BCIS. London: RICS. Available at: https://www.rics.org (Accessed: 19 January 2026)</w:t>
      </w:r>
      <w:r w:rsidR="00B97476" w:rsidRPr="00B97476">
        <w:br/>
      </w:r>
    </w:p>
    <w:p w14:paraId="2BD85A06" w14:textId="77777777" w:rsidR="00361EBA" w:rsidRDefault="00361EBA" w:rsidP="00361EBA">
      <w:pPr>
        <w:pStyle w:val="NoSpacing"/>
      </w:pPr>
      <w:r w:rsidRPr="00361EBA">
        <w:t xml:space="preserve">Chartered Institute of Building (CIOB) (2018) </w:t>
      </w:r>
      <w:r w:rsidRPr="00361EBA">
        <w:rPr>
          <w:i/>
          <w:iCs/>
        </w:rPr>
        <w:t>Code of Practice for Project Management for Construction and Development</w:t>
      </w:r>
      <w:r w:rsidRPr="00361EBA">
        <w:t xml:space="preserve">. 5th </w:t>
      </w:r>
      <w:proofErr w:type="spellStart"/>
      <w:r w:rsidRPr="00361EBA">
        <w:t>edn</w:t>
      </w:r>
      <w:proofErr w:type="spellEnd"/>
      <w:r w:rsidRPr="00361EBA">
        <w:t xml:space="preserve">. London: Wiley. Available at: </w:t>
      </w:r>
      <w:hyperlink r:id="rId15" w:history="1">
        <w:r w:rsidRPr="00361EBA">
          <w:rPr>
            <w:rStyle w:val="Hyperlink"/>
            <w:color w:val="auto"/>
            <w:u w:val="none"/>
          </w:rPr>
          <w:t>https://www.wiley.com/en-gb/Code+of+Practice+for+Project+Management+for+Construction+and+Development%2C+5th+Edition-p-9781118378182</w:t>
        </w:r>
      </w:hyperlink>
      <w:r w:rsidRPr="00361EBA">
        <w:t xml:space="preserve"> (Accessed: 19 January 2026).</w:t>
      </w:r>
    </w:p>
    <w:p w14:paraId="492A0904" w14:textId="77777777" w:rsidR="00361EBA" w:rsidRDefault="00361EBA" w:rsidP="00361EBA">
      <w:pPr>
        <w:pStyle w:val="NoSpacing"/>
      </w:pPr>
    </w:p>
    <w:p w14:paraId="60D5B750" w14:textId="77777777" w:rsidR="00361EBA" w:rsidRPr="00361EBA" w:rsidRDefault="00361EBA" w:rsidP="00361EBA">
      <w:pPr>
        <w:pStyle w:val="NoSpacing"/>
      </w:pPr>
      <w:r w:rsidRPr="00361EBA">
        <w:t>Committee Report. Swansea: City and County of Swansea. Available at</w:t>
      </w:r>
      <w:proofErr w:type="gramStart"/>
      <w:r w:rsidRPr="00361EBA">
        <w:t>:  (</w:t>
      </w:r>
      <w:proofErr w:type="gramEnd"/>
      <w:r w:rsidRPr="00361EBA">
        <w:t>property.swansea.gov.uk in Bing) (Accessed: 18 January 2026).</w:t>
      </w:r>
    </w:p>
    <w:p w14:paraId="168E2B31" w14:textId="437BC26A" w:rsidR="00361EBA" w:rsidRDefault="00B97476" w:rsidP="00361EBA">
      <w:pPr>
        <w:pStyle w:val="NoSpacing"/>
      </w:pPr>
      <w:r w:rsidRPr="00B97476">
        <w:br/>
      </w:r>
      <w:r w:rsidR="00361EBA" w:rsidRPr="00361EBA">
        <w:t xml:space="preserve">Institution of Civil Engineers (ICE) (2019) </w:t>
      </w:r>
      <w:r w:rsidR="00361EBA" w:rsidRPr="00361EBA">
        <w:rPr>
          <w:i/>
          <w:iCs/>
        </w:rPr>
        <w:t>Civil Engineering Standard Method of Measurement</w:t>
      </w:r>
      <w:r w:rsidR="00361EBA" w:rsidRPr="00361EBA">
        <w:t xml:space="preserve">. London: ICE Publishing. Available at: </w:t>
      </w:r>
      <w:hyperlink r:id="rId16" w:history="1">
        <w:r w:rsidR="00361EBA" w:rsidRPr="00361EBA">
          <w:rPr>
            <w:rStyle w:val="Hyperlink"/>
            <w:color w:val="auto"/>
            <w:u w:val="none"/>
          </w:rPr>
          <w:t>https://www.ice.org.uk/areas-of-interest/infrastructure-delivery/civil-engineering-standard-measurement</w:t>
        </w:r>
      </w:hyperlink>
      <w:r w:rsidR="00361EBA" w:rsidRPr="00361EBA">
        <w:t xml:space="preserve"> (Accessed: 19 January 2026).</w:t>
      </w:r>
    </w:p>
    <w:p w14:paraId="39A299E0" w14:textId="77777777" w:rsidR="00A01610" w:rsidRDefault="00A01610" w:rsidP="00361EBA">
      <w:pPr>
        <w:pStyle w:val="NoSpacing"/>
      </w:pPr>
    </w:p>
    <w:p w14:paraId="5108B470" w14:textId="1A6E0CA3" w:rsidR="00A01610" w:rsidRPr="00361EBA" w:rsidRDefault="00A01610" w:rsidP="00361EBA">
      <w:pPr>
        <w:pStyle w:val="NoSpacing"/>
      </w:pPr>
      <w:r w:rsidRPr="00A01610">
        <w:t xml:space="preserve">MECHA Engineering (n.d.) </w:t>
      </w:r>
      <w:r w:rsidRPr="00A01610">
        <w:rPr>
          <w:i/>
          <w:iCs/>
        </w:rPr>
        <w:t>What are the stages of building a house?</w:t>
      </w:r>
      <w:r w:rsidRPr="00A01610">
        <w:t xml:space="preserve"> Available at: https://www.mecha.gr/en/blog-en/what-are-the-stages-of-building-a-house/ (Accessed: 19 January 2026).</w:t>
      </w:r>
    </w:p>
    <w:p w14:paraId="0BE6E311" w14:textId="77777777" w:rsidR="00567820" w:rsidRDefault="00B97476" w:rsidP="00B97476">
      <w:pPr>
        <w:pStyle w:val="NoSpacing"/>
      </w:pPr>
      <w:r w:rsidRPr="00B97476">
        <w:br/>
      </w:r>
      <w:r w:rsidR="00361EBA" w:rsidRPr="00361EBA">
        <w:t xml:space="preserve">NEC (2017) </w:t>
      </w:r>
      <w:r w:rsidR="00361EBA" w:rsidRPr="00361EBA">
        <w:rPr>
          <w:i/>
          <w:iCs/>
        </w:rPr>
        <w:t>NEC4 Engineering and Construction Contract (ECC)</w:t>
      </w:r>
      <w:r w:rsidR="00361EBA" w:rsidRPr="00361EBA">
        <w:t xml:space="preserve">. London: ICE Publishing. Available at: </w:t>
      </w:r>
      <w:hyperlink r:id="rId17" w:history="1">
        <w:r w:rsidR="00361EBA" w:rsidRPr="00361EBA">
          <w:rPr>
            <w:rStyle w:val="Hyperlink"/>
            <w:color w:val="auto"/>
            <w:u w:val="none"/>
          </w:rPr>
          <w:t>https://www.neccontract.com/products/contracts/nec4/june-2017-edition-including-alliance-contract/nec4-bundle</w:t>
        </w:r>
      </w:hyperlink>
      <w:r w:rsidR="00361EBA" w:rsidRPr="00361EBA">
        <w:t xml:space="preserve"> (Accessed: 19 January 2026).</w:t>
      </w:r>
    </w:p>
    <w:p w14:paraId="6152CF06" w14:textId="77777777" w:rsidR="00567820" w:rsidRDefault="00567820" w:rsidP="00B97476">
      <w:pPr>
        <w:pStyle w:val="NoSpacing"/>
      </w:pPr>
    </w:p>
    <w:p w14:paraId="2261B3FA" w14:textId="662527E4" w:rsidR="008C28C5" w:rsidRPr="00361EBA" w:rsidRDefault="00567820" w:rsidP="00B97476">
      <w:pPr>
        <w:pStyle w:val="NoSpacing"/>
      </w:pPr>
      <w:r w:rsidRPr="00567820">
        <w:t xml:space="preserve">RIB Software SE (n.d.) </w:t>
      </w:r>
      <w:r w:rsidRPr="00567820">
        <w:rPr>
          <w:i/>
          <w:iCs/>
        </w:rPr>
        <w:t>Construction delays: causes, types &amp; how to manage them</w:t>
      </w:r>
      <w:r w:rsidRPr="00567820">
        <w:t>. Available at: https://www.rib-software.com/en/blogs/construction-delays (Accessed: 19 January 2026).</w:t>
      </w:r>
      <w:r w:rsidR="00B97476" w:rsidRPr="00B97476">
        <w:br/>
      </w:r>
    </w:p>
    <w:p w14:paraId="1B49A729" w14:textId="3BA8E3A1" w:rsidR="008C28C5" w:rsidRDefault="00361EBA" w:rsidP="00B97476">
      <w:pPr>
        <w:pStyle w:val="NoSpacing"/>
      </w:pPr>
      <w:r w:rsidRPr="00361EBA">
        <w:t>Royal Institute of British Architects (RIBA) (2020) RIBA Plan of Work 2020. London: RIBA Publishing. Available at: https://www.riba.org/work/insights-and-resources/riba-plan-of-work/ (Accessed: 19 January 2026).</w:t>
      </w:r>
      <w:r w:rsidR="00B97476" w:rsidRPr="00B97476">
        <w:br/>
      </w:r>
    </w:p>
    <w:p w14:paraId="0C57EF4F" w14:textId="6A60B697" w:rsidR="00B97476" w:rsidRPr="00B97476" w:rsidRDefault="00B97476" w:rsidP="00B97476">
      <w:pPr>
        <w:pStyle w:val="NoSpacing"/>
      </w:pPr>
      <w:r w:rsidRPr="00B97476">
        <w:t>Swansea Council (2021) Phase 1 Geo</w:t>
      </w:r>
      <w:r w:rsidRPr="00B97476">
        <w:rPr>
          <w:rFonts w:ascii="Cambria Math" w:hAnsi="Cambria Math" w:cs="Cambria Math"/>
        </w:rPr>
        <w:t>‑</w:t>
      </w:r>
      <w:r w:rsidRPr="00B97476">
        <w:t xml:space="preserve">Environmental Assessment </w:t>
      </w:r>
      <w:r w:rsidRPr="00B97476">
        <w:rPr>
          <w:rFonts w:ascii="Aptos" w:hAnsi="Aptos" w:cs="Aptos"/>
        </w:rPr>
        <w:t>–</w:t>
      </w:r>
      <w:r w:rsidRPr="00B97476">
        <w:t xml:space="preserve"> Phase 7 &amp; 8 (Part 1): Planning Application 2021/0944/FUL. Swansea: City and County of Swansea. Available at</w:t>
      </w:r>
      <w:proofErr w:type="gramStart"/>
      <w:r w:rsidRPr="00B97476">
        <w:t>:  (</w:t>
      </w:r>
      <w:proofErr w:type="gramEnd"/>
      <w:r w:rsidRPr="00B97476">
        <w:t>Accessed: 18 January 2026).</w:t>
      </w:r>
    </w:p>
    <w:p w14:paraId="6D79A325" w14:textId="77777777" w:rsidR="008C28C5" w:rsidRDefault="008C28C5" w:rsidP="00B97476">
      <w:pPr>
        <w:pStyle w:val="NoSpacing"/>
      </w:pPr>
    </w:p>
    <w:p w14:paraId="24846C8A" w14:textId="5458CB3C" w:rsidR="00B97476" w:rsidRPr="00B97476" w:rsidRDefault="00B97476" w:rsidP="00B97476">
      <w:pPr>
        <w:pStyle w:val="NoSpacing"/>
      </w:pPr>
      <w:r w:rsidRPr="00B97476">
        <w:t>Swansea Council (2021) Phase 1 Geo</w:t>
      </w:r>
      <w:r w:rsidRPr="00B97476">
        <w:rPr>
          <w:rFonts w:ascii="Cambria Math" w:hAnsi="Cambria Math" w:cs="Cambria Math"/>
        </w:rPr>
        <w:t>‑</w:t>
      </w:r>
      <w:r w:rsidRPr="00B97476">
        <w:t xml:space="preserve">Environmental Assessment </w:t>
      </w:r>
      <w:r w:rsidRPr="00B97476">
        <w:rPr>
          <w:rFonts w:ascii="Aptos" w:hAnsi="Aptos" w:cs="Aptos"/>
        </w:rPr>
        <w:t>–</w:t>
      </w:r>
      <w:r w:rsidRPr="00B97476">
        <w:t xml:space="preserve"> Phase 7 &amp; 8 (Part 2): Planning Application 2021/0944/FUL. Swansea: City and County of Swansea. Available at</w:t>
      </w:r>
      <w:proofErr w:type="gramStart"/>
      <w:r w:rsidRPr="00B97476">
        <w:t>:  (</w:t>
      </w:r>
      <w:proofErr w:type="gramEnd"/>
      <w:r w:rsidRPr="00B97476">
        <w:t>Accessed: 18 January 2026).</w:t>
      </w:r>
    </w:p>
    <w:p w14:paraId="370EF84F" w14:textId="77777777" w:rsidR="008C28C5" w:rsidRDefault="008C28C5" w:rsidP="00B97476">
      <w:pPr>
        <w:pStyle w:val="NoSpacing"/>
      </w:pPr>
    </w:p>
    <w:p w14:paraId="6DFBD90A" w14:textId="6FF3E032" w:rsidR="00361EBA" w:rsidRPr="00361EBA" w:rsidRDefault="00361EBA" w:rsidP="00B97476">
      <w:pPr>
        <w:pStyle w:val="NoSpacing"/>
      </w:pPr>
      <w:r w:rsidRPr="00361EBA">
        <w:t xml:space="preserve">Swansea Council (2021) </w:t>
      </w:r>
      <w:r w:rsidRPr="00361EBA">
        <w:rPr>
          <w:i/>
          <w:iCs/>
        </w:rPr>
        <w:t>Planning Application 2021/0944/FUL</w:t>
      </w:r>
      <w:r w:rsidRPr="00361EBA">
        <w:t>. Swansea Council Planning Portal. Available at: https://www.swansea.gov.uk/planningsearch (swansea.gov.uk in Bing) (Accessed: 19 January 2026).</w:t>
      </w:r>
    </w:p>
    <w:p w14:paraId="461274F0" w14:textId="77777777" w:rsidR="00361EBA" w:rsidRDefault="00361EBA" w:rsidP="00B97476">
      <w:pPr>
        <w:pStyle w:val="NoSpacing"/>
      </w:pPr>
    </w:p>
    <w:p w14:paraId="07449E83" w14:textId="098FD570" w:rsidR="00B97476" w:rsidRPr="00B97476" w:rsidRDefault="00B97476" w:rsidP="00B97476">
      <w:pPr>
        <w:pStyle w:val="NoSpacing"/>
      </w:pPr>
      <w:r w:rsidRPr="00B97476">
        <w:t>Swansea Council (2021) Planning Application Form – Part 1: Application 2021/0944/FUL. Swansea: City and County of Swansea. Available at</w:t>
      </w:r>
      <w:proofErr w:type="gramStart"/>
      <w:r w:rsidRPr="00B97476">
        <w:t>:  (</w:t>
      </w:r>
      <w:proofErr w:type="gramEnd"/>
      <w:r w:rsidRPr="00B97476">
        <w:t>Accessed: 18 January 2026).</w:t>
      </w:r>
    </w:p>
    <w:p w14:paraId="5427BE16" w14:textId="77777777" w:rsidR="008C28C5" w:rsidRDefault="00B97476" w:rsidP="00B97476">
      <w:pPr>
        <w:pStyle w:val="NoSpacing"/>
      </w:pPr>
      <w:r w:rsidRPr="00B97476">
        <w:t xml:space="preserve">Swansea Council (2021) Planning Committee Report: Application 2021/0944/FUL – Final </w:t>
      </w:r>
    </w:p>
    <w:p w14:paraId="7D73ADF1" w14:textId="77777777" w:rsidR="00A01610" w:rsidRDefault="00A01610" w:rsidP="00B97476">
      <w:pPr>
        <w:pStyle w:val="NoSpacing"/>
      </w:pPr>
    </w:p>
    <w:p w14:paraId="40A172DD" w14:textId="30435980" w:rsidR="00A01610" w:rsidRDefault="00A01610" w:rsidP="00B97476">
      <w:pPr>
        <w:pStyle w:val="NoSpacing"/>
      </w:pPr>
      <w:r w:rsidRPr="00A01610">
        <w:t>Swansea Council (2021) Site Location Plan – Whole Site: Planning Application 2021/0944/FUL. Swansea: City and County of Swansea. Available at</w:t>
      </w:r>
      <w:proofErr w:type="gramStart"/>
      <w:r w:rsidRPr="00A01610">
        <w:t>:  (</w:t>
      </w:r>
      <w:proofErr w:type="gramEnd"/>
      <w:r w:rsidRPr="00A01610">
        <w:t>Accessed: 18 January 2026).</w:t>
      </w:r>
    </w:p>
    <w:p w14:paraId="72755B0C" w14:textId="77777777" w:rsidR="005C598A" w:rsidRDefault="005C598A" w:rsidP="005C598A">
      <w:pPr>
        <w:pStyle w:val="NoSpacing"/>
        <w:rPr>
          <w:rFonts w:ascii="Segoe UI Emoji" w:hAnsi="Segoe UI Emoji" w:cs="Segoe UI Emoji"/>
        </w:rPr>
      </w:pPr>
    </w:p>
    <w:p w14:paraId="43EDCCFC" w14:textId="41339203" w:rsidR="005C598A" w:rsidRDefault="005C598A" w:rsidP="005C598A">
      <w:pPr>
        <w:pStyle w:val="NoSpacing"/>
      </w:pPr>
      <w:r>
        <w:t>Swansea Council (2021) Type A49 – Apartment 9 × 2 Bed: Planning GA Elevations (Application 2021/0944/FUL). Swansea Council Planning Portal. Available at:</w:t>
      </w:r>
    </w:p>
    <w:p w14:paraId="14DDBC89" w14:textId="77777777" w:rsidR="005C598A" w:rsidRDefault="005C598A" w:rsidP="005C598A">
      <w:pPr>
        <w:pStyle w:val="NoSpacing"/>
      </w:pPr>
      <w:r>
        <w:t>https://property.swansea.gov.uk/online-applications/files/BBE62E0A423AF71C87A3C99CD83A807B/pdf/2021_0944_FUL-TYPE_A49_-_APARTMENT_9_X_2_BED_-_PLANNING_GA_ELEVATIONS-1408074.pdf</w:t>
      </w:r>
    </w:p>
    <w:p w14:paraId="0A608245" w14:textId="19969735" w:rsidR="005C598A" w:rsidRDefault="005C598A" w:rsidP="005C598A">
      <w:pPr>
        <w:pStyle w:val="NoSpacing"/>
      </w:pPr>
      <w:r>
        <w:t>(Accessed: 19 January 2026).</w:t>
      </w:r>
    </w:p>
    <w:p w14:paraId="44F5550D" w14:textId="77777777" w:rsidR="005C598A" w:rsidRDefault="005C598A" w:rsidP="00814FA0">
      <w:pPr>
        <w:pStyle w:val="NoSpacing"/>
      </w:pPr>
    </w:p>
    <w:p w14:paraId="22751421" w14:textId="700CFF4D" w:rsidR="00554735" w:rsidRPr="00554735" w:rsidRDefault="00554735" w:rsidP="00814FA0">
      <w:pPr>
        <w:pStyle w:val="NoSpacing"/>
      </w:pPr>
      <w:r w:rsidRPr="00554735">
        <w:t xml:space="preserve">Swansea Council (2021) </w:t>
      </w:r>
      <w:r w:rsidRPr="00554735">
        <w:rPr>
          <w:i/>
          <w:iCs/>
        </w:rPr>
        <w:t>TYPE A49 – Apartment 9 x 2 Bed – Planning GA Plans (Ref: 2021/0944/FUL)</w:t>
      </w:r>
      <w:r w:rsidRPr="00554735">
        <w:t>. Available at: https://property.swansea.gov.uk/online-applications/files/F5DB039FE7A18A6BF934EA6ECE8110AE/pdf/2021_0944_FUL-TYPE_A49_-</w:t>
      </w:r>
      <w:r w:rsidRPr="00554735">
        <w:rPr>
          <w:i/>
          <w:iCs/>
        </w:rPr>
        <w:t>APARTMENT_9_X_2_BED</w:t>
      </w:r>
      <w:r w:rsidRPr="00554735">
        <w:t>-_PLANNING_GA_PLANS-1408065.pdf (Accessed: 19 January 2026).</w:t>
      </w:r>
    </w:p>
    <w:p w14:paraId="2FF69A2E" w14:textId="77777777" w:rsidR="00361EBA" w:rsidRDefault="00361EBA" w:rsidP="00361EBA">
      <w:pPr>
        <w:pStyle w:val="NoSpacing"/>
      </w:pPr>
      <w:r w:rsidRPr="00554735">
        <w:t xml:space="preserve">UK Government (2023) </w:t>
      </w:r>
      <w:r w:rsidRPr="00554735">
        <w:rPr>
          <w:i/>
          <w:iCs/>
        </w:rPr>
        <w:t>Construction Statistics, Great Britain: 2023</w:t>
      </w:r>
      <w:r w:rsidRPr="00554735">
        <w:t xml:space="preserve">. London: HMSO. Available at: </w:t>
      </w:r>
      <w:hyperlink r:id="rId18" w:history="1">
        <w:r w:rsidRPr="00554735">
          <w:rPr>
            <w:rStyle w:val="Hyperlink"/>
            <w:color w:val="auto"/>
            <w:u w:val="none"/>
          </w:rPr>
          <w:t>https://www.gov.uk/government/statistics/construction-statistics-great-britain-2023</w:t>
        </w:r>
      </w:hyperlink>
      <w:r w:rsidRPr="00554735">
        <w:t xml:space="preserve"> (Accessed: 19 January 2026).</w:t>
      </w:r>
    </w:p>
    <w:p w14:paraId="6527F3AE" w14:textId="77777777" w:rsidR="00554735" w:rsidRDefault="00554735" w:rsidP="00361EBA">
      <w:pPr>
        <w:pStyle w:val="NoSpacing"/>
      </w:pPr>
    </w:p>
    <w:p w14:paraId="7A0B4706" w14:textId="24E2E483" w:rsidR="00554735" w:rsidRPr="00CA1B79" w:rsidRDefault="00CA1B79" w:rsidP="00361EBA">
      <w:pPr>
        <w:pStyle w:val="NoSpacing"/>
      </w:pPr>
      <w:r w:rsidRPr="00CA1B79">
        <w:t xml:space="preserve">Swansea Council (2021) </w:t>
      </w:r>
      <w:r w:rsidRPr="00CA1B79">
        <w:rPr>
          <w:i/>
          <w:iCs/>
        </w:rPr>
        <w:t>TYPE A49 – Apartment 9 × 2 Bed – Planning GA Plans (Ref: 2021/0944/FUL)</w:t>
      </w:r>
      <w:r w:rsidRPr="00CA1B79">
        <w:t>. Available at: https://property.swansea.gov.uk/online-applications/files/A4CA33CDE359CBE5D2B021E5C39244A0/pdf/2021_0944_FUL-TYPE_A49_-</w:t>
      </w:r>
      <w:r w:rsidRPr="00CA1B79">
        <w:rPr>
          <w:i/>
          <w:iCs/>
        </w:rPr>
        <w:t>APARTMENT_9_X_2_BED</w:t>
      </w:r>
      <w:r w:rsidRPr="00CA1B79">
        <w:t>-_PLANNING_GA_PLANS-1408071.pdf (Accessed: 19 January 2026).</w:t>
      </w:r>
    </w:p>
    <w:p w14:paraId="4C81F090" w14:textId="77777777" w:rsidR="00361EBA" w:rsidRDefault="00361EBA" w:rsidP="00814FA0">
      <w:pPr>
        <w:pStyle w:val="NoSpacing"/>
      </w:pPr>
    </w:p>
    <w:sectPr w:rsidR="00361EBA" w:rsidSect="0005519C">
      <w:footerReference w:type="default" r:id="rId1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7A4732C" w14:textId="77777777" w:rsidR="00515806" w:rsidRDefault="00515806" w:rsidP="00390CE9">
      <w:pPr>
        <w:spacing w:after="0" w:line="240" w:lineRule="auto"/>
      </w:pPr>
      <w:r>
        <w:separator/>
      </w:r>
    </w:p>
  </w:endnote>
  <w:endnote w:type="continuationSeparator" w:id="0">
    <w:p w14:paraId="14B265C2" w14:textId="77777777" w:rsidR="00515806" w:rsidRDefault="00515806" w:rsidP="00390CE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 w:name="Segoe UI Emoji">
    <w:panose1 w:val="020B0502040204020203"/>
    <w:charset w:val="00"/>
    <w:family w:val="swiss"/>
    <w:pitch w:val="variable"/>
    <w:sig w:usb0="00000003" w:usb1="02000000" w:usb2="08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06833739"/>
      <w:docPartObj>
        <w:docPartGallery w:val="Page Numbers (Bottom of Page)"/>
        <w:docPartUnique/>
      </w:docPartObj>
    </w:sdtPr>
    <w:sdtEndPr/>
    <w:sdtContent>
      <w:p w14:paraId="50D5B1FA" w14:textId="28AA9337" w:rsidR="009019F2" w:rsidRDefault="009019F2">
        <w:pPr>
          <w:pStyle w:val="Footer"/>
          <w:jc w:val="right"/>
        </w:pPr>
        <w:r>
          <w:fldChar w:fldCharType="begin"/>
        </w:r>
        <w:r>
          <w:instrText>PAGE   \* MERGEFORMAT</w:instrText>
        </w:r>
        <w:r>
          <w:fldChar w:fldCharType="separate"/>
        </w:r>
        <w:r>
          <w:t>2</w:t>
        </w:r>
        <w:r>
          <w:fldChar w:fldCharType="end"/>
        </w:r>
      </w:p>
    </w:sdtContent>
  </w:sdt>
  <w:p w14:paraId="21B7DB11" w14:textId="77777777" w:rsidR="009019F2" w:rsidRDefault="009019F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EB9632C" w14:textId="77777777" w:rsidR="00515806" w:rsidRDefault="00515806" w:rsidP="00390CE9">
      <w:pPr>
        <w:spacing w:after="0" w:line="240" w:lineRule="auto"/>
      </w:pPr>
      <w:r>
        <w:separator/>
      </w:r>
    </w:p>
  </w:footnote>
  <w:footnote w:type="continuationSeparator" w:id="0">
    <w:p w14:paraId="3ED91620" w14:textId="77777777" w:rsidR="00515806" w:rsidRDefault="00515806" w:rsidP="00390CE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F53EF4"/>
    <w:multiLevelType w:val="hybridMultilevel"/>
    <w:tmpl w:val="CDFA7E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D724AA"/>
    <w:multiLevelType w:val="hybridMultilevel"/>
    <w:tmpl w:val="81E4A7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F1F32C9"/>
    <w:multiLevelType w:val="hybridMultilevel"/>
    <w:tmpl w:val="20EC705E"/>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20562A46"/>
    <w:multiLevelType w:val="hybridMultilevel"/>
    <w:tmpl w:val="D79068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C53418"/>
    <w:multiLevelType w:val="hybridMultilevel"/>
    <w:tmpl w:val="7C6252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BD0ABB"/>
    <w:multiLevelType w:val="hybridMultilevel"/>
    <w:tmpl w:val="CB3C6CF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4C06347"/>
    <w:multiLevelType w:val="hybridMultilevel"/>
    <w:tmpl w:val="00180154"/>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7" w15:restartNumberingAfterBreak="0">
    <w:nsid w:val="384A37E9"/>
    <w:multiLevelType w:val="hybridMultilevel"/>
    <w:tmpl w:val="6ADAC5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45000C7"/>
    <w:multiLevelType w:val="hybridMultilevel"/>
    <w:tmpl w:val="1F7C4D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545341B"/>
    <w:multiLevelType w:val="hybridMultilevel"/>
    <w:tmpl w:val="E0BADC38"/>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0" w15:restartNumberingAfterBreak="0">
    <w:nsid w:val="580A4377"/>
    <w:multiLevelType w:val="hybridMultilevel"/>
    <w:tmpl w:val="D99E0A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A38551E"/>
    <w:multiLevelType w:val="hybridMultilevel"/>
    <w:tmpl w:val="56F69A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58B5B93"/>
    <w:multiLevelType w:val="hybridMultilevel"/>
    <w:tmpl w:val="D9B6BE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6EF2018"/>
    <w:multiLevelType w:val="hybridMultilevel"/>
    <w:tmpl w:val="3578B10A"/>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4" w15:restartNumberingAfterBreak="0">
    <w:nsid w:val="6734068C"/>
    <w:multiLevelType w:val="hybridMultilevel"/>
    <w:tmpl w:val="BB10CE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0216E1E"/>
    <w:multiLevelType w:val="hybridMultilevel"/>
    <w:tmpl w:val="A95E1A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17742A9"/>
    <w:multiLevelType w:val="hybridMultilevel"/>
    <w:tmpl w:val="1A80ED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13559169">
    <w:abstractNumId w:val="5"/>
  </w:num>
  <w:num w:numId="2" w16cid:durableId="1582255912">
    <w:abstractNumId w:val="14"/>
  </w:num>
  <w:num w:numId="3" w16cid:durableId="1520852566">
    <w:abstractNumId w:val="11"/>
  </w:num>
  <w:num w:numId="4" w16cid:durableId="868833585">
    <w:abstractNumId w:val="15"/>
  </w:num>
  <w:num w:numId="5" w16cid:durableId="97917887">
    <w:abstractNumId w:val="4"/>
  </w:num>
  <w:num w:numId="6" w16cid:durableId="783037953">
    <w:abstractNumId w:val="9"/>
  </w:num>
  <w:num w:numId="7" w16cid:durableId="260456659">
    <w:abstractNumId w:val="1"/>
  </w:num>
  <w:num w:numId="8" w16cid:durableId="288781129">
    <w:abstractNumId w:val="0"/>
  </w:num>
  <w:num w:numId="9" w16cid:durableId="1176072190">
    <w:abstractNumId w:val="7"/>
  </w:num>
  <w:num w:numId="10" w16cid:durableId="1096829972">
    <w:abstractNumId w:val="12"/>
  </w:num>
  <w:num w:numId="11" w16cid:durableId="1441225137">
    <w:abstractNumId w:val="3"/>
  </w:num>
  <w:num w:numId="12" w16cid:durableId="1407534317">
    <w:abstractNumId w:val="6"/>
  </w:num>
  <w:num w:numId="13" w16cid:durableId="246690340">
    <w:abstractNumId w:val="8"/>
  </w:num>
  <w:num w:numId="14" w16cid:durableId="462577865">
    <w:abstractNumId w:val="10"/>
  </w:num>
  <w:num w:numId="15" w16cid:durableId="220795047">
    <w:abstractNumId w:val="2"/>
  </w:num>
  <w:num w:numId="16" w16cid:durableId="2078430470">
    <w:abstractNumId w:val="13"/>
  </w:num>
  <w:num w:numId="17" w16cid:durableId="942566630">
    <w:abstractNumId w:val="16"/>
  </w:num>
  <w:numIdMacAtCleanup w:val="1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hdrShapeDefaults>
    <o:shapedefaults v:ext="edit" spidmax="2053"/>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43DD"/>
    <w:rsid w:val="000076D5"/>
    <w:rsid w:val="00030A46"/>
    <w:rsid w:val="00036293"/>
    <w:rsid w:val="00042748"/>
    <w:rsid w:val="00044754"/>
    <w:rsid w:val="0004607B"/>
    <w:rsid w:val="0005015B"/>
    <w:rsid w:val="00052C19"/>
    <w:rsid w:val="0005519C"/>
    <w:rsid w:val="0006119C"/>
    <w:rsid w:val="000673AD"/>
    <w:rsid w:val="00072CB2"/>
    <w:rsid w:val="000900C5"/>
    <w:rsid w:val="000937BA"/>
    <w:rsid w:val="000A0EC2"/>
    <w:rsid w:val="000B29FF"/>
    <w:rsid w:val="000C2578"/>
    <w:rsid w:val="000E22D6"/>
    <w:rsid w:val="000F1574"/>
    <w:rsid w:val="000F7AA0"/>
    <w:rsid w:val="001006CA"/>
    <w:rsid w:val="00126C98"/>
    <w:rsid w:val="00144F2D"/>
    <w:rsid w:val="001454A0"/>
    <w:rsid w:val="001520AA"/>
    <w:rsid w:val="00166DF3"/>
    <w:rsid w:val="00183AFA"/>
    <w:rsid w:val="00184CAF"/>
    <w:rsid w:val="001851A7"/>
    <w:rsid w:val="001852FA"/>
    <w:rsid w:val="00190F43"/>
    <w:rsid w:val="00192D4F"/>
    <w:rsid w:val="001952E5"/>
    <w:rsid w:val="001A2BA8"/>
    <w:rsid w:val="001B20EF"/>
    <w:rsid w:val="001B2397"/>
    <w:rsid w:val="001D031C"/>
    <w:rsid w:val="001D18C2"/>
    <w:rsid w:val="001E16A8"/>
    <w:rsid w:val="001F6605"/>
    <w:rsid w:val="002001E4"/>
    <w:rsid w:val="00202030"/>
    <w:rsid w:val="0020204F"/>
    <w:rsid w:val="00204AF3"/>
    <w:rsid w:val="00215882"/>
    <w:rsid w:val="002177FD"/>
    <w:rsid w:val="00221FBE"/>
    <w:rsid w:val="002223CB"/>
    <w:rsid w:val="002239DE"/>
    <w:rsid w:val="00227F65"/>
    <w:rsid w:val="002338CF"/>
    <w:rsid w:val="0024701D"/>
    <w:rsid w:val="00250769"/>
    <w:rsid w:val="0025242B"/>
    <w:rsid w:val="00283297"/>
    <w:rsid w:val="00290B6A"/>
    <w:rsid w:val="00294930"/>
    <w:rsid w:val="00297FDA"/>
    <w:rsid w:val="002A5538"/>
    <w:rsid w:val="002B1032"/>
    <w:rsid w:val="002B291A"/>
    <w:rsid w:val="002B2C1E"/>
    <w:rsid w:val="002B6636"/>
    <w:rsid w:val="002B7860"/>
    <w:rsid w:val="002D3DED"/>
    <w:rsid w:val="002D7B7A"/>
    <w:rsid w:val="002E036C"/>
    <w:rsid w:val="002E7C7C"/>
    <w:rsid w:val="002F56D2"/>
    <w:rsid w:val="00304417"/>
    <w:rsid w:val="0030796C"/>
    <w:rsid w:val="003233BD"/>
    <w:rsid w:val="00332B7C"/>
    <w:rsid w:val="003368AC"/>
    <w:rsid w:val="00343B83"/>
    <w:rsid w:val="00361EBA"/>
    <w:rsid w:val="003813B4"/>
    <w:rsid w:val="003843DD"/>
    <w:rsid w:val="00390CE9"/>
    <w:rsid w:val="00393642"/>
    <w:rsid w:val="003A246B"/>
    <w:rsid w:val="003B106F"/>
    <w:rsid w:val="003B2C4D"/>
    <w:rsid w:val="003C3134"/>
    <w:rsid w:val="003D1E98"/>
    <w:rsid w:val="003D2854"/>
    <w:rsid w:val="003F2388"/>
    <w:rsid w:val="00402B1A"/>
    <w:rsid w:val="00403EB9"/>
    <w:rsid w:val="00410659"/>
    <w:rsid w:val="00411A9D"/>
    <w:rsid w:val="00414035"/>
    <w:rsid w:val="00431259"/>
    <w:rsid w:val="0044009C"/>
    <w:rsid w:val="00441E2F"/>
    <w:rsid w:val="00454DCF"/>
    <w:rsid w:val="00456ADC"/>
    <w:rsid w:val="00457C23"/>
    <w:rsid w:val="00465BF2"/>
    <w:rsid w:val="00466285"/>
    <w:rsid w:val="004873EB"/>
    <w:rsid w:val="0049795E"/>
    <w:rsid w:val="004A1C54"/>
    <w:rsid w:val="004C0B44"/>
    <w:rsid w:val="004E3233"/>
    <w:rsid w:val="00515806"/>
    <w:rsid w:val="00540E72"/>
    <w:rsid w:val="00552BB3"/>
    <w:rsid w:val="00554735"/>
    <w:rsid w:val="00567820"/>
    <w:rsid w:val="00573803"/>
    <w:rsid w:val="005963E3"/>
    <w:rsid w:val="005A1912"/>
    <w:rsid w:val="005A3772"/>
    <w:rsid w:val="005B458D"/>
    <w:rsid w:val="005B644F"/>
    <w:rsid w:val="005C598A"/>
    <w:rsid w:val="005E313A"/>
    <w:rsid w:val="005F2282"/>
    <w:rsid w:val="005F3B6B"/>
    <w:rsid w:val="00600AF5"/>
    <w:rsid w:val="00620D1E"/>
    <w:rsid w:val="006323D2"/>
    <w:rsid w:val="006356F0"/>
    <w:rsid w:val="006640C9"/>
    <w:rsid w:val="006779E4"/>
    <w:rsid w:val="0068511A"/>
    <w:rsid w:val="00697DAB"/>
    <w:rsid w:val="006A229A"/>
    <w:rsid w:val="006B3C5A"/>
    <w:rsid w:val="006D0A5C"/>
    <w:rsid w:val="006E61F5"/>
    <w:rsid w:val="006E76CF"/>
    <w:rsid w:val="006F07A5"/>
    <w:rsid w:val="00701192"/>
    <w:rsid w:val="0071342E"/>
    <w:rsid w:val="007276B0"/>
    <w:rsid w:val="00755A31"/>
    <w:rsid w:val="00757761"/>
    <w:rsid w:val="007676DB"/>
    <w:rsid w:val="00767B6B"/>
    <w:rsid w:val="00771C56"/>
    <w:rsid w:val="0077721E"/>
    <w:rsid w:val="00781928"/>
    <w:rsid w:val="00783C54"/>
    <w:rsid w:val="00790C9D"/>
    <w:rsid w:val="007A7144"/>
    <w:rsid w:val="007B71B1"/>
    <w:rsid w:val="007D25BB"/>
    <w:rsid w:val="007D2AAB"/>
    <w:rsid w:val="007E0A7F"/>
    <w:rsid w:val="007F4768"/>
    <w:rsid w:val="00801548"/>
    <w:rsid w:val="00814FA0"/>
    <w:rsid w:val="00822EAE"/>
    <w:rsid w:val="00833148"/>
    <w:rsid w:val="00855AE8"/>
    <w:rsid w:val="00867E25"/>
    <w:rsid w:val="00877CD2"/>
    <w:rsid w:val="0088602A"/>
    <w:rsid w:val="00891D71"/>
    <w:rsid w:val="008956E9"/>
    <w:rsid w:val="008A2A51"/>
    <w:rsid w:val="008A6DD3"/>
    <w:rsid w:val="008B09F7"/>
    <w:rsid w:val="008B545A"/>
    <w:rsid w:val="008C28C5"/>
    <w:rsid w:val="008E2D64"/>
    <w:rsid w:val="008E3AF0"/>
    <w:rsid w:val="008E6BDA"/>
    <w:rsid w:val="008F05A3"/>
    <w:rsid w:val="009019F2"/>
    <w:rsid w:val="009027A5"/>
    <w:rsid w:val="009031C7"/>
    <w:rsid w:val="009048FA"/>
    <w:rsid w:val="009055F3"/>
    <w:rsid w:val="00915A6E"/>
    <w:rsid w:val="00915E4C"/>
    <w:rsid w:val="00926BD0"/>
    <w:rsid w:val="009309F5"/>
    <w:rsid w:val="00944AB8"/>
    <w:rsid w:val="00946F7F"/>
    <w:rsid w:val="00953372"/>
    <w:rsid w:val="00953F00"/>
    <w:rsid w:val="00962A2D"/>
    <w:rsid w:val="0096773A"/>
    <w:rsid w:val="00973AEB"/>
    <w:rsid w:val="00977C15"/>
    <w:rsid w:val="009814DB"/>
    <w:rsid w:val="00985793"/>
    <w:rsid w:val="00987A5D"/>
    <w:rsid w:val="00993E42"/>
    <w:rsid w:val="009966A6"/>
    <w:rsid w:val="00996913"/>
    <w:rsid w:val="009A607C"/>
    <w:rsid w:val="009B5B6D"/>
    <w:rsid w:val="009D17BF"/>
    <w:rsid w:val="009D2053"/>
    <w:rsid w:val="009E14D6"/>
    <w:rsid w:val="009E6DFA"/>
    <w:rsid w:val="009F0674"/>
    <w:rsid w:val="009F71A0"/>
    <w:rsid w:val="009F7903"/>
    <w:rsid w:val="00A0030E"/>
    <w:rsid w:val="00A01610"/>
    <w:rsid w:val="00A03C58"/>
    <w:rsid w:val="00A12231"/>
    <w:rsid w:val="00A1548C"/>
    <w:rsid w:val="00A15F3E"/>
    <w:rsid w:val="00A267D2"/>
    <w:rsid w:val="00A3082F"/>
    <w:rsid w:val="00A35644"/>
    <w:rsid w:val="00A41B2E"/>
    <w:rsid w:val="00A432B9"/>
    <w:rsid w:val="00A55142"/>
    <w:rsid w:val="00A60EF2"/>
    <w:rsid w:val="00A73984"/>
    <w:rsid w:val="00A7518F"/>
    <w:rsid w:val="00A82783"/>
    <w:rsid w:val="00A862C2"/>
    <w:rsid w:val="00A86B3C"/>
    <w:rsid w:val="00A90DEC"/>
    <w:rsid w:val="00A95FBA"/>
    <w:rsid w:val="00A979D6"/>
    <w:rsid w:val="00AA27EB"/>
    <w:rsid w:val="00AB4376"/>
    <w:rsid w:val="00AC2BE5"/>
    <w:rsid w:val="00AC3AE8"/>
    <w:rsid w:val="00AD4C2D"/>
    <w:rsid w:val="00AD62C6"/>
    <w:rsid w:val="00AD6391"/>
    <w:rsid w:val="00AE0485"/>
    <w:rsid w:val="00AE2F3B"/>
    <w:rsid w:val="00AE7990"/>
    <w:rsid w:val="00AF0CA7"/>
    <w:rsid w:val="00B05CBE"/>
    <w:rsid w:val="00B11D2F"/>
    <w:rsid w:val="00B15126"/>
    <w:rsid w:val="00B32DE9"/>
    <w:rsid w:val="00B50766"/>
    <w:rsid w:val="00B563E3"/>
    <w:rsid w:val="00B565EC"/>
    <w:rsid w:val="00B56900"/>
    <w:rsid w:val="00B60522"/>
    <w:rsid w:val="00B67F7E"/>
    <w:rsid w:val="00B70347"/>
    <w:rsid w:val="00B76D47"/>
    <w:rsid w:val="00B77C9D"/>
    <w:rsid w:val="00B940FB"/>
    <w:rsid w:val="00B94596"/>
    <w:rsid w:val="00B95B76"/>
    <w:rsid w:val="00B95BAB"/>
    <w:rsid w:val="00B973A5"/>
    <w:rsid w:val="00B97476"/>
    <w:rsid w:val="00BA2CE2"/>
    <w:rsid w:val="00BC28D8"/>
    <w:rsid w:val="00BC48DA"/>
    <w:rsid w:val="00BD69EA"/>
    <w:rsid w:val="00BE2350"/>
    <w:rsid w:val="00BF0CE3"/>
    <w:rsid w:val="00BF2DFC"/>
    <w:rsid w:val="00BF3CC8"/>
    <w:rsid w:val="00BF6630"/>
    <w:rsid w:val="00C014D8"/>
    <w:rsid w:val="00C05F17"/>
    <w:rsid w:val="00C24FD0"/>
    <w:rsid w:val="00C2512D"/>
    <w:rsid w:val="00C351F4"/>
    <w:rsid w:val="00C40291"/>
    <w:rsid w:val="00C525C3"/>
    <w:rsid w:val="00C53F40"/>
    <w:rsid w:val="00C61414"/>
    <w:rsid w:val="00C62FA2"/>
    <w:rsid w:val="00C70380"/>
    <w:rsid w:val="00C77FCC"/>
    <w:rsid w:val="00C848C8"/>
    <w:rsid w:val="00C968BE"/>
    <w:rsid w:val="00C97164"/>
    <w:rsid w:val="00CA1B79"/>
    <w:rsid w:val="00CB1A6D"/>
    <w:rsid w:val="00CD59D3"/>
    <w:rsid w:val="00CD5DF4"/>
    <w:rsid w:val="00CD78BE"/>
    <w:rsid w:val="00CE42D6"/>
    <w:rsid w:val="00D01B6B"/>
    <w:rsid w:val="00D17674"/>
    <w:rsid w:val="00D21066"/>
    <w:rsid w:val="00D254FE"/>
    <w:rsid w:val="00D309DB"/>
    <w:rsid w:val="00D45CAB"/>
    <w:rsid w:val="00D80E31"/>
    <w:rsid w:val="00D80E66"/>
    <w:rsid w:val="00D91263"/>
    <w:rsid w:val="00D97179"/>
    <w:rsid w:val="00D978D8"/>
    <w:rsid w:val="00D97C88"/>
    <w:rsid w:val="00DA2398"/>
    <w:rsid w:val="00DA56F1"/>
    <w:rsid w:val="00DC222C"/>
    <w:rsid w:val="00DE1A7D"/>
    <w:rsid w:val="00DE48A7"/>
    <w:rsid w:val="00DF209E"/>
    <w:rsid w:val="00DF7595"/>
    <w:rsid w:val="00E02A28"/>
    <w:rsid w:val="00E0645D"/>
    <w:rsid w:val="00E2307A"/>
    <w:rsid w:val="00E31255"/>
    <w:rsid w:val="00E32CEB"/>
    <w:rsid w:val="00E47FA5"/>
    <w:rsid w:val="00E57EF5"/>
    <w:rsid w:val="00E60CCC"/>
    <w:rsid w:val="00E6110B"/>
    <w:rsid w:val="00E61F28"/>
    <w:rsid w:val="00E626C3"/>
    <w:rsid w:val="00E65893"/>
    <w:rsid w:val="00E705E9"/>
    <w:rsid w:val="00E76DA5"/>
    <w:rsid w:val="00E93D37"/>
    <w:rsid w:val="00EA4F04"/>
    <w:rsid w:val="00EA65D8"/>
    <w:rsid w:val="00EB23AF"/>
    <w:rsid w:val="00EC5763"/>
    <w:rsid w:val="00ED3D16"/>
    <w:rsid w:val="00EE57A2"/>
    <w:rsid w:val="00F05E45"/>
    <w:rsid w:val="00F1768B"/>
    <w:rsid w:val="00F4220C"/>
    <w:rsid w:val="00F5273C"/>
    <w:rsid w:val="00F537F2"/>
    <w:rsid w:val="00F70246"/>
    <w:rsid w:val="00F777BC"/>
    <w:rsid w:val="00F931D1"/>
    <w:rsid w:val="00FB6F22"/>
    <w:rsid w:val="00FD6A8E"/>
    <w:rsid w:val="00FE6F1F"/>
    <w:rsid w:val="00FF2544"/>
    <w:rsid w:val="00FF2A1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3"/>
    <o:shapelayout v:ext="edit">
      <o:idmap v:ext="edit" data="2"/>
    </o:shapelayout>
  </w:shapeDefaults>
  <w:decimalSymbol w:val="."/>
  <w:listSeparator w:val=","/>
  <w14:docId w14:val="15164F7D"/>
  <w15:chartTrackingRefBased/>
  <w15:docId w15:val="{1FCBCC36-07E4-4A0E-89D5-43618CC575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001E4"/>
  </w:style>
  <w:style w:type="paragraph" w:styleId="Heading1">
    <w:name w:val="heading 1"/>
    <w:basedOn w:val="Normal"/>
    <w:next w:val="Normal"/>
    <w:link w:val="Heading1Char"/>
    <w:uiPriority w:val="9"/>
    <w:qFormat/>
    <w:rsid w:val="003843D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843D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843D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843D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843D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843D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843D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843D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843D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843D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843D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843D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843D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843D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843D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843D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843D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843DD"/>
    <w:rPr>
      <w:rFonts w:eastAsiaTheme="majorEastAsia" w:cstheme="majorBidi"/>
      <w:color w:val="272727" w:themeColor="text1" w:themeTint="D8"/>
    </w:rPr>
  </w:style>
  <w:style w:type="paragraph" w:styleId="Title">
    <w:name w:val="Title"/>
    <w:basedOn w:val="Normal"/>
    <w:next w:val="Normal"/>
    <w:link w:val="TitleChar"/>
    <w:uiPriority w:val="10"/>
    <w:qFormat/>
    <w:rsid w:val="003843D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843D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843D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843D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843DD"/>
    <w:pPr>
      <w:spacing w:before="160"/>
      <w:jc w:val="center"/>
    </w:pPr>
    <w:rPr>
      <w:i/>
      <w:iCs/>
      <w:color w:val="404040" w:themeColor="text1" w:themeTint="BF"/>
    </w:rPr>
  </w:style>
  <w:style w:type="character" w:customStyle="1" w:styleId="QuoteChar">
    <w:name w:val="Quote Char"/>
    <w:basedOn w:val="DefaultParagraphFont"/>
    <w:link w:val="Quote"/>
    <w:uiPriority w:val="29"/>
    <w:rsid w:val="003843DD"/>
    <w:rPr>
      <w:i/>
      <w:iCs/>
      <w:color w:val="404040" w:themeColor="text1" w:themeTint="BF"/>
    </w:rPr>
  </w:style>
  <w:style w:type="paragraph" w:styleId="ListParagraph">
    <w:name w:val="List Paragraph"/>
    <w:basedOn w:val="Normal"/>
    <w:uiPriority w:val="34"/>
    <w:qFormat/>
    <w:rsid w:val="003843DD"/>
    <w:pPr>
      <w:ind w:left="720"/>
      <w:contextualSpacing/>
    </w:pPr>
  </w:style>
  <w:style w:type="character" w:styleId="IntenseEmphasis">
    <w:name w:val="Intense Emphasis"/>
    <w:basedOn w:val="DefaultParagraphFont"/>
    <w:uiPriority w:val="21"/>
    <w:qFormat/>
    <w:rsid w:val="003843DD"/>
    <w:rPr>
      <w:i/>
      <w:iCs/>
      <w:color w:val="0F4761" w:themeColor="accent1" w:themeShade="BF"/>
    </w:rPr>
  </w:style>
  <w:style w:type="paragraph" w:styleId="IntenseQuote">
    <w:name w:val="Intense Quote"/>
    <w:basedOn w:val="Normal"/>
    <w:next w:val="Normal"/>
    <w:link w:val="IntenseQuoteChar"/>
    <w:uiPriority w:val="30"/>
    <w:qFormat/>
    <w:rsid w:val="003843D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843DD"/>
    <w:rPr>
      <w:i/>
      <w:iCs/>
      <w:color w:val="0F4761" w:themeColor="accent1" w:themeShade="BF"/>
    </w:rPr>
  </w:style>
  <w:style w:type="character" w:styleId="IntenseReference">
    <w:name w:val="Intense Reference"/>
    <w:basedOn w:val="DefaultParagraphFont"/>
    <w:uiPriority w:val="32"/>
    <w:qFormat/>
    <w:rsid w:val="003843DD"/>
    <w:rPr>
      <w:b/>
      <w:bCs/>
      <w:smallCaps/>
      <w:color w:val="0F4761" w:themeColor="accent1" w:themeShade="BF"/>
      <w:spacing w:val="5"/>
    </w:rPr>
  </w:style>
  <w:style w:type="table" w:styleId="TableGrid">
    <w:name w:val="Table Grid"/>
    <w:basedOn w:val="TableNormal"/>
    <w:uiPriority w:val="39"/>
    <w:rsid w:val="00B76D4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390CE9"/>
    <w:pPr>
      <w:tabs>
        <w:tab w:val="center" w:pos="4513"/>
        <w:tab w:val="right" w:pos="9026"/>
      </w:tabs>
      <w:spacing w:after="0" w:line="240" w:lineRule="auto"/>
    </w:pPr>
  </w:style>
  <w:style w:type="character" w:customStyle="1" w:styleId="HeaderChar">
    <w:name w:val="Header Char"/>
    <w:basedOn w:val="DefaultParagraphFont"/>
    <w:link w:val="Header"/>
    <w:uiPriority w:val="99"/>
    <w:rsid w:val="00390CE9"/>
  </w:style>
  <w:style w:type="paragraph" w:styleId="Footer">
    <w:name w:val="footer"/>
    <w:basedOn w:val="Normal"/>
    <w:link w:val="FooterChar"/>
    <w:uiPriority w:val="99"/>
    <w:unhideWhenUsed/>
    <w:rsid w:val="00390CE9"/>
    <w:pPr>
      <w:tabs>
        <w:tab w:val="center" w:pos="4513"/>
        <w:tab w:val="right" w:pos="9026"/>
      </w:tabs>
      <w:spacing w:after="0" w:line="240" w:lineRule="auto"/>
    </w:pPr>
  </w:style>
  <w:style w:type="character" w:customStyle="1" w:styleId="FooterChar">
    <w:name w:val="Footer Char"/>
    <w:basedOn w:val="DefaultParagraphFont"/>
    <w:link w:val="Footer"/>
    <w:uiPriority w:val="99"/>
    <w:rsid w:val="00390CE9"/>
  </w:style>
  <w:style w:type="paragraph" w:styleId="NoSpacing">
    <w:name w:val="No Spacing"/>
    <w:link w:val="NoSpacingChar"/>
    <w:uiPriority w:val="1"/>
    <w:qFormat/>
    <w:rsid w:val="0005519C"/>
    <w:pPr>
      <w:spacing w:after="0" w:line="240" w:lineRule="auto"/>
    </w:pPr>
    <w:rPr>
      <w:kern w:val="0"/>
      <w:sz w:val="22"/>
      <w:szCs w:val="22"/>
      <w:lang w:eastAsia="en-GB"/>
      <w14:ligatures w14:val="none"/>
    </w:rPr>
  </w:style>
  <w:style w:type="character" w:customStyle="1" w:styleId="NoSpacingChar">
    <w:name w:val="No Spacing Char"/>
    <w:basedOn w:val="DefaultParagraphFont"/>
    <w:link w:val="NoSpacing"/>
    <w:uiPriority w:val="1"/>
    <w:rsid w:val="0005519C"/>
    <w:rPr>
      <w:kern w:val="0"/>
      <w:sz w:val="22"/>
      <w:szCs w:val="22"/>
      <w:lang w:eastAsia="en-GB"/>
      <w14:ligatures w14:val="none"/>
    </w:rPr>
  </w:style>
  <w:style w:type="table" w:styleId="GridTable5Dark-Accent5">
    <w:name w:val="Grid Table 5 Dark Accent 5"/>
    <w:basedOn w:val="TableNormal"/>
    <w:uiPriority w:val="50"/>
    <w:rsid w:val="00C77FCC"/>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2CEED"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02B93"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02B93"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02B93"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02B93" w:themeFill="accent5"/>
      </w:tcPr>
    </w:tblStylePr>
    <w:tblStylePr w:type="band1Vert">
      <w:tblPr/>
      <w:tcPr>
        <w:shd w:val="clear" w:color="auto" w:fill="E59EDC" w:themeFill="accent5" w:themeFillTint="66"/>
      </w:tcPr>
    </w:tblStylePr>
    <w:tblStylePr w:type="band1Horz">
      <w:tblPr/>
      <w:tcPr>
        <w:shd w:val="clear" w:color="auto" w:fill="E59EDC" w:themeFill="accent5" w:themeFillTint="66"/>
      </w:tcPr>
    </w:tblStylePr>
  </w:style>
  <w:style w:type="table" w:styleId="GridTable5Dark-Accent6">
    <w:name w:val="Grid Table 5 Dark Accent 6"/>
    <w:basedOn w:val="TableNormal"/>
    <w:uiPriority w:val="50"/>
    <w:rsid w:val="002D7B7A"/>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F2D0"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EA72E"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EA72E"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EA72E"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EA72E" w:themeFill="accent6"/>
      </w:tcPr>
    </w:tblStylePr>
    <w:tblStylePr w:type="band1Vert">
      <w:tblPr/>
      <w:tcPr>
        <w:shd w:val="clear" w:color="auto" w:fill="B3E5A1" w:themeFill="accent6" w:themeFillTint="66"/>
      </w:tcPr>
    </w:tblStylePr>
    <w:tblStylePr w:type="band1Horz">
      <w:tblPr/>
      <w:tcPr>
        <w:shd w:val="clear" w:color="auto" w:fill="B3E5A1" w:themeFill="accent6" w:themeFillTint="66"/>
      </w:tcPr>
    </w:tblStylePr>
  </w:style>
  <w:style w:type="table" w:styleId="GridTable3-Accent6">
    <w:name w:val="Grid Table 3 Accent 6"/>
    <w:basedOn w:val="TableNormal"/>
    <w:uiPriority w:val="48"/>
    <w:rsid w:val="002D7B7A"/>
    <w:pPr>
      <w:spacing w:after="0" w:line="240" w:lineRule="auto"/>
    </w:pPr>
    <w:tblPr>
      <w:tblStyleRowBandSize w:val="1"/>
      <w:tblStyleColBandSize w:val="1"/>
      <w:tblBorders>
        <w:top w:val="single" w:sz="4" w:space="0" w:color="8DD873" w:themeColor="accent6" w:themeTint="99"/>
        <w:left w:val="single" w:sz="4" w:space="0" w:color="8DD873" w:themeColor="accent6" w:themeTint="99"/>
        <w:bottom w:val="single" w:sz="4" w:space="0" w:color="8DD873" w:themeColor="accent6" w:themeTint="99"/>
        <w:right w:val="single" w:sz="4" w:space="0" w:color="8DD873" w:themeColor="accent6" w:themeTint="99"/>
        <w:insideH w:val="single" w:sz="4" w:space="0" w:color="8DD873" w:themeColor="accent6" w:themeTint="99"/>
        <w:insideV w:val="single" w:sz="4" w:space="0" w:color="8DD873"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9F2D0" w:themeFill="accent6" w:themeFillTint="33"/>
      </w:tcPr>
    </w:tblStylePr>
    <w:tblStylePr w:type="band1Horz">
      <w:tblPr/>
      <w:tcPr>
        <w:shd w:val="clear" w:color="auto" w:fill="D9F2D0" w:themeFill="accent6" w:themeFillTint="33"/>
      </w:tcPr>
    </w:tblStylePr>
    <w:tblStylePr w:type="neCell">
      <w:tblPr/>
      <w:tcPr>
        <w:tcBorders>
          <w:bottom w:val="single" w:sz="4" w:space="0" w:color="8DD873" w:themeColor="accent6" w:themeTint="99"/>
        </w:tcBorders>
      </w:tcPr>
    </w:tblStylePr>
    <w:tblStylePr w:type="nwCell">
      <w:tblPr/>
      <w:tcPr>
        <w:tcBorders>
          <w:bottom w:val="single" w:sz="4" w:space="0" w:color="8DD873" w:themeColor="accent6" w:themeTint="99"/>
        </w:tcBorders>
      </w:tcPr>
    </w:tblStylePr>
    <w:tblStylePr w:type="seCell">
      <w:tblPr/>
      <w:tcPr>
        <w:tcBorders>
          <w:top w:val="single" w:sz="4" w:space="0" w:color="8DD873" w:themeColor="accent6" w:themeTint="99"/>
        </w:tcBorders>
      </w:tcPr>
    </w:tblStylePr>
    <w:tblStylePr w:type="swCell">
      <w:tblPr/>
      <w:tcPr>
        <w:tcBorders>
          <w:top w:val="single" w:sz="4" w:space="0" w:color="8DD873" w:themeColor="accent6" w:themeTint="99"/>
        </w:tcBorders>
      </w:tcPr>
    </w:tblStylePr>
  </w:style>
  <w:style w:type="table" w:styleId="GridTable3-Accent1">
    <w:name w:val="Grid Table 3 Accent 1"/>
    <w:basedOn w:val="TableNormal"/>
    <w:uiPriority w:val="48"/>
    <w:rsid w:val="002D7B7A"/>
    <w:pPr>
      <w:spacing w:after="0" w:line="240" w:lineRule="auto"/>
    </w:pPr>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1E4F5" w:themeFill="accent1" w:themeFillTint="33"/>
      </w:tcPr>
    </w:tblStylePr>
    <w:tblStylePr w:type="band1Horz">
      <w:tblPr/>
      <w:tcPr>
        <w:shd w:val="clear" w:color="auto" w:fill="C1E4F5" w:themeFill="accent1" w:themeFillTint="33"/>
      </w:tcPr>
    </w:tblStylePr>
    <w:tblStylePr w:type="neCell">
      <w:tblPr/>
      <w:tcPr>
        <w:tcBorders>
          <w:bottom w:val="single" w:sz="4" w:space="0" w:color="45B0E1" w:themeColor="accent1" w:themeTint="99"/>
        </w:tcBorders>
      </w:tcPr>
    </w:tblStylePr>
    <w:tblStylePr w:type="nwCell">
      <w:tblPr/>
      <w:tcPr>
        <w:tcBorders>
          <w:bottom w:val="single" w:sz="4" w:space="0" w:color="45B0E1" w:themeColor="accent1" w:themeTint="99"/>
        </w:tcBorders>
      </w:tcPr>
    </w:tblStylePr>
    <w:tblStylePr w:type="seCell">
      <w:tblPr/>
      <w:tcPr>
        <w:tcBorders>
          <w:top w:val="single" w:sz="4" w:space="0" w:color="45B0E1" w:themeColor="accent1" w:themeTint="99"/>
        </w:tcBorders>
      </w:tcPr>
    </w:tblStylePr>
    <w:tblStylePr w:type="swCell">
      <w:tblPr/>
      <w:tcPr>
        <w:tcBorders>
          <w:top w:val="single" w:sz="4" w:space="0" w:color="45B0E1" w:themeColor="accent1" w:themeTint="99"/>
        </w:tcBorders>
      </w:tcPr>
    </w:tblStylePr>
  </w:style>
  <w:style w:type="character" w:styleId="Hyperlink">
    <w:name w:val="Hyperlink"/>
    <w:basedOn w:val="DefaultParagraphFont"/>
    <w:uiPriority w:val="99"/>
    <w:unhideWhenUsed/>
    <w:rsid w:val="00915E4C"/>
    <w:rPr>
      <w:color w:val="467886" w:themeColor="hyperlink"/>
      <w:u w:val="single"/>
    </w:rPr>
  </w:style>
  <w:style w:type="character" w:styleId="UnresolvedMention">
    <w:name w:val="Unresolved Mention"/>
    <w:basedOn w:val="DefaultParagraphFont"/>
    <w:uiPriority w:val="99"/>
    <w:semiHidden/>
    <w:unhideWhenUsed/>
    <w:rsid w:val="00915E4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74179445">
      <w:bodyDiv w:val="1"/>
      <w:marLeft w:val="0"/>
      <w:marRight w:val="0"/>
      <w:marTop w:val="0"/>
      <w:marBottom w:val="0"/>
      <w:divBdr>
        <w:top w:val="none" w:sz="0" w:space="0" w:color="auto"/>
        <w:left w:val="none" w:sz="0" w:space="0" w:color="auto"/>
        <w:bottom w:val="none" w:sz="0" w:space="0" w:color="auto"/>
        <w:right w:val="none" w:sz="0" w:space="0" w:color="auto"/>
      </w:divBdr>
    </w:div>
    <w:div w:id="860512047">
      <w:bodyDiv w:val="1"/>
      <w:marLeft w:val="0"/>
      <w:marRight w:val="0"/>
      <w:marTop w:val="0"/>
      <w:marBottom w:val="0"/>
      <w:divBdr>
        <w:top w:val="none" w:sz="0" w:space="0" w:color="auto"/>
        <w:left w:val="none" w:sz="0" w:space="0" w:color="auto"/>
        <w:bottom w:val="none" w:sz="0" w:space="0" w:color="auto"/>
        <w:right w:val="none" w:sz="0" w:space="0" w:color="auto"/>
      </w:divBdr>
    </w:div>
    <w:div w:id="946739385">
      <w:bodyDiv w:val="1"/>
      <w:marLeft w:val="0"/>
      <w:marRight w:val="0"/>
      <w:marTop w:val="0"/>
      <w:marBottom w:val="0"/>
      <w:divBdr>
        <w:top w:val="none" w:sz="0" w:space="0" w:color="auto"/>
        <w:left w:val="none" w:sz="0" w:space="0" w:color="auto"/>
        <w:bottom w:val="none" w:sz="0" w:space="0" w:color="auto"/>
        <w:right w:val="none" w:sz="0" w:space="0" w:color="auto"/>
      </w:divBdr>
    </w:div>
    <w:div w:id="1283809805">
      <w:bodyDiv w:val="1"/>
      <w:marLeft w:val="0"/>
      <w:marRight w:val="0"/>
      <w:marTop w:val="0"/>
      <w:marBottom w:val="0"/>
      <w:divBdr>
        <w:top w:val="none" w:sz="0" w:space="0" w:color="auto"/>
        <w:left w:val="none" w:sz="0" w:space="0" w:color="auto"/>
        <w:bottom w:val="none" w:sz="0" w:space="0" w:color="auto"/>
        <w:right w:val="none" w:sz="0" w:space="0" w:color="auto"/>
      </w:divBdr>
    </w:div>
    <w:div w:id="1303001393">
      <w:bodyDiv w:val="1"/>
      <w:marLeft w:val="0"/>
      <w:marRight w:val="0"/>
      <w:marTop w:val="0"/>
      <w:marBottom w:val="0"/>
      <w:divBdr>
        <w:top w:val="none" w:sz="0" w:space="0" w:color="auto"/>
        <w:left w:val="none" w:sz="0" w:space="0" w:color="auto"/>
        <w:bottom w:val="none" w:sz="0" w:space="0" w:color="auto"/>
        <w:right w:val="none" w:sz="0" w:space="0" w:color="auto"/>
      </w:divBdr>
    </w:div>
    <w:div w:id="1528761466">
      <w:bodyDiv w:val="1"/>
      <w:marLeft w:val="0"/>
      <w:marRight w:val="0"/>
      <w:marTop w:val="0"/>
      <w:marBottom w:val="0"/>
      <w:divBdr>
        <w:top w:val="none" w:sz="0" w:space="0" w:color="auto"/>
        <w:left w:val="none" w:sz="0" w:space="0" w:color="auto"/>
        <w:bottom w:val="none" w:sz="0" w:space="0" w:color="auto"/>
        <w:right w:val="none" w:sz="0" w:space="0" w:color="auto"/>
      </w:divBdr>
    </w:div>
    <w:div w:id="1568301788">
      <w:bodyDiv w:val="1"/>
      <w:marLeft w:val="0"/>
      <w:marRight w:val="0"/>
      <w:marTop w:val="0"/>
      <w:marBottom w:val="0"/>
      <w:divBdr>
        <w:top w:val="none" w:sz="0" w:space="0" w:color="auto"/>
        <w:left w:val="none" w:sz="0" w:space="0" w:color="auto"/>
        <w:bottom w:val="none" w:sz="0" w:space="0" w:color="auto"/>
        <w:right w:val="none" w:sz="0" w:space="0" w:color="auto"/>
      </w:divBdr>
    </w:div>
    <w:div w:id="1723292227">
      <w:bodyDiv w:val="1"/>
      <w:marLeft w:val="0"/>
      <w:marRight w:val="0"/>
      <w:marTop w:val="0"/>
      <w:marBottom w:val="0"/>
      <w:divBdr>
        <w:top w:val="none" w:sz="0" w:space="0" w:color="auto"/>
        <w:left w:val="none" w:sz="0" w:space="0" w:color="auto"/>
        <w:bottom w:val="none" w:sz="0" w:space="0" w:color="auto"/>
        <w:right w:val="none" w:sz="0" w:space="0" w:color="auto"/>
      </w:divBdr>
    </w:div>
    <w:div w:id="2076706094">
      <w:bodyDiv w:val="1"/>
      <w:marLeft w:val="0"/>
      <w:marRight w:val="0"/>
      <w:marTop w:val="0"/>
      <w:marBottom w:val="0"/>
      <w:divBdr>
        <w:top w:val="none" w:sz="0" w:space="0" w:color="auto"/>
        <w:left w:val="none" w:sz="0" w:space="0" w:color="auto"/>
        <w:bottom w:val="none" w:sz="0" w:space="0" w:color="auto"/>
        <w:right w:val="none" w:sz="0" w:space="0" w:color="auto"/>
      </w:divBdr>
    </w:div>
    <w:div w:id="21098096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hyperlink" Target="https://www.gov.uk/government/statistics/construction-statistics-great-britain-2023"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s://www.neccontract.com/products/contracts/nec4/june-2017-edition-including-alliance-contract/nec4-bundle" TargetMode="External"/><Relationship Id="rId2" Type="http://schemas.openxmlformats.org/officeDocument/2006/relationships/styles" Target="styles.xml"/><Relationship Id="rId16" Type="http://schemas.openxmlformats.org/officeDocument/2006/relationships/hyperlink" Target="https://www.ice.org.uk/areas-of-interest/infrastructure-delivery/civil-engineering-standard-measurement"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hyperlink" Target="https://www.wiley.com/en-gb/Code+of+Practice+for+Project+Management+for+Construction+and+Development%2C+5th+Edition-p-9781118378182" TargetMode="External"/><Relationship Id="rId10" Type="http://schemas.openxmlformats.org/officeDocument/2006/relationships/image" Target="media/image4.png"/><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206</TotalTime>
  <Pages>13</Pages>
  <Words>3533</Words>
  <Characters>20139</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Mark Preston – ID 2223676</Company>
  <LinksUpToDate>false</LinksUpToDate>
  <CharactersWithSpaces>23625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Research Proposal</dc:subject>
  <dc:creator>Steve Tindall</dc:creator>
  <cp:keywords/>
  <dc:description/>
  <cp:lastModifiedBy>Mark Preston</cp:lastModifiedBy>
  <cp:revision>5</cp:revision>
  <dcterms:created xsi:type="dcterms:W3CDTF">2026-01-18T12:02:00Z</dcterms:created>
  <dcterms:modified xsi:type="dcterms:W3CDTF">2026-01-19T12:33:00Z</dcterms:modified>
  <cp:category>HND / BSc Construction Management</cp:category>
</cp:coreProperties>
</file>