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7215C">
      <w:pPr>
        <w:jc w:val="center"/>
        <w:rPr>
          <w:rFonts w:hint="default" w:ascii="Times New Roman" w:hAnsi="Times New Roman" w:cs="Times New Roman"/>
          <w:b/>
          <w:bCs/>
          <w:sz w:val="28"/>
          <w:szCs w:val="28"/>
        </w:rPr>
      </w:pPr>
    </w:p>
    <w:p w14:paraId="21FC0BA9">
      <w:pPr>
        <w:jc w:val="center"/>
        <w:rPr>
          <w:rFonts w:hint="default" w:ascii="Times New Roman" w:hAnsi="Times New Roman" w:cs="Times New Roman"/>
          <w:b/>
          <w:bCs/>
          <w:sz w:val="28"/>
          <w:szCs w:val="28"/>
        </w:rPr>
      </w:pPr>
    </w:p>
    <w:p w14:paraId="108E8376">
      <w:pPr>
        <w:jc w:val="center"/>
        <w:rPr>
          <w:rFonts w:hint="default" w:ascii="Times New Roman" w:hAnsi="Times New Roman" w:cs="Times New Roman"/>
          <w:b/>
          <w:bCs/>
          <w:sz w:val="28"/>
          <w:szCs w:val="28"/>
        </w:rPr>
      </w:pPr>
    </w:p>
    <w:p w14:paraId="0432CAA2">
      <w:pPr>
        <w:jc w:val="center"/>
        <w:rPr>
          <w:rFonts w:hint="default" w:ascii="Times New Roman" w:hAnsi="Times New Roman" w:cs="Times New Roman"/>
          <w:b/>
          <w:bCs/>
          <w:sz w:val="28"/>
          <w:szCs w:val="28"/>
        </w:rPr>
      </w:pPr>
    </w:p>
    <w:p w14:paraId="2F135568">
      <w:pPr>
        <w:jc w:val="center"/>
        <w:rPr>
          <w:rFonts w:hint="default" w:ascii="Times New Roman" w:hAnsi="Times New Roman" w:cs="Times New Roman"/>
          <w:b/>
          <w:bCs/>
          <w:sz w:val="28"/>
          <w:szCs w:val="28"/>
        </w:rPr>
      </w:pPr>
    </w:p>
    <w:p w14:paraId="17894F1F">
      <w:pPr>
        <w:jc w:val="center"/>
        <w:rPr>
          <w:rFonts w:hint="default" w:ascii="Times New Roman" w:hAnsi="Times New Roman" w:cs="Times New Roman"/>
          <w:b/>
          <w:bCs/>
          <w:sz w:val="28"/>
          <w:szCs w:val="28"/>
        </w:rPr>
      </w:pPr>
    </w:p>
    <w:p w14:paraId="36F0ACEA">
      <w:pPr>
        <w:jc w:val="center"/>
        <w:rPr>
          <w:rFonts w:hint="default" w:ascii="Times New Roman" w:hAnsi="Times New Roman" w:cs="Times New Roman"/>
          <w:b/>
          <w:bCs/>
          <w:sz w:val="28"/>
          <w:szCs w:val="28"/>
        </w:rPr>
      </w:pPr>
    </w:p>
    <w:p w14:paraId="57122A61">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The competition between electric vehicles and traditional cars: Tesla's strategic breakthrough and sustainable challenges</w:t>
      </w:r>
    </w:p>
    <w:p w14:paraId="2A974DDD">
      <w:pPr>
        <w:rPr>
          <w:rFonts w:hint="default" w:ascii="Times New Roman" w:hAnsi="Times New Roman" w:cs="Times New Roman"/>
          <w:b/>
          <w:bCs/>
          <w:sz w:val="28"/>
          <w:szCs w:val="28"/>
        </w:rPr>
      </w:pPr>
    </w:p>
    <w:p w14:paraId="5F928F1B">
      <w:pPr>
        <w:rPr>
          <w:rFonts w:hint="eastAsia" w:ascii="Times New Roman" w:hAnsi="Times New Roman" w:cs="Times New Roman"/>
          <w:b/>
          <w:bCs/>
          <w:sz w:val="28"/>
          <w:szCs w:val="28"/>
          <w:lang w:val="en-US" w:eastAsia="zh-CN"/>
        </w:rPr>
      </w:pPr>
    </w:p>
    <w:p w14:paraId="69A6DE2B">
      <w:pPr>
        <w:rPr>
          <w:rFonts w:hint="eastAsia" w:ascii="Times New Roman" w:hAnsi="Times New Roman" w:cs="Times New Roman"/>
          <w:b/>
          <w:bCs/>
          <w:sz w:val="28"/>
          <w:szCs w:val="28"/>
          <w:lang w:val="en-US" w:eastAsia="zh-CN"/>
        </w:rPr>
      </w:pPr>
    </w:p>
    <w:p w14:paraId="33493819">
      <w:pPr>
        <w:rPr>
          <w:rFonts w:hint="eastAsia" w:ascii="Times New Roman" w:hAnsi="Times New Roman" w:cs="Times New Roman"/>
          <w:b/>
          <w:bCs/>
          <w:sz w:val="28"/>
          <w:szCs w:val="28"/>
          <w:lang w:val="en-US" w:eastAsia="zh-CN"/>
        </w:rPr>
      </w:pPr>
    </w:p>
    <w:p w14:paraId="085A7620">
      <w:pPr>
        <w:rPr>
          <w:rFonts w:hint="eastAsia" w:ascii="Times New Roman" w:hAnsi="Times New Roman" w:cs="Times New Roman"/>
          <w:b/>
          <w:bCs/>
          <w:sz w:val="28"/>
          <w:szCs w:val="28"/>
          <w:lang w:val="en-US" w:eastAsia="zh-CN"/>
        </w:rPr>
      </w:pPr>
    </w:p>
    <w:p w14:paraId="66F6FEEF">
      <w:pPr>
        <w:rPr>
          <w:rFonts w:hint="eastAsia" w:ascii="Times New Roman" w:hAnsi="Times New Roman" w:cs="Times New Roman"/>
          <w:b/>
          <w:bCs/>
          <w:sz w:val="28"/>
          <w:szCs w:val="28"/>
          <w:lang w:val="en-US" w:eastAsia="zh-CN"/>
        </w:rPr>
      </w:pPr>
    </w:p>
    <w:p w14:paraId="44FD22B6">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Name：MINGYANG  ZHANG</w:t>
      </w:r>
    </w:p>
    <w:p w14:paraId="647ABFDF">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Student ID：2405456</w:t>
      </w:r>
    </w:p>
    <w:p w14:paraId="1EEB7632">
      <w:pPr>
        <w:rPr>
          <w:rFonts w:hint="default" w:ascii="Times New Roman" w:hAnsi="Times New Roman" w:cs="Times New Roman"/>
          <w:b/>
          <w:bCs/>
          <w:sz w:val="28"/>
          <w:szCs w:val="28"/>
        </w:rPr>
      </w:pPr>
    </w:p>
    <w:p w14:paraId="14EC1076">
      <w:pPr>
        <w:rPr>
          <w:rFonts w:hint="default" w:ascii="Times New Roman" w:hAnsi="Times New Roman" w:cs="Times New Roman"/>
          <w:b/>
          <w:bCs/>
          <w:sz w:val="28"/>
          <w:szCs w:val="28"/>
        </w:rPr>
      </w:pPr>
    </w:p>
    <w:p w14:paraId="18EC8D18">
      <w:pPr>
        <w:rPr>
          <w:rFonts w:hint="default" w:ascii="Times New Roman" w:hAnsi="Times New Roman" w:cs="Times New Roman"/>
          <w:b/>
          <w:bCs/>
          <w:sz w:val="28"/>
          <w:szCs w:val="28"/>
        </w:rPr>
      </w:pPr>
    </w:p>
    <w:p w14:paraId="2518B58F">
      <w:pPr>
        <w:rPr>
          <w:rFonts w:hint="default" w:ascii="Times New Roman" w:hAnsi="Times New Roman" w:cs="Times New Roman"/>
          <w:b/>
          <w:bCs/>
          <w:sz w:val="28"/>
          <w:szCs w:val="28"/>
        </w:rPr>
      </w:pPr>
      <w:bookmarkStart w:id="18" w:name="_GoBack"/>
      <w:bookmarkEnd w:id="18"/>
    </w:p>
    <w:p w14:paraId="709573E3">
      <w:pPr>
        <w:pStyle w:val="3"/>
        <w:tabs>
          <w:tab w:val="right" w:leader="dot" w:pos="8306"/>
        </w:tabs>
        <w:jc w:val="both"/>
        <w:rPr>
          <w:rFonts w:hint="default" w:ascii="Times New Roman" w:hAnsi="Times New Roman" w:cs="Times New Roman"/>
          <w:b/>
          <w:bCs/>
          <w:sz w:val="28"/>
          <w:szCs w:val="28"/>
        </w:rPr>
      </w:pPr>
    </w:p>
    <w:p w14:paraId="16D63992">
      <w:pPr>
        <w:pStyle w:val="3"/>
        <w:tabs>
          <w:tab w:val="right" w:leader="dot" w:pos="8306"/>
        </w:tabs>
        <w:jc w:val="center"/>
        <w:rPr>
          <w:rFonts w:hint="default" w:ascii="Times New Roman" w:hAnsi="Times New Roman" w:cs="Times New Roman"/>
          <w:b/>
          <w:bCs/>
          <w:sz w:val="28"/>
          <w:szCs w:val="28"/>
        </w:rPr>
      </w:pPr>
      <w:r>
        <w:rPr>
          <w:rFonts w:hint="default" w:ascii="Times New Roman" w:hAnsi="Times New Roman" w:cs="Times New Roman"/>
          <w:b/>
          <w:bCs/>
          <w:sz w:val="28"/>
          <w:szCs w:val="28"/>
        </w:rPr>
        <w:t>content</w:t>
      </w:r>
    </w:p>
    <w:p w14:paraId="53A120BD">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\t "11,1,22,2" \h</w:instrText>
      </w:r>
      <w:r>
        <w:rPr>
          <w:rFonts w:hint="default" w:ascii="Times New Roman" w:hAnsi="Times New Roman" w:cs="Times New Roman"/>
          <w:b/>
          <w:bCs/>
          <w:sz w:val="24"/>
          <w:szCs w:val="24"/>
        </w:rPr>
        <w:fldChar w:fldCharType="separate"/>
      </w: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_Toc30381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_Toc30381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7BA27F90">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_Toc18085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 External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_Toc18085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561E5B10">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_Toc8690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2.1 PESTEL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_Toc8690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1930E8E6">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_Toc15646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2.2 Porter's Five Forces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_Toc15646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08CA52D2">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_Toc30797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3. Internal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_Toc30797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7B2D50CD">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_Toc9431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3.1 Resource Based View (RBV)</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_Toc9431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5B9886CC">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_Toc14441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Tesla's SWOT-TOWS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_Toc14441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463B2D5E">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_Toc22489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3.3 Value Chain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0EE666B7">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_Toc14850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4. Strategy Formulation &amp; Competitive Positioning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_Toc14850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7E650BDF">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_Toc9544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4.1. Porter's Strategic Clock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_Toc9544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5787262A">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_Toc29865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4.2. Ansoffs Matrix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_Toc29865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4D14A83A">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_Toc16283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4.3. Mergers and acquisitions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_Toc16283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2B83D896">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_Toc11637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5. Sustainability &amp; Strategic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_Toc11637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0A544F50">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_Toc18953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5.1 Evaluation of Existing Plans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_Toc18953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06B01E83">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_Toc2899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5.2 Strategic improvement suggestions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77DC92F0">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_Toc26134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5.3 Strategic synergy effect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0EDFEB46">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_Toc3803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6.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60CFF1DE">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_Toc27279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rPr>
        <w:t>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_Toc27279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14:paraId="5928645C">
      <w:pPr>
        <w:rPr>
          <w:rFonts w:hint="default" w:ascii="Times New Roman" w:hAnsi="Times New Roman" w:cs="Times New Roman"/>
          <w:b/>
          <w:bCs/>
          <w:sz w:val="28"/>
          <w:szCs w:val="28"/>
        </w:rPr>
      </w:pPr>
      <w:r>
        <w:rPr>
          <w:rFonts w:hint="default" w:ascii="Times New Roman" w:hAnsi="Times New Roman" w:cs="Times New Roman"/>
          <w:bCs/>
          <w:sz w:val="24"/>
          <w:szCs w:val="24"/>
        </w:rPr>
        <w:fldChar w:fldCharType="end"/>
      </w:r>
    </w:p>
    <w:p w14:paraId="231F81A7">
      <w:pPr>
        <w:rPr>
          <w:rFonts w:hint="default" w:ascii="Times New Roman" w:hAnsi="Times New Roman" w:cs="Times New Roman"/>
          <w:b/>
          <w:bCs/>
          <w:sz w:val="28"/>
          <w:szCs w:val="28"/>
        </w:rPr>
      </w:pPr>
    </w:p>
    <w:p w14:paraId="19C0787B">
      <w:pPr>
        <w:rPr>
          <w:rFonts w:hint="default" w:ascii="Times New Roman" w:hAnsi="Times New Roman" w:cs="Times New Roman"/>
          <w:b/>
          <w:bCs/>
          <w:sz w:val="28"/>
          <w:szCs w:val="28"/>
        </w:rPr>
      </w:pPr>
    </w:p>
    <w:p w14:paraId="2EF6D30C">
      <w:pPr>
        <w:rPr>
          <w:rFonts w:hint="default" w:ascii="Times New Roman" w:hAnsi="Times New Roman" w:cs="Times New Roman"/>
          <w:b/>
          <w:bCs/>
          <w:sz w:val="28"/>
          <w:szCs w:val="28"/>
        </w:rPr>
      </w:pPr>
    </w:p>
    <w:p w14:paraId="6DF61E38">
      <w:pPr>
        <w:rPr>
          <w:rFonts w:hint="default" w:ascii="Times New Roman" w:hAnsi="Times New Roman" w:cs="Times New Roman"/>
          <w:b/>
          <w:bCs/>
          <w:sz w:val="28"/>
          <w:szCs w:val="28"/>
        </w:rPr>
      </w:pPr>
    </w:p>
    <w:p w14:paraId="721781FC">
      <w:pPr>
        <w:rPr>
          <w:rFonts w:hint="default" w:ascii="Times New Roman" w:hAnsi="Times New Roman" w:cs="Times New Roman"/>
          <w:b/>
          <w:bCs/>
          <w:sz w:val="28"/>
          <w:szCs w:val="28"/>
        </w:rPr>
      </w:pPr>
    </w:p>
    <w:p w14:paraId="49C4C995">
      <w:pPr>
        <w:rPr>
          <w:rFonts w:hint="default" w:ascii="Times New Roman" w:hAnsi="Times New Roman" w:cs="Times New Roman"/>
          <w:b/>
          <w:bCs/>
          <w:sz w:val="28"/>
          <w:szCs w:val="28"/>
        </w:rPr>
      </w:pPr>
    </w:p>
    <w:p w14:paraId="540E4411">
      <w:pPr>
        <w:rPr>
          <w:rFonts w:hint="default" w:ascii="Times New Roman" w:hAnsi="Times New Roman" w:cs="Times New Roman"/>
          <w:b/>
          <w:bCs/>
          <w:sz w:val="28"/>
          <w:szCs w:val="28"/>
        </w:rPr>
      </w:pPr>
    </w:p>
    <w:p w14:paraId="35C40D71">
      <w:pPr>
        <w:rPr>
          <w:rFonts w:hint="default" w:ascii="Times New Roman" w:hAnsi="Times New Roman" w:cs="Times New Roman"/>
          <w:b/>
          <w:bCs/>
          <w:sz w:val="28"/>
          <w:szCs w:val="28"/>
        </w:rPr>
      </w:pPr>
    </w:p>
    <w:p w14:paraId="46EB2EE7">
      <w:pPr>
        <w:rPr>
          <w:rFonts w:hint="default" w:ascii="Times New Roman" w:hAnsi="Times New Roman" w:cs="Times New Roman"/>
          <w:b/>
          <w:bCs/>
          <w:sz w:val="28"/>
          <w:szCs w:val="28"/>
        </w:rPr>
      </w:pPr>
    </w:p>
    <w:p w14:paraId="1997E147">
      <w:pPr>
        <w:rPr>
          <w:rFonts w:hint="default" w:ascii="Times New Roman" w:hAnsi="Times New Roman" w:cs="Times New Roman"/>
          <w:b/>
          <w:bCs/>
          <w:sz w:val="28"/>
          <w:szCs w:val="28"/>
        </w:rPr>
      </w:pPr>
    </w:p>
    <w:p w14:paraId="3CCF90E9">
      <w:pPr>
        <w:pStyle w:val="10"/>
        <w:bidi w:val="0"/>
        <w:rPr>
          <w:rFonts w:hint="default"/>
        </w:rPr>
      </w:pPr>
      <w:bookmarkStart w:id="0" w:name="_Toc30381"/>
    </w:p>
    <w:p w14:paraId="4631524E">
      <w:pPr>
        <w:pStyle w:val="10"/>
        <w:bidi w:val="0"/>
        <w:rPr>
          <w:rFonts w:hint="default"/>
        </w:rPr>
      </w:pPr>
      <w:r>
        <w:rPr>
          <w:rFonts w:hint="default"/>
        </w:rPr>
        <w:t>1. Introduction</w:t>
      </w:r>
      <w:bookmarkEnd w:id="0"/>
    </w:p>
    <w:p w14:paraId="691DDA38">
      <w:pPr>
        <w:rPr>
          <w:rFonts w:hint="default" w:ascii="Times New Roman" w:hAnsi="Times New Roman" w:cs="Times New Roman"/>
          <w:sz w:val="24"/>
          <w:szCs w:val="24"/>
        </w:rPr>
      </w:pPr>
      <w:r>
        <w:rPr>
          <w:rFonts w:hint="default" w:ascii="Times New Roman" w:hAnsi="Times New Roman" w:cs="Times New Roman"/>
          <w:sz w:val="24"/>
          <w:szCs w:val="24"/>
        </w:rPr>
        <w:t>Nowadays, the global automotive industry is at a critical point of electrification: by 2024, the proportion of electric vehicles (EVs) in global new car sales will exceed 25%, and the penetration rate in core markets such as China and Europe will exceed 40% (IEA, 2024). Tesla, as an industry benchmark, will deliver 1.81 million EVs in 2023 (a year-on-year increase of 38%), but its market share will decrease from 19.5% in 2022 to 17.8% (Statista, 2024), facing a dual pressure from traditional car companies and new forces.</w:t>
      </w:r>
    </w:p>
    <w:p w14:paraId="095A1B31">
      <w:pPr>
        <w:rPr>
          <w:rFonts w:hint="default" w:ascii="Times New Roman" w:hAnsi="Times New Roman" w:cs="Times New Roman"/>
          <w:sz w:val="24"/>
          <w:szCs w:val="24"/>
        </w:rPr>
      </w:pPr>
    </w:p>
    <w:p w14:paraId="229F4867">
      <w:pPr>
        <w:rPr>
          <w:rFonts w:hint="default" w:ascii="Times New Roman" w:hAnsi="Times New Roman" w:cs="Times New Roman"/>
          <w:sz w:val="24"/>
          <w:szCs w:val="24"/>
        </w:rPr>
      </w:pPr>
      <w:r>
        <w:rPr>
          <w:rFonts w:hint="default" w:ascii="Times New Roman" w:hAnsi="Times New Roman" w:cs="Times New Roman"/>
          <w:sz w:val="24"/>
          <w:szCs w:val="24"/>
        </w:rPr>
        <w:t>This case has triple significance for strategic management research. Firstly, there is intergenerational competition in technology. Tesla's "software defined car" model challenges the traditional hardware dominated value chain (Porter&amp;Heppelmann, 2023). The second is to illustrate that policies drive the market, such as the revised version of the US Inflation Reduction Act (IRA) which requires a localization rate of 60% for battery minerals by 2024, reshaping the global supply chain (White House, 2024). Thirdly, it illustrates the current shift of consumers towards value goals, with 46% of car buyers considering "smart cockpit" as a core decision-making factor, surpassing power performance (McKinsey, 2024).</w:t>
      </w:r>
    </w:p>
    <w:p w14:paraId="7D828B32">
      <w:pPr>
        <w:rPr>
          <w:rFonts w:hint="default" w:ascii="Times New Roman" w:hAnsi="Times New Roman" w:cs="Times New Roman"/>
          <w:sz w:val="24"/>
          <w:szCs w:val="24"/>
        </w:rPr>
      </w:pPr>
    </w:p>
    <w:p w14:paraId="5799FE60">
      <w:pPr>
        <w:rPr>
          <w:rFonts w:hint="default" w:ascii="Times New Roman" w:hAnsi="Times New Roman" w:cs="Times New Roman"/>
          <w:sz w:val="24"/>
          <w:szCs w:val="24"/>
        </w:rPr>
      </w:pPr>
      <w:r>
        <w:rPr>
          <w:rFonts w:hint="default" w:ascii="Times New Roman" w:hAnsi="Times New Roman" w:cs="Times New Roman"/>
          <w:sz w:val="24"/>
          <w:szCs w:val="24"/>
        </w:rPr>
        <w:t>I think Tesla's core challenge is mainly focused on the difficulties in mass production of the 4680 battery, which has an excellent rate of only 65%, resulting in Cybertruck production capacity falling short of expectations by 40% (Tesla Q1 report, 2024). There is also a significant geopolitical risk, as the EU imposes a 17% countervailing duty on Chinese made Tesla, forcing the Berlin factory to expand production to 1 million vehicles per year (Reuters, 2024). In addition, the trust crisis in autonomous driving cannot be ignored, as the US NTSB investigates 12 fatal accidents related to FSD, triggering brand reputation risks (NHTSA, 2024).</w:t>
      </w:r>
    </w:p>
    <w:p w14:paraId="45EBD7BD">
      <w:pPr>
        <w:rPr>
          <w:rFonts w:hint="eastAsia"/>
        </w:rPr>
      </w:pPr>
    </w:p>
    <w:p w14:paraId="6A52AF28">
      <w:pPr>
        <w:pStyle w:val="10"/>
        <w:bidi w:val="0"/>
        <w:rPr>
          <w:rFonts w:hint="eastAsia"/>
        </w:rPr>
      </w:pPr>
      <w:bookmarkStart w:id="1" w:name="_Toc18085"/>
      <w:r>
        <w:rPr>
          <w:rFonts w:hint="default"/>
        </w:rPr>
        <w:t>2. External analysis</w:t>
      </w:r>
      <w:bookmarkEnd w:id="1"/>
    </w:p>
    <w:p w14:paraId="2E878226">
      <w:pPr>
        <w:pStyle w:val="11"/>
        <w:bidi w:val="0"/>
        <w:rPr>
          <w:rFonts w:hint="default"/>
        </w:rPr>
      </w:pPr>
      <w:bookmarkStart w:id="2" w:name="_Toc8690"/>
      <w:r>
        <w:rPr>
          <w:rFonts w:hint="default"/>
        </w:rPr>
        <w:t>2.1 PESTEL analysis</w:t>
      </w:r>
      <w:bookmarkEnd w:id="2"/>
    </w:p>
    <w:p w14:paraId="5CAD66D3">
      <w:pPr>
        <w:rPr>
          <w:rFonts w:hint="default" w:ascii="Times New Roman" w:hAnsi="Times New Roman" w:cs="Times New Roman"/>
          <w:sz w:val="24"/>
          <w:szCs w:val="24"/>
        </w:rPr>
      </w:pPr>
      <w:r>
        <w:rPr>
          <w:rFonts w:hint="default" w:ascii="Times New Roman" w:hAnsi="Times New Roman" w:cs="Times New Roman"/>
          <w:sz w:val="24"/>
          <w:szCs w:val="24"/>
        </w:rPr>
        <w:t>Political</w:t>
      </w:r>
    </w:p>
    <w:p w14:paraId="40FFA0AF">
      <w:pPr>
        <w:rPr>
          <w:rFonts w:hint="default" w:ascii="Times New Roman" w:hAnsi="Times New Roman" w:cs="Times New Roman"/>
          <w:sz w:val="24"/>
          <w:szCs w:val="24"/>
        </w:rPr>
      </w:pPr>
      <w:r>
        <w:rPr>
          <w:rFonts w:hint="default" w:ascii="Times New Roman" w:hAnsi="Times New Roman" w:cs="Times New Roman"/>
          <w:sz w:val="24"/>
          <w:szCs w:val="24"/>
        </w:rPr>
        <w:t>The EU's Zero Emission Vehicle Act explicitly requires a ban on the sale of new fuel vehicles from 2035, but allows the continued sale of hybrid vehicles using synthetic fuels through an "e-fuels exemption clause" (EU, 2024). This policy contradiction has a dual impact on Tesla:</w:t>
      </w:r>
    </w:p>
    <w:p w14:paraId="1C087EFF">
      <w:pPr>
        <w:rPr>
          <w:rFonts w:hint="default" w:ascii="Times New Roman" w:hAnsi="Times New Roman" w:cs="Times New Roman"/>
          <w:sz w:val="24"/>
          <w:szCs w:val="24"/>
        </w:rPr>
      </w:pPr>
    </w:p>
    <w:p w14:paraId="2F9D163C">
      <w:pPr>
        <w:rPr>
          <w:rFonts w:hint="default" w:ascii="Times New Roman" w:hAnsi="Times New Roman" w:cs="Times New Roman"/>
          <w:sz w:val="24"/>
          <w:szCs w:val="24"/>
        </w:rPr>
      </w:pPr>
      <w:r>
        <w:rPr>
          <w:rFonts w:hint="default" w:ascii="Times New Roman" w:hAnsi="Times New Roman" w:cs="Times New Roman"/>
          <w:sz w:val="24"/>
          <w:szCs w:val="24"/>
        </w:rPr>
        <w:t>Opportunity: This bill accelerates the electrification process in Europe, with an expected EU EV penetration rate of 65% by 2030 (IEA, 2024), providing market space for Tesla's Berlin factory (with an annual production capacity of 1 million vehicles).</w:t>
      </w:r>
    </w:p>
    <w:p w14:paraId="2BA1AA36">
      <w:pPr>
        <w:rPr>
          <w:rFonts w:hint="default" w:ascii="Times New Roman" w:hAnsi="Times New Roman" w:cs="Times New Roman"/>
          <w:sz w:val="24"/>
          <w:szCs w:val="24"/>
        </w:rPr>
      </w:pPr>
    </w:p>
    <w:p w14:paraId="7293FCFB">
      <w:pPr>
        <w:rPr>
          <w:rFonts w:hint="default" w:ascii="Times New Roman" w:hAnsi="Times New Roman" w:cs="Times New Roman"/>
          <w:sz w:val="24"/>
          <w:szCs w:val="24"/>
        </w:rPr>
      </w:pPr>
      <w:r>
        <w:rPr>
          <w:rFonts w:hint="default" w:ascii="Times New Roman" w:hAnsi="Times New Roman" w:cs="Times New Roman"/>
          <w:sz w:val="24"/>
          <w:szCs w:val="24"/>
        </w:rPr>
        <w:t>Threat: Traditional car companies such as Porsche invest 4 billion euros in developing e-fuels technology, and their 911 e-Hybrid models can circumvent the ban and slow down Tesla's replacement speed (Porsche AG, 2024).</w:t>
      </w:r>
    </w:p>
    <w:p w14:paraId="65ADC0CF">
      <w:pPr>
        <w:rPr>
          <w:rFonts w:hint="default" w:ascii="Times New Roman" w:hAnsi="Times New Roman" w:cs="Times New Roman"/>
          <w:sz w:val="24"/>
          <w:szCs w:val="24"/>
        </w:rPr>
      </w:pPr>
    </w:p>
    <w:p w14:paraId="14FA6B94">
      <w:pPr>
        <w:rPr>
          <w:rFonts w:hint="default" w:ascii="Times New Roman" w:hAnsi="Times New Roman" w:cs="Times New Roman"/>
          <w:sz w:val="24"/>
          <w:szCs w:val="24"/>
        </w:rPr>
      </w:pPr>
      <w:r>
        <w:rPr>
          <w:rFonts w:hint="default" w:ascii="Times New Roman" w:hAnsi="Times New Roman" w:cs="Times New Roman"/>
          <w:sz w:val="24"/>
          <w:szCs w:val="24"/>
        </w:rPr>
        <w:t>Economic</w:t>
      </w:r>
    </w:p>
    <w:p w14:paraId="53A5AF04">
      <w:pPr>
        <w:rPr>
          <w:rFonts w:hint="default" w:ascii="Times New Roman" w:hAnsi="Times New Roman" w:cs="Times New Roman"/>
          <w:sz w:val="24"/>
          <w:szCs w:val="24"/>
        </w:rPr>
      </w:pPr>
      <w:r>
        <w:rPr>
          <w:rFonts w:hint="default" w:ascii="Times New Roman" w:hAnsi="Times New Roman" w:cs="Times New Roman"/>
          <w:sz w:val="24"/>
          <w:szCs w:val="24"/>
        </w:rPr>
        <w:t>The lithium price plummeted from a peak of $85000/ton in 2023 to $35000/ton in 2024, mainly due to the release of lithium extraction capacity from salt lakes in Argentina and Chile (Benchmark Minerals, 2024). However, the escalation of the Russia Ukraine conflict has led to a 40% increase in nickel prices, directly affecting the cost of high nickel positive electrode materials in Tesla 4680 batteries (nickel accounts for 25% of the battery BOM cost).</w:t>
      </w:r>
    </w:p>
    <w:p w14:paraId="17EFAD06">
      <w:pPr>
        <w:rPr>
          <w:rFonts w:hint="default" w:ascii="Times New Roman" w:hAnsi="Times New Roman" w:cs="Times New Roman"/>
          <w:sz w:val="24"/>
          <w:szCs w:val="24"/>
        </w:rPr>
      </w:pPr>
    </w:p>
    <w:p w14:paraId="32B7EE77">
      <w:pPr>
        <w:rPr>
          <w:rFonts w:hint="default" w:ascii="Times New Roman" w:hAnsi="Times New Roman" w:cs="Times New Roman"/>
          <w:sz w:val="24"/>
          <w:szCs w:val="24"/>
        </w:rPr>
      </w:pPr>
      <w:r>
        <w:rPr>
          <w:rFonts w:hint="default" w:ascii="Times New Roman" w:hAnsi="Times New Roman" w:cs="Times New Roman"/>
          <w:sz w:val="24"/>
          <w:szCs w:val="24"/>
        </w:rPr>
        <w:t>Social</w:t>
      </w:r>
    </w:p>
    <w:p w14:paraId="1CB5A4E3">
      <w:pPr>
        <w:rPr>
          <w:rFonts w:hint="default" w:ascii="Times New Roman" w:hAnsi="Times New Roman" w:cs="Times New Roman"/>
          <w:sz w:val="24"/>
          <w:szCs w:val="24"/>
        </w:rPr>
      </w:pPr>
      <w:r>
        <w:rPr>
          <w:rFonts w:hint="default" w:ascii="Times New Roman" w:hAnsi="Times New Roman" w:cs="Times New Roman"/>
          <w:sz w:val="24"/>
          <w:szCs w:val="24"/>
        </w:rPr>
        <w:t>The consumer charging anxiety index has decreased from 58% in 2022 to 34% in 2024 (J.D. Power, 2024), mainly due to the expansion of Tesla's supercharging network (65000 supercharging stations worldwide, accounting for 80% of public fast charging stations in the United States). However, structural contradictions still exist, with the main problem being uneven distribution of infrastructure. In rural areas of Europe, there are only 1.2 supercharging stations per 100 kilometers, while in urban areas there are 8.4 (EU Energy Agency, 2024), which restricts Tesla's penetration in the Eastern European market.</w:t>
      </w:r>
    </w:p>
    <w:p w14:paraId="76A24318">
      <w:pPr>
        <w:rPr>
          <w:rFonts w:hint="default" w:ascii="Times New Roman" w:hAnsi="Times New Roman" w:cs="Times New Roman"/>
          <w:sz w:val="24"/>
          <w:szCs w:val="24"/>
        </w:rPr>
      </w:pPr>
    </w:p>
    <w:p w14:paraId="0FE1AC70">
      <w:pPr>
        <w:rPr>
          <w:rFonts w:hint="default" w:ascii="Times New Roman" w:hAnsi="Times New Roman" w:cs="Times New Roman"/>
          <w:sz w:val="24"/>
          <w:szCs w:val="24"/>
        </w:rPr>
      </w:pPr>
      <w:r>
        <w:rPr>
          <w:rFonts w:hint="default" w:ascii="Times New Roman" w:hAnsi="Times New Roman" w:cs="Times New Roman"/>
          <w:sz w:val="24"/>
          <w:szCs w:val="24"/>
        </w:rPr>
        <w:t>Technological</w:t>
      </w:r>
    </w:p>
    <w:p w14:paraId="72C9514D">
      <w:pPr>
        <w:rPr>
          <w:rFonts w:hint="default" w:ascii="Times New Roman" w:hAnsi="Times New Roman" w:cs="Times New Roman"/>
          <w:sz w:val="24"/>
          <w:szCs w:val="24"/>
        </w:rPr>
      </w:pPr>
      <w:r>
        <w:rPr>
          <w:rFonts w:hint="default" w:ascii="Times New Roman" w:hAnsi="Times New Roman" w:cs="Times New Roman"/>
          <w:sz w:val="24"/>
          <w:szCs w:val="24"/>
        </w:rPr>
        <w:t>The Tesla Dojo supercomputer will achieve ExaFLOP (billions of times per second) computing power by 2024, increasing the efficiency of autonomous driving training by 80% (Tesla AI Day, 2024). The technical impact is mainly reflected in the algorithm iteration speed. The training cycle of the FSD Beta V12 neural network has been shortened from 3 months to 6 weeks, and the accident rate has decreased by 42% compared to V11 (NHTSA, 2024).</w:t>
      </w:r>
    </w:p>
    <w:p w14:paraId="0CA679A7">
      <w:pPr>
        <w:rPr>
          <w:rFonts w:hint="default" w:ascii="Times New Roman" w:hAnsi="Times New Roman" w:cs="Times New Roman"/>
          <w:sz w:val="24"/>
          <w:szCs w:val="24"/>
        </w:rPr>
      </w:pPr>
    </w:p>
    <w:p w14:paraId="05CE6213">
      <w:pPr>
        <w:rPr>
          <w:rFonts w:hint="default" w:ascii="Times New Roman" w:hAnsi="Times New Roman" w:cs="Times New Roman"/>
          <w:sz w:val="24"/>
          <w:szCs w:val="24"/>
        </w:rPr>
      </w:pPr>
      <w:r>
        <w:rPr>
          <w:rFonts w:hint="default" w:ascii="Times New Roman" w:hAnsi="Times New Roman" w:cs="Times New Roman"/>
          <w:sz w:val="24"/>
          <w:szCs w:val="24"/>
        </w:rPr>
        <w:t>Environmental</w:t>
      </w:r>
    </w:p>
    <w:p w14:paraId="02FF8F3F">
      <w:pPr>
        <w:rPr>
          <w:rFonts w:hint="default" w:ascii="Times New Roman" w:hAnsi="Times New Roman" w:cs="Times New Roman"/>
          <w:sz w:val="24"/>
          <w:szCs w:val="24"/>
        </w:rPr>
      </w:pPr>
      <w:r>
        <w:rPr>
          <w:rFonts w:hint="default" w:ascii="Times New Roman" w:hAnsi="Times New Roman" w:cs="Times New Roman"/>
          <w:sz w:val="24"/>
          <w:szCs w:val="24"/>
        </w:rPr>
        <w:t>The International Sustainability Standards Board (ISSB) will require car companies to disclose the full lifecycle carbon footprint of electric vehicles in 2024, covering lithium mining, battery manufacturing, and end-of-life recycling (IFRS, 2024). The impact on Tesla includes the need to increase compliance costs. Tesla needs to invest $230 million to upgrade its supply chain tracking system (such as a blockchain traceability platform), and its Berlin factory has a single vehicle carbon footprint 1.2 tons lower than its Shanghai factory due to the use of green aluminum materials (Tesla Impact Report, 2024).</w:t>
      </w:r>
    </w:p>
    <w:p w14:paraId="1EB1EC9D">
      <w:pPr>
        <w:rPr>
          <w:rFonts w:hint="default" w:ascii="Times New Roman" w:hAnsi="Times New Roman" w:cs="Times New Roman"/>
          <w:sz w:val="24"/>
          <w:szCs w:val="24"/>
        </w:rPr>
      </w:pPr>
    </w:p>
    <w:p w14:paraId="331347D7">
      <w:pPr>
        <w:rPr>
          <w:rFonts w:hint="default" w:ascii="Times New Roman" w:hAnsi="Times New Roman" w:cs="Times New Roman"/>
          <w:sz w:val="24"/>
          <w:szCs w:val="24"/>
        </w:rPr>
      </w:pPr>
      <w:r>
        <w:rPr>
          <w:rFonts w:hint="default" w:ascii="Times New Roman" w:hAnsi="Times New Roman" w:cs="Times New Roman"/>
          <w:sz w:val="24"/>
          <w:szCs w:val="24"/>
        </w:rPr>
        <w:t>Legal</w:t>
      </w:r>
    </w:p>
    <w:p w14:paraId="77E0952F">
      <w:pPr>
        <w:rPr>
          <w:rFonts w:hint="default" w:ascii="Times New Roman" w:hAnsi="Times New Roman" w:cs="Times New Roman"/>
          <w:sz w:val="24"/>
          <w:szCs w:val="24"/>
        </w:rPr>
      </w:pPr>
      <w:r>
        <w:rPr>
          <w:rFonts w:hint="default" w:ascii="Times New Roman" w:hAnsi="Times New Roman" w:cs="Times New Roman"/>
          <w:sz w:val="24"/>
          <w:szCs w:val="24"/>
        </w:rPr>
        <w:t>The California AB 316 bill prohibits car companies from using misleading terms such as "Full Self Driving", and violators will be fined $20000 per vehicle (California Legislation, 2024). The bill directly impacted Tesla's marketing strategy, putting pressure on Tesla to reshape its brand. Tesla was forced to rename "FSD" to "Supervised Autopilot," and consumer surveys showed a 12% decrease in purchase intention after the renaming (Edmunds, 2024).</w:t>
      </w:r>
    </w:p>
    <w:p w14:paraId="089C3B53">
      <w:pPr>
        <w:rPr>
          <w:rFonts w:hint="default" w:ascii="Times New Roman" w:hAnsi="Times New Roman" w:cs="Times New Roman"/>
          <w:sz w:val="24"/>
          <w:szCs w:val="24"/>
        </w:rPr>
      </w:pPr>
    </w:p>
    <w:p w14:paraId="70330107">
      <w:pPr>
        <w:pStyle w:val="11"/>
        <w:bidi w:val="0"/>
        <w:rPr>
          <w:rFonts w:hint="default"/>
        </w:rPr>
      </w:pPr>
      <w:bookmarkStart w:id="3" w:name="_Toc15646"/>
      <w:r>
        <w:rPr>
          <w:rFonts w:hint="default"/>
        </w:rPr>
        <w:t>2.2 Porter's Five Forces Analysis</w:t>
      </w:r>
      <w:bookmarkEnd w:id="3"/>
    </w:p>
    <w:p w14:paraId="7EE4193E">
      <w:pPr>
        <w:rPr>
          <w:rFonts w:hint="default" w:ascii="Times New Roman" w:hAnsi="Times New Roman" w:cs="Times New Roman"/>
          <w:sz w:val="24"/>
          <w:szCs w:val="24"/>
        </w:rPr>
      </w:pPr>
      <w:r>
        <w:rPr>
          <w:rFonts w:hint="default" w:ascii="Times New Roman" w:hAnsi="Times New Roman" w:cs="Times New Roman"/>
          <w:sz w:val="24"/>
          <w:szCs w:val="24"/>
        </w:rPr>
        <w:t xml:space="preserve">Bargaining power of suppliers </w:t>
      </w:r>
    </w:p>
    <w:p w14:paraId="119231FA">
      <w:pPr>
        <w:rPr>
          <w:rFonts w:hint="default" w:ascii="Times New Roman" w:hAnsi="Times New Roman" w:cs="Times New Roman"/>
          <w:sz w:val="24"/>
          <w:szCs w:val="24"/>
        </w:rPr>
      </w:pPr>
      <w:r>
        <w:rPr>
          <w:rFonts w:hint="default" w:ascii="Times New Roman" w:hAnsi="Times New Roman" w:cs="Times New Roman"/>
          <w:sz w:val="24"/>
          <w:szCs w:val="24"/>
        </w:rPr>
        <w:t>Battery material monopoly: CATL and LG New Energy control 60% of the global power battery supply (SNE Research, 2024), but Tesla reduces dependence through vertical integration (self-developed 4680 batteries, joint venture with Panasonic).</w:t>
      </w:r>
    </w:p>
    <w:p w14:paraId="0B5C3AEA">
      <w:pPr>
        <w:rPr>
          <w:rFonts w:hint="default" w:ascii="Times New Roman" w:hAnsi="Times New Roman" w:cs="Times New Roman"/>
          <w:sz w:val="24"/>
          <w:szCs w:val="24"/>
        </w:rPr>
      </w:pPr>
      <w:r>
        <w:rPr>
          <w:rFonts w:hint="default" w:ascii="Times New Roman" w:hAnsi="Times New Roman" w:cs="Times New Roman"/>
          <w:sz w:val="24"/>
          <w:szCs w:val="24"/>
        </w:rPr>
        <w:t>The bargaining power of suppliers is relatively low, as Tesla has the ability to replace key technologies.</w:t>
      </w:r>
    </w:p>
    <w:p w14:paraId="46FCD3D3">
      <w:pPr>
        <w:rPr>
          <w:rFonts w:hint="default" w:ascii="Times New Roman" w:hAnsi="Times New Roman" w:cs="Times New Roman"/>
          <w:sz w:val="24"/>
          <w:szCs w:val="24"/>
        </w:rPr>
      </w:pPr>
    </w:p>
    <w:p w14:paraId="77373001">
      <w:pPr>
        <w:rPr>
          <w:rFonts w:hint="default" w:ascii="Times New Roman" w:hAnsi="Times New Roman" w:cs="Times New Roman"/>
          <w:sz w:val="24"/>
          <w:szCs w:val="24"/>
        </w:rPr>
      </w:pPr>
      <w:r>
        <w:rPr>
          <w:rFonts w:hint="default" w:ascii="Times New Roman" w:hAnsi="Times New Roman" w:cs="Times New Roman"/>
          <w:sz w:val="24"/>
          <w:szCs w:val="24"/>
        </w:rPr>
        <w:t>Bargaining Power of Buyers</w:t>
      </w:r>
    </w:p>
    <w:p w14:paraId="1D5D87B3">
      <w:pPr>
        <w:rPr>
          <w:rFonts w:hint="default" w:ascii="Times New Roman" w:hAnsi="Times New Roman" w:cs="Times New Roman"/>
          <w:sz w:val="24"/>
          <w:szCs w:val="24"/>
        </w:rPr>
      </w:pPr>
      <w:r>
        <w:rPr>
          <w:rFonts w:hint="default" w:ascii="Times New Roman" w:hAnsi="Times New Roman" w:cs="Times New Roman"/>
          <w:sz w:val="24"/>
          <w:szCs w:val="24"/>
        </w:rPr>
        <w:t>Brand premium: Tesla's NPS (Net Promoter Score) reaches 68, higher than the industry average of 42 (J.D. Power, 2024), indicating low price sensitivity among consumers. And adopt a direct sales model, bypass dealer channels, and avoid the inventory pressure of traditional car companies (such as Ford dealership inventory backlog leading to a 15% price reduction).</w:t>
      </w:r>
    </w:p>
    <w:p w14:paraId="0234DCEE">
      <w:pPr>
        <w:rPr>
          <w:rFonts w:hint="default" w:ascii="Times New Roman" w:hAnsi="Times New Roman" w:cs="Times New Roman"/>
          <w:sz w:val="24"/>
          <w:szCs w:val="24"/>
        </w:rPr>
      </w:pPr>
      <w:r>
        <w:rPr>
          <w:rFonts w:hint="default" w:ascii="Times New Roman" w:hAnsi="Times New Roman" w:cs="Times New Roman"/>
          <w:sz w:val="24"/>
          <w:szCs w:val="24"/>
        </w:rPr>
        <w:t>The buyer has low bargaining power, and Tesla locks in users through product differentiation and direct sales.</w:t>
      </w:r>
    </w:p>
    <w:p w14:paraId="35299C57">
      <w:pPr>
        <w:rPr>
          <w:rFonts w:hint="default" w:ascii="Times New Roman" w:hAnsi="Times New Roman" w:cs="Times New Roman"/>
          <w:sz w:val="24"/>
          <w:szCs w:val="24"/>
        </w:rPr>
      </w:pPr>
    </w:p>
    <w:p w14:paraId="7A02FD07">
      <w:pPr>
        <w:rPr>
          <w:rFonts w:hint="default" w:ascii="Times New Roman" w:hAnsi="Times New Roman" w:cs="Times New Roman"/>
          <w:sz w:val="24"/>
          <w:szCs w:val="24"/>
        </w:rPr>
      </w:pPr>
      <w:r>
        <w:rPr>
          <w:rFonts w:hint="default" w:ascii="Times New Roman" w:hAnsi="Times New Roman" w:cs="Times New Roman"/>
          <w:sz w:val="24"/>
          <w:szCs w:val="24"/>
        </w:rPr>
        <w:t>Threat of New Entrants</w:t>
      </w:r>
    </w:p>
    <w:p w14:paraId="4C26B723">
      <w:pPr>
        <w:rPr>
          <w:rFonts w:hint="default" w:ascii="Times New Roman" w:hAnsi="Times New Roman" w:cs="Times New Roman"/>
          <w:sz w:val="24"/>
          <w:szCs w:val="24"/>
        </w:rPr>
      </w:pPr>
      <w:r>
        <w:rPr>
          <w:rFonts w:hint="default" w:ascii="Times New Roman" w:hAnsi="Times New Roman" w:cs="Times New Roman"/>
          <w:sz w:val="24"/>
          <w:szCs w:val="24"/>
        </w:rPr>
        <w:t>Technology company cross-border: Xiaomi SU7 enters the market with "intelligent ecological interconnection", with orders exceeding 100000 units in the first month (Xiaomi Auto, 2024); Huawei empowers car companies (such as the Sylphy Wenjie M9) through the HI (Huawei Inside) model.</w:t>
      </w:r>
    </w:p>
    <w:p w14:paraId="0F1CF398">
      <w:pPr>
        <w:rPr>
          <w:rFonts w:hint="default" w:ascii="Times New Roman" w:hAnsi="Times New Roman" w:cs="Times New Roman"/>
          <w:sz w:val="24"/>
          <w:szCs w:val="24"/>
        </w:rPr>
      </w:pPr>
      <w:r>
        <w:rPr>
          <w:rFonts w:hint="default" w:ascii="Times New Roman" w:hAnsi="Times New Roman" w:cs="Times New Roman"/>
          <w:sz w:val="24"/>
          <w:szCs w:val="24"/>
        </w:rPr>
        <w:t>The threat of new entrants is moderate, and the ecological advantages of technology companies are sandwiched with the transformation of traditional car companies.</w:t>
      </w:r>
    </w:p>
    <w:p w14:paraId="60EE58D5">
      <w:pPr>
        <w:rPr>
          <w:rFonts w:hint="default" w:ascii="Times New Roman" w:hAnsi="Times New Roman" w:cs="Times New Roman"/>
          <w:sz w:val="24"/>
          <w:szCs w:val="24"/>
        </w:rPr>
      </w:pPr>
    </w:p>
    <w:p w14:paraId="7A991F89">
      <w:pPr>
        <w:rPr>
          <w:rFonts w:hint="default" w:ascii="Times New Roman" w:hAnsi="Times New Roman" w:cs="Times New Roman"/>
          <w:sz w:val="24"/>
          <w:szCs w:val="24"/>
        </w:rPr>
      </w:pPr>
      <w:r>
        <w:rPr>
          <w:rFonts w:hint="default" w:ascii="Times New Roman" w:hAnsi="Times New Roman" w:cs="Times New Roman"/>
          <w:sz w:val="24"/>
          <w:szCs w:val="24"/>
        </w:rPr>
        <w:t>Threat of substitutes</w:t>
      </w:r>
    </w:p>
    <w:p w14:paraId="0C2E2D60">
      <w:pPr>
        <w:rPr>
          <w:rFonts w:hint="default" w:ascii="Times New Roman" w:hAnsi="Times New Roman" w:cs="Times New Roman"/>
          <w:sz w:val="24"/>
          <w:szCs w:val="24"/>
        </w:rPr>
      </w:pPr>
      <w:r>
        <w:rPr>
          <w:rFonts w:hint="default" w:ascii="Times New Roman" w:hAnsi="Times New Roman" w:cs="Times New Roman"/>
          <w:sz w:val="24"/>
          <w:szCs w:val="24"/>
        </w:rPr>
        <w:t>Hydrogen fuel vehicles: Toyota Mirai and Hyundai Nexo penetrate the commercial vehicle field (range of 800 kilometers, 5-minute refueling), but there are only 1300 hydrogen refueling stations worldwide (IEA, 2024), and commercialization progress is slow.</w:t>
      </w:r>
    </w:p>
    <w:p w14:paraId="15D227FF">
      <w:pPr>
        <w:rPr>
          <w:rFonts w:hint="default" w:ascii="Times New Roman" w:hAnsi="Times New Roman" w:cs="Times New Roman"/>
          <w:sz w:val="24"/>
          <w:szCs w:val="24"/>
        </w:rPr>
      </w:pPr>
    </w:p>
    <w:p w14:paraId="527510A0">
      <w:pPr>
        <w:rPr>
          <w:rFonts w:hint="default" w:ascii="Times New Roman" w:hAnsi="Times New Roman" w:cs="Times New Roman"/>
          <w:sz w:val="24"/>
          <w:szCs w:val="24"/>
        </w:rPr>
      </w:pPr>
      <w:r>
        <w:rPr>
          <w:rFonts w:hint="default" w:ascii="Times New Roman" w:hAnsi="Times New Roman" w:cs="Times New Roman"/>
          <w:sz w:val="24"/>
          <w:szCs w:val="24"/>
        </w:rPr>
        <w:t>Shared mobility: Uber/Lyft reduces the demand for private car purchases, but Tesla's Robotaxi plan (launched in 2025) may reverse the sharing market.</w:t>
      </w:r>
    </w:p>
    <w:p w14:paraId="594D4DEF">
      <w:pPr>
        <w:rPr>
          <w:rFonts w:hint="default" w:ascii="Times New Roman" w:hAnsi="Times New Roman" w:cs="Times New Roman"/>
          <w:sz w:val="24"/>
          <w:szCs w:val="24"/>
        </w:rPr>
      </w:pPr>
    </w:p>
    <w:p w14:paraId="52D6E98C">
      <w:pPr>
        <w:rPr>
          <w:rFonts w:hint="default" w:ascii="Times New Roman" w:hAnsi="Times New Roman" w:cs="Times New Roman"/>
          <w:sz w:val="24"/>
          <w:szCs w:val="24"/>
        </w:rPr>
      </w:pPr>
      <w:r>
        <w:rPr>
          <w:rFonts w:hint="default" w:ascii="Times New Roman" w:hAnsi="Times New Roman" w:cs="Times New Roman"/>
          <w:sz w:val="24"/>
          <w:szCs w:val="24"/>
        </w:rPr>
        <w:t>The threat of substitutes is low, and it is difficult to shake the mainstream position of EVs in the short term.</w:t>
      </w:r>
    </w:p>
    <w:p w14:paraId="3323E168">
      <w:pPr>
        <w:rPr>
          <w:rFonts w:hint="default" w:ascii="Times New Roman" w:hAnsi="Times New Roman" w:cs="Times New Roman"/>
          <w:sz w:val="24"/>
          <w:szCs w:val="24"/>
        </w:rPr>
      </w:pPr>
    </w:p>
    <w:p w14:paraId="32AC4F29">
      <w:pPr>
        <w:rPr>
          <w:rFonts w:hint="default" w:ascii="Times New Roman" w:hAnsi="Times New Roman" w:cs="Times New Roman"/>
          <w:sz w:val="24"/>
          <w:szCs w:val="24"/>
        </w:rPr>
      </w:pPr>
      <w:r>
        <w:rPr>
          <w:rFonts w:hint="default" w:ascii="Times New Roman" w:hAnsi="Times New Roman" w:cs="Times New Roman"/>
          <w:sz w:val="24"/>
          <w:szCs w:val="24"/>
        </w:rPr>
        <w:t>Industry competition intensity</w:t>
      </w:r>
    </w:p>
    <w:p w14:paraId="577CE1DC">
      <w:pPr>
        <w:rPr>
          <w:rFonts w:hint="default" w:ascii="Times New Roman" w:hAnsi="Times New Roman" w:cs="Times New Roman"/>
          <w:sz w:val="24"/>
          <w:szCs w:val="24"/>
        </w:rPr>
      </w:pPr>
      <w:r>
        <w:rPr>
          <w:rFonts w:hint="default" w:ascii="Times New Roman" w:hAnsi="Times New Roman" w:cs="Times New Roman"/>
          <w:sz w:val="24"/>
          <w:szCs w:val="24"/>
        </w:rPr>
        <w:t>Cost War: BYD's "Same Price for Oil and Electricity" Strategy (Seagull Model $12000) squeezes Tesla's low-end market space.</w:t>
      </w:r>
    </w:p>
    <w:p w14:paraId="589B42F0">
      <w:pPr>
        <w:rPr>
          <w:rFonts w:hint="default" w:ascii="Times New Roman" w:hAnsi="Times New Roman" w:cs="Times New Roman"/>
          <w:sz w:val="24"/>
          <w:szCs w:val="24"/>
        </w:rPr>
      </w:pPr>
    </w:p>
    <w:p w14:paraId="05CDCBCC">
      <w:pPr>
        <w:rPr>
          <w:rFonts w:hint="default" w:ascii="Times New Roman" w:hAnsi="Times New Roman" w:cs="Times New Roman"/>
          <w:sz w:val="24"/>
          <w:szCs w:val="24"/>
        </w:rPr>
      </w:pPr>
      <w:r>
        <w:rPr>
          <w:rFonts w:hint="default" w:ascii="Times New Roman" w:hAnsi="Times New Roman" w:cs="Times New Roman"/>
          <w:sz w:val="24"/>
          <w:szCs w:val="24"/>
        </w:rPr>
        <w:t>Technology competition: Volkswagen's MEB platform model costs have decreased by 30%, and the landing speed of L3 level autonomous driving has exceeded expectations (Audi A8 will be equipped with L3 in 2025).</w:t>
      </w:r>
    </w:p>
    <w:p w14:paraId="6F5EB169">
      <w:pPr>
        <w:rPr>
          <w:rFonts w:hint="default" w:ascii="Times New Roman" w:hAnsi="Times New Roman" w:cs="Times New Roman"/>
          <w:sz w:val="24"/>
          <w:szCs w:val="24"/>
        </w:rPr>
      </w:pPr>
    </w:p>
    <w:p w14:paraId="18FB3A69">
      <w:pPr>
        <w:rPr>
          <w:rFonts w:hint="default" w:ascii="Times New Roman" w:hAnsi="Times New Roman" w:cs="Times New Roman"/>
          <w:sz w:val="24"/>
          <w:szCs w:val="24"/>
        </w:rPr>
      </w:pPr>
      <w:r>
        <w:rPr>
          <w:rFonts w:hint="default" w:ascii="Times New Roman" w:hAnsi="Times New Roman" w:cs="Times New Roman"/>
          <w:sz w:val="24"/>
          <w:szCs w:val="24"/>
        </w:rPr>
        <w:t>The intensity of industry competition is high, and traditional car companies face dual pressures of electrification transformation and innovation from new forces.</w:t>
      </w:r>
    </w:p>
    <w:p w14:paraId="71BA1F64">
      <w:pPr>
        <w:rPr>
          <w:rFonts w:hint="default" w:ascii="Times New Roman" w:hAnsi="Times New Roman" w:cs="Times New Roman"/>
          <w:sz w:val="24"/>
          <w:szCs w:val="24"/>
        </w:rPr>
      </w:pPr>
    </w:p>
    <w:p w14:paraId="4AB4B7D5">
      <w:pPr>
        <w:rPr>
          <w:rFonts w:hint="default" w:ascii="Times New Roman" w:hAnsi="Times New Roman" w:cs="Times New Roman"/>
          <w:sz w:val="24"/>
          <w:szCs w:val="24"/>
        </w:rPr>
      </w:pPr>
      <w:r>
        <w:rPr>
          <w:rFonts w:hint="default" w:ascii="Times New Roman" w:hAnsi="Times New Roman" w:cs="Times New Roman"/>
          <w:sz w:val="24"/>
          <w:szCs w:val="24"/>
        </w:rPr>
        <w:t>Key economic trends:</w:t>
      </w:r>
    </w:p>
    <w:p w14:paraId="4F436A05">
      <w:pPr>
        <w:rPr>
          <w:rFonts w:hint="default" w:ascii="Times New Roman" w:hAnsi="Times New Roman" w:cs="Times New Roman"/>
          <w:sz w:val="24"/>
          <w:szCs w:val="24"/>
        </w:rPr>
      </w:pPr>
      <w:r>
        <w:rPr>
          <w:rFonts w:hint="default" w:ascii="Times New Roman" w:hAnsi="Times New Roman" w:cs="Times New Roman"/>
          <w:sz w:val="24"/>
          <w:szCs w:val="24"/>
        </w:rPr>
        <w:t>Software subscription revenue surges: The profit pool of the EV industry is shifting towards software services, and Tesla's FSD subscription revenue is expected to reach $10 billion (12% of revenue) by 2025.</w:t>
      </w:r>
    </w:p>
    <w:p w14:paraId="2E418D35">
      <w:pPr>
        <w:rPr>
          <w:rFonts w:hint="default" w:ascii="Times New Roman" w:hAnsi="Times New Roman" w:cs="Times New Roman"/>
          <w:sz w:val="24"/>
          <w:szCs w:val="24"/>
        </w:rPr>
      </w:pPr>
    </w:p>
    <w:p w14:paraId="20AF9253">
      <w:pPr>
        <w:rPr>
          <w:rFonts w:hint="default" w:ascii="Times New Roman" w:hAnsi="Times New Roman" w:cs="Times New Roman"/>
          <w:sz w:val="24"/>
          <w:szCs w:val="24"/>
        </w:rPr>
      </w:pPr>
      <w:r>
        <w:rPr>
          <w:rFonts w:hint="default" w:ascii="Times New Roman" w:hAnsi="Times New Roman" w:cs="Times New Roman"/>
          <w:sz w:val="24"/>
          <w:szCs w:val="24"/>
        </w:rPr>
        <w:t>Regional supply chain localization: The US IRA bill requires the northern beautification of battery components (reaching 60% by 2024), and the EU imposes tariffs on Chinese EVs (up to 25%), forcing local factories to build.</w:t>
      </w:r>
    </w:p>
    <w:p w14:paraId="3D1CEC1B">
      <w:pPr>
        <w:rPr>
          <w:rFonts w:hint="default" w:ascii="Times New Roman" w:hAnsi="Times New Roman" w:cs="Times New Roman"/>
          <w:sz w:val="24"/>
          <w:szCs w:val="24"/>
        </w:rPr>
      </w:pPr>
    </w:p>
    <w:p w14:paraId="7889D27E">
      <w:pPr>
        <w:rPr>
          <w:rFonts w:hint="default" w:ascii="Times New Roman" w:hAnsi="Times New Roman" w:cs="Times New Roman"/>
          <w:sz w:val="24"/>
          <w:szCs w:val="24"/>
        </w:rPr>
      </w:pPr>
      <w:r>
        <w:rPr>
          <w:rFonts w:hint="default" w:ascii="Times New Roman" w:hAnsi="Times New Roman" w:cs="Times New Roman"/>
          <w:sz w:val="24"/>
          <w:szCs w:val="24"/>
        </w:rPr>
        <w:t>Differentiation of battery technology routes: LFP batteries dominate the low-end market (cost advantage), 4680/solid-state batteries compete for high-end market share, and sodium ion batteries threaten the medium to long term pattern.</w:t>
      </w:r>
    </w:p>
    <w:p w14:paraId="456D1157">
      <w:pPr>
        <w:rPr>
          <w:rFonts w:hint="default" w:ascii="Times New Roman" w:hAnsi="Times New Roman" w:cs="Times New Roman"/>
          <w:sz w:val="24"/>
          <w:szCs w:val="24"/>
        </w:rPr>
      </w:pPr>
    </w:p>
    <w:p w14:paraId="458FA594">
      <w:pPr>
        <w:rPr>
          <w:rFonts w:hint="default" w:ascii="Times New Roman" w:hAnsi="Times New Roman" w:cs="Times New Roman"/>
          <w:sz w:val="24"/>
          <w:szCs w:val="24"/>
        </w:rPr>
      </w:pPr>
      <w:r>
        <w:rPr>
          <w:rFonts w:hint="default" w:ascii="Times New Roman" w:hAnsi="Times New Roman" w:cs="Times New Roman"/>
          <w:sz w:val="24"/>
          <w:szCs w:val="24"/>
        </w:rPr>
        <w:t>Split charging standards: North American NACS vs. European CCS competition intensifies, forcing car companies to be compatible with multiple standards (cost+5%).</w:t>
      </w:r>
    </w:p>
    <w:p w14:paraId="2BE3DCEC">
      <w:pPr>
        <w:rPr>
          <w:rFonts w:hint="default" w:ascii="Times New Roman" w:hAnsi="Times New Roman" w:cs="Times New Roman"/>
          <w:sz w:val="24"/>
          <w:szCs w:val="24"/>
        </w:rPr>
      </w:pPr>
    </w:p>
    <w:p w14:paraId="07AB1D45">
      <w:pPr>
        <w:pStyle w:val="10"/>
        <w:bidi w:val="0"/>
        <w:rPr>
          <w:rFonts w:hint="default"/>
        </w:rPr>
      </w:pPr>
      <w:bookmarkStart w:id="4" w:name="_Toc30797"/>
      <w:r>
        <w:rPr>
          <w:rFonts w:hint="default"/>
          <w:lang w:val="en-US" w:eastAsia="zh-CN"/>
        </w:rPr>
        <w:t>3. Internal Analysis</w:t>
      </w:r>
      <w:bookmarkEnd w:id="4"/>
    </w:p>
    <w:p w14:paraId="7C4F59DE">
      <w:pPr>
        <w:pStyle w:val="11"/>
        <w:bidi w:val="0"/>
        <w:rPr>
          <w:rFonts w:hint="default"/>
        </w:rPr>
      </w:pPr>
      <w:bookmarkStart w:id="5" w:name="_Toc9431"/>
      <w:r>
        <w:rPr>
          <w:rFonts w:hint="default"/>
        </w:rPr>
        <w:t>3.1 Resource Based View (RBV)</w:t>
      </w:r>
      <w:bookmarkEnd w:id="5"/>
    </w:p>
    <w:p w14:paraId="4EC6F32A">
      <w:pPr>
        <w:rPr>
          <w:rFonts w:hint="default" w:ascii="Times New Roman" w:hAnsi="Times New Roman" w:cs="Times New Roman"/>
          <w:sz w:val="24"/>
          <w:szCs w:val="24"/>
        </w:rPr>
      </w:pPr>
      <w:r>
        <w:rPr>
          <w:rFonts w:hint="default" w:ascii="Times New Roman" w:hAnsi="Times New Roman" w:cs="Times New Roman"/>
          <w:sz w:val="24"/>
          <w:szCs w:val="24"/>
        </w:rPr>
        <w:t>VRIO framework:</w:t>
      </w:r>
    </w:p>
    <w:p w14:paraId="4760EFCE">
      <w:pPr>
        <w:rPr>
          <w:rFonts w:hint="default" w:ascii="Times New Roman" w:hAnsi="Times New Roman" w:cs="Times New Roman"/>
          <w:sz w:val="24"/>
          <w:szCs w:val="24"/>
        </w:rPr>
      </w:pPr>
    </w:p>
    <w:p w14:paraId="6D596F17">
      <w:pPr>
        <w:rPr>
          <w:rFonts w:hint="default" w:ascii="Times New Roman" w:hAnsi="Times New Roman" w:cs="Times New Roman"/>
          <w:sz w:val="24"/>
          <w:szCs w:val="24"/>
        </w:rPr>
      </w:pPr>
      <w:r>
        <w:rPr>
          <w:rFonts w:hint="default" w:ascii="Times New Roman" w:hAnsi="Times New Roman" w:cs="Times New Roman"/>
          <w:sz w:val="24"/>
          <w:szCs w:val="24"/>
        </w:rPr>
        <w:t>Value: The unit cost of 4680 batteries is 65/kWh (industry average 98/kWh).</w:t>
      </w:r>
    </w:p>
    <w:p w14:paraId="47ADF6E0">
      <w:pPr>
        <w:rPr>
          <w:rFonts w:hint="default" w:ascii="Times New Roman" w:hAnsi="Times New Roman" w:cs="Times New Roman"/>
          <w:sz w:val="24"/>
          <w:szCs w:val="24"/>
        </w:rPr>
      </w:pPr>
    </w:p>
    <w:p w14:paraId="0DFEE595">
      <w:pPr>
        <w:rPr>
          <w:rFonts w:hint="default" w:ascii="Times New Roman" w:hAnsi="Times New Roman" w:cs="Times New Roman"/>
          <w:sz w:val="24"/>
          <w:szCs w:val="24"/>
        </w:rPr>
      </w:pPr>
      <w:r>
        <w:rPr>
          <w:rFonts w:hint="default" w:ascii="Times New Roman" w:hAnsi="Times New Roman" w:cs="Times New Roman"/>
          <w:sz w:val="24"/>
          <w:szCs w:val="24"/>
        </w:rPr>
        <w:t>Scarcity: The world's largest high-speed charging network (65000 piles, accounting for 80% of the United States).</w:t>
      </w:r>
    </w:p>
    <w:p w14:paraId="1534CBDC">
      <w:pPr>
        <w:rPr>
          <w:rFonts w:hint="default" w:ascii="Times New Roman" w:hAnsi="Times New Roman" w:cs="Times New Roman"/>
          <w:sz w:val="24"/>
          <w:szCs w:val="24"/>
        </w:rPr>
      </w:pPr>
    </w:p>
    <w:p w14:paraId="3BE95BEC">
      <w:pPr>
        <w:rPr>
          <w:rFonts w:hint="default" w:ascii="Times New Roman" w:hAnsi="Times New Roman" w:cs="Times New Roman"/>
          <w:sz w:val="24"/>
          <w:szCs w:val="24"/>
        </w:rPr>
      </w:pPr>
      <w:r>
        <w:rPr>
          <w:rFonts w:hint="default" w:ascii="Times New Roman" w:hAnsi="Times New Roman" w:cs="Times New Roman"/>
          <w:sz w:val="24"/>
          <w:szCs w:val="24"/>
        </w:rPr>
        <w:t>Non imitability: Autopilot data assets (20 billion miles of real road testing).</w:t>
      </w:r>
    </w:p>
    <w:p w14:paraId="1231EC2C">
      <w:pPr>
        <w:rPr>
          <w:rFonts w:hint="default" w:ascii="Times New Roman" w:hAnsi="Times New Roman" w:cs="Times New Roman"/>
          <w:sz w:val="24"/>
          <w:szCs w:val="24"/>
        </w:rPr>
      </w:pPr>
    </w:p>
    <w:p w14:paraId="27824E4D">
      <w:pPr>
        <w:rPr>
          <w:rFonts w:hint="default" w:ascii="Times New Roman" w:hAnsi="Times New Roman" w:cs="Times New Roman"/>
          <w:sz w:val="24"/>
          <w:szCs w:val="24"/>
        </w:rPr>
      </w:pPr>
      <w:r>
        <w:rPr>
          <w:rFonts w:hint="default" w:ascii="Times New Roman" w:hAnsi="Times New Roman" w:cs="Times New Roman"/>
          <w:sz w:val="24"/>
          <w:szCs w:val="24"/>
        </w:rPr>
        <w:t>Organizational utilization: Giga Press technology reduces Model Y body parts by 370 (Munro, 2024).</w:t>
      </w:r>
    </w:p>
    <w:p w14:paraId="25306BBD">
      <w:pPr>
        <w:rPr>
          <w:rFonts w:hint="default" w:ascii="Times New Roman" w:hAnsi="Times New Roman" w:cs="Times New Roman"/>
          <w:sz w:val="24"/>
          <w:szCs w:val="24"/>
        </w:rPr>
      </w:pPr>
    </w:p>
    <w:p w14:paraId="544A106B">
      <w:pPr>
        <w:pStyle w:val="11"/>
        <w:bidi w:val="0"/>
        <w:rPr>
          <w:rFonts w:hint="default"/>
          <w:lang w:val="en-US" w:eastAsia="zh-CN"/>
        </w:rPr>
      </w:pPr>
      <w:bookmarkStart w:id="6" w:name="_Toc14441"/>
    </w:p>
    <w:p w14:paraId="5CD2F54E">
      <w:pPr>
        <w:pStyle w:val="11"/>
        <w:bidi w:val="0"/>
        <w:rPr>
          <w:rFonts w:hint="default"/>
          <w:lang w:val="en-US" w:eastAsia="zh-CN"/>
        </w:rPr>
      </w:pPr>
    </w:p>
    <w:p w14:paraId="36072C67">
      <w:pPr>
        <w:pStyle w:val="11"/>
        <w:bidi w:val="0"/>
        <w:rPr>
          <w:rFonts w:hint="default"/>
          <w:lang w:val="en-US" w:eastAsia="zh-CN"/>
        </w:rPr>
      </w:pPr>
    </w:p>
    <w:p w14:paraId="39338B8C">
      <w:pPr>
        <w:pStyle w:val="11"/>
        <w:bidi w:val="0"/>
        <w:rPr>
          <w:rFonts w:hint="default"/>
          <w:lang w:val="en-US" w:eastAsia="zh-CN"/>
        </w:rPr>
      </w:pPr>
    </w:p>
    <w:p w14:paraId="0296EC1C">
      <w:pPr>
        <w:pStyle w:val="11"/>
        <w:bidi w:val="0"/>
        <w:rPr>
          <w:rFonts w:hint="default"/>
          <w:lang w:val="en-US" w:eastAsia="zh-CN"/>
        </w:rPr>
      </w:pPr>
    </w:p>
    <w:p w14:paraId="17E5D065">
      <w:pPr>
        <w:pStyle w:val="11"/>
        <w:bidi w:val="0"/>
        <w:rPr>
          <w:rFonts w:hint="default"/>
        </w:rPr>
      </w:pPr>
      <w:r>
        <w:rPr>
          <w:rFonts w:hint="default"/>
          <w:lang w:val="en-US" w:eastAsia="zh-CN"/>
        </w:rPr>
        <w:t xml:space="preserve">3.2 </w:t>
      </w:r>
      <w:r>
        <w:rPr>
          <w:rFonts w:hint="default"/>
        </w:rPr>
        <w:t>Tesla's SWOT-TOWS Analysis</w:t>
      </w:r>
      <w:bookmarkEnd w:id="6"/>
    </w:p>
    <w:p w14:paraId="1FE6829F">
      <w:pPr>
        <w:rPr>
          <w:rFonts w:hint="default" w:ascii="Times New Roman" w:hAnsi="Times New Roman" w:cs="Times New Roman"/>
          <w:sz w:val="24"/>
          <w:szCs w:val="24"/>
        </w:rPr>
      </w:pPr>
      <w:r>
        <w:rPr>
          <w:rFonts w:hint="default" w:ascii="Times New Roman" w:hAnsi="Times New Roman" w:cs="Times New Roman"/>
          <w:sz w:val="24"/>
          <w:szCs w:val="24"/>
        </w:rPr>
        <w:t>(Linking internal resources with external environments to generate actionable strategies)</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909"/>
        <w:gridCol w:w="3647"/>
        <w:gridCol w:w="2765"/>
      </w:tblGrid>
      <w:tr w14:paraId="2D8F0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shd w:val="clear" w:color="auto" w:fill="auto"/>
            <w:tcMar>
              <w:left w:w="0" w:type="dxa"/>
            </w:tcMar>
            <w:vAlign w:val="center"/>
          </w:tcPr>
          <w:p w14:paraId="69B5CCF8">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Internal Factors</w:t>
            </w:r>
          </w:p>
        </w:tc>
        <w:tc>
          <w:tcPr>
            <w:tcW w:w="0" w:type="auto"/>
            <w:shd w:val="clear" w:color="auto" w:fill="auto"/>
            <w:vAlign w:val="center"/>
          </w:tcPr>
          <w:p w14:paraId="74DC1416">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Strengths (S)</w:t>
            </w:r>
          </w:p>
        </w:tc>
        <w:tc>
          <w:tcPr>
            <w:tcW w:w="0" w:type="auto"/>
            <w:shd w:val="clear" w:color="auto" w:fill="auto"/>
            <w:vAlign w:val="center"/>
          </w:tcPr>
          <w:p w14:paraId="5107DFDD">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Weaknesses (W)</w:t>
            </w:r>
          </w:p>
        </w:tc>
      </w:tr>
      <w:tr w14:paraId="60697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left w:w="0" w:type="dxa"/>
            </w:tcMar>
            <w:vAlign w:val="center"/>
          </w:tcPr>
          <w:p w14:paraId="0A7E57BC">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External Factors</w:t>
            </w:r>
          </w:p>
        </w:tc>
        <w:tc>
          <w:tcPr>
            <w:tcW w:w="0" w:type="auto"/>
            <w:shd w:val="clear" w:color="auto" w:fill="auto"/>
            <w:vAlign w:val="center"/>
          </w:tcPr>
          <w:p w14:paraId="0036C51A">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Vertical integration capabilities (battery/chip/manufacturing)</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World’s largest Supercharger network (65,000 charging piles)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FSD data assets (20 billion miles of real-world testing)</w:t>
            </w:r>
          </w:p>
        </w:tc>
        <w:tc>
          <w:tcPr>
            <w:tcW w:w="0" w:type="auto"/>
            <w:shd w:val="clear" w:color="auto" w:fill="auto"/>
            <w:vAlign w:val="center"/>
          </w:tcPr>
          <w:p w14:paraId="668C4D12">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4680 battery production delays (65% yield rate)</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Geopolitical supply chain dependency (60% lithium sourced from China)</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Financial pressure from high valuation (P/E ratio of 68x)</w:t>
            </w:r>
          </w:p>
        </w:tc>
      </w:tr>
      <w:tr w14:paraId="3BB32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left w:w="0" w:type="dxa"/>
            </w:tcMar>
            <w:vAlign w:val="center"/>
          </w:tcPr>
          <w:p w14:paraId="4A4F44C3">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Opportunities (O)</w:t>
            </w:r>
          </w:p>
        </w:tc>
        <w:tc>
          <w:tcPr>
            <w:tcW w:w="0" w:type="auto"/>
            <w:shd w:val="clear" w:color="auto" w:fill="auto"/>
            <w:vAlign w:val="center"/>
          </w:tcPr>
          <w:p w14:paraId="550779D6">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SO Strategies </w:t>
            </w:r>
          </w:p>
        </w:tc>
        <w:tc>
          <w:tcPr>
            <w:tcW w:w="0" w:type="auto"/>
            <w:shd w:val="clear" w:color="auto" w:fill="auto"/>
            <w:vAlign w:val="center"/>
          </w:tcPr>
          <w:p w14:paraId="47B70E15">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WO Strategies </w:t>
            </w:r>
          </w:p>
        </w:tc>
      </w:tr>
      <w:tr w14:paraId="7260B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left w:w="0" w:type="dxa"/>
            </w:tcMar>
            <w:vAlign w:val="center"/>
          </w:tcPr>
          <w:p w14:paraId="0619C050">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Global EV penetration exceeds 25%</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Software subscription revenue growth (FSD/energy)</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Emerging market policy incentives (e.g., Indonesia’s EV import tax exemption)</w:t>
            </w:r>
          </w:p>
        </w:tc>
        <w:tc>
          <w:tcPr>
            <w:tcW w:w="0" w:type="auto"/>
            <w:shd w:val="clear" w:color="auto" w:fill="auto"/>
            <w:vAlign w:val="center"/>
          </w:tcPr>
          <w:p w14:paraId="5ACF6FA5">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Leverage Supercharger network to capture Southeast Asian markets (partner with Indonesian government for local production)</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Monetize FSD data by developing AI cloud services (charge third-party automakers)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Reduce costs via vertical integration (produce $25k model in Mexico)</w:t>
            </w:r>
          </w:p>
        </w:tc>
        <w:tc>
          <w:tcPr>
            <w:tcW w:w="0" w:type="auto"/>
            <w:shd w:val="clear" w:color="auto" w:fill="auto"/>
            <w:vAlign w:val="center"/>
          </w:tcPr>
          <w:p w14:paraId="56D9DA7D">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Joint development of solid-state batteries (partner with QuantumScape to overcome production bottlenecks)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Secure African lithium mines (invest in Zimbabwe’s Bikita Mine to reduce supply chain risks)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Issue green bonds (leverage carbon neutrality policies for financing)</w:t>
            </w:r>
          </w:p>
        </w:tc>
      </w:tr>
      <w:tr w14:paraId="685F0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left w:w="0" w:type="dxa"/>
            </w:tcMar>
            <w:vAlign w:val="center"/>
          </w:tcPr>
          <w:p w14:paraId="1A3A033D">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Threats (T)</w:t>
            </w:r>
          </w:p>
        </w:tc>
        <w:tc>
          <w:tcPr>
            <w:tcW w:w="0" w:type="auto"/>
            <w:shd w:val="clear" w:color="auto" w:fill="auto"/>
            <w:vAlign w:val="center"/>
          </w:tcPr>
          <w:p w14:paraId="445BC2DD">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ST Strategies </w:t>
            </w:r>
          </w:p>
        </w:tc>
        <w:tc>
          <w:tcPr>
            <w:tcW w:w="0" w:type="auto"/>
            <w:shd w:val="clear" w:color="auto" w:fill="auto"/>
            <w:vAlign w:val="center"/>
          </w:tcPr>
          <w:p w14:paraId="02118BF2">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WT Strategies </w:t>
            </w:r>
          </w:p>
        </w:tc>
      </w:tr>
      <w:tr w14:paraId="75ABE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left w:w="0" w:type="dxa"/>
            </w:tcMar>
            <w:vAlign w:val="center"/>
          </w:tcPr>
          <w:p w14:paraId="6EF14AB8">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EU imposes 17% tariffs on China-made Teslas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BYD’s “EV-ICE price parity” squeezes margins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Legal risks for autonomous driving (FSD marketing restrictions)</w:t>
            </w:r>
          </w:p>
        </w:tc>
        <w:tc>
          <w:tcPr>
            <w:tcW w:w="0" w:type="auto"/>
            <w:shd w:val="clear" w:color="auto" w:fill="auto"/>
            <w:vAlign w:val="center"/>
          </w:tcPr>
          <w:p w14:paraId="35507499">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Localize production to bypass tariffs (expand Berlin factory to 1M units/year)</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Open Supercharger network for government subsidies (European stations compatible with third-party EVs)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Build legal safeguards using data assets (AI-driven accident liability attribution system)</w:t>
            </w:r>
          </w:p>
        </w:tc>
        <w:tc>
          <w:tcPr>
            <w:tcW w:w="0" w:type="auto"/>
            <w:shd w:val="clear" w:color="auto" w:fill="auto"/>
            <w:vAlign w:val="center"/>
          </w:tcPr>
          <w:p w14:paraId="2A7342DA">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 License FSD technology for cash flow (charge Toyota royalties)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2. Divest non-core assets (sell solar business to focus on EVs)</w:t>
            </w:r>
            <w:r>
              <w:rPr>
                <w:rFonts w:hint="default" w:ascii="Times New Roman" w:hAnsi="Times New Roman" w:cs="Times New Roman"/>
                <w:color w:val="auto"/>
                <w:sz w:val="24"/>
                <w:szCs w:val="24"/>
                <w:lang w:val="en-US" w:eastAsia="zh-CN"/>
              </w:rPr>
              <w:br w:type="textWrapping"/>
            </w:r>
            <w:r>
              <w:rPr>
                <w:rFonts w:hint="default" w:ascii="Times New Roman" w:hAnsi="Times New Roman" w:cs="Times New Roman"/>
                <w:color w:val="auto"/>
                <w:sz w:val="24"/>
                <w:szCs w:val="24"/>
                <w:lang w:val="en-US" w:eastAsia="zh-CN"/>
              </w:rPr>
              <w:t>3. Lobby legislators (advocate for autonomous driving liability-sharing laws)</w:t>
            </w:r>
          </w:p>
        </w:tc>
      </w:tr>
    </w:tbl>
    <w:p w14:paraId="090A5FCE">
      <w:pPr>
        <w:rPr>
          <w:rFonts w:hint="default" w:ascii="Times New Roman" w:hAnsi="Times New Roman" w:cs="Times New Roman"/>
          <w:sz w:val="24"/>
          <w:szCs w:val="24"/>
        </w:rPr>
      </w:pPr>
      <w:r>
        <w:rPr>
          <w:rFonts w:hint="default" w:ascii="Times New Roman" w:hAnsi="Times New Roman" w:cs="Times New Roman"/>
          <w:sz w:val="24"/>
          <w:szCs w:val="24"/>
        </w:rPr>
        <w:pict>
          <v:rect id="_x0000_i1025" o:spt="1" style="height:1.5pt;width:432pt;" fillcolor="#F8FAFF" filled="t" stroked="f" coordsize="21600,21600" o:hr="t" o:hrstd="t" o:hrnoshade="t" o:hralign="center">
            <v:path/>
            <v:fill on="t" focussize="0,0"/>
            <v:stroke on="f"/>
            <v:imagedata o:title=""/>
            <o:lock v:ext="edit"/>
            <w10:wrap type="none"/>
            <w10:anchorlock/>
          </v:rect>
        </w:pict>
      </w:r>
    </w:p>
    <w:p w14:paraId="7D548C67">
      <w:pPr>
        <w:rPr>
          <w:rFonts w:hint="default" w:ascii="Times New Roman" w:hAnsi="Times New Roman" w:cs="Times New Roman"/>
          <w:sz w:val="24"/>
          <w:szCs w:val="24"/>
        </w:rPr>
      </w:pPr>
    </w:p>
    <w:p w14:paraId="3093EF68">
      <w:pPr>
        <w:rPr>
          <w:rFonts w:hint="default" w:ascii="Times New Roman" w:hAnsi="Times New Roman" w:cs="Times New Roman"/>
          <w:sz w:val="24"/>
          <w:szCs w:val="24"/>
        </w:rPr>
      </w:pPr>
    </w:p>
    <w:p w14:paraId="0BCF703C">
      <w:pPr>
        <w:rPr>
          <w:rFonts w:hint="default" w:ascii="Times New Roman" w:hAnsi="Times New Roman" w:cs="Times New Roman"/>
          <w:sz w:val="24"/>
          <w:szCs w:val="24"/>
        </w:rPr>
      </w:pPr>
    </w:p>
    <w:p w14:paraId="42BBBF23">
      <w:pPr>
        <w:rPr>
          <w:rFonts w:hint="default" w:ascii="Times New Roman" w:hAnsi="Times New Roman" w:cs="Times New Roman"/>
          <w:sz w:val="24"/>
          <w:szCs w:val="24"/>
        </w:rPr>
      </w:pPr>
    </w:p>
    <w:p w14:paraId="35FE40E4">
      <w:pPr>
        <w:rPr>
          <w:rFonts w:hint="default" w:ascii="Times New Roman" w:hAnsi="Times New Roman" w:cs="Times New Roman"/>
          <w:sz w:val="24"/>
          <w:szCs w:val="24"/>
        </w:rPr>
      </w:pPr>
    </w:p>
    <w:p w14:paraId="4E31B809">
      <w:pPr>
        <w:rPr>
          <w:rFonts w:hint="default" w:ascii="Times New Roman" w:hAnsi="Times New Roman" w:cs="Times New Roman"/>
          <w:sz w:val="24"/>
          <w:szCs w:val="24"/>
        </w:rPr>
      </w:pPr>
      <w:r>
        <w:rPr>
          <w:rFonts w:hint="default" w:ascii="Times New Roman" w:hAnsi="Times New Roman" w:cs="Times New Roman"/>
          <w:sz w:val="24"/>
          <w:szCs w:val="24"/>
        </w:rPr>
        <w:t>Strategic Priorities</w:t>
      </w:r>
    </w:p>
    <w:p w14:paraId="5D924270">
      <w:pPr>
        <w:rPr>
          <w:rFonts w:hint="default" w:ascii="Times New Roman" w:hAnsi="Times New Roman" w:cs="Times New Roman"/>
          <w:sz w:val="24"/>
          <w:szCs w:val="24"/>
        </w:rPr>
      </w:pPr>
      <w:r>
        <w:rPr>
          <w:rFonts w:hint="default" w:ascii="Times New Roman" w:hAnsi="Times New Roman" w:cs="Times New Roman"/>
          <w:sz w:val="24"/>
          <w:szCs w:val="24"/>
        </w:rPr>
        <w:t>Technology Lock-In: Transform Dojo computing power into AIaaS (AI as a Service) to offset hardware cost pressures.</w:t>
      </w:r>
    </w:p>
    <w:p w14:paraId="7286B814">
      <w:pPr>
        <w:rPr>
          <w:rFonts w:hint="default" w:ascii="Times New Roman" w:hAnsi="Times New Roman" w:cs="Times New Roman"/>
          <w:sz w:val="24"/>
          <w:szCs w:val="24"/>
        </w:rPr>
      </w:pPr>
    </w:p>
    <w:p w14:paraId="4F780F36">
      <w:pPr>
        <w:rPr>
          <w:rFonts w:hint="default" w:ascii="Times New Roman" w:hAnsi="Times New Roman" w:cs="Times New Roman"/>
          <w:sz w:val="24"/>
          <w:szCs w:val="24"/>
        </w:rPr>
      </w:pPr>
      <w:r>
        <w:rPr>
          <w:rFonts w:hint="default" w:ascii="Times New Roman" w:hAnsi="Times New Roman" w:cs="Times New Roman"/>
          <w:sz w:val="24"/>
          <w:szCs w:val="24"/>
        </w:rPr>
        <w:t>Regional Deepening: Implement “Supercharger + local factory” bundled investments in EU/Southeast Asia to bypass trade barriers.</w:t>
      </w:r>
    </w:p>
    <w:p w14:paraId="7108081A">
      <w:pPr>
        <w:rPr>
          <w:rFonts w:hint="default" w:ascii="Times New Roman" w:hAnsi="Times New Roman" w:cs="Times New Roman"/>
          <w:sz w:val="24"/>
          <w:szCs w:val="24"/>
        </w:rPr>
      </w:pPr>
    </w:p>
    <w:p w14:paraId="723E1C65">
      <w:pPr>
        <w:rPr>
          <w:rFonts w:hint="default" w:ascii="Times New Roman" w:hAnsi="Times New Roman" w:cs="Times New Roman"/>
          <w:sz w:val="24"/>
          <w:szCs w:val="24"/>
        </w:rPr>
      </w:pPr>
      <w:r>
        <w:rPr>
          <w:rFonts w:hint="default" w:ascii="Times New Roman" w:hAnsi="Times New Roman" w:cs="Times New Roman"/>
          <w:sz w:val="24"/>
          <w:szCs w:val="24"/>
        </w:rPr>
        <w:t>Ecosystem Defense: Open select patents (e.g., NACS charging standard) to gain industry leadership.</w:t>
      </w:r>
    </w:p>
    <w:p w14:paraId="397A0B0E">
      <w:pPr>
        <w:rPr>
          <w:rFonts w:hint="default" w:ascii="Times New Roman" w:hAnsi="Times New Roman" w:cs="Times New Roman"/>
          <w:sz w:val="24"/>
          <w:szCs w:val="24"/>
        </w:rPr>
      </w:pPr>
      <w:r>
        <w:rPr>
          <w:rFonts w:hint="default" w:ascii="Times New Roman" w:hAnsi="Times New Roman" w:cs="Times New Roman"/>
          <w:sz w:val="24"/>
          <w:szCs w:val="24"/>
        </w:rPr>
        <w:t>Risk Transfer: Partner with insurers to launch “FSD Liability Insurance” to externalize accident costs.</w:t>
      </w:r>
    </w:p>
    <w:p w14:paraId="7BCE3115">
      <w:pPr>
        <w:rPr>
          <w:rFonts w:hint="default" w:ascii="Times New Roman" w:hAnsi="Times New Roman" w:cs="Times New Roman"/>
          <w:sz w:val="24"/>
          <w:szCs w:val="24"/>
        </w:rPr>
      </w:pPr>
    </w:p>
    <w:p w14:paraId="2BC282EE">
      <w:pPr>
        <w:rPr>
          <w:rFonts w:hint="default" w:ascii="Times New Roman" w:hAnsi="Times New Roman" w:cs="Times New Roman"/>
          <w:sz w:val="24"/>
          <w:szCs w:val="24"/>
        </w:rPr>
      </w:pPr>
      <w:r>
        <w:rPr>
          <w:rFonts w:hint="default" w:ascii="Times New Roman" w:hAnsi="Times New Roman" w:cs="Times New Roman"/>
          <w:sz w:val="24"/>
          <w:szCs w:val="24"/>
        </w:rPr>
        <w:t>Key Performance Metrics:</w:t>
      </w:r>
    </w:p>
    <w:p w14:paraId="20D947E5">
      <w:pPr>
        <w:rPr>
          <w:rFonts w:hint="default" w:ascii="Times New Roman" w:hAnsi="Times New Roman" w:cs="Times New Roman"/>
          <w:sz w:val="24"/>
          <w:szCs w:val="24"/>
        </w:rPr>
      </w:pPr>
      <w:r>
        <w:rPr>
          <w:rFonts w:hint="default" w:ascii="Times New Roman" w:hAnsi="Times New Roman" w:cs="Times New Roman"/>
          <w:sz w:val="24"/>
          <w:szCs w:val="24"/>
        </w:rPr>
        <w:t>Increase software revenue share to 15% by 2025 (7% in 2023);</w:t>
      </w:r>
    </w:p>
    <w:p w14:paraId="5ACA257D">
      <w:pPr>
        <w:rPr>
          <w:rFonts w:hint="default" w:ascii="Times New Roman" w:hAnsi="Times New Roman" w:cs="Times New Roman"/>
          <w:sz w:val="24"/>
          <w:szCs w:val="24"/>
        </w:rPr>
      </w:pPr>
    </w:p>
    <w:p w14:paraId="72A648AC">
      <w:pPr>
        <w:rPr>
          <w:rFonts w:hint="default" w:ascii="Times New Roman" w:hAnsi="Times New Roman" w:cs="Times New Roman"/>
          <w:sz w:val="24"/>
          <w:szCs w:val="24"/>
        </w:rPr>
      </w:pPr>
      <w:r>
        <w:rPr>
          <w:rFonts w:hint="default" w:ascii="Times New Roman" w:hAnsi="Times New Roman" w:cs="Times New Roman"/>
          <w:sz w:val="24"/>
          <w:szCs w:val="24"/>
        </w:rPr>
        <w:t>Raise non-China lithium supply ratio from 40% to 60%;</w:t>
      </w:r>
    </w:p>
    <w:p w14:paraId="028D6CAB">
      <w:pPr>
        <w:rPr>
          <w:rFonts w:hint="default" w:ascii="Times New Roman" w:hAnsi="Times New Roman" w:cs="Times New Roman"/>
          <w:sz w:val="24"/>
          <w:szCs w:val="24"/>
        </w:rPr>
      </w:pPr>
    </w:p>
    <w:p w14:paraId="4E67653A">
      <w:pPr>
        <w:rPr>
          <w:rFonts w:hint="default" w:ascii="Times New Roman" w:hAnsi="Times New Roman" w:cs="Times New Roman"/>
          <w:sz w:val="24"/>
          <w:szCs w:val="24"/>
        </w:rPr>
      </w:pPr>
      <w:r>
        <w:rPr>
          <w:rFonts w:hint="default" w:ascii="Times New Roman" w:hAnsi="Times New Roman" w:cs="Times New Roman"/>
          <w:sz w:val="24"/>
          <w:szCs w:val="24"/>
        </w:rPr>
        <w:t>Expand third-party compatibility of Supercharger network from 30% to 50%.</w:t>
      </w:r>
    </w:p>
    <w:p w14:paraId="7239B7DE">
      <w:pPr>
        <w:rPr>
          <w:rFonts w:hint="default" w:ascii="Times New Roman" w:hAnsi="Times New Roman" w:cs="Times New Roman"/>
          <w:sz w:val="24"/>
          <w:szCs w:val="24"/>
        </w:rPr>
      </w:pPr>
    </w:p>
    <w:p w14:paraId="0CC11D52">
      <w:pPr>
        <w:pStyle w:val="11"/>
        <w:bidi w:val="0"/>
        <w:rPr>
          <w:rFonts w:hint="default"/>
          <w:lang w:val="en-US" w:eastAsia="zh-CN"/>
        </w:rPr>
      </w:pPr>
      <w:bookmarkStart w:id="7" w:name="_Toc22489"/>
      <w:r>
        <w:rPr>
          <w:rFonts w:hint="default"/>
          <w:lang w:val="en-US" w:eastAsia="zh-CN"/>
        </w:rPr>
        <w:t>3.3 Value Chain Analysis</w:t>
      </w:r>
      <w:bookmarkEnd w:id="7"/>
    </w:p>
    <w:p w14:paraId="708B27E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perspective of the efficiency of each link in Tesla's value chain</w:t>
      </w:r>
    </w:p>
    <w:p w14:paraId="5DD26739">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R&amp;D process:</w:t>
      </w:r>
    </w:p>
    <w:p w14:paraId="31AEAB5A">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2023, R&amp;D investment will be $4.1 billion (revenue accounting for 11.2%), of which 50% will be invested in Optimus robots and 4680 batteries. However, the FSD algorithm's excessive reliance on visual solutions (without LiDAR) increases safety risks.</w:t>
      </w:r>
    </w:p>
    <w:p w14:paraId="461C5B5A">
      <w:pPr>
        <w:rPr>
          <w:rFonts w:hint="default" w:ascii="Times New Roman" w:hAnsi="Times New Roman" w:cs="Times New Roman"/>
          <w:sz w:val="24"/>
          <w:szCs w:val="24"/>
          <w:lang w:val="en-US" w:eastAsia="zh-CN"/>
        </w:rPr>
      </w:pPr>
    </w:p>
    <w:p w14:paraId="720D40DA">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Production process:</w:t>
      </w:r>
    </w:p>
    <w:p w14:paraId="349D6A20">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Shanghai factory achieved a production cycle of 10 hours per vehicle (industry average of 24 hours), but the Berlin factory was delayed due to environmental protests, resulting in a capacity utilization rate of only 75%.</w:t>
      </w:r>
    </w:p>
    <w:p w14:paraId="488DB40F">
      <w:pPr>
        <w:rPr>
          <w:rFonts w:hint="default" w:ascii="Times New Roman" w:hAnsi="Times New Roman" w:cs="Times New Roman"/>
          <w:sz w:val="24"/>
          <w:szCs w:val="24"/>
          <w:lang w:val="en-US" w:eastAsia="zh-CN"/>
        </w:rPr>
      </w:pPr>
    </w:p>
    <w:p w14:paraId="7AAA078F">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Service and marketing process:</w:t>
      </w:r>
    </w:p>
    <w:p w14:paraId="52C683B0">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direct sales model saves 10% of channel costs, but the zero advertising strategy in emerging markets such as India leads to lower brand awareness than Xiaomi (J.D. Power, 2024).</w:t>
      </w:r>
    </w:p>
    <w:p w14:paraId="6B83AF10">
      <w:pPr>
        <w:rPr>
          <w:rFonts w:hint="default" w:ascii="Times New Roman" w:hAnsi="Times New Roman" w:cs="Times New Roman"/>
          <w:sz w:val="24"/>
          <w:szCs w:val="24"/>
          <w:lang w:val="en-US" w:eastAsia="zh-CN"/>
        </w:rPr>
      </w:pPr>
    </w:p>
    <w:p w14:paraId="268ED4B6">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there is still some room for optimization, such as increasing the use of green electricity in the Berlin factory to meet EU carbon tariff requirements or increasing local marketing investment in emerging markets such as India.</w:t>
      </w:r>
    </w:p>
    <w:p w14:paraId="2BF68FD8">
      <w:pPr>
        <w:rPr>
          <w:rFonts w:hint="default" w:ascii="Times New Roman" w:hAnsi="Times New Roman" w:cs="Times New Roman"/>
          <w:sz w:val="24"/>
          <w:szCs w:val="24"/>
          <w:lang w:val="en-US" w:eastAsia="zh-CN"/>
        </w:rPr>
      </w:pPr>
    </w:p>
    <w:p w14:paraId="62F02D71">
      <w:pPr>
        <w:rPr>
          <w:rFonts w:hint="default" w:ascii="Times New Roman" w:hAnsi="Times New Roman" w:cs="Times New Roman"/>
          <w:sz w:val="24"/>
          <w:szCs w:val="24"/>
          <w:lang w:val="en-US" w:eastAsia="zh-CN"/>
        </w:rPr>
      </w:pPr>
    </w:p>
    <w:p w14:paraId="6CEDABF0">
      <w:pPr>
        <w:rPr>
          <w:rFonts w:hint="default" w:ascii="Times New Roman" w:hAnsi="Times New Roman" w:cs="Times New Roman"/>
          <w:sz w:val="24"/>
          <w:szCs w:val="24"/>
          <w:lang w:val="en-US" w:eastAsia="zh-CN"/>
        </w:rPr>
      </w:pPr>
    </w:p>
    <w:p w14:paraId="521005EA">
      <w:pPr>
        <w:rPr>
          <w:rFonts w:hint="default" w:ascii="Times New Roman" w:hAnsi="Times New Roman" w:cs="Times New Roman"/>
          <w:sz w:val="24"/>
          <w:szCs w:val="24"/>
          <w:lang w:val="en-US" w:eastAsia="zh-CN"/>
        </w:rPr>
      </w:pPr>
    </w:p>
    <w:p w14:paraId="2A41B85D">
      <w:pPr>
        <w:pStyle w:val="10"/>
        <w:numPr>
          <w:ilvl w:val="0"/>
          <w:numId w:val="1"/>
        </w:numPr>
        <w:bidi w:val="0"/>
        <w:rPr>
          <w:rFonts w:hint="default"/>
          <w:lang w:val="en-US" w:eastAsia="zh-CN"/>
        </w:rPr>
      </w:pPr>
      <w:bookmarkStart w:id="8" w:name="_Toc14850"/>
      <w:r>
        <w:rPr>
          <w:rFonts w:hint="default"/>
          <w:lang w:val="en-US" w:eastAsia="zh-CN"/>
        </w:rPr>
        <w:t>Strategy Formulation &amp; Competitive Positioning</w:t>
      </w:r>
      <w:bookmarkEnd w:id="8"/>
    </w:p>
    <w:p w14:paraId="39AAC188">
      <w:pPr>
        <w:pStyle w:val="11"/>
        <w:bidi w:val="0"/>
        <w:rPr>
          <w:rFonts w:hint="default"/>
          <w:lang w:val="en-US" w:eastAsia="zh-CN"/>
        </w:rPr>
      </w:pPr>
      <w:bookmarkStart w:id="9" w:name="_Toc9544"/>
      <w:r>
        <w:rPr>
          <w:rFonts w:hint="default"/>
          <w:lang w:val="en-US" w:eastAsia="zh-CN"/>
        </w:rPr>
        <w:t>4.1. Porter's Strategic Clock</w:t>
      </w:r>
      <w:bookmarkEnd w:id="9"/>
    </w:p>
    <w:p w14:paraId="54990A63">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 adopts a hybrid strategy (Position 3+5 of the strategic clock), combining cost leadership and differentiation:</w:t>
      </w:r>
    </w:p>
    <w:p w14:paraId="59BBC818">
      <w:pPr>
        <w:numPr>
          <w:ilvl w:val="0"/>
          <w:numId w:val="0"/>
        </w:numPr>
        <w:rPr>
          <w:rFonts w:hint="default" w:ascii="Times New Roman" w:hAnsi="Times New Roman" w:cs="Times New Roman"/>
          <w:sz w:val="24"/>
          <w:szCs w:val="24"/>
          <w:lang w:val="en-US" w:eastAsia="zh-CN"/>
        </w:rPr>
      </w:pPr>
    </w:p>
    <w:p w14:paraId="556532F3">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Cost leadership (Position 3): Achieving economies of scale through vertical integration (Shanghai factory Model 3 cost 28500 vs Volkswagen ID.334000) and Giga Press technology (reducing 370 body parts).</w:t>
      </w:r>
    </w:p>
    <w:p w14:paraId="16B50E63">
      <w:pPr>
        <w:numPr>
          <w:ilvl w:val="0"/>
          <w:numId w:val="0"/>
        </w:numPr>
        <w:rPr>
          <w:rFonts w:hint="default" w:ascii="Times New Roman" w:hAnsi="Times New Roman" w:cs="Times New Roman"/>
          <w:sz w:val="24"/>
          <w:szCs w:val="24"/>
          <w:lang w:val="en-US" w:eastAsia="zh-CN"/>
        </w:rPr>
      </w:pPr>
    </w:p>
    <w:p w14:paraId="1C2C4CE8">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Differentiation (Position 5): Build a technological moat with FSD fully autonomous driving (20 billion miles of road test data), Dojo supercomputing (80% improvement in AI training efficiency), and brand premium (NPS 68).</w:t>
      </w:r>
    </w:p>
    <w:p w14:paraId="5AA62425">
      <w:pPr>
        <w:numPr>
          <w:ilvl w:val="0"/>
          <w:numId w:val="0"/>
        </w:numPr>
        <w:rPr>
          <w:rFonts w:hint="default" w:ascii="Times New Roman" w:hAnsi="Times New Roman" w:cs="Times New Roman"/>
          <w:sz w:val="24"/>
          <w:szCs w:val="24"/>
          <w:lang w:val="en-US" w:eastAsia="zh-CN"/>
        </w:rPr>
      </w:pPr>
    </w:p>
    <w:p w14:paraId="2AF20DC2">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Contradiction and Balance: The low-priced Model 2 ($25000) may dilute the brand's high-end image, and profit margins need to be maintained through software subscriptions (FSD/entertainment services) (with a target of 15% software revenue by 2025).</w:t>
      </w:r>
    </w:p>
    <w:p w14:paraId="215F8E94">
      <w:pPr>
        <w:numPr>
          <w:ilvl w:val="0"/>
          <w:numId w:val="0"/>
        </w:numPr>
        <w:rPr>
          <w:rFonts w:hint="default" w:ascii="Times New Roman" w:hAnsi="Times New Roman" w:cs="Times New Roman"/>
          <w:sz w:val="24"/>
          <w:szCs w:val="24"/>
          <w:lang w:val="en-US" w:eastAsia="zh-CN"/>
        </w:rPr>
      </w:pPr>
    </w:p>
    <w:p w14:paraId="0BEEB254">
      <w:pPr>
        <w:pStyle w:val="11"/>
        <w:bidi w:val="0"/>
        <w:rPr>
          <w:rFonts w:hint="default"/>
          <w:lang w:val="en-US" w:eastAsia="zh-CN"/>
        </w:rPr>
      </w:pPr>
      <w:bookmarkStart w:id="10" w:name="_Toc29865"/>
      <w:r>
        <w:rPr>
          <w:rFonts w:hint="default"/>
          <w:lang w:val="en-US" w:eastAsia="zh-CN"/>
        </w:rPr>
        <w:t>4.2. Ansoffs Matrix</w:t>
      </w:r>
      <w:bookmarkEnd w:id="10"/>
    </w:p>
    <w:p w14:paraId="171D411D">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Market penetration:</w:t>
      </w:r>
    </w:p>
    <w:p w14:paraId="3AFE8AB1">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Regional expansion: Launch right-hand drive models in emerging markets such as Indonesia and India, taking advantage of local policy dividends (Indonesia exempts EV import taxes).</w:t>
      </w:r>
    </w:p>
    <w:p w14:paraId="6E8F3353">
      <w:pPr>
        <w:numPr>
          <w:ilvl w:val="0"/>
          <w:numId w:val="0"/>
        </w:numPr>
        <w:rPr>
          <w:rFonts w:hint="default" w:ascii="Times New Roman" w:hAnsi="Times New Roman" w:cs="Times New Roman"/>
          <w:sz w:val="24"/>
          <w:szCs w:val="24"/>
          <w:lang w:val="en-US" w:eastAsia="zh-CN"/>
        </w:rPr>
      </w:pPr>
    </w:p>
    <w:p w14:paraId="62EC4C31">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User lockout: Enhance customer lifetime value (LTV) through insurance services (real-time driving data pricing).</w:t>
      </w:r>
    </w:p>
    <w:p w14:paraId="5986EA91">
      <w:pPr>
        <w:numPr>
          <w:ilvl w:val="0"/>
          <w:numId w:val="0"/>
        </w:numPr>
        <w:rPr>
          <w:rFonts w:hint="default" w:ascii="Times New Roman" w:hAnsi="Times New Roman" w:cs="Times New Roman"/>
          <w:sz w:val="24"/>
          <w:szCs w:val="24"/>
          <w:lang w:val="en-US" w:eastAsia="zh-CN"/>
        </w:rPr>
      </w:pPr>
    </w:p>
    <w:p w14:paraId="53AE7C9D">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Product development:</w:t>
      </w:r>
    </w:p>
    <w:p w14:paraId="0A796FFE">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Low price model: Model 2 targets the mass market and competes for the BYD Seagull ($12000) market share.</w:t>
      </w:r>
    </w:p>
    <w:p w14:paraId="6ED1D9CC">
      <w:pPr>
        <w:numPr>
          <w:ilvl w:val="0"/>
          <w:numId w:val="0"/>
        </w:numPr>
        <w:rPr>
          <w:rFonts w:hint="default" w:ascii="Times New Roman" w:hAnsi="Times New Roman" w:cs="Times New Roman"/>
          <w:sz w:val="24"/>
          <w:szCs w:val="24"/>
          <w:lang w:val="en-US" w:eastAsia="zh-CN"/>
        </w:rPr>
      </w:pPr>
    </w:p>
    <w:p w14:paraId="141169A3">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Commercial vehicles: Semi electric trucks dominate the logistics field (FedEx has already booked 100 units).</w:t>
      </w:r>
    </w:p>
    <w:p w14:paraId="25F62424">
      <w:pPr>
        <w:numPr>
          <w:ilvl w:val="0"/>
          <w:numId w:val="0"/>
        </w:numPr>
        <w:rPr>
          <w:rFonts w:hint="default" w:ascii="Times New Roman" w:hAnsi="Times New Roman" w:cs="Times New Roman"/>
          <w:sz w:val="24"/>
          <w:szCs w:val="24"/>
          <w:lang w:val="en-US" w:eastAsia="zh-CN"/>
        </w:rPr>
      </w:pPr>
    </w:p>
    <w:p w14:paraId="58F7D778">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Market development:</w:t>
      </w:r>
    </w:p>
    <w:p w14:paraId="599832FA">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Energy storage business: Megapack enters the Middle East photovoltaic energy storage market (with a $250 million order for the Saudi NEOM project).</w:t>
      </w:r>
    </w:p>
    <w:p w14:paraId="58911CFC">
      <w:pPr>
        <w:numPr>
          <w:ilvl w:val="0"/>
          <w:numId w:val="0"/>
        </w:numPr>
        <w:rPr>
          <w:rFonts w:hint="default" w:ascii="Times New Roman" w:hAnsi="Times New Roman" w:cs="Times New Roman"/>
          <w:sz w:val="24"/>
          <w:szCs w:val="24"/>
          <w:lang w:val="en-US" w:eastAsia="zh-CN"/>
        </w:rPr>
      </w:pPr>
    </w:p>
    <w:p w14:paraId="20A27249">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Energy Services: V2G (Vehicle to Network Interaction) technology is being piloted in Europe, with an annual revenue of $1200 per vehicle.</w:t>
      </w:r>
    </w:p>
    <w:p w14:paraId="3A95C1B8">
      <w:pPr>
        <w:numPr>
          <w:ilvl w:val="0"/>
          <w:numId w:val="0"/>
        </w:numPr>
        <w:rPr>
          <w:rFonts w:hint="default" w:ascii="Times New Roman" w:hAnsi="Times New Roman" w:cs="Times New Roman"/>
          <w:sz w:val="24"/>
          <w:szCs w:val="24"/>
          <w:lang w:val="en-US" w:eastAsia="zh-CN"/>
        </w:rPr>
      </w:pPr>
    </w:p>
    <w:p w14:paraId="49A211B2">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diversification:</w:t>
      </w:r>
    </w:p>
    <w:p w14:paraId="5AB16716">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Optimus robot: trial run at Foxconn factory, aiming to replace 20% of repetitive positions.</w:t>
      </w:r>
    </w:p>
    <w:p w14:paraId="7A568B08">
      <w:pPr>
        <w:numPr>
          <w:ilvl w:val="0"/>
          <w:numId w:val="0"/>
        </w:numPr>
        <w:rPr>
          <w:rFonts w:hint="default" w:ascii="Times New Roman" w:hAnsi="Times New Roman" w:cs="Times New Roman"/>
          <w:sz w:val="24"/>
          <w:szCs w:val="24"/>
          <w:lang w:val="en-US" w:eastAsia="zh-CN"/>
        </w:rPr>
      </w:pPr>
    </w:p>
    <w:p w14:paraId="1122E804">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AI cloud service: Authorize Dojo computing power to Toyota, with an annual revenue of $500 million (2025 target).</w:t>
      </w:r>
    </w:p>
    <w:p w14:paraId="6AF3B34B">
      <w:pPr>
        <w:numPr>
          <w:ilvl w:val="0"/>
          <w:numId w:val="0"/>
        </w:numPr>
        <w:rPr>
          <w:rFonts w:hint="default" w:ascii="Times New Roman" w:hAnsi="Times New Roman" w:cs="Times New Roman"/>
          <w:sz w:val="24"/>
          <w:szCs w:val="24"/>
          <w:lang w:val="en-US" w:eastAsia="zh-CN"/>
        </w:rPr>
      </w:pPr>
    </w:p>
    <w:p w14:paraId="4A652A94">
      <w:pPr>
        <w:pStyle w:val="11"/>
        <w:bidi w:val="0"/>
        <w:rPr>
          <w:rFonts w:hint="default"/>
          <w:lang w:val="en-US" w:eastAsia="zh-CN"/>
        </w:rPr>
      </w:pPr>
      <w:bookmarkStart w:id="11" w:name="_Toc16283"/>
      <w:r>
        <w:rPr>
          <w:rFonts w:hint="eastAsia"/>
          <w:lang w:val="en-US" w:eastAsia="zh-CN"/>
        </w:rPr>
        <w:t>4.</w:t>
      </w:r>
      <w:r>
        <w:rPr>
          <w:rFonts w:hint="default"/>
          <w:lang w:val="en-US" w:eastAsia="zh-CN"/>
        </w:rPr>
        <w:t>3. Mergers and acquisitions evaluation</w:t>
      </w:r>
      <w:bookmarkEnd w:id="11"/>
    </w:p>
    <w:p w14:paraId="2B0CBDD0">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Potential targets:</w:t>
      </w:r>
    </w:p>
    <w:p w14:paraId="4DA9B635">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QuantumScape (solid-state battery): compensates for the 4680 production delay and increases energy density to 500Wh/kg (currently 350Wh/kg).</w:t>
      </w:r>
    </w:p>
    <w:p w14:paraId="29906570">
      <w:pPr>
        <w:numPr>
          <w:ilvl w:val="0"/>
          <w:numId w:val="0"/>
        </w:numPr>
        <w:rPr>
          <w:rFonts w:hint="default" w:ascii="Times New Roman" w:hAnsi="Times New Roman" w:cs="Times New Roman"/>
          <w:sz w:val="24"/>
          <w:szCs w:val="24"/>
          <w:lang w:val="en-US" w:eastAsia="zh-CN"/>
        </w:rPr>
      </w:pPr>
    </w:p>
    <w:p w14:paraId="2EA91097">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Northvolt (European battery factory): Avoiding EU countervailing duties and localizing the supply chain.</w:t>
      </w:r>
    </w:p>
    <w:p w14:paraId="3529AE24">
      <w:pPr>
        <w:numPr>
          <w:ilvl w:val="0"/>
          <w:numId w:val="0"/>
        </w:numPr>
        <w:rPr>
          <w:rFonts w:hint="default" w:ascii="Times New Roman" w:hAnsi="Times New Roman" w:cs="Times New Roman"/>
          <w:sz w:val="24"/>
          <w:szCs w:val="24"/>
          <w:lang w:val="en-US" w:eastAsia="zh-CN"/>
        </w:rPr>
      </w:pPr>
    </w:p>
    <w:p w14:paraId="72996132">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Risk management:</w:t>
      </w:r>
    </w:p>
    <w:p w14:paraId="1BCC0ED8">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avoid repeating SolarCity's mistake (goodwill impairment of $260 million), rigorously evaluate technological synergy.</w:t>
      </w:r>
    </w:p>
    <w:p w14:paraId="07B547CC">
      <w:pPr>
        <w:numPr>
          <w:ilvl w:val="0"/>
          <w:numId w:val="0"/>
        </w:numPr>
        <w:rPr>
          <w:rFonts w:hint="default" w:ascii="Times New Roman" w:hAnsi="Times New Roman" w:cs="Times New Roman"/>
          <w:sz w:val="24"/>
          <w:szCs w:val="24"/>
          <w:lang w:val="en-US" w:eastAsia="zh-CN"/>
        </w:rPr>
      </w:pPr>
    </w:p>
    <w:p w14:paraId="56F620A1">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Prioritize strategic cooperation (such as signing a cobalt supply agreement with Glencore) over wholly-owned acquisition.</w:t>
      </w:r>
    </w:p>
    <w:p w14:paraId="40180D91">
      <w:pPr>
        <w:rPr>
          <w:rFonts w:hint="default" w:ascii="Times New Roman" w:hAnsi="Times New Roman" w:cs="Times New Roman"/>
          <w:sz w:val="24"/>
          <w:szCs w:val="24"/>
          <w:lang w:val="en-US" w:eastAsia="zh-CN"/>
        </w:rPr>
      </w:pPr>
    </w:p>
    <w:p w14:paraId="5EA27708">
      <w:pPr>
        <w:pStyle w:val="10"/>
        <w:numPr>
          <w:ilvl w:val="0"/>
          <w:numId w:val="1"/>
        </w:numPr>
        <w:bidi w:val="0"/>
        <w:rPr>
          <w:rFonts w:hint="default"/>
          <w:lang w:val="en-US" w:eastAsia="zh-CN"/>
        </w:rPr>
      </w:pPr>
      <w:bookmarkStart w:id="12" w:name="_Toc11637"/>
      <w:r>
        <w:rPr>
          <w:rFonts w:hint="default"/>
          <w:lang w:val="en-US" w:eastAsia="zh-CN"/>
        </w:rPr>
        <w:t>Sustainability &amp; Strategic Recommendations</w:t>
      </w:r>
      <w:bookmarkEnd w:id="12"/>
    </w:p>
    <w:p w14:paraId="2A10F728">
      <w:pPr>
        <w:pStyle w:val="11"/>
        <w:bidi w:val="0"/>
        <w:rPr>
          <w:rFonts w:hint="default"/>
          <w:lang w:val="en-US" w:eastAsia="zh-CN"/>
        </w:rPr>
      </w:pPr>
      <w:bookmarkStart w:id="13" w:name="_Toc18953"/>
      <w:r>
        <w:rPr>
          <w:rFonts w:hint="default"/>
          <w:lang w:val="en-US" w:eastAsia="zh-CN"/>
        </w:rPr>
        <w:t>5.1 Evaluation of Existing Plans</w:t>
      </w:r>
      <w:bookmarkEnd w:id="13"/>
    </w:p>
    <w:p w14:paraId="09404B18">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Tesla's sustainable development initiatives exhibit the characteristics of "leading technology, lagging ethics":</w:t>
      </w:r>
    </w:p>
    <w:p w14:paraId="3BB258C6">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Environmental aspect: The Berlin factory achieves 100% renewable energy supply, and the Texas factory aims to achieve zero wastewater discharge by 2025. But the Nevada factory still relies on natural gas for power generation, with a lifecycle carbon footprint (21 tons/vehicle) higher than BYD's (18 tons).</w:t>
      </w:r>
    </w:p>
    <w:p w14:paraId="7FBD4259">
      <w:pPr>
        <w:rPr>
          <w:rFonts w:hint="default" w:ascii="Times New Roman" w:hAnsi="Times New Roman" w:cs="Times New Roman"/>
          <w:sz w:val="24"/>
          <w:szCs w:val="24"/>
          <w:lang w:val="en-US" w:eastAsia="zh-CN"/>
        </w:rPr>
      </w:pPr>
    </w:p>
    <w:p w14:paraId="1DBBF8CB">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societal level, there are allegations of child labor in the cobalt supply chain in Congo (Amnesty, 2024), and labor disputes in Mexican factories have led to project delays.</w:t>
      </w:r>
    </w:p>
    <w:p w14:paraId="753BE3F3">
      <w:pPr>
        <w:rPr>
          <w:rFonts w:hint="default" w:ascii="Times New Roman" w:hAnsi="Times New Roman" w:cs="Times New Roman"/>
          <w:sz w:val="24"/>
          <w:szCs w:val="24"/>
          <w:lang w:val="en-US" w:eastAsia="zh-CN"/>
        </w:rPr>
      </w:pPr>
    </w:p>
    <w:p w14:paraId="5863A1A1">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governance level, the independence of the board of directors is insufficient (with independent directors accounting for 42%), and the ESG rating is classified as "lagging" (CCC level) by MSCI.</w:t>
      </w:r>
    </w:p>
    <w:p w14:paraId="43C3B557">
      <w:pPr>
        <w:rPr>
          <w:rFonts w:hint="default" w:ascii="Times New Roman" w:hAnsi="Times New Roman" w:cs="Times New Roman"/>
          <w:sz w:val="24"/>
          <w:szCs w:val="24"/>
          <w:lang w:val="en-US" w:eastAsia="zh-CN"/>
        </w:rPr>
      </w:pPr>
    </w:p>
    <w:p w14:paraId="2A61D29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Strategic impact: Environmental technology increases brand premium (supporting a 20% pricing advantage), but supply chain ethical risks may trigger fines under the EU's Supply Chain Due Diligence Act (up to 4% of global revenue).</w:t>
      </w:r>
    </w:p>
    <w:p w14:paraId="7D23DFDF">
      <w:pPr>
        <w:rPr>
          <w:rFonts w:hint="default" w:ascii="Times New Roman" w:hAnsi="Times New Roman" w:cs="Times New Roman"/>
          <w:sz w:val="24"/>
          <w:szCs w:val="24"/>
          <w:lang w:val="en-US" w:eastAsia="zh-CN"/>
        </w:rPr>
      </w:pPr>
    </w:p>
    <w:p w14:paraId="289683A0">
      <w:pPr>
        <w:pStyle w:val="11"/>
        <w:bidi w:val="0"/>
        <w:rPr>
          <w:rFonts w:hint="default"/>
          <w:lang w:val="en-US" w:eastAsia="zh-CN"/>
        </w:rPr>
      </w:pPr>
      <w:bookmarkStart w:id="14" w:name="_Toc2899"/>
      <w:r>
        <w:rPr>
          <w:rFonts w:hint="default"/>
          <w:lang w:val="en-US" w:eastAsia="zh-CN"/>
        </w:rPr>
        <w:t>5.2 Strategic improvement suggestions</w:t>
      </w:r>
      <w:bookmarkEnd w:id="14"/>
    </w:p>
    <w:p w14:paraId="4F390667">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Internationalization Strategy and Local Compliance</w:t>
      </w:r>
    </w:p>
    <w:p w14:paraId="06C401EF">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Regional supply chain: Developing salt lake lithium mines in Argentina using DLE (Direct Lithium Extraction) technology, increasing the proportion of lithium supply from outside China from 40% to 60%, and avoiding restrictions under the US IRA Act.</w:t>
      </w:r>
    </w:p>
    <w:p w14:paraId="1660DCFB">
      <w:pPr>
        <w:rPr>
          <w:rFonts w:hint="default" w:ascii="Times New Roman" w:hAnsi="Times New Roman" w:cs="Times New Roman"/>
          <w:sz w:val="24"/>
          <w:szCs w:val="24"/>
          <w:lang w:val="en-US" w:eastAsia="zh-CN"/>
        </w:rPr>
      </w:pPr>
    </w:p>
    <w:p w14:paraId="5219863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Emerging market model: Promote "Battery as a Service" (BaaS) in Southeast Asia, where users rent batteries at a rate of 99/month to lower the car purchase threshold (Indonesian per capita GDP of 4800).</w:t>
      </w:r>
    </w:p>
    <w:p w14:paraId="39288349">
      <w:pPr>
        <w:rPr>
          <w:rFonts w:hint="default" w:ascii="Times New Roman" w:hAnsi="Times New Roman" w:cs="Times New Roman"/>
          <w:sz w:val="24"/>
          <w:szCs w:val="24"/>
          <w:lang w:val="en-US" w:eastAsia="zh-CN"/>
        </w:rPr>
      </w:pPr>
    </w:p>
    <w:p w14:paraId="6C5DF808">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Ethical supply chain construction</w:t>
      </w:r>
    </w:p>
    <w:p w14:paraId="72F2495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Blockchain traceability system: Collaborate with IBM to develop a cobalt supply chain tracking platform to ensure that Congo's minerals comply with OECD standards, with the goal of achieving 100% verifiability by 2025.</w:t>
      </w:r>
    </w:p>
    <w:p w14:paraId="52471F0A">
      <w:pPr>
        <w:rPr>
          <w:rFonts w:hint="default" w:ascii="Times New Roman" w:hAnsi="Times New Roman" w:cs="Times New Roman"/>
          <w:sz w:val="24"/>
          <w:szCs w:val="24"/>
          <w:lang w:val="en-US" w:eastAsia="zh-CN"/>
        </w:rPr>
      </w:pPr>
    </w:p>
    <w:p w14:paraId="7EA91708">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Labor rights protection: Adopting Tesla's unique "AI+manual" dual audit mechanism, monitoring labor conditions in Mexican factories, and reducing dispute resolution response time to 48 hours.</w:t>
      </w:r>
    </w:p>
    <w:p w14:paraId="3B837ED5">
      <w:pPr>
        <w:rPr>
          <w:rFonts w:hint="default" w:ascii="Times New Roman" w:hAnsi="Times New Roman" w:cs="Times New Roman"/>
          <w:sz w:val="24"/>
          <w:szCs w:val="24"/>
          <w:lang w:val="en-US" w:eastAsia="zh-CN"/>
        </w:rPr>
      </w:pPr>
    </w:p>
    <w:p w14:paraId="61373CF1">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Long term sustainable technology layout</w:t>
      </w:r>
    </w:p>
    <w:p w14:paraId="7ADF9FEB">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Circular Economy: Collaborate with Redwood Materials to increase battery recycling rates to 95% (currently 65%), and achieve 50% of battery materials from recycling by 2030.</w:t>
      </w:r>
    </w:p>
    <w:p w14:paraId="207D8B9E">
      <w:pPr>
        <w:rPr>
          <w:rFonts w:hint="default" w:ascii="Times New Roman" w:hAnsi="Times New Roman" w:cs="Times New Roman"/>
          <w:sz w:val="24"/>
          <w:szCs w:val="24"/>
          <w:lang w:val="en-US" w:eastAsia="zh-CN"/>
        </w:rPr>
      </w:pPr>
    </w:p>
    <w:p w14:paraId="117AF6F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Energy integration: Launching V2G (Vehicle to Grid) system, users can earn an average annual profit of $1200 by reselling electricity at night, enhancing the resilience of the power grid.</w:t>
      </w:r>
    </w:p>
    <w:p w14:paraId="27548AC3">
      <w:pPr>
        <w:rPr>
          <w:rFonts w:hint="default" w:ascii="Times New Roman" w:hAnsi="Times New Roman" w:cs="Times New Roman"/>
          <w:sz w:val="24"/>
          <w:szCs w:val="24"/>
          <w:lang w:val="en-US" w:eastAsia="zh-CN"/>
        </w:rPr>
      </w:pPr>
    </w:p>
    <w:p w14:paraId="0A25E9A6">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Optimization of governance structure</w:t>
      </w:r>
    </w:p>
    <w:p w14:paraId="194896B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ESG performance linked executive compensation: incorporating carbon emission intensity and supply chain ethical compliance rate into management KPIs, with a weight of no less than 30%.</w:t>
      </w:r>
    </w:p>
    <w:p w14:paraId="555A6F5C">
      <w:pPr>
        <w:rPr>
          <w:rFonts w:hint="default" w:ascii="Times New Roman" w:hAnsi="Times New Roman" w:cs="Times New Roman"/>
          <w:sz w:val="24"/>
          <w:szCs w:val="24"/>
          <w:lang w:val="en-US" w:eastAsia="zh-CN"/>
        </w:rPr>
      </w:pPr>
    </w:p>
    <w:p w14:paraId="5BFB39F1">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Independent director reform: Two climate scientists have been added to the board, increasing the proportion of independent directors to 55%.</w:t>
      </w:r>
    </w:p>
    <w:p w14:paraId="279D2912">
      <w:pPr>
        <w:rPr>
          <w:rFonts w:hint="default" w:ascii="Times New Roman" w:hAnsi="Times New Roman" w:cs="Times New Roman"/>
          <w:sz w:val="24"/>
          <w:szCs w:val="24"/>
          <w:lang w:val="en-US" w:eastAsia="zh-CN"/>
        </w:rPr>
      </w:pPr>
    </w:p>
    <w:p w14:paraId="584952AE">
      <w:pPr>
        <w:pStyle w:val="11"/>
        <w:bidi w:val="0"/>
        <w:rPr>
          <w:rFonts w:hint="default"/>
          <w:lang w:val="en-US" w:eastAsia="zh-CN"/>
        </w:rPr>
      </w:pPr>
      <w:bookmarkStart w:id="15" w:name="_Toc26134"/>
      <w:r>
        <w:rPr>
          <w:rFonts w:hint="default"/>
          <w:lang w:val="en-US" w:eastAsia="zh-CN"/>
        </w:rPr>
        <w:t>5.3 Strategic synergy effect</w:t>
      </w:r>
      <w:bookmarkEnd w:id="15"/>
    </w:p>
    <w:p w14:paraId="66E87B3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Differentiated Enhancement: By using V2G and BaaS models, vehicles are transformed from "consumer goods" to "energy assets", enhancing user stickiness (increasing LTV by $5000).</w:t>
      </w:r>
    </w:p>
    <w:p w14:paraId="0A796A73">
      <w:pPr>
        <w:rPr>
          <w:rFonts w:hint="default" w:ascii="Times New Roman" w:hAnsi="Times New Roman" w:cs="Times New Roman"/>
          <w:sz w:val="24"/>
          <w:szCs w:val="24"/>
          <w:lang w:val="en-US" w:eastAsia="zh-CN"/>
        </w:rPr>
      </w:pPr>
    </w:p>
    <w:p w14:paraId="638DD37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Cost control: Recycling battery materials can reduce the cost of 4680 batteries by 12%, supporting the $25000 pricing of Model 2.</w:t>
      </w:r>
    </w:p>
    <w:p w14:paraId="2F7422B3">
      <w:pPr>
        <w:rPr>
          <w:rFonts w:hint="default" w:ascii="Times New Roman" w:hAnsi="Times New Roman" w:cs="Times New Roman"/>
          <w:sz w:val="24"/>
          <w:szCs w:val="24"/>
          <w:lang w:val="en-US" w:eastAsia="zh-CN"/>
        </w:rPr>
      </w:pPr>
    </w:p>
    <w:p w14:paraId="774F5429">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Risk hedging: Localized supply chains reduce geopolitical shocks and maintain a 10% cost advantage even after the implementation of the EU Carbon Tariff (CBAM).</w:t>
      </w:r>
    </w:p>
    <w:p w14:paraId="2F3EAD0F">
      <w:pPr>
        <w:rPr>
          <w:rFonts w:hint="default" w:ascii="Times New Roman" w:hAnsi="Times New Roman" w:cs="Times New Roman"/>
          <w:sz w:val="24"/>
          <w:szCs w:val="24"/>
          <w:lang w:val="en-US" w:eastAsia="zh-CN"/>
        </w:rPr>
      </w:pPr>
    </w:p>
    <w:p w14:paraId="139C1EFA">
      <w:pPr>
        <w:pStyle w:val="10"/>
        <w:numPr>
          <w:ilvl w:val="0"/>
          <w:numId w:val="1"/>
        </w:numPr>
        <w:bidi w:val="0"/>
        <w:rPr>
          <w:rFonts w:hint="default"/>
          <w:lang w:val="en-US" w:eastAsia="zh-CN"/>
        </w:rPr>
      </w:pPr>
      <w:bookmarkStart w:id="16" w:name="_Toc3803"/>
      <w:r>
        <w:rPr>
          <w:rFonts w:hint="default"/>
          <w:lang w:val="en-US" w:eastAsia="zh-CN"/>
        </w:rPr>
        <w:t>Conclusion</w:t>
      </w:r>
      <w:bookmarkEnd w:id="16"/>
    </w:p>
    <w:p w14:paraId="21A17F72">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Tesla’s strategic positioning in the EV revolution underscores the interplay between innovation, sustainability, and geopolitical agility. Key findings reveal that its vertical integration (e.g., 4680 batteries, Gigafactories) and data-driven ecosystems (FSD, Dojo) provide short-term advantages, while geopolitical dependencies (60% lithium from China) and ESG gaps (cobalt sourcing controversies) pose systemic risks. The company’s hybrid strategy—cost leadership through scale and differentiation via software—faces pressure from rivals like BYD, which leverages “EV-ICE price parity” to erode margins.</w:t>
      </w:r>
    </w:p>
    <w:p w14:paraId="22B2FF39">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Strategic management in a sustainable business environment demands balancing profitability with planetary boundaries. Tesla’s case demonstrates that sustainability is not merely compliance but a strategic lever:</w:t>
      </w:r>
    </w:p>
    <w:p w14:paraId="46B97575">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Environmental resilience (e.g., V2G, battery recycling) can reduce resource costs while enhancing brand equity.</w:t>
      </w:r>
    </w:p>
    <w:p w14:paraId="715A0DE6">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Ethical supply chains (blockchain-tracked cobalt) mitigate regulatory risks and align with tightening global standards (EU CSDDD).</w:t>
      </w:r>
    </w:p>
    <w:p w14:paraId="17F0D978">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Dynamic governance (ESG-linked executive pay) ensures long-term adaptability amid climate and technological disruptions.</w:t>
      </w:r>
    </w:p>
    <w:p w14:paraId="6A80EA9E">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Ultimately, Tesla’s success hinges on transforming sustainability from a reporting obligation into a core innovation driver. By embedding circularity, ethical AI, and regionalized production into its strategic DNA, Tesla can navigate the triple squeeze of cost competition, regulatory scrutiny, and climate urgency—setting a blueprint for the automotive industry’s sustainable transformation.</w:t>
      </w:r>
    </w:p>
    <w:p w14:paraId="6AA6F896">
      <w:pPr>
        <w:numPr>
          <w:ilvl w:val="0"/>
          <w:numId w:val="0"/>
        </w:numPr>
        <w:ind w:leftChars="0"/>
        <w:rPr>
          <w:rFonts w:hint="default" w:ascii="Times New Roman" w:hAnsi="Times New Roman" w:cs="Times New Roman"/>
          <w:sz w:val="24"/>
          <w:szCs w:val="24"/>
          <w:lang w:val="en-US" w:eastAsia="zh-CN"/>
        </w:rPr>
      </w:pPr>
    </w:p>
    <w:p w14:paraId="29659B3F">
      <w:pPr>
        <w:numPr>
          <w:ilvl w:val="0"/>
          <w:numId w:val="0"/>
        </w:numPr>
        <w:ind w:leftChars="0"/>
        <w:rPr>
          <w:rFonts w:hint="default" w:ascii="Times New Roman" w:hAnsi="Times New Roman" w:cs="Times New Roman"/>
          <w:sz w:val="24"/>
          <w:szCs w:val="24"/>
          <w:lang w:val="en-US" w:eastAsia="zh-CN"/>
        </w:rPr>
      </w:pPr>
    </w:p>
    <w:p w14:paraId="76B64318">
      <w:pPr>
        <w:numPr>
          <w:ilvl w:val="0"/>
          <w:numId w:val="0"/>
        </w:numPr>
        <w:ind w:leftChars="0"/>
        <w:rPr>
          <w:rFonts w:hint="default" w:ascii="Times New Roman" w:hAnsi="Times New Roman" w:cs="Times New Roman"/>
          <w:sz w:val="24"/>
          <w:szCs w:val="24"/>
          <w:lang w:val="en-US" w:eastAsia="zh-CN"/>
        </w:rPr>
      </w:pPr>
    </w:p>
    <w:p w14:paraId="26017EE0">
      <w:pPr>
        <w:numPr>
          <w:ilvl w:val="0"/>
          <w:numId w:val="0"/>
        </w:numPr>
        <w:ind w:leftChars="0"/>
        <w:rPr>
          <w:rFonts w:hint="default" w:ascii="Times New Roman" w:hAnsi="Times New Roman" w:cs="Times New Roman"/>
          <w:sz w:val="24"/>
          <w:szCs w:val="24"/>
          <w:lang w:val="en-US" w:eastAsia="zh-CN"/>
        </w:rPr>
      </w:pPr>
    </w:p>
    <w:p w14:paraId="2A859744">
      <w:pPr>
        <w:numPr>
          <w:ilvl w:val="0"/>
          <w:numId w:val="0"/>
        </w:numPr>
        <w:ind w:leftChars="0"/>
        <w:rPr>
          <w:rFonts w:hint="default" w:ascii="Times New Roman" w:hAnsi="Times New Roman" w:cs="Times New Roman"/>
          <w:sz w:val="24"/>
          <w:szCs w:val="24"/>
          <w:lang w:val="en-US" w:eastAsia="zh-CN"/>
        </w:rPr>
      </w:pPr>
    </w:p>
    <w:p w14:paraId="788EACAC">
      <w:pPr>
        <w:numPr>
          <w:ilvl w:val="0"/>
          <w:numId w:val="0"/>
        </w:numPr>
        <w:ind w:leftChars="0"/>
        <w:rPr>
          <w:rFonts w:hint="default" w:ascii="Times New Roman" w:hAnsi="Times New Roman" w:cs="Times New Roman"/>
          <w:sz w:val="24"/>
          <w:szCs w:val="24"/>
          <w:lang w:val="en-US" w:eastAsia="zh-CN"/>
        </w:rPr>
      </w:pPr>
    </w:p>
    <w:p w14:paraId="223A1573">
      <w:pPr>
        <w:numPr>
          <w:ilvl w:val="0"/>
          <w:numId w:val="0"/>
        </w:numPr>
        <w:ind w:leftChars="0"/>
        <w:rPr>
          <w:rFonts w:hint="default" w:ascii="Times New Roman" w:hAnsi="Times New Roman" w:cs="Times New Roman"/>
          <w:sz w:val="24"/>
          <w:szCs w:val="24"/>
          <w:lang w:val="en-US" w:eastAsia="zh-CN"/>
        </w:rPr>
      </w:pPr>
    </w:p>
    <w:p w14:paraId="67E9EA13">
      <w:pPr>
        <w:numPr>
          <w:ilvl w:val="0"/>
          <w:numId w:val="0"/>
        </w:numPr>
        <w:ind w:leftChars="0"/>
        <w:rPr>
          <w:rFonts w:hint="default" w:ascii="Times New Roman" w:hAnsi="Times New Roman" w:cs="Times New Roman"/>
          <w:sz w:val="24"/>
          <w:szCs w:val="24"/>
          <w:lang w:val="en-US" w:eastAsia="zh-CN"/>
        </w:rPr>
      </w:pPr>
    </w:p>
    <w:p w14:paraId="2137F478">
      <w:pPr>
        <w:numPr>
          <w:ilvl w:val="0"/>
          <w:numId w:val="0"/>
        </w:numPr>
        <w:ind w:leftChars="0"/>
        <w:rPr>
          <w:rFonts w:hint="default" w:ascii="Times New Roman" w:hAnsi="Times New Roman" w:cs="Times New Roman"/>
          <w:sz w:val="24"/>
          <w:szCs w:val="24"/>
          <w:lang w:val="en-US" w:eastAsia="zh-CN"/>
        </w:rPr>
      </w:pPr>
    </w:p>
    <w:p w14:paraId="094A8F77">
      <w:pPr>
        <w:numPr>
          <w:ilvl w:val="0"/>
          <w:numId w:val="0"/>
        </w:numPr>
        <w:ind w:leftChars="0"/>
        <w:rPr>
          <w:rFonts w:hint="default" w:ascii="Times New Roman" w:hAnsi="Times New Roman" w:cs="Times New Roman"/>
          <w:sz w:val="24"/>
          <w:szCs w:val="24"/>
          <w:lang w:val="en-US" w:eastAsia="zh-CN"/>
        </w:rPr>
      </w:pPr>
    </w:p>
    <w:p w14:paraId="63D522F1">
      <w:pPr>
        <w:numPr>
          <w:ilvl w:val="0"/>
          <w:numId w:val="0"/>
        </w:numPr>
        <w:ind w:leftChars="0"/>
        <w:rPr>
          <w:rFonts w:hint="default" w:ascii="Times New Roman" w:hAnsi="Times New Roman" w:cs="Times New Roman"/>
          <w:sz w:val="24"/>
          <w:szCs w:val="24"/>
          <w:lang w:val="en-US" w:eastAsia="zh-CN"/>
        </w:rPr>
      </w:pPr>
    </w:p>
    <w:p w14:paraId="6EA44765">
      <w:pPr>
        <w:rPr>
          <w:rFonts w:hint="default" w:ascii="Times New Roman" w:hAnsi="Times New Roman" w:cs="Times New Roman"/>
          <w:sz w:val="24"/>
          <w:szCs w:val="24"/>
        </w:rPr>
      </w:pPr>
    </w:p>
    <w:p w14:paraId="2369BE5C">
      <w:pPr>
        <w:rPr>
          <w:rFonts w:hint="default" w:ascii="Times New Roman" w:hAnsi="Times New Roman" w:cs="Times New Roman"/>
          <w:sz w:val="24"/>
          <w:szCs w:val="24"/>
        </w:rPr>
      </w:pPr>
    </w:p>
    <w:p w14:paraId="0BB1991B">
      <w:pPr>
        <w:rPr>
          <w:rFonts w:hint="default" w:ascii="Times New Roman" w:hAnsi="Times New Roman" w:cs="Times New Roman"/>
          <w:sz w:val="24"/>
          <w:szCs w:val="24"/>
        </w:rPr>
      </w:pPr>
    </w:p>
    <w:p w14:paraId="1AF66D63">
      <w:pPr>
        <w:rPr>
          <w:rFonts w:hint="default" w:ascii="Times New Roman" w:hAnsi="Times New Roman" w:cs="Times New Roman"/>
          <w:sz w:val="24"/>
          <w:szCs w:val="24"/>
        </w:rPr>
      </w:pPr>
    </w:p>
    <w:p w14:paraId="1022B0FC">
      <w:pPr>
        <w:rPr>
          <w:rFonts w:hint="default" w:ascii="Times New Roman" w:hAnsi="Times New Roman" w:cs="Times New Roman"/>
          <w:sz w:val="24"/>
          <w:szCs w:val="24"/>
        </w:rPr>
      </w:pPr>
    </w:p>
    <w:p w14:paraId="5BBAE96C">
      <w:pPr>
        <w:rPr>
          <w:rFonts w:hint="default" w:ascii="Times New Roman" w:hAnsi="Times New Roman" w:cs="Times New Roman"/>
          <w:sz w:val="24"/>
          <w:szCs w:val="24"/>
        </w:rPr>
      </w:pPr>
    </w:p>
    <w:p w14:paraId="6212DA38">
      <w:pPr>
        <w:rPr>
          <w:rStyle w:val="12"/>
          <w:rFonts w:hint="eastAsia"/>
          <w:lang w:val="en-US" w:eastAsia="zh-CN"/>
        </w:rPr>
      </w:pPr>
      <w:bookmarkStart w:id="17" w:name="_Toc27279"/>
    </w:p>
    <w:p w14:paraId="0D93E35F">
      <w:pPr>
        <w:rPr>
          <w:rFonts w:hint="eastAsia" w:ascii="Times New Roman" w:hAnsi="Times New Roman" w:cs="Times New Roman" w:eastAsiaTheme="minorEastAsia"/>
          <w:b/>
          <w:bCs/>
          <w:sz w:val="28"/>
          <w:szCs w:val="28"/>
          <w:lang w:val="en-US" w:eastAsia="zh-CN"/>
        </w:rPr>
      </w:pPr>
      <w:r>
        <w:rPr>
          <w:rStyle w:val="12"/>
          <w:rFonts w:hint="eastAsia"/>
          <w:lang w:val="en-US" w:eastAsia="zh-CN"/>
        </w:rPr>
        <w:t>R</w:t>
      </w:r>
      <w:r>
        <w:rPr>
          <w:rStyle w:val="12"/>
          <w:rFonts w:hint="default"/>
        </w:rPr>
        <w:t>eference</w:t>
      </w:r>
      <w:bookmarkEnd w:id="17"/>
      <w:r>
        <w:rPr>
          <w:rFonts w:hint="eastAsia" w:ascii="Times New Roman" w:hAnsi="Times New Roman" w:cs="Times New Roman"/>
          <w:b/>
          <w:bCs/>
          <w:sz w:val="28"/>
          <w:szCs w:val="28"/>
          <w:lang w:eastAsia="zh-CN"/>
        </w:rPr>
        <w:t>：</w:t>
      </w:r>
    </w:p>
    <w:p w14:paraId="3AF099F1">
      <w:pPr>
        <w:rPr>
          <w:rFonts w:hint="default" w:ascii="Times New Roman" w:hAnsi="Times New Roman" w:cs="Times New Roman"/>
          <w:sz w:val="24"/>
          <w:szCs w:val="24"/>
        </w:rPr>
      </w:pPr>
      <w:r>
        <w:rPr>
          <w:rFonts w:hint="default" w:ascii="Times New Roman" w:hAnsi="Times New Roman" w:cs="Times New Roman"/>
          <w:sz w:val="24"/>
          <w:szCs w:val="24"/>
        </w:rPr>
        <w:t xml:space="preserve">Amnesty International (2024) </w:t>
      </w:r>
      <w:r>
        <w:rPr>
          <w:rFonts w:hint="default" w:ascii="Times New Roman" w:hAnsi="Times New Roman" w:cs="Times New Roman"/>
          <w:i/>
          <w:iCs/>
          <w:sz w:val="24"/>
          <w:szCs w:val="24"/>
        </w:rPr>
        <w:t>Cobalt mining and human rights in the DRC</w:t>
      </w:r>
      <w:r>
        <w:rPr>
          <w:rFonts w:hint="default" w:ascii="Times New Roman" w:hAnsi="Times New Roman" w:cs="Times New Roman"/>
          <w:sz w:val="24"/>
          <w:szCs w:val="24"/>
        </w:rPr>
        <w:t>. London: Amnesty.</w:t>
      </w:r>
    </w:p>
    <w:p w14:paraId="179B7B2F">
      <w:pPr>
        <w:rPr>
          <w:rFonts w:hint="default" w:ascii="Times New Roman" w:hAnsi="Times New Roman" w:cs="Times New Roman"/>
          <w:sz w:val="24"/>
          <w:szCs w:val="24"/>
        </w:rPr>
      </w:pPr>
    </w:p>
    <w:p w14:paraId="6FB12311">
      <w:pPr>
        <w:rPr>
          <w:rFonts w:hint="default" w:ascii="Times New Roman" w:hAnsi="Times New Roman" w:cs="Times New Roman"/>
          <w:sz w:val="24"/>
          <w:szCs w:val="24"/>
        </w:rPr>
      </w:pPr>
      <w:r>
        <w:rPr>
          <w:rFonts w:hint="default" w:ascii="Times New Roman" w:hAnsi="Times New Roman" w:cs="Times New Roman"/>
          <w:sz w:val="24"/>
          <w:szCs w:val="24"/>
        </w:rPr>
        <w:t xml:space="preserve">Benchmark Minerals (2024) </w:t>
      </w:r>
      <w:r>
        <w:rPr>
          <w:rFonts w:hint="default" w:ascii="Times New Roman" w:hAnsi="Times New Roman" w:cs="Times New Roman"/>
          <w:i/>
          <w:iCs/>
          <w:sz w:val="24"/>
          <w:szCs w:val="24"/>
        </w:rPr>
        <w:t>Q1 2024 Lithium-ion Battery Price Index</w:t>
      </w:r>
      <w:r>
        <w:rPr>
          <w:rFonts w:hint="default" w:ascii="Times New Roman" w:hAnsi="Times New Roman" w:cs="Times New Roman"/>
          <w:sz w:val="24"/>
          <w:szCs w:val="24"/>
        </w:rPr>
        <w:t>. London: BMI.</w:t>
      </w:r>
    </w:p>
    <w:p w14:paraId="7719625E">
      <w:pPr>
        <w:rPr>
          <w:rFonts w:hint="default" w:ascii="Times New Roman" w:hAnsi="Times New Roman" w:cs="Times New Roman"/>
          <w:sz w:val="24"/>
          <w:szCs w:val="24"/>
        </w:rPr>
      </w:pPr>
    </w:p>
    <w:p w14:paraId="35DF3560">
      <w:pPr>
        <w:rPr>
          <w:rFonts w:hint="default" w:ascii="Times New Roman" w:hAnsi="Times New Roman" w:cs="Times New Roman"/>
          <w:sz w:val="24"/>
          <w:szCs w:val="24"/>
        </w:rPr>
      </w:pPr>
      <w:r>
        <w:rPr>
          <w:rFonts w:hint="default" w:ascii="Times New Roman" w:hAnsi="Times New Roman" w:cs="Times New Roman"/>
          <w:sz w:val="24"/>
          <w:szCs w:val="24"/>
        </w:rPr>
        <w:t xml:space="preserve">EU Commission (2024) </w:t>
      </w:r>
      <w:r>
        <w:rPr>
          <w:rFonts w:hint="default" w:ascii="Times New Roman" w:hAnsi="Times New Roman" w:cs="Times New Roman"/>
          <w:i/>
          <w:iCs/>
          <w:sz w:val="24"/>
          <w:szCs w:val="24"/>
        </w:rPr>
        <w:t>Regulation on the phase-out of internal combustion engine vehicles</w:t>
      </w:r>
      <w:r>
        <w:rPr>
          <w:rFonts w:hint="default" w:ascii="Times New Roman" w:hAnsi="Times New Roman" w:cs="Times New Roman"/>
          <w:sz w:val="24"/>
          <w:szCs w:val="24"/>
        </w:rPr>
        <w:t>. Brussels: EU.</w:t>
      </w:r>
    </w:p>
    <w:p w14:paraId="49E8D584">
      <w:pPr>
        <w:rPr>
          <w:rFonts w:hint="default" w:ascii="Times New Roman" w:hAnsi="Times New Roman" w:cs="Times New Roman"/>
          <w:sz w:val="24"/>
          <w:szCs w:val="24"/>
        </w:rPr>
      </w:pPr>
    </w:p>
    <w:p w14:paraId="517492A4">
      <w:pPr>
        <w:rPr>
          <w:rFonts w:hint="default" w:ascii="Times New Roman" w:hAnsi="Times New Roman" w:cs="Times New Roman"/>
          <w:sz w:val="24"/>
          <w:szCs w:val="24"/>
        </w:rPr>
      </w:pPr>
      <w:r>
        <w:rPr>
          <w:rFonts w:hint="default" w:ascii="Times New Roman" w:hAnsi="Times New Roman" w:cs="Times New Roman"/>
          <w:sz w:val="24"/>
          <w:szCs w:val="24"/>
        </w:rPr>
        <w:t xml:space="preserve">IEA (2024) </w:t>
      </w:r>
      <w:r>
        <w:rPr>
          <w:rFonts w:hint="default" w:ascii="Times New Roman" w:hAnsi="Times New Roman" w:cs="Times New Roman"/>
          <w:i/>
          <w:iCs/>
          <w:sz w:val="24"/>
          <w:szCs w:val="24"/>
        </w:rPr>
        <w:t>Global EV Outlook 2024</w:t>
      </w:r>
      <w:r>
        <w:rPr>
          <w:rFonts w:hint="default" w:ascii="Times New Roman" w:hAnsi="Times New Roman" w:cs="Times New Roman"/>
          <w:sz w:val="24"/>
          <w:szCs w:val="24"/>
        </w:rPr>
        <w:t>. Paris: OECD.</w:t>
      </w:r>
    </w:p>
    <w:p w14:paraId="6F9F23A6">
      <w:pPr>
        <w:rPr>
          <w:rFonts w:hint="default" w:ascii="Times New Roman" w:hAnsi="Times New Roman" w:cs="Times New Roman"/>
          <w:sz w:val="24"/>
          <w:szCs w:val="24"/>
        </w:rPr>
      </w:pPr>
    </w:p>
    <w:p w14:paraId="6631AFE8">
      <w:pPr>
        <w:rPr>
          <w:rFonts w:hint="default" w:ascii="Times New Roman" w:hAnsi="Times New Roman" w:cs="Times New Roman"/>
          <w:sz w:val="24"/>
          <w:szCs w:val="24"/>
        </w:rPr>
      </w:pPr>
      <w:r>
        <w:rPr>
          <w:rFonts w:hint="default" w:ascii="Times New Roman" w:hAnsi="Times New Roman" w:cs="Times New Roman"/>
          <w:sz w:val="24"/>
          <w:szCs w:val="24"/>
        </w:rPr>
        <w:t xml:space="preserve">IFRS Foundation (2024) </w:t>
      </w:r>
      <w:r>
        <w:rPr>
          <w:rFonts w:hint="default" w:ascii="Times New Roman" w:hAnsi="Times New Roman" w:cs="Times New Roman"/>
          <w:i/>
          <w:iCs/>
          <w:sz w:val="24"/>
          <w:szCs w:val="24"/>
        </w:rPr>
        <w:t>ISSB Sustainability Disclosure Standards</w:t>
      </w:r>
      <w:r>
        <w:rPr>
          <w:rFonts w:hint="default" w:ascii="Times New Roman" w:hAnsi="Times New Roman" w:cs="Times New Roman"/>
          <w:sz w:val="24"/>
          <w:szCs w:val="24"/>
        </w:rPr>
        <w:t>. London: IFRS.</w:t>
      </w:r>
    </w:p>
    <w:p w14:paraId="0EAFB79F">
      <w:pPr>
        <w:rPr>
          <w:rFonts w:hint="default" w:ascii="Times New Roman" w:hAnsi="Times New Roman" w:cs="Times New Roman"/>
          <w:sz w:val="24"/>
          <w:szCs w:val="24"/>
        </w:rPr>
      </w:pPr>
    </w:p>
    <w:p w14:paraId="61BDDAF7">
      <w:pPr>
        <w:rPr>
          <w:rFonts w:hint="default" w:ascii="Times New Roman" w:hAnsi="Times New Roman" w:cs="Times New Roman"/>
          <w:sz w:val="24"/>
          <w:szCs w:val="24"/>
        </w:rPr>
      </w:pPr>
      <w:r>
        <w:rPr>
          <w:rFonts w:hint="default" w:ascii="Times New Roman" w:hAnsi="Times New Roman" w:cs="Times New Roman"/>
          <w:sz w:val="24"/>
          <w:szCs w:val="24"/>
        </w:rPr>
        <w:t xml:space="preserve">J.D. Power (2024) </w:t>
      </w:r>
      <w:r>
        <w:rPr>
          <w:rFonts w:hint="default" w:ascii="Times New Roman" w:hAnsi="Times New Roman" w:cs="Times New Roman"/>
          <w:i/>
          <w:iCs/>
          <w:sz w:val="24"/>
          <w:szCs w:val="24"/>
        </w:rPr>
        <w:t>EV Consumer Sentiment Study</w:t>
      </w:r>
      <w:r>
        <w:rPr>
          <w:rFonts w:hint="default" w:ascii="Times New Roman" w:hAnsi="Times New Roman" w:cs="Times New Roman"/>
          <w:sz w:val="24"/>
          <w:szCs w:val="24"/>
        </w:rPr>
        <w:t>. California: J.D. Power.</w:t>
      </w:r>
    </w:p>
    <w:p w14:paraId="54D15C14">
      <w:pPr>
        <w:rPr>
          <w:rFonts w:hint="default" w:ascii="Times New Roman" w:hAnsi="Times New Roman" w:cs="Times New Roman"/>
          <w:sz w:val="24"/>
          <w:szCs w:val="24"/>
        </w:rPr>
      </w:pPr>
    </w:p>
    <w:p w14:paraId="0441D667">
      <w:pPr>
        <w:rPr>
          <w:rFonts w:hint="default" w:ascii="Times New Roman" w:hAnsi="Times New Roman" w:cs="Times New Roman"/>
          <w:sz w:val="24"/>
          <w:szCs w:val="24"/>
        </w:rPr>
      </w:pPr>
      <w:r>
        <w:rPr>
          <w:rFonts w:hint="default" w:ascii="Times New Roman" w:hAnsi="Times New Roman" w:cs="Times New Roman"/>
          <w:sz w:val="24"/>
          <w:szCs w:val="24"/>
        </w:rPr>
        <w:t xml:space="preserve">McKinsey &amp; Company (2024) </w:t>
      </w:r>
      <w:r>
        <w:rPr>
          <w:rFonts w:hint="default" w:ascii="Times New Roman" w:hAnsi="Times New Roman" w:cs="Times New Roman"/>
          <w:i/>
          <w:iCs/>
          <w:sz w:val="24"/>
          <w:szCs w:val="24"/>
        </w:rPr>
        <w:t>Mobility Disruption Survey</w:t>
      </w:r>
      <w:r>
        <w:rPr>
          <w:rFonts w:hint="default" w:ascii="Times New Roman" w:hAnsi="Times New Roman" w:cs="Times New Roman"/>
          <w:sz w:val="24"/>
          <w:szCs w:val="24"/>
        </w:rPr>
        <w:t>. New York: McKinsey.</w:t>
      </w:r>
    </w:p>
    <w:p w14:paraId="57A7FD6A">
      <w:pPr>
        <w:rPr>
          <w:rFonts w:hint="default" w:ascii="Times New Roman" w:hAnsi="Times New Roman" w:cs="Times New Roman"/>
          <w:sz w:val="24"/>
          <w:szCs w:val="24"/>
        </w:rPr>
      </w:pPr>
    </w:p>
    <w:p w14:paraId="2A8CDD84">
      <w:pPr>
        <w:rPr>
          <w:rFonts w:hint="default" w:ascii="Times New Roman" w:hAnsi="Times New Roman" w:cs="Times New Roman"/>
          <w:sz w:val="24"/>
          <w:szCs w:val="24"/>
        </w:rPr>
      </w:pPr>
      <w:r>
        <w:rPr>
          <w:rFonts w:hint="default" w:ascii="Times New Roman" w:hAnsi="Times New Roman" w:cs="Times New Roman"/>
          <w:sz w:val="24"/>
          <w:szCs w:val="24"/>
        </w:rPr>
        <w:t xml:space="preserve">Munro &amp; Associates (2024) </w:t>
      </w:r>
      <w:r>
        <w:rPr>
          <w:rFonts w:hint="default" w:ascii="Times New Roman" w:hAnsi="Times New Roman" w:cs="Times New Roman"/>
          <w:i/>
          <w:iCs/>
          <w:sz w:val="24"/>
          <w:szCs w:val="24"/>
        </w:rPr>
        <w:t>Teardown Analysis of Tesla Model Y</w:t>
      </w:r>
      <w:r>
        <w:rPr>
          <w:rFonts w:hint="default" w:ascii="Times New Roman" w:hAnsi="Times New Roman" w:cs="Times New Roman"/>
          <w:sz w:val="24"/>
          <w:szCs w:val="24"/>
        </w:rPr>
        <w:t>. Detroit: Munro Live.</w:t>
      </w:r>
    </w:p>
    <w:p w14:paraId="1EE751E3">
      <w:pPr>
        <w:rPr>
          <w:rFonts w:hint="default" w:ascii="Times New Roman" w:hAnsi="Times New Roman" w:cs="Times New Roman"/>
          <w:sz w:val="24"/>
          <w:szCs w:val="24"/>
        </w:rPr>
      </w:pPr>
    </w:p>
    <w:p w14:paraId="452ECF8F">
      <w:pPr>
        <w:rPr>
          <w:rFonts w:hint="default" w:ascii="Times New Roman" w:hAnsi="Times New Roman" w:cs="Times New Roman"/>
          <w:sz w:val="24"/>
          <w:szCs w:val="24"/>
        </w:rPr>
      </w:pPr>
      <w:r>
        <w:rPr>
          <w:rFonts w:hint="default" w:ascii="Times New Roman" w:hAnsi="Times New Roman" w:cs="Times New Roman"/>
          <w:sz w:val="24"/>
          <w:szCs w:val="24"/>
        </w:rPr>
        <w:t>NHTSA (2024)</w:t>
      </w:r>
      <w:r>
        <w:rPr>
          <w:rFonts w:hint="default" w:ascii="Times New Roman" w:hAnsi="Times New Roman" w:cs="Times New Roman"/>
          <w:i/>
          <w:iCs/>
          <w:sz w:val="24"/>
          <w:szCs w:val="24"/>
        </w:rPr>
        <w:t xml:space="preserve"> Autonomous Vehicle Incident Report</w:t>
      </w:r>
      <w:r>
        <w:rPr>
          <w:rFonts w:hint="default" w:ascii="Times New Roman" w:hAnsi="Times New Roman" w:cs="Times New Roman"/>
          <w:sz w:val="24"/>
          <w:szCs w:val="24"/>
        </w:rPr>
        <w:t>. Washington: NHTSA.</w:t>
      </w:r>
    </w:p>
    <w:p w14:paraId="6289819A">
      <w:pPr>
        <w:rPr>
          <w:rFonts w:hint="default" w:ascii="Times New Roman" w:hAnsi="Times New Roman" w:cs="Times New Roman"/>
          <w:sz w:val="24"/>
          <w:szCs w:val="24"/>
        </w:rPr>
      </w:pPr>
    </w:p>
    <w:p w14:paraId="59793F85">
      <w:pPr>
        <w:rPr>
          <w:rFonts w:hint="default" w:ascii="Times New Roman" w:hAnsi="Times New Roman" w:cs="Times New Roman"/>
          <w:sz w:val="24"/>
          <w:szCs w:val="24"/>
        </w:rPr>
      </w:pPr>
      <w:r>
        <w:rPr>
          <w:rFonts w:hint="default" w:ascii="Times New Roman" w:hAnsi="Times New Roman" w:cs="Times New Roman"/>
          <w:sz w:val="24"/>
          <w:szCs w:val="24"/>
        </w:rPr>
        <w:t xml:space="preserve">California Legislature (2024) </w:t>
      </w:r>
      <w:r>
        <w:rPr>
          <w:rFonts w:hint="default" w:ascii="Times New Roman" w:hAnsi="Times New Roman" w:cs="Times New Roman"/>
          <w:i/>
          <w:iCs/>
          <w:sz w:val="24"/>
          <w:szCs w:val="24"/>
        </w:rPr>
        <w:t>Assembly Bill No. 316: Autonomous vehicle marketing regulations</w:t>
      </w:r>
      <w:r>
        <w:rPr>
          <w:rFonts w:hint="default" w:ascii="Times New Roman" w:hAnsi="Times New Roman" w:cs="Times New Roman"/>
          <w:sz w:val="24"/>
          <w:szCs w:val="24"/>
        </w:rPr>
        <w:t>. Sacramento: State of California.</w:t>
      </w:r>
    </w:p>
    <w:p w14:paraId="09340414">
      <w:pPr>
        <w:rPr>
          <w:rFonts w:hint="default" w:ascii="Times New Roman" w:hAnsi="Times New Roman" w:cs="Times New Roman"/>
          <w:sz w:val="24"/>
          <w:szCs w:val="24"/>
        </w:rPr>
      </w:pPr>
    </w:p>
    <w:p w14:paraId="4673F16B">
      <w:pPr>
        <w:rPr>
          <w:rFonts w:hint="default" w:ascii="Times New Roman" w:hAnsi="Times New Roman" w:cs="Times New Roman"/>
          <w:sz w:val="24"/>
          <w:szCs w:val="24"/>
        </w:rPr>
      </w:pPr>
      <w:r>
        <w:rPr>
          <w:rFonts w:hint="default" w:ascii="Times New Roman" w:hAnsi="Times New Roman" w:cs="Times New Roman"/>
          <w:sz w:val="24"/>
          <w:szCs w:val="24"/>
        </w:rPr>
        <w:t xml:space="preserve">Edmunds (2024) </w:t>
      </w:r>
      <w:r>
        <w:rPr>
          <w:rFonts w:hint="default" w:ascii="Times New Roman" w:hAnsi="Times New Roman" w:cs="Times New Roman"/>
          <w:i/>
          <w:iCs/>
          <w:sz w:val="24"/>
          <w:szCs w:val="24"/>
        </w:rPr>
        <w:t>Consumer Perception Survey on Autonomous Driving Terminology</w:t>
      </w:r>
      <w:r>
        <w:rPr>
          <w:rFonts w:hint="default" w:ascii="Times New Roman" w:hAnsi="Times New Roman" w:cs="Times New Roman"/>
          <w:sz w:val="24"/>
          <w:szCs w:val="24"/>
        </w:rPr>
        <w:t>. Santa Monica: Edmunds.</w:t>
      </w:r>
    </w:p>
    <w:p w14:paraId="7D004EDC">
      <w:pPr>
        <w:rPr>
          <w:rFonts w:hint="default" w:ascii="Times New Roman" w:hAnsi="Times New Roman" w:cs="Times New Roman"/>
          <w:sz w:val="24"/>
          <w:szCs w:val="24"/>
        </w:rPr>
      </w:pPr>
    </w:p>
    <w:p w14:paraId="73874214">
      <w:pPr>
        <w:rPr>
          <w:rFonts w:hint="default" w:ascii="Times New Roman" w:hAnsi="Times New Roman" w:cs="Times New Roman"/>
          <w:sz w:val="24"/>
          <w:szCs w:val="24"/>
        </w:rPr>
      </w:pPr>
      <w:r>
        <w:rPr>
          <w:rFonts w:hint="default" w:ascii="Times New Roman" w:hAnsi="Times New Roman" w:cs="Times New Roman"/>
          <w:sz w:val="24"/>
          <w:szCs w:val="24"/>
        </w:rPr>
        <w:t xml:space="preserve">EU Energy Agency (2024) </w:t>
      </w:r>
      <w:r>
        <w:rPr>
          <w:rFonts w:hint="default" w:ascii="Times New Roman" w:hAnsi="Times New Roman" w:cs="Times New Roman"/>
          <w:i/>
          <w:iCs/>
          <w:sz w:val="24"/>
          <w:szCs w:val="24"/>
        </w:rPr>
        <w:t>Charging Infrastructure Distribution Report</w:t>
      </w:r>
      <w:r>
        <w:rPr>
          <w:rFonts w:hint="default" w:ascii="Times New Roman" w:hAnsi="Times New Roman" w:cs="Times New Roman"/>
          <w:sz w:val="24"/>
          <w:szCs w:val="24"/>
        </w:rPr>
        <w:t>. Copenhagen: EEA.</w:t>
      </w:r>
    </w:p>
    <w:p w14:paraId="56E6D104">
      <w:pPr>
        <w:rPr>
          <w:rFonts w:hint="default" w:ascii="Times New Roman" w:hAnsi="Times New Roman" w:cs="Times New Roman"/>
          <w:sz w:val="24"/>
          <w:szCs w:val="24"/>
        </w:rPr>
      </w:pPr>
    </w:p>
    <w:p w14:paraId="7D21ED47">
      <w:pPr>
        <w:rPr>
          <w:rFonts w:hint="default" w:ascii="Times New Roman" w:hAnsi="Times New Roman" w:cs="Times New Roman"/>
          <w:sz w:val="24"/>
          <w:szCs w:val="24"/>
        </w:rPr>
      </w:pPr>
      <w:r>
        <w:rPr>
          <w:rFonts w:hint="default" w:ascii="Times New Roman" w:hAnsi="Times New Roman" w:cs="Times New Roman"/>
          <w:sz w:val="24"/>
          <w:szCs w:val="24"/>
        </w:rPr>
        <w:t xml:space="preserve">Norwegian EV Association (2024) </w:t>
      </w:r>
      <w:r>
        <w:rPr>
          <w:rFonts w:hint="default" w:ascii="Times New Roman" w:hAnsi="Times New Roman" w:cs="Times New Roman"/>
          <w:i/>
          <w:iCs/>
          <w:sz w:val="24"/>
          <w:szCs w:val="24"/>
        </w:rPr>
        <w:t>Winter Performance Test of FSD Beta</w:t>
      </w:r>
      <w:r>
        <w:rPr>
          <w:rFonts w:hint="default" w:ascii="Times New Roman" w:hAnsi="Times New Roman" w:cs="Times New Roman"/>
          <w:sz w:val="24"/>
          <w:szCs w:val="24"/>
        </w:rPr>
        <w:t>. Oslo: Norsk Elbilforening.</w:t>
      </w:r>
    </w:p>
    <w:p w14:paraId="78950236">
      <w:pPr>
        <w:rPr>
          <w:rFonts w:hint="default" w:ascii="Times New Roman" w:hAnsi="Times New Roman" w:cs="Times New Roman"/>
          <w:sz w:val="24"/>
          <w:szCs w:val="24"/>
        </w:rPr>
      </w:pPr>
    </w:p>
    <w:p w14:paraId="20E5A7E7">
      <w:pPr>
        <w:rPr>
          <w:rFonts w:hint="default" w:ascii="Times New Roman" w:hAnsi="Times New Roman" w:cs="Times New Roman"/>
          <w:sz w:val="24"/>
          <w:szCs w:val="24"/>
        </w:rPr>
      </w:pPr>
      <w:r>
        <w:rPr>
          <w:rFonts w:hint="default" w:ascii="Times New Roman" w:hAnsi="Times New Roman" w:cs="Times New Roman"/>
          <w:sz w:val="24"/>
          <w:szCs w:val="24"/>
        </w:rPr>
        <w:t xml:space="preserve">Porsche AG (2024) </w:t>
      </w:r>
      <w:r>
        <w:rPr>
          <w:rFonts w:hint="default" w:ascii="Times New Roman" w:hAnsi="Times New Roman" w:cs="Times New Roman"/>
          <w:i/>
          <w:iCs/>
          <w:sz w:val="24"/>
          <w:szCs w:val="24"/>
        </w:rPr>
        <w:t>eFuels Development Roadmap</w:t>
      </w:r>
      <w:r>
        <w:rPr>
          <w:rFonts w:hint="default" w:ascii="Times New Roman" w:hAnsi="Times New Roman" w:cs="Times New Roman"/>
          <w:sz w:val="24"/>
          <w:szCs w:val="24"/>
        </w:rPr>
        <w:t>. Stuttgart: Porsche.</w:t>
      </w:r>
    </w:p>
    <w:p w14:paraId="3277EAB1">
      <w:pPr>
        <w:rPr>
          <w:rFonts w:hint="default" w:ascii="Times New Roman" w:hAnsi="Times New Roman" w:cs="Times New Roman"/>
          <w:sz w:val="24"/>
          <w:szCs w:val="24"/>
        </w:rPr>
      </w:pPr>
    </w:p>
    <w:p w14:paraId="0F076CEB">
      <w:pPr>
        <w:rPr>
          <w:rFonts w:hint="default" w:ascii="Times New Roman" w:hAnsi="Times New Roman" w:cs="Times New Roman"/>
          <w:sz w:val="24"/>
          <w:szCs w:val="24"/>
        </w:rPr>
      </w:pPr>
      <w:r>
        <w:rPr>
          <w:rFonts w:hint="default" w:ascii="Times New Roman" w:hAnsi="Times New Roman" w:cs="Times New Roman"/>
          <w:sz w:val="24"/>
          <w:szCs w:val="24"/>
        </w:rPr>
        <w:t>Tesla, Inc. (2024)</w:t>
      </w:r>
      <w:r>
        <w:rPr>
          <w:rFonts w:hint="default" w:ascii="Times New Roman" w:hAnsi="Times New Roman" w:cs="Times New Roman"/>
          <w:i/>
          <w:iCs/>
          <w:sz w:val="24"/>
          <w:szCs w:val="24"/>
        </w:rPr>
        <w:t xml:space="preserve"> Q1 2024 Quarterly Financial Report</w:t>
      </w:r>
      <w:r>
        <w:rPr>
          <w:rFonts w:hint="default" w:ascii="Times New Roman" w:hAnsi="Times New Roman" w:cs="Times New Roman"/>
          <w:sz w:val="24"/>
          <w:szCs w:val="24"/>
        </w:rPr>
        <w:t>. Austin: U.S. SEC</w:t>
      </w:r>
    </w:p>
    <w:p w14:paraId="3AC647C0">
      <w:pPr>
        <w:rPr>
          <w:rFonts w:hint="default" w:ascii="Times New Roman" w:hAnsi="Times New Roman" w:cs="Times New Roman"/>
          <w:sz w:val="24"/>
          <w:szCs w:val="24"/>
        </w:rPr>
      </w:pPr>
    </w:p>
    <w:p w14:paraId="46DE4388">
      <w:pPr>
        <w:rPr>
          <w:rFonts w:hint="default" w:ascii="Times New Roman" w:hAnsi="Times New Roman" w:cs="Times New Roman"/>
          <w:sz w:val="24"/>
          <w:szCs w:val="24"/>
        </w:rPr>
      </w:pPr>
      <w:r>
        <w:rPr>
          <w:rFonts w:hint="default" w:ascii="Times New Roman" w:hAnsi="Times New Roman" w:cs="Times New Roman"/>
          <w:sz w:val="24"/>
          <w:szCs w:val="24"/>
        </w:rPr>
        <w:t xml:space="preserve">Nikola Corporation (2024) </w:t>
      </w:r>
      <w:r>
        <w:rPr>
          <w:rFonts w:hint="default" w:ascii="Times New Roman" w:hAnsi="Times New Roman" w:cs="Times New Roman"/>
          <w:i/>
          <w:iCs/>
          <w:sz w:val="24"/>
          <w:szCs w:val="24"/>
        </w:rPr>
        <w:t>Tre FCEV Technical Specifications</w:t>
      </w:r>
      <w:r>
        <w:rPr>
          <w:rFonts w:hint="default" w:ascii="Times New Roman" w:hAnsi="Times New Roman" w:cs="Times New Roman"/>
          <w:sz w:val="24"/>
          <w:szCs w:val="24"/>
        </w:rPr>
        <w:t>. Phoenix: Nikola.</w:t>
      </w:r>
    </w:p>
    <w:p w14:paraId="11642610">
      <w:pPr>
        <w:rPr>
          <w:rFonts w:hint="default" w:ascii="Times New Roman" w:hAnsi="Times New Roman" w:cs="Times New Roman"/>
          <w:sz w:val="24"/>
          <w:szCs w:val="24"/>
        </w:rPr>
      </w:pPr>
    </w:p>
    <w:p w14:paraId="2D52EA55">
      <w:pPr>
        <w:rPr>
          <w:rFonts w:hint="default" w:ascii="Times New Roman" w:hAnsi="Times New Roman" w:cs="Times New Roman"/>
          <w:sz w:val="24"/>
          <w:szCs w:val="24"/>
        </w:rPr>
      </w:pPr>
      <w:r>
        <w:rPr>
          <w:rFonts w:hint="default" w:ascii="Times New Roman" w:hAnsi="Times New Roman" w:cs="Times New Roman"/>
          <w:sz w:val="24"/>
          <w:szCs w:val="24"/>
        </w:rPr>
        <w:t xml:space="preserve">Porter, M.E. &amp; Heppelmann, J.E. (2023) ‘Why every organization needs an augmented reality strategy’, </w:t>
      </w:r>
      <w:r>
        <w:rPr>
          <w:rFonts w:hint="default" w:ascii="Times New Roman" w:hAnsi="Times New Roman" w:cs="Times New Roman"/>
          <w:i/>
          <w:iCs/>
          <w:sz w:val="24"/>
          <w:szCs w:val="24"/>
        </w:rPr>
        <w:t>HBR</w:t>
      </w:r>
      <w:r>
        <w:rPr>
          <w:rFonts w:hint="default" w:ascii="Times New Roman" w:hAnsi="Times New Roman" w:cs="Times New Roman"/>
          <w:sz w:val="24"/>
          <w:szCs w:val="24"/>
        </w:rPr>
        <w:t>, 101(6), pp. 46-57.</w:t>
      </w:r>
    </w:p>
    <w:p w14:paraId="788A494D">
      <w:pPr>
        <w:rPr>
          <w:rFonts w:hint="default" w:ascii="Times New Roman" w:hAnsi="Times New Roman" w:cs="Times New Roman"/>
          <w:sz w:val="24"/>
          <w:szCs w:val="24"/>
        </w:rPr>
      </w:pPr>
    </w:p>
    <w:p w14:paraId="5AE451CD">
      <w:pPr>
        <w:rPr>
          <w:rFonts w:hint="default" w:ascii="Times New Roman" w:hAnsi="Times New Roman" w:cs="Times New Roman"/>
          <w:sz w:val="24"/>
          <w:szCs w:val="24"/>
        </w:rPr>
      </w:pPr>
      <w:r>
        <w:rPr>
          <w:rFonts w:hint="default" w:ascii="Times New Roman" w:hAnsi="Times New Roman" w:cs="Times New Roman"/>
          <w:sz w:val="24"/>
          <w:szCs w:val="24"/>
        </w:rPr>
        <w:t xml:space="preserve">Reuters (2024) ‘EU imposes 17% tariff on China-made Teslas’, </w:t>
      </w:r>
      <w:r>
        <w:rPr>
          <w:rFonts w:hint="default" w:ascii="Times New Roman" w:hAnsi="Times New Roman" w:cs="Times New Roman"/>
          <w:i/>
          <w:iCs/>
          <w:sz w:val="24"/>
          <w:szCs w:val="24"/>
        </w:rPr>
        <w:t>Reuters</w:t>
      </w:r>
      <w:r>
        <w:rPr>
          <w:rFonts w:hint="default" w:ascii="Times New Roman" w:hAnsi="Times New Roman" w:cs="Times New Roman"/>
          <w:sz w:val="24"/>
          <w:szCs w:val="24"/>
        </w:rPr>
        <w:t>, 15 March.</w:t>
      </w:r>
    </w:p>
    <w:p w14:paraId="50A045F6">
      <w:pPr>
        <w:rPr>
          <w:rFonts w:hint="default" w:ascii="Times New Roman" w:hAnsi="Times New Roman" w:cs="Times New Roman"/>
          <w:sz w:val="24"/>
          <w:szCs w:val="24"/>
        </w:rPr>
      </w:pPr>
    </w:p>
    <w:p w14:paraId="61AA186F">
      <w:pPr>
        <w:rPr>
          <w:rFonts w:hint="default" w:ascii="Times New Roman" w:hAnsi="Times New Roman" w:cs="Times New Roman"/>
          <w:sz w:val="24"/>
          <w:szCs w:val="24"/>
        </w:rPr>
      </w:pPr>
      <w:r>
        <w:rPr>
          <w:rFonts w:hint="default" w:ascii="Times New Roman" w:hAnsi="Times New Roman" w:cs="Times New Roman"/>
          <w:sz w:val="24"/>
          <w:szCs w:val="24"/>
        </w:rPr>
        <w:t xml:space="preserve">Statista (2024) </w:t>
      </w:r>
      <w:r>
        <w:rPr>
          <w:rFonts w:hint="default" w:ascii="Times New Roman" w:hAnsi="Times New Roman" w:cs="Times New Roman"/>
          <w:i/>
          <w:iCs/>
          <w:sz w:val="24"/>
          <w:szCs w:val="24"/>
        </w:rPr>
        <w:t>Global Electric Vehicle Market Share Report</w:t>
      </w:r>
      <w:r>
        <w:rPr>
          <w:rFonts w:hint="default" w:ascii="Times New Roman" w:hAnsi="Times New Roman" w:cs="Times New Roman"/>
          <w:sz w:val="24"/>
          <w:szCs w:val="24"/>
        </w:rPr>
        <w:t>. Hamburg: Statista.</w:t>
      </w:r>
    </w:p>
    <w:p w14:paraId="59ADA2FA">
      <w:pPr>
        <w:rPr>
          <w:rFonts w:hint="default" w:ascii="Times New Roman" w:hAnsi="Times New Roman" w:cs="Times New Roman"/>
          <w:sz w:val="24"/>
          <w:szCs w:val="24"/>
        </w:rPr>
      </w:pPr>
    </w:p>
    <w:p w14:paraId="062CBE5B">
      <w:pPr>
        <w:rPr>
          <w:rFonts w:hint="default" w:ascii="Times New Roman" w:hAnsi="Times New Roman" w:cs="Times New Roman"/>
          <w:sz w:val="24"/>
          <w:szCs w:val="24"/>
        </w:rPr>
      </w:pPr>
      <w:r>
        <w:rPr>
          <w:rFonts w:hint="default" w:ascii="Times New Roman" w:hAnsi="Times New Roman" w:cs="Times New Roman"/>
          <w:sz w:val="24"/>
          <w:szCs w:val="24"/>
        </w:rPr>
        <w:t xml:space="preserve">Tesla, Inc. (2024) </w:t>
      </w:r>
      <w:r>
        <w:rPr>
          <w:rFonts w:hint="default" w:ascii="Times New Roman" w:hAnsi="Times New Roman" w:cs="Times New Roman"/>
          <w:i/>
          <w:iCs/>
          <w:sz w:val="24"/>
          <w:szCs w:val="24"/>
        </w:rPr>
        <w:t>Q1 2024 Earnings Call Transcript</w:t>
      </w:r>
      <w:r>
        <w:rPr>
          <w:rFonts w:hint="default" w:ascii="Times New Roman" w:hAnsi="Times New Roman" w:cs="Times New Roman"/>
          <w:sz w:val="24"/>
          <w:szCs w:val="24"/>
        </w:rPr>
        <w:t>. Austin: Tesla.</w:t>
      </w:r>
    </w:p>
    <w:p w14:paraId="50D4D499">
      <w:pPr>
        <w:rPr>
          <w:rFonts w:hint="default" w:ascii="Times New Roman" w:hAnsi="Times New Roman" w:cs="Times New Roman"/>
          <w:sz w:val="24"/>
          <w:szCs w:val="24"/>
        </w:rPr>
      </w:pPr>
    </w:p>
    <w:p w14:paraId="3B175C37">
      <w:pPr>
        <w:rPr>
          <w:rFonts w:hint="default" w:ascii="Times New Roman" w:hAnsi="Times New Roman" w:cs="Times New Roman"/>
          <w:sz w:val="24"/>
          <w:szCs w:val="24"/>
        </w:rPr>
      </w:pPr>
      <w:r>
        <w:rPr>
          <w:rFonts w:hint="default" w:ascii="Times New Roman" w:hAnsi="Times New Roman" w:cs="Times New Roman"/>
          <w:sz w:val="24"/>
          <w:szCs w:val="24"/>
        </w:rPr>
        <w:t xml:space="preserve">Volkswagen Group (2024) </w:t>
      </w:r>
      <w:r>
        <w:rPr>
          <w:rFonts w:hint="default" w:ascii="Times New Roman" w:hAnsi="Times New Roman" w:cs="Times New Roman"/>
          <w:i/>
          <w:iCs/>
          <w:sz w:val="24"/>
          <w:szCs w:val="24"/>
        </w:rPr>
        <w:t>Annual Sustainability Report</w:t>
      </w:r>
      <w:r>
        <w:rPr>
          <w:rFonts w:hint="default" w:ascii="Times New Roman" w:hAnsi="Times New Roman" w:cs="Times New Roman"/>
          <w:sz w:val="24"/>
          <w:szCs w:val="24"/>
        </w:rPr>
        <w:t>. Wolfsburg: Volkswagen.</w:t>
      </w:r>
    </w:p>
    <w:p w14:paraId="63A812B1">
      <w:pPr>
        <w:rPr>
          <w:rFonts w:hint="default" w:ascii="Times New Roman" w:hAnsi="Times New Roman" w:cs="Times New Roman"/>
          <w:sz w:val="24"/>
          <w:szCs w:val="24"/>
        </w:rPr>
      </w:pPr>
    </w:p>
    <w:p w14:paraId="6FC67C3E">
      <w:pPr>
        <w:rPr>
          <w:rFonts w:hint="default" w:ascii="Times New Roman" w:hAnsi="Times New Roman" w:cs="Times New Roman"/>
          <w:sz w:val="24"/>
          <w:szCs w:val="24"/>
        </w:rPr>
      </w:pPr>
      <w:r>
        <w:rPr>
          <w:rFonts w:hint="default" w:ascii="Times New Roman" w:hAnsi="Times New Roman" w:cs="Times New Roman"/>
          <w:sz w:val="24"/>
          <w:szCs w:val="24"/>
        </w:rPr>
        <w:t xml:space="preserve">White House (2024) </w:t>
      </w:r>
      <w:r>
        <w:rPr>
          <w:rFonts w:hint="default" w:ascii="Times New Roman" w:hAnsi="Times New Roman" w:cs="Times New Roman"/>
          <w:i/>
          <w:iCs/>
          <w:sz w:val="24"/>
          <w:szCs w:val="24"/>
        </w:rPr>
        <w:t>Inflation Reduction Act 2.0 Guidelines</w:t>
      </w:r>
      <w:r>
        <w:rPr>
          <w:rFonts w:hint="default" w:ascii="Times New Roman" w:hAnsi="Times New Roman" w:cs="Times New Roman"/>
          <w:sz w:val="24"/>
          <w:szCs w:val="24"/>
        </w:rPr>
        <w:t>. Washington: White House.</w:t>
      </w:r>
    </w:p>
    <w:p w14:paraId="2961313D">
      <w:pPr>
        <w:rPr>
          <w:rFonts w:hint="default" w:ascii="Times New Roman" w:hAnsi="Times New Roman" w:cs="Times New Roman"/>
          <w:sz w:val="24"/>
          <w:szCs w:val="24"/>
        </w:rPr>
      </w:pPr>
    </w:p>
    <w:p w14:paraId="7DE562C9">
      <w:pPr>
        <w:rPr>
          <w:rFonts w:hint="default" w:ascii="Times New Roman" w:hAnsi="Times New Roman" w:cs="Times New Roman"/>
          <w:sz w:val="24"/>
          <w:szCs w:val="24"/>
        </w:rPr>
      </w:pPr>
      <w:r>
        <w:rPr>
          <w:rFonts w:hint="default" w:ascii="Times New Roman" w:hAnsi="Times New Roman" w:cs="Times New Roman"/>
          <w:sz w:val="24"/>
          <w:szCs w:val="24"/>
        </w:rPr>
        <w:t xml:space="preserve">Wu, Y. et al. (2023) ‘Tesla’s vertical integration in battery production’, </w:t>
      </w:r>
      <w:r>
        <w:rPr>
          <w:rFonts w:hint="default" w:ascii="Times New Roman" w:hAnsi="Times New Roman" w:cs="Times New Roman"/>
          <w:i/>
          <w:iCs/>
          <w:sz w:val="24"/>
          <w:szCs w:val="24"/>
        </w:rPr>
        <w:t>Energy Policy</w:t>
      </w:r>
      <w:r>
        <w:rPr>
          <w:rFonts w:hint="default" w:ascii="Times New Roman" w:hAnsi="Times New Roman" w:cs="Times New Roman"/>
          <w:sz w:val="24"/>
          <w:szCs w:val="24"/>
        </w:rPr>
        <w:t>, 182, 113782.</w:t>
      </w:r>
    </w:p>
    <w:p w14:paraId="62E68BC9">
      <w:pPr>
        <w:rPr>
          <w:rFonts w:hint="default" w:ascii="Times New Roman" w:hAnsi="Times New Roman" w:cs="Times New Roman"/>
          <w:sz w:val="24"/>
          <w:szCs w:val="24"/>
        </w:rPr>
      </w:pPr>
    </w:p>
    <w:p w14:paraId="570AFE80">
      <w:pPr>
        <w:rPr>
          <w:rFonts w:hint="default" w:ascii="Times New Roman" w:hAnsi="Times New Roman" w:cs="Times New Roman"/>
          <w:sz w:val="24"/>
          <w:szCs w:val="24"/>
        </w:rPr>
      </w:pPr>
      <w:r>
        <w:rPr>
          <w:rFonts w:hint="default" w:ascii="Times New Roman" w:hAnsi="Times New Roman" w:cs="Times New Roman"/>
          <w:sz w:val="24"/>
          <w:szCs w:val="24"/>
        </w:rPr>
        <w:t xml:space="preserve">Xiaomi Auto (2024) </w:t>
      </w:r>
      <w:r>
        <w:rPr>
          <w:rFonts w:hint="default" w:ascii="Times New Roman" w:hAnsi="Times New Roman" w:cs="Times New Roman"/>
          <w:i/>
          <w:iCs/>
          <w:sz w:val="24"/>
          <w:szCs w:val="24"/>
        </w:rPr>
        <w:t>SU7 Launch Event Technical Briefing</w:t>
      </w:r>
      <w:r>
        <w:rPr>
          <w:rFonts w:hint="default" w:ascii="Times New Roman" w:hAnsi="Times New Roman" w:cs="Times New Roman"/>
          <w:sz w:val="24"/>
          <w:szCs w:val="24"/>
        </w:rPr>
        <w:t>. Beijing: Xiaomi.</w:t>
      </w:r>
    </w:p>
    <w:p w14:paraId="2D500F18">
      <w:pPr>
        <w:rPr>
          <w:rFonts w:hint="default" w:ascii="Times New Roman" w:hAnsi="Times New Roman" w:cs="Times New Roman"/>
          <w:sz w:val="24"/>
          <w:szCs w:val="24"/>
        </w:rPr>
      </w:pPr>
    </w:p>
    <w:p w14:paraId="3256A30F">
      <w:pPr>
        <w:rPr>
          <w:rFonts w:hint="default" w:ascii="Times New Roman" w:hAnsi="Times New Roman" w:cs="Times New Roman"/>
          <w:sz w:val="24"/>
          <w:szCs w:val="24"/>
        </w:rPr>
      </w:pPr>
      <w:r>
        <w:rPr>
          <w:rFonts w:hint="default" w:ascii="Times New Roman" w:hAnsi="Times New Roman" w:cs="Times New Roman"/>
          <w:sz w:val="24"/>
          <w:szCs w:val="24"/>
        </w:rPr>
        <w:t xml:space="preserve">Zhou, X. et al. (2024) ‘Comparative study of LFP and NCM batteries’, </w:t>
      </w:r>
      <w:r>
        <w:rPr>
          <w:rFonts w:hint="default" w:ascii="Times New Roman" w:hAnsi="Times New Roman" w:cs="Times New Roman"/>
          <w:i/>
          <w:iCs/>
          <w:sz w:val="24"/>
          <w:szCs w:val="24"/>
        </w:rPr>
        <w:t>Journal of Power Sources</w:t>
      </w:r>
      <w:r>
        <w:rPr>
          <w:rFonts w:hint="default" w:ascii="Times New Roman" w:hAnsi="Times New Roman" w:cs="Times New Roman"/>
          <w:sz w:val="24"/>
          <w:szCs w:val="24"/>
        </w:rPr>
        <w:t>, 612, 234701.</w:t>
      </w:r>
    </w:p>
    <w:p w14:paraId="7AA73C42">
      <w:pPr>
        <w:rPr>
          <w:rFonts w:hint="default" w:ascii="Times New Roman" w:hAnsi="Times New Roman" w:cs="Times New Roman"/>
          <w:sz w:val="24"/>
          <w:szCs w:val="24"/>
        </w:rPr>
      </w:pPr>
    </w:p>
    <w:p w14:paraId="7C24BD8D">
      <w:pPr>
        <w:rPr>
          <w:rFonts w:hint="default" w:ascii="Times New Roman" w:hAnsi="Times New Roman" w:cs="Times New Roman"/>
          <w:sz w:val="24"/>
          <w:szCs w:val="24"/>
        </w:rPr>
      </w:pPr>
      <w:r>
        <w:rPr>
          <w:rFonts w:hint="default" w:ascii="Times New Roman" w:hAnsi="Times New Roman" w:cs="Times New Roman"/>
          <w:sz w:val="24"/>
          <w:szCs w:val="24"/>
        </w:rPr>
        <w:t xml:space="preserve">Glencore (2024) </w:t>
      </w:r>
      <w:r>
        <w:rPr>
          <w:rFonts w:hint="default" w:ascii="Times New Roman" w:hAnsi="Times New Roman" w:cs="Times New Roman"/>
          <w:i/>
          <w:iCs/>
          <w:sz w:val="24"/>
          <w:szCs w:val="24"/>
        </w:rPr>
        <w:t>Cobalt Supply Chain Transparency Report</w:t>
      </w:r>
      <w:r>
        <w:rPr>
          <w:rFonts w:hint="default" w:ascii="Times New Roman" w:hAnsi="Times New Roman" w:cs="Times New Roman"/>
          <w:sz w:val="24"/>
          <w:szCs w:val="24"/>
        </w:rPr>
        <w:t>. Baar: Glencore.</w:t>
      </w:r>
    </w:p>
    <w:p w14:paraId="6F2A1325">
      <w:pPr>
        <w:rPr>
          <w:rFonts w:hint="default" w:ascii="Times New Roman" w:hAnsi="Times New Roman" w:cs="Times New Roman"/>
          <w:sz w:val="24"/>
          <w:szCs w:val="24"/>
        </w:rPr>
      </w:pPr>
    </w:p>
    <w:p w14:paraId="796A11AE">
      <w:pPr>
        <w:rPr>
          <w:rFonts w:hint="default" w:ascii="Times New Roman" w:hAnsi="Times New Roman" w:cs="Times New Roman"/>
          <w:sz w:val="24"/>
          <w:szCs w:val="24"/>
        </w:rPr>
      </w:pPr>
      <w:r>
        <w:rPr>
          <w:rFonts w:hint="default" w:ascii="Times New Roman" w:hAnsi="Times New Roman" w:cs="Times New Roman"/>
          <w:sz w:val="24"/>
          <w:szCs w:val="24"/>
        </w:rPr>
        <w:t xml:space="preserve">Redwood Materials (2024) </w:t>
      </w:r>
      <w:r>
        <w:rPr>
          <w:rFonts w:hint="default" w:ascii="Times New Roman" w:hAnsi="Times New Roman" w:cs="Times New Roman"/>
          <w:i/>
          <w:iCs/>
          <w:sz w:val="24"/>
          <w:szCs w:val="24"/>
        </w:rPr>
        <w:t>Battery Recycling Efficiency Report</w:t>
      </w:r>
      <w:r>
        <w:rPr>
          <w:rFonts w:hint="default" w:ascii="Times New Roman" w:hAnsi="Times New Roman" w:cs="Times New Roman"/>
          <w:sz w:val="24"/>
          <w:szCs w:val="24"/>
        </w:rPr>
        <w:t>. Nevada: Redwood.</w:t>
      </w:r>
    </w:p>
    <w:p w14:paraId="47E9A072">
      <w:pPr>
        <w:rPr>
          <w:rFonts w:hint="default" w:ascii="Times New Roman" w:hAnsi="Times New Roman" w:cs="Times New Roman"/>
          <w:sz w:val="24"/>
          <w:szCs w:val="24"/>
        </w:rPr>
      </w:pPr>
    </w:p>
    <w:p w14:paraId="0AA1F1F1">
      <w:pPr>
        <w:rPr>
          <w:rFonts w:hint="default" w:ascii="Times New Roman" w:hAnsi="Times New Roman" w:cs="Times New Roman"/>
          <w:sz w:val="24"/>
          <w:szCs w:val="24"/>
        </w:rPr>
      </w:pPr>
      <w:r>
        <w:rPr>
          <w:rFonts w:hint="default" w:ascii="Times New Roman" w:hAnsi="Times New Roman" w:cs="Times New Roman"/>
          <w:sz w:val="24"/>
          <w:szCs w:val="24"/>
        </w:rPr>
        <w:t xml:space="preserve">ISSB (2024) </w:t>
      </w:r>
      <w:r>
        <w:rPr>
          <w:rFonts w:hint="default" w:ascii="Times New Roman" w:hAnsi="Times New Roman" w:cs="Times New Roman"/>
          <w:i/>
          <w:iCs/>
          <w:sz w:val="24"/>
          <w:szCs w:val="24"/>
        </w:rPr>
        <w:t>Climate-related Disclosure Implementation Guide</w:t>
      </w:r>
      <w:r>
        <w:rPr>
          <w:rFonts w:hint="default" w:ascii="Times New Roman" w:hAnsi="Times New Roman" w:cs="Times New Roman"/>
          <w:sz w:val="24"/>
          <w:szCs w:val="24"/>
        </w:rPr>
        <w:t>. London: IFRS.</w:t>
      </w:r>
    </w:p>
    <w:p w14:paraId="12F843CD">
      <w:pPr>
        <w:numPr>
          <w:ilvl w:val="0"/>
          <w:numId w:val="0"/>
        </w:numPr>
        <w:ind w:leftChars="0"/>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AC5C21"/>
    <w:multiLevelType w:val="singleLevel"/>
    <w:tmpl w:val="81AC5C21"/>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44BD4"/>
    <w:rsid w:val="0C3E2769"/>
    <w:rsid w:val="0ED363BA"/>
    <w:rsid w:val="1BB44BD4"/>
    <w:rsid w:val="2FB70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c 1"/>
    <w:basedOn w:val="1"/>
    <w:next w:val="1"/>
    <w:uiPriority w:val="0"/>
  </w:style>
  <w:style w:type="paragraph" w:styleId="4">
    <w:name w:val="toc 2"/>
    <w:basedOn w:val="1"/>
    <w:next w:val="1"/>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paragraph" w:customStyle="1" w:styleId="10">
    <w:name w:val="11"/>
    <w:basedOn w:val="1"/>
    <w:link w:val="12"/>
    <w:uiPriority w:val="0"/>
    <w:rPr>
      <w:rFonts w:ascii="Times New Roman" w:hAnsi="Times New Roman" w:eastAsia="Times New Roman" w:cs="Times New Roman"/>
      <w:b/>
      <w:bCs/>
      <w:sz w:val="28"/>
      <w:szCs w:val="28"/>
    </w:rPr>
  </w:style>
  <w:style w:type="paragraph" w:customStyle="1" w:styleId="11">
    <w:name w:val="22"/>
    <w:basedOn w:val="1"/>
    <w:uiPriority w:val="0"/>
    <w:rPr>
      <w:rFonts w:ascii="Times New Roman" w:hAnsi="Times New Roman" w:eastAsia="Times New Roman" w:cs="Times New Roman"/>
      <w:b/>
      <w:bCs/>
      <w:sz w:val="24"/>
      <w:szCs w:val="24"/>
    </w:rPr>
  </w:style>
  <w:style w:type="character" w:customStyle="1" w:styleId="12">
    <w:name w:val="11 Char"/>
    <w:link w:val="10"/>
    <w:qFormat/>
    <w:uiPriority w:val="0"/>
    <w:rPr>
      <w:rFonts w:ascii="Times New Roman" w:hAnsi="Times New Roman" w:eastAsia="Times New Roman" w:cs="Times New Roman"/>
      <w:b/>
      <w:bCs/>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3341</Words>
  <Characters>20026</Characters>
  <Lines>0</Lines>
  <Paragraphs>0</Paragraphs>
  <TotalTime>8</TotalTime>
  <ScaleCrop>false</ScaleCrop>
  <LinksUpToDate>false</LinksUpToDate>
  <CharactersWithSpaces>23161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2025-03-19T22:14:00Z</dcterms:created>
  <dc:creator>。。。</dc:creator>
  <cp:lastModifiedBy>。。。</cp:lastModifiedBy>
  <dcterms:modified xsi:type="dcterms:W3CDTF">2025-03-20T21:41:03Z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46D1DDCE07284725B8BC98867C47227B_11</vt:lpwstr>
  </property>
  <property fmtid="{D5CDD505-2E9C-101B-9397-08002B2CF9AE}" pid="4" name="KSOTemplateDocerSaveRecord">
    <vt:lpwstr>eyJoZGlkIjoiNzM1NzU0MDllM2FjZWZjNWViNzk5YTZmYTA4MjQ0YjciLCJ1c2VySWQiOiI0MTIwMDU2NzQifQ==</vt:lpwstr>
  </property>
</Properties>
</file>