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612D2" w14:textId="08DA216E" w:rsidR="00230F35" w:rsidRDefault="00E5019A" w:rsidP="00230F35">
      <w:pPr>
        <w:pStyle w:val="NormalWeb"/>
        <w:spacing w:before="0" w:beforeAutospacing="0" w:after="0" w:afterAutospacing="0"/>
        <w:ind w:left="-180" w:right="-334"/>
      </w:pPr>
      <w:r>
        <w:rPr>
          <w:noProof/>
        </w:rPr>
        <w:drawing>
          <wp:inline distT="0" distB="0" distL="0" distR="0" wp14:anchorId="54008671" wp14:editId="20982BEF">
            <wp:extent cx="1819275" cy="733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14:paraId="7FCCCABE" w14:textId="77777777" w:rsidR="00230F35" w:rsidRDefault="00230F35" w:rsidP="00230F35">
      <w:pPr>
        <w:pStyle w:val="NormalWeb"/>
        <w:spacing w:before="0" w:beforeAutospacing="0" w:after="0" w:afterAutospacing="0"/>
        <w:ind w:left="-180" w:right="-334"/>
      </w:pPr>
    </w:p>
    <w:p w14:paraId="6E8ACDA9" w14:textId="77777777" w:rsidR="00A745B6" w:rsidRDefault="00A745B6" w:rsidP="00230F35">
      <w:pPr>
        <w:pStyle w:val="NormalWeb"/>
        <w:spacing w:before="0" w:beforeAutospacing="0" w:after="0" w:afterAutospacing="0"/>
        <w:ind w:left="-180" w:right="-334"/>
      </w:pPr>
    </w:p>
    <w:p w14:paraId="5E00C94C"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F37610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6A91D2AF" w14:textId="77777777" w:rsidR="002E67CE" w:rsidRPr="00230F35" w:rsidRDefault="002E67CE" w:rsidP="002E67CE">
      <w:pPr>
        <w:rPr>
          <w:rFonts w:ascii="Arial" w:hAnsi="Arial" w:cs="Arial"/>
          <w:sz w:val="28"/>
          <w:szCs w:val="28"/>
          <w:lang w:val="cy-GB"/>
        </w:rPr>
      </w:pPr>
    </w:p>
    <w:p w14:paraId="774C638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48943293"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E57529" w:rsidRPr="00230F35" w14:paraId="58758F4C" w14:textId="77777777" w:rsidTr="00A745B6">
        <w:trPr>
          <w:trHeight w:val="614"/>
        </w:trPr>
        <w:tc>
          <w:tcPr>
            <w:tcW w:w="8856" w:type="dxa"/>
            <w:gridSpan w:val="5"/>
          </w:tcPr>
          <w:p w14:paraId="78651222"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74A59146" w14:textId="77777777" w:rsidTr="00A745B6">
        <w:trPr>
          <w:trHeight w:val="718"/>
        </w:trPr>
        <w:tc>
          <w:tcPr>
            <w:tcW w:w="8856" w:type="dxa"/>
            <w:gridSpan w:val="5"/>
          </w:tcPr>
          <w:p w14:paraId="310734A5" w14:textId="13339522"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152EBE">
              <w:rPr>
                <w:rFonts w:ascii="Arial" w:hAnsi="Arial" w:cs="Arial"/>
                <w:sz w:val="22"/>
                <w:szCs w:val="22"/>
              </w:rPr>
              <w:t xml:space="preserve"> Chad Woodward</w:t>
            </w:r>
          </w:p>
          <w:p w14:paraId="7C7B7634"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2772A80C" w14:textId="6870EF9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066BA7" w:rsidRPr="00DF28CE">
              <w:rPr>
                <w:rFonts w:ascii="Arial" w:hAnsi="Arial" w:cs="Arial"/>
                <w:sz w:val="22"/>
                <w:szCs w:val="22"/>
              </w:rPr>
              <w:t>2124388@student.uwtsd.ac.uk</w:t>
            </w:r>
          </w:p>
        </w:tc>
      </w:tr>
      <w:tr w:rsidR="00CE3B79" w:rsidRPr="00230F35" w14:paraId="7F45E1E1" w14:textId="77777777" w:rsidTr="00A745B6">
        <w:trPr>
          <w:trHeight w:val="849"/>
        </w:trPr>
        <w:tc>
          <w:tcPr>
            <w:tcW w:w="4788" w:type="dxa"/>
          </w:tcPr>
          <w:p w14:paraId="0EC31E1F" w14:textId="4071E86B"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D3C15">
              <w:rPr>
                <w:rFonts w:ascii="Arial" w:hAnsi="Arial" w:cs="Arial"/>
                <w:sz w:val="22"/>
                <w:szCs w:val="22"/>
              </w:rPr>
              <w:t xml:space="preserve"> HPCA7017</w:t>
            </w:r>
          </w:p>
          <w:p w14:paraId="6E67501E"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0C798C55" w14:textId="527FCE86"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D3C15">
              <w:rPr>
                <w:rFonts w:ascii="Arial" w:hAnsi="Arial" w:cs="Arial"/>
                <w:sz w:val="22"/>
                <w:szCs w:val="22"/>
              </w:rPr>
              <w:t xml:space="preserve"> History of Astrology </w:t>
            </w:r>
          </w:p>
          <w:p w14:paraId="2E094F0E" w14:textId="77777777" w:rsidR="00A745B6" w:rsidRDefault="00A745B6" w:rsidP="002F467C">
            <w:pPr>
              <w:pStyle w:val="NormalWeb"/>
              <w:spacing w:before="0" w:beforeAutospacing="0" w:after="0" w:afterAutospacing="0"/>
              <w:ind w:right="34"/>
              <w:rPr>
                <w:rFonts w:ascii="Arial" w:hAnsi="Arial" w:cs="Arial"/>
                <w:sz w:val="22"/>
                <w:szCs w:val="22"/>
              </w:rPr>
            </w:pPr>
          </w:p>
          <w:p w14:paraId="362A8C13"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3CFAD1BA"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94C9364" w14:textId="7D4C9AF1" w:rsidR="00F80687" w:rsidRPr="00230F35" w:rsidRDefault="00F80687"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2124388</w:t>
            </w:r>
          </w:p>
        </w:tc>
        <w:tc>
          <w:tcPr>
            <w:tcW w:w="1802" w:type="dxa"/>
          </w:tcPr>
          <w:p w14:paraId="29BF18A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3228B47" w14:textId="58B25064"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7B7AD195" w14:textId="77777777" w:rsidTr="00A745B6">
        <w:trPr>
          <w:trHeight w:val="1139"/>
        </w:trPr>
        <w:tc>
          <w:tcPr>
            <w:tcW w:w="8856" w:type="dxa"/>
            <w:gridSpan w:val="5"/>
          </w:tcPr>
          <w:p w14:paraId="36F772B2" w14:textId="6CDCDD2A"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80687">
              <w:rPr>
                <w:rFonts w:ascii="Arial" w:hAnsi="Arial" w:cs="Arial"/>
                <w:sz w:val="22"/>
                <w:szCs w:val="22"/>
              </w:rPr>
              <w:t xml:space="preserve"> Essay 2</w:t>
            </w:r>
          </w:p>
          <w:p w14:paraId="4DF7D72D"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3806C240" w14:textId="77777777" w:rsidR="00230F35" w:rsidRDefault="00230F35" w:rsidP="002F467C">
            <w:pPr>
              <w:pStyle w:val="NormalWeb"/>
              <w:spacing w:before="0" w:beforeAutospacing="0" w:after="0" w:afterAutospacing="0"/>
              <w:ind w:right="34"/>
              <w:rPr>
                <w:rFonts w:ascii="Arial" w:hAnsi="Arial" w:cs="Arial"/>
                <w:sz w:val="22"/>
                <w:szCs w:val="22"/>
              </w:rPr>
            </w:pPr>
          </w:p>
          <w:p w14:paraId="7656D01D" w14:textId="1A9054CD"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80687">
              <w:rPr>
                <w:rFonts w:ascii="Arial" w:hAnsi="Arial" w:cs="Arial"/>
                <w:sz w:val="22"/>
                <w:szCs w:val="22"/>
              </w:rPr>
              <w:t xml:space="preserve"> 28 April 2022</w:t>
            </w:r>
          </w:p>
        </w:tc>
      </w:tr>
      <w:tr w:rsidR="00230F35" w:rsidRPr="00230F35" w14:paraId="4233C1DF" w14:textId="77777777" w:rsidTr="00A745B6">
        <w:trPr>
          <w:trHeight w:val="978"/>
        </w:trPr>
        <w:tc>
          <w:tcPr>
            <w:tcW w:w="8856" w:type="dxa"/>
            <w:gridSpan w:val="5"/>
            <w:tcBorders>
              <w:bottom w:val="single" w:sz="4" w:space="0" w:color="000000"/>
            </w:tcBorders>
          </w:tcPr>
          <w:p w14:paraId="31C73472" w14:textId="2E11EF5A"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F80687">
              <w:rPr>
                <w:rFonts w:ascii="Arial" w:hAnsi="Arial" w:cs="Arial"/>
                <w:sz w:val="22"/>
                <w:szCs w:val="22"/>
              </w:rPr>
              <w:t>x</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30FBA1E3" w14:textId="77777777" w:rsidTr="00A745B6">
        <w:trPr>
          <w:trHeight w:val="978"/>
        </w:trPr>
        <w:tc>
          <w:tcPr>
            <w:tcW w:w="8856" w:type="dxa"/>
            <w:gridSpan w:val="5"/>
            <w:shd w:val="clear" w:color="auto" w:fill="D9D9D9"/>
          </w:tcPr>
          <w:p w14:paraId="56A1544A"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62B7147"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4BA574D4" w14:textId="4EE341BA"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F80687">
              <w:rPr>
                <w:rFonts w:ascii="Calibri" w:hAnsi="Calibri" w:cs="Tahoma"/>
                <w:b/>
                <w:sz w:val="24"/>
                <w:szCs w:val="24"/>
              </w:rPr>
              <w:t>X</w:t>
            </w:r>
            <w:r w:rsidRPr="005979EE">
              <w:rPr>
                <w:rFonts w:ascii="Calibri" w:hAnsi="Calibri" w:cs="Calibri"/>
                <w:b/>
                <w:sz w:val="44"/>
                <w:szCs w:val="44"/>
              </w:rPr>
              <w:t>□</w:t>
            </w:r>
          </w:p>
          <w:p w14:paraId="257FC029"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35E788A1" w14:textId="77777777" w:rsidTr="00A745B6">
        <w:trPr>
          <w:trHeight w:val="3972"/>
        </w:trPr>
        <w:tc>
          <w:tcPr>
            <w:tcW w:w="8856" w:type="dxa"/>
            <w:gridSpan w:val="5"/>
          </w:tcPr>
          <w:p w14:paraId="407E55C2" w14:textId="77777777" w:rsidR="00A745B6" w:rsidRDefault="00A745B6" w:rsidP="00A745B6">
            <w:pPr>
              <w:rPr>
                <w:rFonts w:ascii="Arial" w:hAnsi="Arial"/>
                <w:b/>
              </w:rPr>
            </w:pPr>
          </w:p>
          <w:p w14:paraId="49ACDA94"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4CD86D23" w14:textId="77777777" w:rsidTr="00022345">
              <w:tc>
                <w:tcPr>
                  <w:tcW w:w="6970" w:type="dxa"/>
                </w:tcPr>
                <w:p w14:paraId="074A3736" w14:textId="77777777" w:rsidR="00A745B6" w:rsidRPr="00116CE6" w:rsidRDefault="00A745B6" w:rsidP="009C1A08">
                  <w:pPr>
                    <w:rPr>
                      <w:rFonts w:ascii="Arial" w:hAnsi="Arial"/>
                      <w:sz w:val="20"/>
                      <w:szCs w:val="20"/>
                    </w:rPr>
                  </w:pPr>
                </w:p>
                <w:p w14:paraId="4534C51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7AFA13" w14:textId="77777777" w:rsidR="00A745B6" w:rsidRPr="00116CE6" w:rsidRDefault="00A745B6" w:rsidP="009C1A08">
                  <w:pPr>
                    <w:rPr>
                      <w:rFonts w:ascii="Arial" w:hAnsi="Arial"/>
                      <w:sz w:val="20"/>
                      <w:szCs w:val="20"/>
                    </w:rPr>
                  </w:pPr>
                </w:p>
              </w:tc>
            </w:tr>
            <w:tr w:rsidR="00A745B6" w:rsidRPr="00116CE6" w14:paraId="19581E96" w14:textId="77777777" w:rsidTr="00022345">
              <w:tc>
                <w:tcPr>
                  <w:tcW w:w="6970" w:type="dxa"/>
                </w:tcPr>
                <w:p w14:paraId="25DFC76F" w14:textId="77777777" w:rsidR="00A745B6" w:rsidRPr="00116CE6" w:rsidRDefault="00A745B6" w:rsidP="009C1A08">
                  <w:pPr>
                    <w:rPr>
                      <w:rFonts w:ascii="Arial" w:hAnsi="Arial"/>
                      <w:sz w:val="20"/>
                      <w:szCs w:val="20"/>
                    </w:rPr>
                  </w:pPr>
                </w:p>
                <w:p w14:paraId="14F2C07F"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3FCF9371" w14:textId="77777777" w:rsidR="00A745B6" w:rsidRPr="00116CE6" w:rsidRDefault="00A745B6" w:rsidP="009C1A08">
                  <w:pPr>
                    <w:rPr>
                      <w:rFonts w:ascii="Arial" w:hAnsi="Arial"/>
                      <w:sz w:val="20"/>
                      <w:szCs w:val="20"/>
                    </w:rPr>
                  </w:pPr>
                </w:p>
              </w:tc>
            </w:tr>
            <w:tr w:rsidR="00A745B6" w:rsidRPr="00116CE6" w14:paraId="1FF5CD9A" w14:textId="77777777" w:rsidTr="00022345">
              <w:tc>
                <w:tcPr>
                  <w:tcW w:w="6970" w:type="dxa"/>
                </w:tcPr>
                <w:p w14:paraId="649A0D5F" w14:textId="77777777" w:rsidR="00A745B6" w:rsidRPr="00116CE6" w:rsidRDefault="00A745B6" w:rsidP="009C1A08">
                  <w:pPr>
                    <w:rPr>
                      <w:rFonts w:ascii="Arial" w:hAnsi="Arial"/>
                      <w:sz w:val="20"/>
                      <w:szCs w:val="20"/>
                    </w:rPr>
                  </w:pPr>
                </w:p>
                <w:p w14:paraId="04FFEE2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95FEC36" w14:textId="77777777" w:rsidR="00A745B6" w:rsidRPr="00116CE6" w:rsidRDefault="00A745B6" w:rsidP="009C1A08">
                  <w:pPr>
                    <w:rPr>
                      <w:rFonts w:ascii="Arial" w:hAnsi="Arial"/>
                      <w:sz w:val="20"/>
                      <w:szCs w:val="20"/>
                    </w:rPr>
                  </w:pPr>
                </w:p>
              </w:tc>
            </w:tr>
            <w:tr w:rsidR="00A745B6" w:rsidRPr="00116CE6" w14:paraId="4D13952F" w14:textId="77777777" w:rsidTr="00022345">
              <w:tc>
                <w:tcPr>
                  <w:tcW w:w="6970" w:type="dxa"/>
                </w:tcPr>
                <w:p w14:paraId="33DD5BB2" w14:textId="77777777" w:rsidR="00A745B6" w:rsidRDefault="00A745B6" w:rsidP="009C1A08">
                  <w:pPr>
                    <w:rPr>
                      <w:rFonts w:ascii="Arial" w:hAnsi="Arial"/>
                      <w:sz w:val="20"/>
                      <w:szCs w:val="20"/>
                    </w:rPr>
                  </w:pPr>
                </w:p>
                <w:p w14:paraId="4E1391D5"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5FCE6DDF" w14:textId="77777777" w:rsidR="00A745B6" w:rsidRPr="00116CE6" w:rsidRDefault="00A745B6" w:rsidP="009C1A08">
                  <w:pPr>
                    <w:rPr>
                      <w:rFonts w:ascii="Arial" w:hAnsi="Arial"/>
                      <w:sz w:val="20"/>
                      <w:szCs w:val="20"/>
                    </w:rPr>
                  </w:pPr>
                </w:p>
              </w:tc>
              <w:tc>
                <w:tcPr>
                  <w:tcW w:w="1660" w:type="dxa"/>
                </w:tcPr>
                <w:p w14:paraId="0D59E785" w14:textId="77777777" w:rsidR="00A745B6" w:rsidRPr="00116CE6" w:rsidRDefault="00A745B6" w:rsidP="009C1A08">
                  <w:pPr>
                    <w:rPr>
                      <w:rFonts w:ascii="Arial" w:hAnsi="Arial"/>
                      <w:sz w:val="20"/>
                      <w:szCs w:val="20"/>
                    </w:rPr>
                  </w:pPr>
                </w:p>
              </w:tc>
            </w:tr>
          </w:tbl>
          <w:p w14:paraId="034F0AF0"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0A634B05"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E41AA48" w14:textId="77777777" w:rsidR="00A745B6" w:rsidRDefault="00A745B6" w:rsidP="002F467C">
            <w:pPr>
              <w:pStyle w:val="NormalWeb"/>
              <w:spacing w:before="0" w:beforeAutospacing="0" w:after="0" w:afterAutospacing="0"/>
              <w:rPr>
                <w:rFonts w:ascii="Arial" w:hAnsi="Arial" w:cs="Arial"/>
                <w:b/>
                <w:sz w:val="22"/>
                <w:szCs w:val="22"/>
              </w:rPr>
            </w:pPr>
          </w:p>
          <w:p w14:paraId="582E3DC0" w14:textId="77777777" w:rsidR="00B462B1" w:rsidRDefault="00B462B1" w:rsidP="002F467C">
            <w:pPr>
              <w:pStyle w:val="NormalWeb"/>
              <w:spacing w:before="0" w:beforeAutospacing="0" w:after="0" w:afterAutospacing="0"/>
              <w:rPr>
                <w:rFonts w:ascii="Arial" w:hAnsi="Arial" w:cs="Arial"/>
                <w:b/>
                <w:sz w:val="22"/>
                <w:szCs w:val="22"/>
              </w:rPr>
            </w:pPr>
          </w:p>
          <w:p w14:paraId="0103C2C9" w14:textId="77777777" w:rsidR="00B462B1" w:rsidRDefault="00B462B1" w:rsidP="002F467C">
            <w:pPr>
              <w:pStyle w:val="NormalWeb"/>
              <w:spacing w:before="0" w:beforeAutospacing="0" w:after="0" w:afterAutospacing="0"/>
              <w:rPr>
                <w:rFonts w:ascii="Arial" w:hAnsi="Arial" w:cs="Arial"/>
                <w:b/>
                <w:sz w:val="22"/>
                <w:szCs w:val="22"/>
              </w:rPr>
            </w:pPr>
          </w:p>
          <w:p w14:paraId="08545484" w14:textId="77777777" w:rsidR="00B462B1" w:rsidRDefault="00B462B1" w:rsidP="002F467C">
            <w:pPr>
              <w:pStyle w:val="NormalWeb"/>
              <w:spacing w:before="0" w:beforeAutospacing="0" w:after="0" w:afterAutospacing="0"/>
              <w:rPr>
                <w:rFonts w:ascii="Arial" w:hAnsi="Arial" w:cs="Arial"/>
                <w:b/>
                <w:sz w:val="22"/>
                <w:szCs w:val="22"/>
              </w:rPr>
            </w:pPr>
          </w:p>
          <w:p w14:paraId="263B07F9" w14:textId="77777777" w:rsidR="00B462B1" w:rsidRDefault="00B462B1" w:rsidP="002F467C">
            <w:pPr>
              <w:pStyle w:val="NormalWeb"/>
              <w:spacing w:before="0" w:beforeAutospacing="0" w:after="0" w:afterAutospacing="0"/>
              <w:rPr>
                <w:rFonts w:ascii="Arial" w:hAnsi="Arial" w:cs="Arial"/>
                <w:b/>
                <w:sz w:val="22"/>
                <w:szCs w:val="22"/>
              </w:rPr>
            </w:pPr>
          </w:p>
          <w:p w14:paraId="41ADAD64"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3EE1B3ED"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3C05E1E" w14:textId="77777777" w:rsidR="00B56E7B" w:rsidRPr="00001C3B" w:rsidRDefault="00B56E7B" w:rsidP="00043549">
            <w:pPr>
              <w:pStyle w:val="NormalWeb"/>
              <w:rPr>
                <w:rFonts w:ascii="Arial" w:hAnsi="Arial" w:cs="Arial"/>
                <w:sz w:val="22"/>
                <w:szCs w:val="22"/>
              </w:rPr>
            </w:pPr>
          </w:p>
        </w:tc>
      </w:tr>
      <w:tr w:rsidR="00EC7546" w:rsidRPr="00230F35" w14:paraId="321D21F3" w14:textId="77777777" w:rsidTr="00A745B6">
        <w:trPr>
          <w:trHeight w:val="492"/>
        </w:trPr>
        <w:tc>
          <w:tcPr>
            <w:tcW w:w="6768" w:type="dxa"/>
            <w:gridSpan w:val="3"/>
          </w:tcPr>
          <w:p w14:paraId="0E715957"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2D7D11B5"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2B5B018E" w14:textId="77777777" w:rsidTr="002F467C">
        <w:tc>
          <w:tcPr>
            <w:tcW w:w="8856" w:type="dxa"/>
            <w:gridSpan w:val="5"/>
          </w:tcPr>
          <w:p w14:paraId="22AC2EE9"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42906CFF"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39B25000"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08B3CFE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53C1B8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DF8C38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B715EB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74B826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6D7517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D5CE8D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05C88A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8F3F3C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1DC8D43" w14:textId="77777777" w:rsidR="00D67BF8" w:rsidRDefault="00D67BF8" w:rsidP="002F467C">
            <w:pPr>
              <w:pStyle w:val="NormalWeb"/>
              <w:spacing w:before="0" w:beforeAutospacing="0" w:after="0" w:afterAutospacing="0"/>
              <w:ind w:right="-334"/>
              <w:rPr>
                <w:rFonts w:ascii="Arial" w:hAnsi="Arial" w:cs="Arial"/>
                <w:bCs/>
                <w:sz w:val="22"/>
                <w:szCs w:val="22"/>
              </w:rPr>
            </w:pPr>
          </w:p>
          <w:p w14:paraId="25240701"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722D65A9"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2A1FC5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28436439" w14:textId="77777777" w:rsidTr="008D674F">
        <w:trPr>
          <w:trHeight w:val="720"/>
        </w:trPr>
        <w:tc>
          <w:tcPr>
            <w:tcW w:w="5211" w:type="dxa"/>
            <w:gridSpan w:val="2"/>
          </w:tcPr>
          <w:p w14:paraId="5D577DE6"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0085CE2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6B28BE78" w14:textId="77777777" w:rsidTr="009C1A08">
        <w:trPr>
          <w:trHeight w:val="720"/>
        </w:trPr>
        <w:tc>
          <w:tcPr>
            <w:tcW w:w="8856" w:type="dxa"/>
            <w:gridSpan w:val="5"/>
          </w:tcPr>
          <w:p w14:paraId="3C68AA5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165A889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A3773A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C5DBE1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352571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8E2F16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554E3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9643C2"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3B2368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6E1C236" w14:textId="77777777" w:rsidR="00230F35" w:rsidRDefault="00230F35" w:rsidP="002F467C">
            <w:pPr>
              <w:pStyle w:val="NormalWeb"/>
              <w:spacing w:before="0" w:beforeAutospacing="0" w:after="0" w:afterAutospacing="0"/>
              <w:ind w:right="-334"/>
              <w:rPr>
                <w:rFonts w:ascii="Arial" w:hAnsi="Arial" w:cs="Arial"/>
                <w:bCs/>
                <w:sz w:val="22"/>
                <w:szCs w:val="22"/>
              </w:rPr>
            </w:pPr>
          </w:p>
          <w:p w14:paraId="4DE4792B"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10941A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45A1BECF" w14:textId="77777777" w:rsidTr="00230F35">
        <w:trPr>
          <w:trHeight w:val="720"/>
        </w:trPr>
        <w:tc>
          <w:tcPr>
            <w:tcW w:w="5211" w:type="dxa"/>
            <w:gridSpan w:val="2"/>
          </w:tcPr>
          <w:p w14:paraId="151FE5C7"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3BEB13A"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921E2A3" w14:textId="3D8A468A" w:rsidR="00EC7546" w:rsidRDefault="00EC7546" w:rsidP="00FA07E9">
      <w:pPr>
        <w:pStyle w:val="NormalWeb"/>
        <w:spacing w:before="0" w:beforeAutospacing="0" w:after="0" w:afterAutospacing="0"/>
        <w:ind w:right="-334"/>
        <w:rPr>
          <w:rFonts w:ascii="Trebuchet MS" w:hAnsi="Trebuchet MS" w:cs="Tahoma"/>
          <w:bCs/>
          <w:sz w:val="24"/>
          <w:szCs w:val="24"/>
        </w:rPr>
      </w:pPr>
    </w:p>
    <w:p w14:paraId="7CC0F824" w14:textId="2CB5E933" w:rsidR="008A0874" w:rsidRDefault="008A0874" w:rsidP="00FA07E9">
      <w:pPr>
        <w:pStyle w:val="NormalWeb"/>
        <w:spacing w:before="0" w:beforeAutospacing="0" w:after="0" w:afterAutospacing="0"/>
        <w:ind w:right="-334"/>
        <w:rPr>
          <w:rFonts w:ascii="Trebuchet MS" w:hAnsi="Trebuchet MS" w:cs="Tahoma"/>
          <w:bCs/>
          <w:sz w:val="24"/>
          <w:szCs w:val="24"/>
        </w:rPr>
      </w:pPr>
    </w:p>
    <w:p w14:paraId="59C0217E" w14:textId="3AD1C20E" w:rsidR="008A0874" w:rsidRDefault="008A0874" w:rsidP="00FA07E9">
      <w:pPr>
        <w:pStyle w:val="NormalWeb"/>
        <w:spacing w:before="0" w:beforeAutospacing="0" w:after="0" w:afterAutospacing="0"/>
        <w:ind w:right="-334"/>
        <w:rPr>
          <w:rFonts w:ascii="Trebuchet MS" w:hAnsi="Trebuchet MS" w:cs="Tahoma"/>
          <w:bCs/>
          <w:sz w:val="24"/>
          <w:szCs w:val="24"/>
        </w:rPr>
      </w:pPr>
    </w:p>
    <w:p w14:paraId="1C0E606A" w14:textId="6E95875D" w:rsidR="008A0874" w:rsidRDefault="008A0874" w:rsidP="00FA07E9">
      <w:pPr>
        <w:pStyle w:val="NormalWeb"/>
        <w:spacing w:before="0" w:beforeAutospacing="0" w:after="0" w:afterAutospacing="0"/>
        <w:ind w:right="-334"/>
        <w:rPr>
          <w:rFonts w:ascii="Trebuchet MS" w:hAnsi="Trebuchet MS" w:cs="Tahoma"/>
          <w:bCs/>
          <w:sz w:val="24"/>
          <w:szCs w:val="24"/>
        </w:rPr>
      </w:pPr>
    </w:p>
    <w:p w14:paraId="00731C07" w14:textId="38E4410B" w:rsidR="008A0874" w:rsidRDefault="008A0874" w:rsidP="008A0874">
      <w:pPr>
        <w:contextualSpacing/>
        <w:rPr>
          <w:rFonts w:asciiTheme="minorHAnsi" w:hAnsiTheme="minorHAnsi" w:cstheme="minorHAnsi"/>
        </w:rPr>
      </w:pPr>
      <w:r>
        <w:rPr>
          <w:rFonts w:asciiTheme="minorHAnsi" w:hAnsiTheme="minorHAnsi" w:cstheme="minorHAnsi"/>
        </w:rPr>
        <w:lastRenderedPageBreak/>
        <w:t xml:space="preserve">Discuss the Greek contribution to astrology in the twentieth and twenty-first centuries. </w:t>
      </w:r>
    </w:p>
    <w:p w14:paraId="27A0283A" w14:textId="77777777" w:rsidR="008A0874" w:rsidRPr="008A0874" w:rsidRDefault="008A0874" w:rsidP="008A0874">
      <w:pPr>
        <w:contextualSpacing/>
        <w:rPr>
          <w:rFonts w:asciiTheme="minorHAnsi" w:hAnsiTheme="minorHAnsi" w:cstheme="minorHAnsi"/>
        </w:rPr>
      </w:pPr>
    </w:p>
    <w:p w14:paraId="5B06EAE5" w14:textId="77777777" w:rsidR="008A0874" w:rsidRPr="008A0874" w:rsidRDefault="008A0874" w:rsidP="008A0874">
      <w:pPr>
        <w:ind w:firstLine="720"/>
        <w:contextualSpacing/>
        <w:rPr>
          <w:rFonts w:asciiTheme="minorHAnsi" w:hAnsiTheme="minorHAnsi" w:cstheme="minorHAnsi"/>
        </w:rPr>
      </w:pPr>
      <w:r w:rsidRPr="008A0874">
        <w:rPr>
          <w:rFonts w:asciiTheme="minorHAnsi" w:hAnsiTheme="minorHAnsi" w:cstheme="minorHAnsi"/>
        </w:rPr>
        <w:t xml:space="preserve">Greek astrology’s contribution to modern, western astrology is significant, providing the skeletal framework that modern, western astrologers have utilized as well as heavily reconceptualized. Modern astrology, specifically that of the twentieth century, diverges from Greek astrology in that while it retained the barebones, it lost significant pieces in the form of complex techniques, doctrines, and much of the rationale behind the use of the essentials it managed to embrace. This essay will explore four foundational features of twentieth-century astrology that can be traced to Greek astrology as practiced up to 600 CE: the zodiac, the classical planets, essential dignities and debilities, and the Ptolemaic aspects. As this paper will explore, these concepts were conceptually intertwined in antiquity via Greek cosmology, explained through such rational, explanatory models as the </w:t>
      </w:r>
      <w:r w:rsidRPr="008A0874">
        <w:rPr>
          <w:rFonts w:asciiTheme="minorHAnsi" w:hAnsiTheme="minorHAnsi" w:cstheme="minorHAnsi"/>
          <w:i/>
          <w:iCs/>
        </w:rPr>
        <w:t>thema mundi</w:t>
      </w:r>
      <w:r w:rsidRPr="008A0874">
        <w:rPr>
          <w:rFonts w:asciiTheme="minorHAnsi" w:hAnsiTheme="minorHAnsi" w:cstheme="minorHAnsi"/>
        </w:rPr>
        <w:t>. Secondly, this paper will focus more so on the doctrine of essential dignities and debilities since only fragments appear to have been written about by astrologers of the twentieth century. Utilizing evidence pertaining to some notable twentieth-century astrologers, this paper will speculate on the potential differences between what practicing astrologers of the twentieth century utilized versus the way they transmitted astrology through written publications. Additionally, it will speculate on how this relates to astrology’s marginalization in the modern world, and what factors helped shape twentieth-century astrology’s interpretation of Greek astrology.</w:t>
      </w:r>
    </w:p>
    <w:p w14:paraId="336E2F6E" w14:textId="4A2EFB00" w:rsidR="008A0874" w:rsidRPr="008A0874" w:rsidRDefault="008A0874" w:rsidP="008A0874">
      <w:pPr>
        <w:ind w:firstLine="720"/>
        <w:contextualSpacing/>
        <w:rPr>
          <w:rFonts w:asciiTheme="minorHAnsi" w:hAnsiTheme="minorHAnsi" w:cstheme="minorHAnsi"/>
        </w:rPr>
      </w:pPr>
      <w:r w:rsidRPr="008A0874">
        <w:rPr>
          <w:rFonts w:asciiTheme="minorHAnsi" w:hAnsiTheme="minorHAnsi" w:cstheme="minorHAnsi"/>
        </w:rPr>
        <w:t xml:space="preserve">Modern astrology does not enjoy the same institutional legitimacy as the astrology of the past, namely from </w:t>
      </w:r>
      <w:r w:rsidR="00B51531">
        <w:rPr>
          <w:rFonts w:asciiTheme="minorHAnsi" w:hAnsiTheme="minorHAnsi" w:cstheme="minorHAnsi"/>
        </w:rPr>
        <w:t>Babylonian astrology</w:t>
      </w:r>
      <w:r w:rsidRPr="008A0874">
        <w:rPr>
          <w:rFonts w:asciiTheme="minorHAnsi" w:hAnsiTheme="minorHAnsi" w:cstheme="minorHAnsi"/>
        </w:rPr>
        <w:t xml:space="preserve"> up through the Middle Ages. As Rienk Vermij and Hiro Hirai claim in </w:t>
      </w:r>
      <w:r w:rsidRPr="008A0874">
        <w:rPr>
          <w:rFonts w:asciiTheme="minorHAnsi" w:hAnsiTheme="minorHAnsi" w:cstheme="minorHAnsi"/>
          <w:i/>
          <w:iCs/>
        </w:rPr>
        <w:t>The Marginalization of Astrology: Introduction</w:t>
      </w:r>
      <w:r w:rsidRPr="008A0874">
        <w:rPr>
          <w:rFonts w:asciiTheme="minorHAnsi" w:hAnsiTheme="minorHAnsi" w:cstheme="minorHAnsi"/>
        </w:rPr>
        <w:t>, the Greek astrology that was inherited by early modern astrology was ideologically rooted in Aristotelianism which suggested a causal link between celestial influences and biological processes as they occurred on earth.</w:t>
      </w:r>
      <w:r w:rsidRPr="008A0874">
        <w:rPr>
          <w:rStyle w:val="FootnoteReference"/>
          <w:rFonts w:asciiTheme="minorHAnsi" w:hAnsiTheme="minorHAnsi" w:cstheme="minorHAnsi"/>
        </w:rPr>
        <w:footnoteReference w:id="1"/>
      </w:r>
      <w:r w:rsidRPr="008A0874">
        <w:rPr>
          <w:rFonts w:asciiTheme="minorHAnsi" w:hAnsiTheme="minorHAnsi" w:cstheme="minorHAnsi"/>
        </w:rPr>
        <w:t xml:space="preserve"> As Vermij and Hirai claim, both medicine and weather prediction heavily involved astrological calculations and relied upon explanations of celestial causation.</w:t>
      </w:r>
      <w:r w:rsidRPr="008A0874">
        <w:rPr>
          <w:rStyle w:val="FootnoteReference"/>
          <w:rFonts w:asciiTheme="minorHAnsi" w:hAnsiTheme="minorHAnsi" w:cstheme="minorHAnsi"/>
        </w:rPr>
        <w:footnoteReference w:id="2"/>
      </w:r>
      <w:r w:rsidRPr="008A0874">
        <w:rPr>
          <w:rFonts w:asciiTheme="minorHAnsi" w:hAnsiTheme="minorHAnsi" w:cstheme="minorHAnsi"/>
        </w:rPr>
        <w:t xml:space="preserve"> According to Nicholas Campion, in </w:t>
      </w:r>
      <w:r w:rsidRPr="008A0874">
        <w:rPr>
          <w:rFonts w:asciiTheme="minorHAnsi" w:hAnsiTheme="minorHAnsi" w:cstheme="minorHAnsi"/>
          <w:i/>
          <w:iCs/>
        </w:rPr>
        <w:t xml:space="preserve">A History of Modern Astrology Vol. </w:t>
      </w:r>
      <w:r w:rsidRPr="008A0874">
        <w:rPr>
          <w:rFonts w:asciiTheme="minorHAnsi" w:hAnsiTheme="minorHAnsi" w:cstheme="minorHAnsi"/>
        </w:rPr>
        <w:t>I, this conception of astrology was something that made it more compatible with the theological underpinnings of medieval Europe.</w:t>
      </w:r>
      <w:r w:rsidRPr="008A0874">
        <w:rPr>
          <w:rStyle w:val="FootnoteReference"/>
          <w:rFonts w:asciiTheme="minorHAnsi" w:hAnsiTheme="minorHAnsi" w:cstheme="minorHAnsi"/>
        </w:rPr>
        <w:footnoteReference w:id="3"/>
      </w:r>
      <w:r w:rsidRPr="008A0874">
        <w:rPr>
          <w:rFonts w:asciiTheme="minorHAnsi" w:hAnsiTheme="minorHAnsi" w:cstheme="minorHAnsi"/>
        </w:rPr>
        <w:t xml:space="preserve"> This conception may not have been representative of the ideological basis of all Greek astrology, but it provides context for how astrology developed beyond the Middle Ages. As Vermij and Hirai suggest, the seventeenth century saw a discarding of these causal explanations and thus astrology’s academic and societal credibility began to dissolve in lieu of a novel scientific paradigm. Vermij and Hirai have proposed labelling this process the ‘marginalization of astrology’ which they define as the:</w:t>
      </w:r>
    </w:p>
    <w:p w14:paraId="251E64E8" w14:textId="77777777" w:rsidR="008A0874" w:rsidRPr="008A0874" w:rsidRDefault="008A0874" w:rsidP="008A0874">
      <w:pPr>
        <w:contextualSpacing/>
        <w:rPr>
          <w:rFonts w:asciiTheme="minorHAnsi" w:hAnsiTheme="minorHAnsi" w:cstheme="minorHAnsi"/>
        </w:rPr>
      </w:pPr>
    </w:p>
    <w:p w14:paraId="1A11D8DF" w14:textId="77777777" w:rsidR="008A0874" w:rsidRPr="008A0874" w:rsidRDefault="008A0874" w:rsidP="008A0874">
      <w:pPr>
        <w:ind w:left="288" w:right="720"/>
        <w:contextualSpacing/>
        <w:rPr>
          <w:rFonts w:asciiTheme="minorHAnsi" w:hAnsiTheme="minorHAnsi" w:cstheme="minorHAnsi"/>
        </w:rPr>
      </w:pPr>
      <w:r w:rsidRPr="008A0874">
        <w:rPr>
          <w:rFonts w:asciiTheme="minorHAnsi" w:hAnsiTheme="minorHAnsi" w:cstheme="minorHAnsi"/>
        </w:rPr>
        <w:t>‘weakening position of astrology as part of officially recognized science and as a tool of public governance, rather than a single set of ideas or practices which were declining, disappearing or transforming into other forms’.</w:t>
      </w:r>
      <w:r w:rsidRPr="008A0874">
        <w:rPr>
          <w:rStyle w:val="FootnoteReference"/>
          <w:rFonts w:asciiTheme="minorHAnsi" w:hAnsiTheme="minorHAnsi" w:cstheme="minorHAnsi"/>
        </w:rPr>
        <w:footnoteReference w:id="4"/>
      </w:r>
    </w:p>
    <w:p w14:paraId="39B9AC84" w14:textId="77777777" w:rsidR="008A0874" w:rsidRPr="008A0874" w:rsidRDefault="008A0874" w:rsidP="008A0874">
      <w:pPr>
        <w:contextualSpacing/>
        <w:rPr>
          <w:rFonts w:asciiTheme="minorHAnsi" w:hAnsiTheme="minorHAnsi" w:cstheme="minorHAnsi"/>
        </w:rPr>
      </w:pPr>
    </w:p>
    <w:p w14:paraId="231C2510" w14:textId="42987D76"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lastRenderedPageBreak/>
        <w:t>Astrology did not necessarily become irrelevant, as is obvious by astrology’s modern endurance, but rather it was detached from its enmeshment with the hegemonic institutions of the broader culture. It was, as Vermij and Hirai suggest, ‘relegated to the margins, that is, to the realm of private opinion and popular culture’.</w:t>
      </w:r>
      <w:r w:rsidRPr="008A0874">
        <w:rPr>
          <w:rStyle w:val="FootnoteReference"/>
          <w:rFonts w:asciiTheme="minorHAnsi" w:hAnsiTheme="minorHAnsi" w:cstheme="minorHAnsi"/>
        </w:rPr>
        <w:footnoteReference w:id="5"/>
      </w:r>
      <w:r w:rsidRPr="008A0874">
        <w:rPr>
          <w:rFonts w:asciiTheme="minorHAnsi" w:hAnsiTheme="minorHAnsi" w:cstheme="minorHAnsi"/>
        </w:rPr>
        <w:t xml:space="preserve"> This reframing of astrology’s so-called decline within western culture challenges what Vermij and Hirai refer to as ‘older, positivist historiography’ which often frames the subjugation of astrology as the triumph of modern science over a now discarded superstition.</w:t>
      </w:r>
      <w:r w:rsidRPr="008A0874">
        <w:rPr>
          <w:rStyle w:val="FootnoteReference"/>
          <w:rFonts w:asciiTheme="minorHAnsi" w:hAnsiTheme="minorHAnsi" w:cstheme="minorHAnsi"/>
        </w:rPr>
        <w:footnoteReference w:id="6"/>
      </w:r>
      <w:r w:rsidR="007C512E">
        <w:rPr>
          <w:rFonts w:asciiTheme="minorHAnsi" w:hAnsiTheme="minorHAnsi" w:cstheme="minorHAnsi"/>
        </w:rPr>
        <w:t xml:space="preserve"> </w:t>
      </w:r>
      <w:r w:rsidRPr="008A0874">
        <w:rPr>
          <w:rFonts w:asciiTheme="minorHAnsi" w:hAnsiTheme="minorHAnsi" w:cstheme="minorHAnsi"/>
        </w:rPr>
        <w:t>However, rather than pointing to the emergence of a specific discovery or debate that challenged astrology’s verity, Vermij and Hirai hypothesize that a shift in worldview ultimately lie behind astrology’s marginalization.</w:t>
      </w:r>
      <w:r w:rsidRPr="008A0874">
        <w:rPr>
          <w:rStyle w:val="FootnoteReference"/>
          <w:rFonts w:asciiTheme="minorHAnsi" w:hAnsiTheme="minorHAnsi" w:cstheme="minorHAnsi"/>
        </w:rPr>
        <w:footnoteReference w:id="7"/>
      </w:r>
      <w:r w:rsidRPr="008A0874">
        <w:rPr>
          <w:rFonts w:asciiTheme="minorHAnsi" w:hAnsiTheme="minorHAnsi" w:cstheme="minorHAnsi"/>
        </w:rPr>
        <w:t xml:space="preserve"> The worldview that arose out of the Enlightenment was not compatible with that which gave astrology its previous legitimacy. H. Darrel Rutkin, in </w:t>
      </w:r>
      <w:r w:rsidRPr="008A0874">
        <w:rPr>
          <w:rFonts w:asciiTheme="minorHAnsi" w:hAnsiTheme="minorHAnsi" w:cstheme="minorHAnsi"/>
          <w:i/>
          <w:iCs/>
        </w:rPr>
        <w:t>How to Accurately Account for Astrology’s Marginalization in the History of Science and Culture</w:t>
      </w:r>
      <w:r w:rsidRPr="008A0874">
        <w:rPr>
          <w:rFonts w:asciiTheme="minorHAnsi" w:hAnsiTheme="minorHAnsi" w:cstheme="minorHAnsi"/>
        </w:rPr>
        <w:t>, elaborates on this in demonstrating the ways in which astrology was intimately embedded conceptually and institutionally in the transmission of established knowledge structures such as ‘in the study and teaching of mathematics, natural philosophy and medicine, and likewise in theology’.</w:t>
      </w:r>
      <w:r w:rsidRPr="008A0874">
        <w:rPr>
          <w:rStyle w:val="FootnoteReference"/>
          <w:rFonts w:asciiTheme="minorHAnsi" w:hAnsiTheme="minorHAnsi" w:cstheme="minorHAnsi"/>
        </w:rPr>
        <w:footnoteReference w:id="8"/>
      </w:r>
      <w:r w:rsidRPr="008A0874">
        <w:rPr>
          <w:rFonts w:asciiTheme="minorHAnsi" w:hAnsiTheme="minorHAnsi" w:cstheme="minorHAnsi"/>
        </w:rPr>
        <w:t xml:space="preserve"> Rutkin argues that astrology was previously secured by this institutional backing due to the ubiquitous legitimacy once held by the Aristotelian worldview.</w:t>
      </w:r>
      <w:r w:rsidRPr="008A0874">
        <w:rPr>
          <w:rStyle w:val="FootnoteReference"/>
          <w:rFonts w:asciiTheme="minorHAnsi" w:hAnsiTheme="minorHAnsi" w:cstheme="minorHAnsi"/>
        </w:rPr>
        <w:footnoteReference w:id="9"/>
      </w:r>
      <w:r w:rsidRPr="008A0874">
        <w:rPr>
          <w:rFonts w:asciiTheme="minorHAnsi" w:hAnsiTheme="minorHAnsi" w:cstheme="minorHAnsi"/>
        </w:rPr>
        <w:t xml:space="preserve"> Rutkin claims that it was the replacement of this worldview with that of ‘modern Newtonian science’ that led to its detachment from institutional support and eventually its marginalization.</w:t>
      </w:r>
      <w:r w:rsidRPr="008A0874">
        <w:rPr>
          <w:rStyle w:val="FootnoteReference"/>
          <w:rFonts w:asciiTheme="minorHAnsi" w:hAnsiTheme="minorHAnsi" w:cstheme="minorHAnsi"/>
        </w:rPr>
        <w:footnoteReference w:id="10"/>
      </w:r>
      <w:r w:rsidRPr="008A0874">
        <w:rPr>
          <w:rFonts w:asciiTheme="minorHAnsi" w:hAnsiTheme="minorHAnsi" w:cstheme="minorHAnsi"/>
        </w:rPr>
        <w:t xml:space="preserve"> According to Rutkin, by the eighteenth century, ‘astrology virtually disappeared from learned culture and catered more and more to popular audiences’.</w:t>
      </w:r>
      <w:r w:rsidRPr="008A0874">
        <w:rPr>
          <w:rStyle w:val="FootnoteReference"/>
          <w:rFonts w:asciiTheme="minorHAnsi" w:hAnsiTheme="minorHAnsi" w:cstheme="minorHAnsi"/>
        </w:rPr>
        <w:footnoteReference w:id="11"/>
      </w:r>
      <w:r w:rsidRPr="008A0874">
        <w:rPr>
          <w:rFonts w:asciiTheme="minorHAnsi" w:hAnsiTheme="minorHAnsi" w:cstheme="minorHAnsi"/>
        </w:rPr>
        <w:t xml:space="preserve"> This exportation of astrology from its institutional security to that of popular culture, helps contextualize one way in which twentieth-century astrology sought to appeal specifically to popular audiences rather than the ‘learned culture’ of the past. Additionally, the emergence of novel scientific explanations of causation that replaced the Aristotelian model, also led to a reconceptualization of astrological practice and techniques. Astrology had to adapt to the new worldview and attempted to rebrand itself as more compatible with it as well as accessible to a popular audience. </w:t>
      </w:r>
    </w:p>
    <w:p w14:paraId="09C699E1" w14:textId="77777777" w:rsidR="008A0874" w:rsidRPr="008A0874" w:rsidRDefault="008A0874" w:rsidP="008A0874">
      <w:pPr>
        <w:autoSpaceDE w:val="0"/>
        <w:autoSpaceDN w:val="0"/>
        <w:adjustRightInd w:val="0"/>
        <w:ind w:firstLine="720"/>
        <w:contextualSpacing/>
        <w:rPr>
          <w:rFonts w:asciiTheme="minorHAnsi" w:hAnsiTheme="minorHAnsi" w:cstheme="minorHAnsi"/>
        </w:rPr>
      </w:pPr>
      <w:r w:rsidRPr="008A0874">
        <w:rPr>
          <w:rFonts w:asciiTheme="minorHAnsi" w:hAnsiTheme="minorHAnsi" w:cstheme="minorHAnsi"/>
        </w:rPr>
        <w:t xml:space="preserve">While twentieth-century astrology inherited the barebones or foundational structure of Greek astrology, it significantly reconceptualized it. Alan Leo (1860-1917) wrote several popular books on astrology, such as </w:t>
      </w:r>
      <w:r w:rsidRPr="008A0874">
        <w:rPr>
          <w:rFonts w:asciiTheme="minorHAnsi" w:hAnsiTheme="minorHAnsi" w:cstheme="minorHAnsi"/>
          <w:i/>
          <w:iCs/>
        </w:rPr>
        <w:t>Astrology for All</w:t>
      </w:r>
      <w:r w:rsidRPr="008A0874">
        <w:rPr>
          <w:rFonts w:asciiTheme="minorHAnsi" w:hAnsiTheme="minorHAnsi" w:cstheme="minorHAnsi"/>
        </w:rPr>
        <w:t xml:space="preserve">, </w:t>
      </w:r>
      <w:r w:rsidRPr="008A0874">
        <w:rPr>
          <w:rFonts w:asciiTheme="minorHAnsi" w:hAnsiTheme="minorHAnsi" w:cstheme="minorHAnsi"/>
          <w:i/>
          <w:iCs/>
        </w:rPr>
        <w:t>The Art of Synthesis</w:t>
      </w:r>
      <w:r w:rsidRPr="008A0874">
        <w:rPr>
          <w:rFonts w:asciiTheme="minorHAnsi" w:hAnsiTheme="minorHAnsi" w:cstheme="minorHAnsi"/>
        </w:rPr>
        <w:t xml:space="preserve">, and </w:t>
      </w:r>
      <w:r w:rsidRPr="008A0874">
        <w:rPr>
          <w:rFonts w:asciiTheme="minorHAnsi" w:hAnsiTheme="minorHAnsi" w:cstheme="minorHAnsi"/>
          <w:i/>
          <w:iCs/>
        </w:rPr>
        <w:t>How to Judge a Nativity</w:t>
      </w:r>
      <w:r w:rsidRPr="008A0874">
        <w:rPr>
          <w:rFonts w:asciiTheme="minorHAnsi" w:hAnsiTheme="minorHAnsi" w:cstheme="minorHAnsi"/>
        </w:rPr>
        <w:t>. According to Nicholas Campion, Leo’s work was hugely influential for modern astrology. As Campion claims, without the deliberate innovations Leo made, modern astrology ‘would be simply unrecognizable’.</w:t>
      </w:r>
      <w:r w:rsidRPr="008A0874">
        <w:rPr>
          <w:rStyle w:val="FootnoteReference"/>
          <w:rFonts w:asciiTheme="minorHAnsi" w:hAnsiTheme="minorHAnsi" w:cstheme="minorHAnsi"/>
        </w:rPr>
        <w:footnoteReference w:id="12"/>
      </w:r>
      <w:r w:rsidRPr="008A0874">
        <w:rPr>
          <w:rFonts w:asciiTheme="minorHAnsi" w:hAnsiTheme="minorHAnsi" w:cstheme="minorHAnsi"/>
        </w:rPr>
        <w:t xml:space="preserve"> Campion is referring to the way in which Leo added significant depth and detail to the zodiac signs. Prior to Leo’s influence, Campion argues, the signs were described with listings of various topographical characteristics. For example, Vettius Valens, who lived in the mid-first </w:t>
      </w:r>
      <w:r w:rsidRPr="008A0874">
        <w:rPr>
          <w:rFonts w:asciiTheme="minorHAnsi" w:hAnsiTheme="minorHAnsi" w:cstheme="minorHAnsi"/>
        </w:rPr>
        <w:lastRenderedPageBreak/>
        <w:t xml:space="preserve">century CE, writes of Gemini in his </w:t>
      </w:r>
      <w:r w:rsidRPr="008A0874">
        <w:rPr>
          <w:rFonts w:asciiTheme="minorHAnsi" w:hAnsiTheme="minorHAnsi" w:cstheme="minorHAnsi"/>
          <w:i/>
          <w:iCs/>
        </w:rPr>
        <w:t>Anthology</w:t>
      </w:r>
      <w:r w:rsidRPr="008A0874">
        <w:rPr>
          <w:rFonts w:asciiTheme="minorHAnsi" w:hAnsiTheme="minorHAnsi" w:cstheme="minorHAnsi"/>
        </w:rPr>
        <w:t xml:space="preserve"> as ‘male, bicorporal, articulate, the house of Mercury, upward-trending, celestial, feminizing, a freedman, sterile, public’.</w:t>
      </w:r>
      <w:r w:rsidRPr="008A0874">
        <w:rPr>
          <w:rStyle w:val="FootnoteReference"/>
          <w:rFonts w:asciiTheme="minorHAnsi" w:hAnsiTheme="minorHAnsi" w:cstheme="minorHAnsi"/>
        </w:rPr>
        <w:footnoteReference w:id="13"/>
      </w:r>
      <w:r w:rsidRPr="008A0874">
        <w:rPr>
          <w:rFonts w:asciiTheme="minorHAnsi" w:hAnsiTheme="minorHAnsi" w:cstheme="minorHAnsi"/>
        </w:rPr>
        <w:t xml:space="preserve"> The list continues but contains mostly single word associations. According to Campion, these listings were common in astrological texts up through the Middle Ages.</w:t>
      </w:r>
      <w:r w:rsidRPr="008A0874">
        <w:rPr>
          <w:rStyle w:val="FootnoteReference"/>
          <w:rFonts w:asciiTheme="minorHAnsi" w:hAnsiTheme="minorHAnsi" w:cstheme="minorHAnsi"/>
        </w:rPr>
        <w:footnoteReference w:id="14"/>
      </w:r>
      <w:r w:rsidRPr="008A0874">
        <w:rPr>
          <w:rFonts w:asciiTheme="minorHAnsi" w:hAnsiTheme="minorHAnsi" w:cstheme="minorHAnsi"/>
        </w:rPr>
        <w:t xml:space="preserve"> Leo’s delineation of Gemini, in </w:t>
      </w:r>
      <w:r w:rsidRPr="008A0874">
        <w:rPr>
          <w:rFonts w:asciiTheme="minorHAnsi" w:hAnsiTheme="minorHAnsi" w:cstheme="minorHAnsi"/>
          <w:i/>
          <w:iCs/>
        </w:rPr>
        <w:t>Astrology for All,</w:t>
      </w:r>
      <w:r w:rsidRPr="008A0874">
        <w:rPr>
          <w:rFonts w:asciiTheme="minorHAnsi" w:hAnsiTheme="minorHAnsi" w:cstheme="minorHAnsi"/>
        </w:rPr>
        <w:t xml:space="preserve"> significantly diverges from this:</w:t>
      </w:r>
    </w:p>
    <w:p w14:paraId="2309EFA8" w14:textId="77777777" w:rsidR="008A0874" w:rsidRPr="008A0874" w:rsidRDefault="008A0874" w:rsidP="008A0874">
      <w:pPr>
        <w:autoSpaceDE w:val="0"/>
        <w:autoSpaceDN w:val="0"/>
        <w:adjustRightInd w:val="0"/>
        <w:contextualSpacing/>
        <w:rPr>
          <w:rFonts w:asciiTheme="minorHAnsi" w:hAnsiTheme="minorHAnsi" w:cstheme="minorHAnsi"/>
        </w:rPr>
      </w:pPr>
    </w:p>
    <w:p w14:paraId="4F3BCC3C" w14:textId="77777777" w:rsidR="008A0874" w:rsidRPr="008A0874" w:rsidRDefault="008A0874" w:rsidP="008A0874">
      <w:pPr>
        <w:autoSpaceDE w:val="0"/>
        <w:autoSpaceDN w:val="0"/>
        <w:adjustRightInd w:val="0"/>
        <w:ind w:left="288" w:right="720"/>
        <w:contextualSpacing/>
        <w:rPr>
          <w:rFonts w:asciiTheme="minorHAnsi" w:hAnsiTheme="minorHAnsi" w:cstheme="minorHAnsi"/>
        </w:rPr>
      </w:pPr>
      <w:r w:rsidRPr="008A0874">
        <w:rPr>
          <w:rFonts w:asciiTheme="minorHAnsi" w:hAnsiTheme="minorHAnsi" w:cstheme="minorHAnsi"/>
        </w:rPr>
        <w:t>‘This sign governs the lungs and arms, which have both dual functions, and Gemini persons are rarely content with a single occupation or pursuit, seeming to delight in having two things in hand at the same time. They can very quickly adapt themselves to their surroundings and are hence remarkable for their versatility, while they are very sensitive, having, nevertheless, the ability to reason upon and analyze their sensations.’</w:t>
      </w:r>
      <w:r w:rsidRPr="008A0874">
        <w:rPr>
          <w:rStyle w:val="FootnoteReference"/>
          <w:rFonts w:asciiTheme="minorHAnsi" w:hAnsiTheme="minorHAnsi" w:cstheme="minorHAnsi"/>
        </w:rPr>
        <w:footnoteReference w:id="15"/>
      </w:r>
    </w:p>
    <w:p w14:paraId="4416E939" w14:textId="77777777" w:rsidR="008A0874" w:rsidRPr="008A0874" w:rsidRDefault="008A0874" w:rsidP="008A0874">
      <w:pPr>
        <w:autoSpaceDE w:val="0"/>
        <w:autoSpaceDN w:val="0"/>
        <w:adjustRightInd w:val="0"/>
        <w:contextualSpacing/>
        <w:rPr>
          <w:rFonts w:asciiTheme="minorHAnsi" w:hAnsiTheme="minorHAnsi" w:cstheme="minorHAnsi"/>
        </w:rPr>
      </w:pPr>
    </w:p>
    <w:p w14:paraId="3DFDF7DD" w14:textId="77777777" w:rsidR="008A0874" w:rsidRPr="008A0874" w:rsidRDefault="008A0874" w:rsidP="008A0874">
      <w:pPr>
        <w:autoSpaceDE w:val="0"/>
        <w:autoSpaceDN w:val="0"/>
        <w:adjustRightInd w:val="0"/>
        <w:contextualSpacing/>
        <w:rPr>
          <w:rFonts w:asciiTheme="minorHAnsi" w:hAnsiTheme="minorHAnsi" w:cstheme="minorHAnsi"/>
        </w:rPr>
      </w:pPr>
      <w:r w:rsidRPr="008A0874">
        <w:rPr>
          <w:rFonts w:asciiTheme="minorHAnsi" w:hAnsiTheme="minorHAnsi" w:cstheme="minorHAnsi"/>
        </w:rPr>
        <w:t>This is only one excerpt from Leo’s nearly three-page delineation. It significantly personifies the sign far beyond a list of associations or characteristics. Leo’s astrology took an inward turn, emphasizing the personal rather than external dimension. As Campion argues, Leo’s innovation of the zodiac set a new precedent for its usage in all subsequent modern astrology.</w:t>
      </w:r>
      <w:r w:rsidRPr="008A0874">
        <w:rPr>
          <w:rStyle w:val="FootnoteReference"/>
          <w:rFonts w:asciiTheme="minorHAnsi" w:hAnsiTheme="minorHAnsi" w:cstheme="minorHAnsi"/>
        </w:rPr>
        <w:footnoteReference w:id="16"/>
      </w:r>
      <w:r w:rsidRPr="008A0874">
        <w:rPr>
          <w:rFonts w:asciiTheme="minorHAnsi" w:hAnsiTheme="minorHAnsi" w:cstheme="minorHAnsi"/>
        </w:rPr>
        <w:t xml:space="preserve"> In Grant </w:t>
      </w:r>
      <w:r w:rsidRPr="008A0874">
        <w:rPr>
          <w:rFonts w:asciiTheme="minorHAnsi" w:hAnsiTheme="minorHAnsi" w:cstheme="minorHAnsi"/>
          <w:i/>
          <w:iCs/>
        </w:rPr>
        <w:t>Lewi’s Astrology for the Millions</w:t>
      </w:r>
      <w:r w:rsidRPr="008A0874">
        <w:rPr>
          <w:rFonts w:asciiTheme="minorHAnsi" w:hAnsiTheme="minorHAnsi" w:cstheme="minorHAnsi"/>
        </w:rPr>
        <w:t>, originally published in 1940, he rebrands the birth chart as a ‘Vitasphere’, presents cookbook style delineations of each of the planets in the zodiac signs and discusses the transits of Saturn through case studies of notable individuals. Lewi’s interpretations and book structure follow much in the tradition Leo initially catalysed. Of the Sun in Gemini, Lewi explains that:</w:t>
      </w:r>
    </w:p>
    <w:p w14:paraId="531AB00D" w14:textId="77777777" w:rsidR="008A0874" w:rsidRPr="008A0874" w:rsidRDefault="008A0874" w:rsidP="008A0874">
      <w:pPr>
        <w:autoSpaceDE w:val="0"/>
        <w:autoSpaceDN w:val="0"/>
        <w:adjustRightInd w:val="0"/>
        <w:contextualSpacing/>
        <w:rPr>
          <w:rFonts w:asciiTheme="minorHAnsi" w:hAnsiTheme="minorHAnsi" w:cstheme="minorHAnsi"/>
        </w:rPr>
      </w:pPr>
    </w:p>
    <w:p w14:paraId="41E0C999" w14:textId="77777777" w:rsidR="008A0874" w:rsidRPr="008A0874" w:rsidRDefault="008A0874" w:rsidP="008A0874">
      <w:pPr>
        <w:autoSpaceDE w:val="0"/>
        <w:autoSpaceDN w:val="0"/>
        <w:adjustRightInd w:val="0"/>
        <w:ind w:left="288" w:right="432"/>
        <w:contextualSpacing/>
        <w:rPr>
          <w:rFonts w:asciiTheme="minorHAnsi" w:hAnsiTheme="minorHAnsi" w:cstheme="minorHAnsi"/>
        </w:rPr>
      </w:pPr>
      <w:r w:rsidRPr="008A0874">
        <w:rPr>
          <w:rFonts w:asciiTheme="minorHAnsi" w:hAnsiTheme="minorHAnsi" w:cstheme="minorHAnsi"/>
        </w:rPr>
        <w:t>‘Education or other discipline must come to Gemini through his own volition, and when it does is his salvation; for then the passion to be different turns into creative originality in business or the arts, and Gemini forges ahead’.</w:t>
      </w:r>
      <w:r w:rsidRPr="008A0874">
        <w:rPr>
          <w:rStyle w:val="FootnoteReference"/>
          <w:rFonts w:asciiTheme="minorHAnsi" w:hAnsiTheme="minorHAnsi" w:cstheme="minorHAnsi"/>
        </w:rPr>
        <w:footnoteReference w:id="17"/>
      </w:r>
      <w:r w:rsidRPr="008A0874">
        <w:rPr>
          <w:rFonts w:asciiTheme="minorHAnsi" w:hAnsiTheme="minorHAnsi" w:cstheme="minorHAnsi"/>
        </w:rPr>
        <w:t xml:space="preserve"> </w:t>
      </w:r>
    </w:p>
    <w:p w14:paraId="67A2DB7B" w14:textId="77777777" w:rsidR="008A0874" w:rsidRPr="008A0874" w:rsidRDefault="008A0874" w:rsidP="008A0874">
      <w:pPr>
        <w:autoSpaceDE w:val="0"/>
        <w:autoSpaceDN w:val="0"/>
        <w:adjustRightInd w:val="0"/>
        <w:contextualSpacing/>
        <w:rPr>
          <w:rFonts w:asciiTheme="minorHAnsi" w:hAnsiTheme="minorHAnsi" w:cstheme="minorHAnsi"/>
        </w:rPr>
      </w:pPr>
    </w:p>
    <w:p w14:paraId="6DCAE2E9" w14:textId="77777777" w:rsidR="008A0874" w:rsidRPr="008A0874" w:rsidRDefault="008A0874" w:rsidP="008A0874">
      <w:pPr>
        <w:autoSpaceDE w:val="0"/>
        <w:autoSpaceDN w:val="0"/>
        <w:adjustRightInd w:val="0"/>
        <w:contextualSpacing/>
        <w:rPr>
          <w:rFonts w:asciiTheme="minorHAnsi" w:hAnsiTheme="minorHAnsi" w:cstheme="minorHAnsi"/>
        </w:rPr>
      </w:pPr>
      <w:r w:rsidRPr="008A0874">
        <w:rPr>
          <w:rFonts w:asciiTheme="minorHAnsi" w:hAnsiTheme="minorHAnsi" w:cstheme="minorHAnsi"/>
        </w:rPr>
        <w:t xml:space="preserve">There are similarities to Leo in Lewi’s delineations, the most significant being that it describes a more personal nuance. In Linda Goodman’s popular 1968 </w:t>
      </w:r>
      <w:r w:rsidRPr="008A0874">
        <w:rPr>
          <w:rFonts w:asciiTheme="minorHAnsi" w:hAnsiTheme="minorHAnsi" w:cstheme="minorHAnsi"/>
          <w:i/>
          <w:iCs/>
        </w:rPr>
        <w:t>Sun Signs</w:t>
      </w:r>
      <w:r w:rsidRPr="008A0874">
        <w:rPr>
          <w:rFonts w:asciiTheme="minorHAnsi" w:hAnsiTheme="minorHAnsi" w:cstheme="minorHAnsi"/>
        </w:rPr>
        <w:t>, she devotes entire chapters to each of the sun’s placements. There are eighteen pages describing the sun in Gemini and its expression in a man, woman, child, boss, and employee, symbolizing the epitome of a simplified astrological text written for a popular, modern audience.</w:t>
      </w:r>
      <w:r w:rsidRPr="008A0874">
        <w:rPr>
          <w:rStyle w:val="FootnoteReference"/>
          <w:rFonts w:asciiTheme="minorHAnsi" w:hAnsiTheme="minorHAnsi" w:cstheme="minorHAnsi"/>
        </w:rPr>
        <w:footnoteReference w:id="18"/>
      </w:r>
      <w:r w:rsidRPr="008A0874">
        <w:rPr>
          <w:rFonts w:asciiTheme="minorHAnsi" w:hAnsiTheme="minorHAnsi" w:cstheme="minorHAnsi"/>
        </w:rPr>
        <w:t xml:space="preserve"> The zodiac, while central to Greek astrology, was heavily reconceptualized in the twentieth century along with many other elements. These innovations were quite significant, and they led to an astrology that deeply emphasized personality over a chain of associations.</w:t>
      </w:r>
    </w:p>
    <w:p w14:paraId="1B6FEDB2" w14:textId="77777777" w:rsidR="008A0874" w:rsidRPr="008A0874" w:rsidRDefault="008A0874" w:rsidP="008A0874">
      <w:pPr>
        <w:autoSpaceDE w:val="0"/>
        <w:autoSpaceDN w:val="0"/>
        <w:adjustRightInd w:val="0"/>
        <w:ind w:firstLine="720"/>
        <w:contextualSpacing/>
        <w:rPr>
          <w:rFonts w:asciiTheme="minorHAnsi" w:hAnsiTheme="minorHAnsi" w:cstheme="minorHAnsi"/>
        </w:rPr>
      </w:pPr>
      <w:r w:rsidRPr="008A0874">
        <w:rPr>
          <w:rFonts w:asciiTheme="minorHAnsi" w:hAnsiTheme="minorHAnsi" w:cstheme="minorHAnsi"/>
        </w:rPr>
        <w:t xml:space="preserve">In Greek astrology, the zodiac was central to the rationale that dictated the meaning of many elements such as the aspects and the doctrine of essential dignities and debilities. These elements, along with the houses, form the foundational structure of modern astrology. Each of these pieces were interconnected in the Greek conception of them. One way of conceiving of these connections is through the </w:t>
      </w:r>
      <w:r w:rsidRPr="008A0874">
        <w:rPr>
          <w:rFonts w:asciiTheme="minorHAnsi" w:hAnsiTheme="minorHAnsi" w:cstheme="minorHAnsi"/>
          <w:i/>
          <w:iCs/>
        </w:rPr>
        <w:t>thema mundi</w:t>
      </w:r>
      <w:r w:rsidRPr="008A0874">
        <w:rPr>
          <w:rFonts w:asciiTheme="minorHAnsi" w:hAnsiTheme="minorHAnsi" w:cstheme="minorHAnsi"/>
        </w:rPr>
        <w:t xml:space="preserve"> or the </w:t>
      </w:r>
      <w:r w:rsidRPr="008A0874">
        <w:rPr>
          <w:rFonts w:asciiTheme="minorHAnsi" w:hAnsiTheme="minorHAnsi" w:cstheme="minorHAnsi"/>
        </w:rPr>
        <w:lastRenderedPageBreak/>
        <w:t>‘Birth Chart of the World’. As the name suggests, this was a birth chart that represented the moment of the world’s creation. There are variations of the chart, which Kristen Lippincott argues in an article about the</w:t>
      </w:r>
      <w:r w:rsidRPr="008A0874">
        <w:rPr>
          <w:rFonts w:asciiTheme="minorHAnsi" w:hAnsiTheme="minorHAnsi" w:cstheme="minorHAnsi"/>
          <w:i/>
          <w:iCs/>
        </w:rPr>
        <w:t xml:space="preserve"> thema mundi </w:t>
      </w:r>
      <w:r w:rsidRPr="008A0874">
        <w:rPr>
          <w:rFonts w:asciiTheme="minorHAnsi" w:hAnsiTheme="minorHAnsi" w:cstheme="minorHAnsi"/>
        </w:rPr>
        <w:t>in Late Medieval and Renaissance Art, reflects the conflict between Egyptian and Greco-Roman traditions of designating the start of the solar year.</w:t>
      </w:r>
      <w:r w:rsidRPr="008A0874">
        <w:rPr>
          <w:rStyle w:val="FootnoteReference"/>
          <w:rFonts w:asciiTheme="minorHAnsi" w:hAnsiTheme="minorHAnsi" w:cstheme="minorHAnsi"/>
        </w:rPr>
        <w:footnoteReference w:id="19"/>
      </w:r>
      <w:r w:rsidRPr="008A0874">
        <w:rPr>
          <w:rFonts w:asciiTheme="minorHAnsi" w:hAnsiTheme="minorHAnsi" w:cstheme="minorHAnsi"/>
        </w:rPr>
        <w:t xml:space="preserve"> In the Egyptian tradition, the summer solstice initiated the new year with the rising of Sirius in the pre-dawn sky, while the Greco-Roman new year was initiated by the spring equinox.</w:t>
      </w:r>
      <w:r w:rsidRPr="008A0874">
        <w:rPr>
          <w:rStyle w:val="FootnoteReference"/>
          <w:rFonts w:asciiTheme="minorHAnsi" w:hAnsiTheme="minorHAnsi" w:cstheme="minorHAnsi"/>
        </w:rPr>
        <w:footnoteReference w:id="20"/>
      </w:r>
      <w:r w:rsidRPr="008A0874">
        <w:rPr>
          <w:rFonts w:asciiTheme="minorHAnsi" w:hAnsiTheme="minorHAnsi" w:cstheme="minorHAnsi"/>
        </w:rPr>
        <w:t xml:space="preserve"> In the tropical zodiac, the Sun enters Cancer at the summer solstice and Aries at the spring equinox. As it pertains to the </w:t>
      </w:r>
      <w:r w:rsidRPr="008A0874">
        <w:rPr>
          <w:rFonts w:asciiTheme="minorHAnsi" w:hAnsiTheme="minorHAnsi" w:cstheme="minorHAnsi"/>
          <w:i/>
          <w:iCs/>
        </w:rPr>
        <w:t>thema mundi</w:t>
      </w:r>
      <w:r w:rsidRPr="008A0874">
        <w:rPr>
          <w:rFonts w:asciiTheme="minorHAnsi" w:hAnsiTheme="minorHAnsi" w:cstheme="minorHAnsi"/>
        </w:rPr>
        <w:t>, there was a logic correlating the start of the solar year to the birth of the world.</w:t>
      </w:r>
      <w:r w:rsidRPr="008A0874">
        <w:rPr>
          <w:rStyle w:val="FootnoteReference"/>
          <w:rFonts w:asciiTheme="minorHAnsi" w:hAnsiTheme="minorHAnsi" w:cstheme="minorHAnsi"/>
        </w:rPr>
        <w:footnoteReference w:id="21"/>
      </w:r>
      <w:r w:rsidRPr="008A0874">
        <w:rPr>
          <w:rFonts w:asciiTheme="minorHAnsi" w:hAnsiTheme="minorHAnsi" w:cstheme="minorHAnsi"/>
        </w:rPr>
        <w:t xml:space="preserve"> Thus, the placement of the Sun, as well as the Ascendent (the sign rising on the eastern horizon) within the </w:t>
      </w:r>
      <w:r w:rsidRPr="008A0874">
        <w:rPr>
          <w:rFonts w:asciiTheme="minorHAnsi" w:hAnsiTheme="minorHAnsi" w:cstheme="minorHAnsi"/>
          <w:i/>
          <w:iCs/>
        </w:rPr>
        <w:t>thema mundi</w:t>
      </w:r>
      <w:r w:rsidRPr="008A0874">
        <w:rPr>
          <w:rFonts w:asciiTheme="minorHAnsi" w:hAnsiTheme="minorHAnsi" w:cstheme="minorHAnsi"/>
        </w:rPr>
        <w:t xml:space="preserve"> may point to the significance of these traditions. However, the Sun and Moon had a special significance in Greek astrology for other reasons, most notably because they were the brightest celestial objects. </w:t>
      </w:r>
    </w:p>
    <w:p w14:paraId="2FFE929E" w14:textId="77777777" w:rsidR="008A0874" w:rsidRPr="008A0874" w:rsidRDefault="008A0874" w:rsidP="008A0874">
      <w:pPr>
        <w:autoSpaceDE w:val="0"/>
        <w:autoSpaceDN w:val="0"/>
        <w:adjustRightInd w:val="0"/>
        <w:ind w:firstLine="720"/>
        <w:contextualSpacing/>
        <w:rPr>
          <w:rFonts w:asciiTheme="minorHAnsi" w:hAnsiTheme="minorHAnsi" w:cstheme="minorHAnsi"/>
        </w:rPr>
      </w:pPr>
      <w:r w:rsidRPr="008A0874">
        <w:rPr>
          <w:rFonts w:asciiTheme="minorHAnsi" w:hAnsiTheme="minorHAnsi" w:cstheme="minorHAnsi"/>
        </w:rPr>
        <w:t xml:space="preserve">One notable text that discusses the </w:t>
      </w:r>
      <w:r w:rsidRPr="008A0874">
        <w:rPr>
          <w:rFonts w:asciiTheme="minorHAnsi" w:hAnsiTheme="minorHAnsi" w:cstheme="minorHAnsi"/>
          <w:i/>
          <w:iCs/>
        </w:rPr>
        <w:t>thema mundi</w:t>
      </w:r>
      <w:r w:rsidRPr="008A0874">
        <w:rPr>
          <w:rFonts w:asciiTheme="minorHAnsi" w:hAnsiTheme="minorHAnsi" w:cstheme="minorHAnsi"/>
        </w:rPr>
        <w:t xml:space="preserve"> is the </w:t>
      </w:r>
      <w:r w:rsidRPr="008A0874">
        <w:rPr>
          <w:rFonts w:asciiTheme="minorHAnsi" w:hAnsiTheme="minorHAnsi" w:cstheme="minorHAnsi"/>
          <w:i/>
          <w:iCs/>
        </w:rPr>
        <w:t>Mathesis,</w:t>
      </w:r>
      <w:r w:rsidRPr="008A0874">
        <w:rPr>
          <w:rFonts w:asciiTheme="minorHAnsi" w:hAnsiTheme="minorHAnsi" w:cstheme="minorHAnsi"/>
        </w:rPr>
        <w:t xml:space="preserve"> written by Julius Firmicus Maternus, a Roman lawyer who lived in the fourth century CE. Maternus explains the </w:t>
      </w:r>
      <w:r w:rsidRPr="008A0874">
        <w:rPr>
          <w:rFonts w:asciiTheme="minorHAnsi" w:hAnsiTheme="minorHAnsi" w:cstheme="minorHAnsi"/>
          <w:i/>
          <w:iCs/>
        </w:rPr>
        <w:t>thema mundi</w:t>
      </w:r>
      <w:r w:rsidRPr="008A0874">
        <w:rPr>
          <w:rFonts w:asciiTheme="minorHAnsi" w:hAnsiTheme="minorHAnsi" w:cstheme="minorHAnsi"/>
        </w:rPr>
        <w:t xml:space="preserve"> in book three and it this version of the chart that presents the logical rationale for a portion of the doctrine of essential dignities and debilities where each planet is said to gain or lose power from being in certain zodiac signs or specific degrees. Maternus states clearly that the </w:t>
      </w:r>
      <w:r w:rsidRPr="008A0874">
        <w:rPr>
          <w:rFonts w:asciiTheme="minorHAnsi" w:hAnsiTheme="minorHAnsi" w:cstheme="minorHAnsi"/>
          <w:i/>
          <w:iCs/>
        </w:rPr>
        <w:t>thema mundi</w:t>
      </w:r>
      <w:r w:rsidRPr="008A0874">
        <w:rPr>
          <w:rFonts w:asciiTheme="minorHAnsi" w:hAnsiTheme="minorHAnsi" w:cstheme="minorHAnsi"/>
        </w:rPr>
        <w:t xml:space="preserve"> is merely symbolic, reasoning that humanity could not have witnessed the moment of the world’s creation nor are they capable of comprehending or articulating it.</w:t>
      </w:r>
      <w:r w:rsidRPr="008A0874">
        <w:rPr>
          <w:rStyle w:val="FootnoteReference"/>
          <w:rFonts w:asciiTheme="minorHAnsi" w:hAnsiTheme="minorHAnsi" w:cstheme="minorHAnsi"/>
        </w:rPr>
        <w:footnoteReference w:id="22"/>
      </w:r>
      <w:r w:rsidRPr="008A0874">
        <w:rPr>
          <w:rFonts w:asciiTheme="minorHAnsi" w:hAnsiTheme="minorHAnsi" w:cstheme="minorHAnsi"/>
        </w:rPr>
        <w:t xml:space="preserve">The </w:t>
      </w:r>
      <w:r w:rsidRPr="008A0874">
        <w:rPr>
          <w:rFonts w:asciiTheme="minorHAnsi" w:hAnsiTheme="minorHAnsi" w:cstheme="minorHAnsi"/>
          <w:i/>
          <w:iCs/>
        </w:rPr>
        <w:t>thema mundi</w:t>
      </w:r>
      <w:r w:rsidRPr="008A0874">
        <w:rPr>
          <w:rFonts w:asciiTheme="minorHAnsi" w:hAnsiTheme="minorHAnsi" w:cstheme="minorHAnsi"/>
        </w:rPr>
        <w:t xml:space="preserve"> stands as an idealized chart setting out the rationale of the Greek astrological system. In the version described by Maternus, the zodiac sign of Cancer lies on the Ascendent. From here, each of the classical planets are placed in their appropriate signs or houses, also referred to as their respective domiciles. The Moon is in Cancer Ascendent, the Sun follows counter clockwise in Leo, then Mercury in Virgo, Venus in Libra, Mars in Scorpio, Jupiter in Sagittarius, and Saturn in Capricorn. This represents one half of the zodiac. The other half occurs in the same order but going clockwise beginning from the Moon: Mercury in Gemini, Venus in Taurus, Mars in Aries, Jupiter in Pisces, and Saturn in Aquarius. Maternus explains these positions based on aspects, geometrical relationships made between the planets. For example, Maternus begins his explanation of the </w:t>
      </w:r>
      <w:r w:rsidRPr="008A0874">
        <w:rPr>
          <w:rFonts w:asciiTheme="minorHAnsi" w:hAnsiTheme="minorHAnsi" w:cstheme="minorHAnsi"/>
          <w:i/>
          <w:iCs/>
        </w:rPr>
        <w:t>thema mundi</w:t>
      </w:r>
      <w:r w:rsidRPr="008A0874">
        <w:rPr>
          <w:rFonts w:asciiTheme="minorHAnsi" w:hAnsiTheme="minorHAnsi" w:cstheme="minorHAnsi"/>
        </w:rPr>
        <w:t xml:space="preserve"> with the following:</w:t>
      </w:r>
    </w:p>
    <w:p w14:paraId="544B7FC7" w14:textId="77777777" w:rsidR="008A0874" w:rsidRPr="008A0874" w:rsidRDefault="008A0874" w:rsidP="008A0874">
      <w:pPr>
        <w:autoSpaceDE w:val="0"/>
        <w:autoSpaceDN w:val="0"/>
        <w:adjustRightInd w:val="0"/>
        <w:ind w:firstLine="720"/>
        <w:contextualSpacing/>
        <w:rPr>
          <w:rFonts w:asciiTheme="minorHAnsi" w:hAnsiTheme="minorHAnsi" w:cstheme="minorHAnsi"/>
        </w:rPr>
      </w:pPr>
    </w:p>
    <w:p w14:paraId="6F71E0F6" w14:textId="77777777" w:rsidR="008A0874" w:rsidRPr="008A0874" w:rsidRDefault="008A0874" w:rsidP="008A0874">
      <w:pPr>
        <w:ind w:left="288" w:right="432"/>
        <w:contextualSpacing/>
        <w:rPr>
          <w:rFonts w:asciiTheme="minorHAnsi" w:hAnsiTheme="minorHAnsi" w:cstheme="minorHAnsi"/>
        </w:rPr>
      </w:pPr>
      <w:r w:rsidRPr="008A0874">
        <w:rPr>
          <w:rFonts w:asciiTheme="minorHAnsi" w:hAnsiTheme="minorHAnsi" w:cstheme="minorHAnsi"/>
        </w:rPr>
        <w:t>‘Saturn first joins himself to the Moon, for he has followed the sect of the Moon; moreover, he follows the sect of the Moon for this reason—because, posited in a feminine sign, he received the opposition aspect of the Moon posited in a feminine sign. But in fact, when this same Saturn has made a transit to the sign Aquarius—namely in this nativity—he has on the contrary conjoined himself to the Sun with a similar aspect, and on the contrary to that sect to which the Sun belong’.</w:t>
      </w:r>
      <w:r w:rsidRPr="008A0874">
        <w:rPr>
          <w:rStyle w:val="FootnoteReference"/>
          <w:rFonts w:asciiTheme="minorHAnsi" w:hAnsiTheme="minorHAnsi" w:cstheme="minorHAnsi"/>
        </w:rPr>
        <w:footnoteReference w:id="23"/>
      </w:r>
    </w:p>
    <w:p w14:paraId="7ED03E3E" w14:textId="77777777" w:rsidR="008A0874" w:rsidRPr="008A0874" w:rsidRDefault="008A0874" w:rsidP="008A0874">
      <w:pPr>
        <w:contextualSpacing/>
        <w:rPr>
          <w:rFonts w:asciiTheme="minorHAnsi" w:hAnsiTheme="minorHAnsi" w:cstheme="minorHAnsi"/>
        </w:rPr>
      </w:pPr>
    </w:p>
    <w:p w14:paraId="15F0BA8D"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lastRenderedPageBreak/>
        <w:t xml:space="preserve">In Greek astrology, the Sun and Moon were referred to as the luminaries. The </w:t>
      </w:r>
      <w:r w:rsidRPr="008A0874">
        <w:rPr>
          <w:rFonts w:asciiTheme="minorHAnsi" w:hAnsiTheme="minorHAnsi" w:cstheme="minorHAnsi"/>
          <w:i/>
          <w:iCs/>
        </w:rPr>
        <w:t>thema mindi</w:t>
      </w:r>
      <w:r w:rsidRPr="008A0874">
        <w:rPr>
          <w:rFonts w:asciiTheme="minorHAnsi" w:hAnsiTheme="minorHAnsi" w:cstheme="minorHAnsi"/>
        </w:rPr>
        <w:t xml:space="preserve"> begins with the signs of the two luminaries’ domiciles—Cancer and Leo. Maternus explains that Saturn’s domiciles in Capricorn and Aquarius are in opposition (180 degrees) to Cancer and Leo. Thus, from Capricorn, Saturn makes an opposition to the Moon in Cancer, and from Aquarius, Saturn makes an opposition to the Sun in Leo. The rationale for the meaning of the aspects is explained in the </w:t>
      </w:r>
      <w:r w:rsidRPr="008A0874">
        <w:rPr>
          <w:rFonts w:asciiTheme="minorHAnsi" w:hAnsiTheme="minorHAnsi" w:cstheme="minorHAnsi"/>
          <w:i/>
          <w:iCs/>
        </w:rPr>
        <w:t>thema mundi</w:t>
      </w:r>
      <w:r w:rsidRPr="008A0874">
        <w:rPr>
          <w:rFonts w:asciiTheme="minorHAnsi" w:hAnsiTheme="minorHAnsi" w:cstheme="minorHAnsi"/>
        </w:rPr>
        <w:t xml:space="preserve"> by the aspects that the planets, Mercury through Saturn, make to the Sun and Moon. For example, Maternus explains that Jupiter in Sagittarius makes a trine (a 120-degree aspect) to the Sun in Leo and Jupiter in Pisces makes a trine to the Moon in Cancer.</w:t>
      </w:r>
      <w:r w:rsidRPr="008A0874">
        <w:rPr>
          <w:rStyle w:val="FootnoteReference"/>
          <w:rFonts w:asciiTheme="minorHAnsi" w:hAnsiTheme="minorHAnsi" w:cstheme="minorHAnsi"/>
        </w:rPr>
        <w:footnoteReference w:id="24"/>
      </w:r>
      <w:r w:rsidRPr="008A0874">
        <w:rPr>
          <w:rFonts w:asciiTheme="minorHAnsi" w:hAnsiTheme="minorHAnsi" w:cstheme="minorHAnsi"/>
        </w:rPr>
        <w:t xml:space="preserve"> What Maternus describes here is the logic of the aspect doctrine based on dividing the zodiac into two hemispheres, one lunar and the other solar. In the Tetrabiblos, written by Claudius Ptolemy in the second century CE, he reasons that because Cancer and Leo are the most northern signs and produce the most heat and warmth, they were assigned to the luminaries, ‘the greatest and most powerful heavenly bodies.</w:t>
      </w:r>
      <w:r w:rsidRPr="008A0874">
        <w:rPr>
          <w:rStyle w:val="FootnoteReference"/>
          <w:rFonts w:asciiTheme="minorHAnsi" w:hAnsiTheme="minorHAnsi" w:cstheme="minorHAnsi"/>
        </w:rPr>
        <w:footnoteReference w:id="25"/>
      </w:r>
      <w:r w:rsidRPr="008A0874">
        <w:rPr>
          <w:rFonts w:asciiTheme="minorHAnsi" w:hAnsiTheme="minorHAnsi" w:cstheme="minorHAnsi"/>
        </w:rPr>
        <w:t xml:space="preserve"> Ptolemy also explains dividing the zodiac into solar and lunar portions as a result of this, a concept referred to as sect:</w:t>
      </w:r>
    </w:p>
    <w:p w14:paraId="4F316799" w14:textId="77777777" w:rsidR="008A0874" w:rsidRPr="008A0874" w:rsidRDefault="008A0874" w:rsidP="008A0874">
      <w:pPr>
        <w:contextualSpacing/>
        <w:rPr>
          <w:rFonts w:asciiTheme="minorHAnsi" w:hAnsiTheme="minorHAnsi" w:cstheme="minorHAnsi"/>
        </w:rPr>
      </w:pPr>
    </w:p>
    <w:p w14:paraId="35603126" w14:textId="77777777" w:rsidR="008A0874" w:rsidRPr="008A0874" w:rsidRDefault="008A0874" w:rsidP="008A0874">
      <w:pPr>
        <w:ind w:left="288" w:right="432"/>
        <w:contextualSpacing/>
        <w:rPr>
          <w:rFonts w:asciiTheme="minorHAnsi" w:hAnsiTheme="minorHAnsi" w:cstheme="minorHAnsi"/>
        </w:rPr>
      </w:pPr>
      <w:r w:rsidRPr="008A0874">
        <w:rPr>
          <w:rFonts w:asciiTheme="minorHAnsi" w:hAnsiTheme="minorHAnsi" w:cstheme="minorHAnsi"/>
        </w:rPr>
        <w:t>‘In keeping with this they assumed the semicircle from Leo to Capricorn to be solar and that from Aquarius to Cancer to be lunar, so that in each of the semi-circles one sign might be assigned to each of the five planets as its own, one bearing aspect to the sun and the other to the moon….’.</w:t>
      </w:r>
      <w:r w:rsidRPr="008A0874">
        <w:rPr>
          <w:rStyle w:val="FootnoteReference"/>
          <w:rFonts w:asciiTheme="minorHAnsi" w:hAnsiTheme="minorHAnsi" w:cstheme="minorHAnsi"/>
        </w:rPr>
        <w:footnoteReference w:id="26"/>
      </w:r>
    </w:p>
    <w:p w14:paraId="464A4D1B" w14:textId="77777777" w:rsidR="008A0874" w:rsidRPr="008A0874" w:rsidRDefault="008A0874" w:rsidP="008A0874">
      <w:pPr>
        <w:contextualSpacing/>
        <w:rPr>
          <w:rFonts w:asciiTheme="minorHAnsi" w:hAnsiTheme="minorHAnsi" w:cstheme="minorHAnsi"/>
        </w:rPr>
      </w:pPr>
    </w:p>
    <w:p w14:paraId="2B7CD788"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t>According to Ptolemy, the signs Leo through Capricorn belong to the solar sect while the signs Aquarius through Cancer belong to the lunar sect. This is what Maternus refers to when he says Saturn ‘has as on the contrary conjoined himself to the Sun with a similar aspect, and on the contrary to that sect to which the Sun belong’.</w:t>
      </w:r>
      <w:r w:rsidRPr="008A0874">
        <w:rPr>
          <w:rStyle w:val="FootnoteReference"/>
          <w:rFonts w:asciiTheme="minorHAnsi" w:hAnsiTheme="minorHAnsi" w:cstheme="minorHAnsi"/>
        </w:rPr>
        <w:footnoteReference w:id="27"/>
      </w:r>
      <w:r w:rsidRPr="008A0874">
        <w:rPr>
          <w:rFonts w:asciiTheme="minorHAnsi" w:hAnsiTheme="minorHAnsi" w:cstheme="minorHAnsi"/>
        </w:rPr>
        <w:t xml:space="preserve"> Saturn opposes the Sun from Aquarius on the lunar side of the zodiac, contrary to the solar. These relationships also explain not only the nature of the aspects, but reveal their connection to the planets. In Greek astrology, both planets and aspects were assigned either positive or negative qualities. The luminaries and Mercury were exempted from this, though Mercury could alternate within the binary. Planets were considered benefic (positive) or malefic (negative). Aspects were considered harmonious (positive) or disharmonious (negative). These associations are clearly laid out in the logic of the </w:t>
      </w:r>
      <w:r w:rsidRPr="008A0874">
        <w:rPr>
          <w:rFonts w:asciiTheme="minorHAnsi" w:hAnsiTheme="minorHAnsi" w:cstheme="minorHAnsi"/>
          <w:i/>
          <w:iCs/>
        </w:rPr>
        <w:t>thema mundi</w:t>
      </w:r>
      <w:r w:rsidRPr="008A0874">
        <w:rPr>
          <w:rFonts w:asciiTheme="minorHAnsi" w:hAnsiTheme="minorHAnsi" w:cstheme="minorHAnsi"/>
        </w:rPr>
        <w:t xml:space="preserve">. Each planet was connected symbolically to a zodiac sign, sect, gender, and an aspect. For example, Saturn was considered a masculine, malefic planet of the solar sect and the opposition was perceived as disharmonious, while Venus was a feminine benefic of the lunar sect, and the sextile was harmonious. Thus, Saturn was connected to the derived symbolism of the opposition aspect, and Saturn’s domiciles also derived meaning from Saturn itself. Mercury was associated with the conjunction (an alignment), Mars the square (a 90-degree aspect), and Jupiter, the trine. All these elements--planets, signs, and aspects were symbolically connected through these rational associations. </w:t>
      </w:r>
    </w:p>
    <w:p w14:paraId="6F654443"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lastRenderedPageBreak/>
        <w:tab/>
        <w:t xml:space="preserve">The picture gets more complex, because the domiciles of the planets form only one portion of the doctrine of essential dignities and debilities. It is only the domicile portion, planets having a home in specific signs, that seems to have made the most impact on the astrology of the twentieth century. Most of the doctrine is left out or briefly mentioned, at least in the most popular publications that modern astrologers were writing. In addition to planets having domicile or home signs, they also had exaltations that were equally positive positions for planets. There were triplicities, signs grouped by their trine relationships to each other in the zodiac, such as Aries, Leo, and Sagittarius, a concept that modern astrology associates more so with the four elements of fire, earth, water, and air. However, this was not a strictly modern conception. Aries, Leo, and Sagittarius, as fire signs, formed the fire element triad. Alan Leo, </w:t>
      </w:r>
      <w:r w:rsidRPr="008A0874">
        <w:rPr>
          <w:rFonts w:asciiTheme="minorHAnsi" w:hAnsiTheme="minorHAnsi" w:cstheme="minorHAnsi"/>
          <w:i/>
          <w:iCs/>
        </w:rPr>
        <w:t>in How to Judge a Nativity</w:t>
      </w:r>
      <w:r w:rsidRPr="008A0874">
        <w:rPr>
          <w:rFonts w:asciiTheme="minorHAnsi" w:hAnsiTheme="minorHAnsi" w:cstheme="minorHAnsi"/>
        </w:rPr>
        <w:t>, groups the signs by these triplicities in his descriptions of them such as ‘The Fiery Signs’ or the ‘Earthy Signs’.</w:t>
      </w:r>
      <w:r w:rsidRPr="008A0874">
        <w:rPr>
          <w:rStyle w:val="FootnoteReference"/>
          <w:rFonts w:asciiTheme="minorHAnsi" w:hAnsiTheme="minorHAnsi" w:cstheme="minorHAnsi"/>
        </w:rPr>
        <w:footnoteReference w:id="28"/>
      </w:r>
      <w:r w:rsidRPr="008A0874">
        <w:rPr>
          <w:rFonts w:asciiTheme="minorHAnsi" w:hAnsiTheme="minorHAnsi" w:cstheme="minorHAnsi"/>
        </w:rPr>
        <w:t xml:space="preserve"> Liz Greene, in </w:t>
      </w:r>
      <w:r w:rsidRPr="008A0874">
        <w:rPr>
          <w:rFonts w:asciiTheme="minorHAnsi" w:hAnsiTheme="minorHAnsi" w:cstheme="minorHAnsi"/>
          <w:i/>
          <w:iCs/>
        </w:rPr>
        <w:t>Saturn: A New Look at an Old Devil</w:t>
      </w:r>
      <w:r w:rsidRPr="008A0874">
        <w:rPr>
          <w:rFonts w:asciiTheme="minorHAnsi" w:hAnsiTheme="minorHAnsi" w:cstheme="minorHAnsi"/>
        </w:rPr>
        <w:t>, first published in 1978, uses this same grouping in her delineations of Saturn in the signs and houses, such as in the first chapter, ‘in the watery signs and houses’.</w:t>
      </w:r>
      <w:r w:rsidRPr="008A0874">
        <w:rPr>
          <w:rStyle w:val="FootnoteReference"/>
          <w:rFonts w:asciiTheme="minorHAnsi" w:hAnsiTheme="minorHAnsi" w:cstheme="minorHAnsi"/>
        </w:rPr>
        <w:footnoteReference w:id="29"/>
      </w:r>
      <w:r w:rsidRPr="008A0874">
        <w:rPr>
          <w:rFonts w:asciiTheme="minorHAnsi" w:hAnsiTheme="minorHAnsi" w:cstheme="minorHAnsi"/>
        </w:rPr>
        <w:t xml:space="preserve"> The triplicities were given planetary rulers in Greek astrology, both a day and night ruler. The fire sign grouping was, according to Ptolemy, ‘assigned the sun and Jupiter….’, adding that, ‘The sun assumes first governance of it by day and Jupiter by night’.</w:t>
      </w:r>
      <w:r w:rsidRPr="008A0874">
        <w:rPr>
          <w:rStyle w:val="FootnoteReference"/>
          <w:rFonts w:asciiTheme="minorHAnsi" w:hAnsiTheme="minorHAnsi" w:cstheme="minorHAnsi"/>
        </w:rPr>
        <w:footnoteReference w:id="30"/>
      </w:r>
      <w:r w:rsidRPr="008A0874">
        <w:rPr>
          <w:rFonts w:asciiTheme="minorHAnsi" w:hAnsiTheme="minorHAnsi" w:cstheme="minorHAnsi"/>
        </w:rPr>
        <w:t xml:space="preserve"> According to Ptolemy, the sun was the day ruler and Jupiter the night ruler of the fire sign triad. There were also two negative places for planets to be, in detriment or depression (also known as fall). These places weakened a planet’s strength. Detriments were simply the opposite of a planet’s domicile, but depressions were opposite the planets’ exaltation. For Venus, Ptolemy explains that ‘….she is moist by nature and increases her own proper power all the more in Pisces, where the beginning of the moist spring is indicated, has her exaltation in Pisces and her depression in Virgo’.</w:t>
      </w:r>
      <w:r w:rsidRPr="008A0874">
        <w:rPr>
          <w:rStyle w:val="FootnoteReference"/>
          <w:rFonts w:asciiTheme="minorHAnsi" w:hAnsiTheme="minorHAnsi" w:cstheme="minorHAnsi"/>
        </w:rPr>
        <w:footnoteReference w:id="31"/>
      </w:r>
      <w:r w:rsidRPr="008A0874">
        <w:rPr>
          <w:rFonts w:asciiTheme="minorHAnsi" w:hAnsiTheme="minorHAnsi" w:cstheme="minorHAnsi"/>
        </w:rPr>
        <w:t xml:space="preserve"> Thus, according to Ptolemy, Venus was exalted in Pisces and in depression, or fall, in Virgo. Additionally, the doctrine includes both terms and faces, specific degrees of a zodiac sign assigned to different planets. For example, the first six degrees of Aries was assigned to the term of Jupiter and the first 10 degrees assigned the face of Mars.</w:t>
      </w:r>
      <w:r w:rsidRPr="008A0874">
        <w:rPr>
          <w:rStyle w:val="FootnoteReference"/>
          <w:rFonts w:asciiTheme="minorHAnsi" w:hAnsiTheme="minorHAnsi" w:cstheme="minorHAnsi"/>
        </w:rPr>
        <w:footnoteReference w:id="32"/>
      </w:r>
      <w:r w:rsidRPr="008A0874">
        <w:rPr>
          <w:rFonts w:asciiTheme="minorHAnsi" w:hAnsiTheme="minorHAnsi" w:cstheme="minorHAnsi"/>
        </w:rPr>
        <w:t xml:space="preserve"> The doctrine of essential dignities in Greek astrology was extensive but one point is most relevant here. Even while parts of the system were incorporated into modern astrology, the use of the dignities and debilities in Greek astrology were quite different. Where, for example, exaltations were mentioned in modern texts, they are reconceptualized to apply to some aspect of the individual. In Greek astrology they were relevant to an individual’s life, but more so as indicators of fate or for discerning a favourable versus unfavourable time for implementing a specific activity. </w:t>
      </w:r>
    </w:p>
    <w:p w14:paraId="1AF89F99" w14:textId="77777777" w:rsidR="008A0874" w:rsidRPr="008A0874" w:rsidRDefault="008A0874" w:rsidP="008A0874">
      <w:pPr>
        <w:ind w:firstLine="288"/>
        <w:contextualSpacing/>
        <w:rPr>
          <w:rFonts w:asciiTheme="minorHAnsi" w:hAnsiTheme="minorHAnsi" w:cstheme="minorHAnsi"/>
        </w:rPr>
      </w:pPr>
      <w:r w:rsidRPr="008A0874">
        <w:rPr>
          <w:rFonts w:asciiTheme="minorHAnsi" w:hAnsiTheme="minorHAnsi" w:cstheme="minorHAnsi"/>
        </w:rPr>
        <w:t xml:space="preserve">While the dignities and debilities were not lost to twentieth-century astrologers, they appear to have omitted much of the details of the scheme from their major publications. In </w:t>
      </w:r>
      <w:r w:rsidRPr="008A0874">
        <w:rPr>
          <w:rFonts w:asciiTheme="minorHAnsi" w:hAnsiTheme="minorHAnsi" w:cstheme="minorHAnsi"/>
          <w:i/>
          <w:iCs/>
        </w:rPr>
        <w:t>How to Judge a Nativity</w:t>
      </w:r>
      <w:r w:rsidRPr="008A0874">
        <w:rPr>
          <w:rFonts w:asciiTheme="minorHAnsi" w:hAnsiTheme="minorHAnsi" w:cstheme="minorHAnsi"/>
        </w:rPr>
        <w:t xml:space="preserve">, in addition to the domiciles, or what Leo refers to as the planet’s houses, he does in fact mention detriment, exaltation, and fall. However, he does not go into much detail other than to briefly discuss exaltations: </w:t>
      </w:r>
    </w:p>
    <w:p w14:paraId="4F0F81BB" w14:textId="77777777" w:rsidR="008A0874" w:rsidRPr="008A0874" w:rsidRDefault="008A0874" w:rsidP="008A0874">
      <w:pPr>
        <w:contextualSpacing/>
        <w:rPr>
          <w:rFonts w:asciiTheme="minorHAnsi" w:hAnsiTheme="minorHAnsi" w:cstheme="minorHAnsi"/>
        </w:rPr>
      </w:pPr>
    </w:p>
    <w:p w14:paraId="20F0B1E9" w14:textId="77777777" w:rsidR="008A0874" w:rsidRPr="008A0874" w:rsidRDefault="008A0874" w:rsidP="008A0874">
      <w:pPr>
        <w:ind w:left="288" w:right="720"/>
        <w:contextualSpacing/>
        <w:mirrorIndents/>
        <w:rPr>
          <w:rFonts w:asciiTheme="minorHAnsi" w:hAnsiTheme="minorHAnsi" w:cstheme="minorHAnsi"/>
        </w:rPr>
      </w:pPr>
      <w:r w:rsidRPr="008A0874">
        <w:rPr>
          <w:rFonts w:asciiTheme="minorHAnsi" w:hAnsiTheme="minorHAnsi" w:cstheme="minorHAnsi"/>
        </w:rPr>
        <w:lastRenderedPageBreak/>
        <w:t>‘The true sense of the term ‘exaltation’ cannot be at present explained, but there can be no question that planets in their exaltation signs do exert a more refined and more powerful influence than elsewhere’.</w:t>
      </w:r>
      <w:r w:rsidRPr="008A0874">
        <w:rPr>
          <w:rStyle w:val="FootnoteReference"/>
          <w:rFonts w:asciiTheme="minorHAnsi" w:hAnsiTheme="minorHAnsi" w:cstheme="minorHAnsi"/>
        </w:rPr>
        <w:footnoteReference w:id="33"/>
      </w:r>
    </w:p>
    <w:p w14:paraId="4CE5FC5A" w14:textId="77777777" w:rsidR="008A0874" w:rsidRPr="008A0874" w:rsidRDefault="008A0874" w:rsidP="008A0874">
      <w:pPr>
        <w:contextualSpacing/>
        <w:rPr>
          <w:rFonts w:asciiTheme="minorHAnsi" w:hAnsiTheme="minorHAnsi" w:cstheme="minorHAnsi"/>
        </w:rPr>
      </w:pPr>
    </w:p>
    <w:p w14:paraId="2E0EF831"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t>Leo goes on to explain that these concepts, especially the exaltation degrees, derive from the long tradition of astrology.</w:t>
      </w:r>
      <w:r w:rsidRPr="008A0874">
        <w:rPr>
          <w:rStyle w:val="FootnoteReference"/>
          <w:rFonts w:asciiTheme="minorHAnsi" w:hAnsiTheme="minorHAnsi" w:cstheme="minorHAnsi"/>
        </w:rPr>
        <w:footnoteReference w:id="34"/>
      </w:r>
      <w:r w:rsidRPr="008A0874">
        <w:rPr>
          <w:rFonts w:asciiTheme="minorHAnsi" w:hAnsiTheme="minorHAnsi" w:cstheme="minorHAnsi"/>
        </w:rPr>
        <w:t xml:space="preserve"> The fact that these concepts go back to antiquity, and they have been found to have a natural rationale behind them was good enough for Leo to accept them.</w:t>
      </w:r>
      <w:r w:rsidRPr="008A0874">
        <w:rPr>
          <w:rStyle w:val="FootnoteReference"/>
          <w:rFonts w:asciiTheme="minorHAnsi" w:hAnsiTheme="minorHAnsi" w:cstheme="minorHAnsi"/>
        </w:rPr>
        <w:footnoteReference w:id="35"/>
      </w:r>
      <w:r w:rsidRPr="008A0874">
        <w:rPr>
          <w:rFonts w:asciiTheme="minorHAnsi" w:hAnsiTheme="minorHAnsi" w:cstheme="minorHAnsi"/>
        </w:rPr>
        <w:t xml:space="preserve"> However, this appears to be the only reference Leo makes to the system and he never elaborates on its use elsewhere in the text or in other books. Carl Louis von Grasshoff (1865-1919), who went by the pseudonym Max Heindel, was the founder of The Rosicrucian Fellowship and wrote several books on astrology.</w:t>
      </w:r>
      <w:r w:rsidRPr="008A0874">
        <w:rPr>
          <w:rStyle w:val="FootnoteReference"/>
          <w:rFonts w:asciiTheme="minorHAnsi" w:hAnsiTheme="minorHAnsi" w:cstheme="minorHAnsi"/>
        </w:rPr>
        <w:footnoteReference w:id="36"/>
      </w:r>
      <w:r w:rsidRPr="008A0874">
        <w:rPr>
          <w:rFonts w:asciiTheme="minorHAnsi" w:hAnsiTheme="minorHAnsi" w:cstheme="minorHAnsi"/>
        </w:rPr>
        <w:t xml:space="preserve"> In </w:t>
      </w:r>
      <w:r w:rsidRPr="008A0874">
        <w:rPr>
          <w:rFonts w:asciiTheme="minorHAnsi" w:hAnsiTheme="minorHAnsi" w:cstheme="minorHAnsi"/>
          <w:i/>
          <w:iCs/>
        </w:rPr>
        <w:t>Simplified Scientific Astrology</w:t>
      </w:r>
      <w:r w:rsidRPr="008A0874">
        <w:rPr>
          <w:rFonts w:asciiTheme="minorHAnsi" w:hAnsiTheme="minorHAnsi" w:cstheme="minorHAnsi"/>
        </w:rPr>
        <w:t>, which was intended to instruct on the construction of a birth chart, Heindel also makes brief mention of dignities and debilities but only to provide their definitions in an astrological encyclopaedia included in the back of the book.</w:t>
      </w:r>
      <w:r w:rsidRPr="008A0874">
        <w:rPr>
          <w:rStyle w:val="FootnoteReference"/>
          <w:rFonts w:asciiTheme="minorHAnsi" w:hAnsiTheme="minorHAnsi" w:cstheme="minorHAnsi"/>
        </w:rPr>
        <w:footnoteReference w:id="37"/>
      </w:r>
      <w:r w:rsidRPr="008A0874">
        <w:rPr>
          <w:rFonts w:asciiTheme="minorHAnsi" w:hAnsiTheme="minorHAnsi" w:cstheme="minorHAnsi"/>
        </w:rPr>
        <w:t xml:space="preserve"> However, Liz Greene, in </w:t>
      </w:r>
      <w:r w:rsidRPr="008A0874">
        <w:rPr>
          <w:rFonts w:asciiTheme="minorHAnsi" w:hAnsiTheme="minorHAnsi" w:cstheme="minorHAnsi"/>
          <w:i/>
          <w:iCs/>
        </w:rPr>
        <w:t>Jung’s Studies in Astrology</w:t>
      </w:r>
      <w:r w:rsidRPr="008A0874">
        <w:rPr>
          <w:rFonts w:asciiTheme="minorHAnsi" w:hAnsiTheme="minorHAnsi" w:cstheme="minorHAnsi"/>
        </w:rPr>
        <w:t>, presents a ‘Horoscope Data Sheet’, filled in with the Carl Jung’s birth information, that was used in the Rosicrucian Fellowship’s astrological correspondence course. In it, the essential dignities were noted.</w:t>
      </w:r>
      <w:r w:rsidRPr="008A0874">
        <w:rPr>
          <w:rStyle w:val="FootnoteReference"/>
          <w:rFonts w:asciiTheme="minorHAnsi" w:hAnsiTheme="minorHAnsi" w:cstheme="minorHAnsi"/>
        </w:rPr>
        <w:footnoteReference w:id="38"/>
      </w:r>
      <w:r w:rsidRPr="008A0874">
        <w:rPr>
          <w:rFonts w:asciiTheme="minorHAnsi" w:hAnsiTheme="minorHAnsi" w:cstheme="minorHAnsi"/>
        </w:rPr>
        <w:t xml:space="preserve"> A visual aid also used in the correspondence course, of an astrological chart displaying the domiciles, exaltations, detriments, and falls, was also shown.</w:t>
      </w:r>
      <w:r w:rsidRPr="008A0874">
        <w:rPr>
          <w:rStyle w:val="FootnoteReference"/>
          <w:rFonts w:asciiTheme="minorHAnsi" w:hAnsiTheme="minorHAnsi" w:cstheme="minorHAnsi"/>
        </w:rPr>
        <w:footnoteReference w:id="39"/>
      </w:r>
      <w:r w:rsidRPr="008A0874">
        <w:rPr>
          <w:rFonts w:asciiTheme="minorHAnsi" w:hAnsiTheme="minorHAnsi" w:cstheme="minorHAnsi"/>
        </w:rPr>
        <w:t xml:space="preserve"> Interestingly, at the top of the visual aid, the following is stated: ‘Legitimate Astrology is not Fortune Telling. Astrology is the key to Character, and CHARACTER is DESTINY’.</w:t>
      </w:r>
      <w:r w:rsidRPr="008A0874">
        <w:rPr>
          <w:rStyle w:val="FootnoteReference"/>
          <w:rFonts w:asciiTheme="minorHAnsi" w:hAnsiTheme="minorHAnsi" w:cstheme="minorHAnsi"/>
        </w:rPr>
        <w:footnoteReference w:id="40"/>
      </w:r>
      <w:r w:rsidRPr="008A0874">
        <w:rPr>
          <w:rFonts w:asciiTheme="minorHAnsi" w:hAnsiTheme="minorHAnsi" w:cstheme="minorHAnsi"/>
        </w:rPr>
        <w:t xml:space="preserve"> This is significant in revealing how Heindel’s astrology sought to distance itself from the stigma associated with fortune telling and determinism (something Greek astrology did not always shy away from) and emphasized the character and inward growth of the individual. Hendel’s other notable book, </w:t>
      </w:r>
      <w:r w:rsidRPr="008A0874">
        <w:rPr>
          <w:rFonts w:asciiTheme="minorHAnsi" w:hAnsiTheme="minorHAnsi" w:cstheme="minorHAnsi"/>
          <w:i/>
          <w:iCs/>
        </w:rPr>
        <w:t>The Message of the Stars</w:t>
      </w:r>
      <w:r w:rsidRPr="008A0874">
        <w:rPr>
          <w:rFonts w:asciiTheme="minorHAnsi" w:hAnsiTheme="minorHAnsi" w:cstheme="minorHAnsi"/>
        </w:rPr>
        <w:t>, attributed to himself and his wife, Augusta Foss Heindel, makes a brief mention of exaltations, detriments, and falls, but there appears to be no application of the scheme to the presented case studies.</w:t>
      </w:r>
      <w:r w:rsidRPr="008A0874">
        <w:rPr>
          <w:rStyle w:val="FootnoteReference"/>
          <w:rFonts w:asciiTheme="minorHAnsi" w:hAnsiTheme="minorHAnsi" w:cstheme="minorHAnsi"/>
        </w:rPr>
        <w:footnoteReference w:id="41"/>
      </w:r>
      <w:r w:rsidRPr="008A0874">
        <w:rPr>
          <w:rFonts w:asciiTheme="minorHAnsi" w:hAnsiTheme="minorHAnsi" w:cstheme="minorHAnsi"/>
        </w:rPr>
        <w:t xml:space="preserve"> Students of the correspondence course appear to have been taught about at a least a portion of the essential dignities scheme, minus the terms and faces. Heindel’s books were not directed to a mainstream audience necessarily as the Rosicrucian Fellowship was more so an inner circle. Yet, the title of </w:t>
      </w:r>
      <w:r w:rsidRPr="008A0874">
        <w:rPr>
          <w:rFonts w:asciiTheme="minorHAnsi" w:hAnsiTheme="minorHAnsi" w:cstheme="minorHAnsi"/>
          <w:i/>
          <w:iCs/>
        </w:rPr>
        <w:t xml:space="preserve">Simplified Scientific Astrology, </w:t>
      </w:r>
      <w:r w:rsidRPr="008A0874">
        <w:rPr>
          <w:rFonts w:asciiTheme="minorHAnsi" w:hAnsiTheme="minorHAnsi" w:cstheme="minorHAnsi"/>
        </w:rPr>
        <w:t xml:space="preserve">seems to appeal to accessibility and the more modern prestige of science. </w:t>
      </w:r>
    </w:p>
    <w:p w14:paraId="0F542E12"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tab/>
        <w:t>One other notable figure of twentieth century astrology was Evangeline Adams (1868-1932). Adams is noted by James Hershel Holden, as ‘the most famous American astrologer’ of the early third of the twentieth century.</w:t>
      </w:r>
      <w:r w:rsidRPr="008A0874">
        <w:rPr>
          <w:rStyle w:val="FootnoteReference"/>
          <w:rFonts w:asciiTheme="minorHAnsi" w:hAnsiTheme="minorHAnsi" w:cstheme="minorHAnsi"/>
        </w:rPr>
        <w:footnoteReference w:id="42"/>
      </w:r>
      <w:r w:rsidRPr="008A0874">
        <w:rPr>
          <w:rFonts w:asciiTheme="minorHAnsi" w:hAnsiTheme="minorHAnsi" w:cstheme="minorHAnsi"/>
        </w:rPr>
        <w:t xml:space="preserve"> A few books are attributed to her such as </w:t>
      </w:r>
      <w:r w:rsidRPr="008A0874">
        <w:rPr>
          <w:rFonts w:asciiTheme="minorHAnsi" w:hAnsiTheme="minorHAnsi" w:cstheme="minorHAnsi"/>
          <w:i/>
          <w:iCs/>
        </w:rPr>
        <w:t xml:space="preserve">Astrology: Your Place in the Sun, Astrology: Your Place Among the Stars, </w:t>
      </w:r>
      <w:r w:rsidRPr="008A0874">
        <w:rPr>
          <w:rFonts w:asciiTheme="minorHAnsi" w:hAnsiTheme="minorHAnsi" w:cstheme="minorHAnsi"/>
          <w:i/>
          <w:iCs/>
        </w:rPr>
        <w:lastRenderedPageBreak/>
        <w:t>Astrology for Everyone</w:t>
      </w:r>
      <w:r w:rsidRPr="008A0874">
        <w:rPr>
          <w:rFonts w:asciiTheme="minorHAnsi" w:hAnsiTheme="minorHAnsi" w:cstheme="minorHAnsi"/>
        </w:rPr>
        <w:t xml:space="preserve">, and an autobiography, </w:t>
      </w:r>
      <w:r w:rsidRPr="008A0874">
        <w:rPr>
          <w:rFonts w:asciiTheme="minorHAnsi" w:hAnsiTheme="minorHAnsi" w:cstheme="minorHAnsi"/>
          <w:i/>
          <w:iCs/>
        </w:rPr>
        <w:t>The Bowl of Heaven</w:t>
      </w:r>
      <w:r w:rsidRPr="008A0874">
        <w:rPr>
          <w:rFonts w:asciiTheme="minorHAnsi" w:hAnsiTheme="minorHAnsi" w:cstheme="minorHAnsi"/>
        </w:rPr>
        <w:t xml:space="preserve">. As the titles suggest, her books were written as accessible to a general audience. There is evidence that at least two of Evangeline’s books, </w:t>
      </w:r>
      <w:r w:rsidRPr="008A0874">
        <w:rPr>
          <w:rFonts w:asciiTheme="minorHAnsi" w:hAnsiTheme="minorHAnsi" w:cstheme="minorHAnsi"/>
          <w:i/>
          <w:iCs/>
        </w:rPr>
        <w:t>Your Place in the Sun</w:t>
      </w:r>
      <w:r w:rsidRPr="008A0874">
        <w:rPr>
          <w:rFonts w:asciiTheme="minorHAnsi" w:hAnsiTheme="minorHAnsi" w:cstheme="minorHAnsi"/>
        </w:rPr>
        <w:t xml:space="preserve"> (1927) </w:t>
      </w:r>
      <w:r w:rsidRPr="008A0874">
        <w:rPr>
          <w:rFonts w:asciiTheme="minorHAnsi" w:hAnsiTheme="minorHAnsi" w:cstheme="minorHAnsi"/>
          <w:i/>
          <w:iCs/>
        </w:rPr>
        <w:t>and Your Place Among the Stars</w:t>
      </w:r>
      <w:r w:rsidRPr="008A0874">
        <w:rPr>
          <w:rFonts w:asciiTheme="minorHAnsi" w:hAnsiTheme="minorHAnsi" w:cstheme="minorHAnsi"/>
        </w:rPr>
        <w:t xml:space="preserve"> (1930) were partly written by the occultist Aleister Crowley (1875-1947) in a collaboration between the two. According to John Symonds and Kenneth Grant, in </w:t>
      </w:r>
      <w:r w:rsidRPr="008A0874">
        <w:rPr>
          <w:rFonts w:asciiTheme="minorHAnsi" w:hAnsiTheme="minorHAnsi" w:cstheme="minorHAnsi"/>
          <w:i/>
          <w:iCs/>
        </w:rPr>
        <w:t>Aleister Crowley: The Complete Astrological Writings</w:t>
      </w:r>
      <w:r w:rsidRPr="008A0874">
        <w:rPr>
          <w:rFonts w:asciiTheme="minorHAnsi" w:hAnsiTheme="minorHAnsi" w:cstheme="minorHAnsi"/>
        </w:rPr>
        <w:t xml:space="preserve">, Crowley worked on a document that he titled </w:t>
      </w:r>
      <w:r w:rsidRPr="008A0874">
        <w:rPr>
          <w:rFonts w:asciiTheme="minorHAnsi" w:hAnsiTheme="minorHAnsi" w:cstheme="minorHAnsi"/>
          <w:i/>
          <w:iCs/>
        </w:rPr>
        <w:t xml:space="preserve">Liber 536 </w:t>
      </w:r>
      <w:r w:rsidRPr="008A0874">
        <w:rPr>
          <w:rFonts w:asciiTheme="minorHAnsi" w:hAnsiTheme="minorHAnsi" w:cstheme="minorHAnsi"/>
        </w:rPr>
        <w:t>from 1917-1918.</w:t>
      </w:r>
      <w:r w:rsidRPr="008A0874">
        <w:rPr>
          <w:rStyle w:val="FootnoteReference"/>
          <w:rFonts w:asciiTheme="minorHAnsi" w:hAnsiTheme="minorHAnsi" w:cstheme="minorHAnsi"/>
        </w:rPr>
        <w:footnoteReference w:id="43"/>
      </w:r>
      <w:r w:rsidRPr="008A0874">
        <w:rPr>
          <w:rFonts w:asciiTheme="minorHAnsi" w:hAnsiTheme="minorHAnsi" w:cstheme="minorHAnsi"/>
        </w:rPr>
        <w:t xml:space="preserve"> This document was integrated with Adam’s books by Hymenaeus Beta and published as a reconstruction of Crowley’s </w:t>
      </w:r>
      <w:r w:rsidRPr="008A0874">
        <w:rPr>
          <w:rFonts w:asciiTheme="minorHAnsi" w:hAnsiTheme="minorHAnsi" w:cstheme="minorHAnsi"/>
          <w:i/>
          <w:iCs/>
        </w:rPr>
        <w:t>Liber 536</w:t>
      </w:r>
      <w:r w:rsidRPr="008A0874">
        <w:rPr>
          <w:rFonts w:asciiTheme="minorHAnsi" w:hAnsiTheme="minorHAnsi" w:cstheme="minorHAnsi"/>
        </w:rPr>
        <w:t xml:space="preserve"> as </w:t>
      </w:r>
      <w:r w:rsidRPr="008A0874">
        <w:rPr>
          <w:rFonts w:asciiTheme="minorHAnsi" w:hAnsiTheme="minorHAnsi" w:cstheme="minorHAnsi"/>
          <w:i/>
          <w:iCs/>
        </w:rPr>
        <w:t>The General Principles of Astrology</w:t>
      </w:r>
      <w:r w:rsidRPr="008A0874">
        <w:rPr>
          <w:rFonts w:asciiTheme="minorHAnsi" w:hAnsiTheme="minorHAnsi" w:cstheme="minorHAnsi"/>
        </w:rPr>
        <w:t>.</w:t>
      </w:r>
      <w:r w:rsidRPr="008A0874">
        <w:rPr>
          <w:rStyle w:val="FootnoteReference"/>
          <w:rFonts w:asciiTheme="minorHAnsi" w:hAnsiTheme="minorHAnsi" w:cstheme="minorHAnsi"/>
        </w:rPr>
        <w:footnoteReference w:id="44"/>
      </w:r>
      <w:r w:rsidRPr="008A0874">
        <w:rPr>
          <w:rFonts w:asciiTheme="minorHAnsi" w:hAnsiTheme="minorHAnsi" w:cstheme="minorHAnsi"/>
        </w:rPr>
        <w:t xml:space="preserve"> Between the original document and Adam’s books, Crowley’s contribution is evident. Yet, with the Crowley context aside, the structure of both books</w:t>
      </w:r>
      <w:r w:rsidRPr="008A0874">
        <w:rPr>
          <w:rFonts w:asciiTheme="minorHAnsi" w:hAnsiTheme="minorHAnsi" w:cstheme="minorHAnsi"/>
          <w:i/>
          <w:iCs/>
        </w:rPr>
        <w:t>, Your Place in the Sun</w:t>
      </w:r>
      <w:r w:rsidRPr="008A0874">
        <w:rPr>
          <w:rFonts w:asciiTheme="minorHAnsi" w:hAnsiTheme="minorHAnsi" w:cstheme="minorHAnsi"/>
        </w:rPr>
        <w:t xml:space="preserve"> and </w:t>
      </w:r>
      <w:r w:rsidRPr="008A0874">
        <w:rPr>
          <w:rFonts w:asciiTheme="minorHAnsi" w:hAnsiTheme="minorHAnsi" w:cstheme="minorHAnsi"/>
          <w:i/>
          <w:iCs/>
        </w:rPr>
        <w:t>Your Place Among the Stars</w:t>
      </w:r>
      <w:r w:rsidRPr="008A0874">
        <w:rPr>
          <w:rFonts w:asciiTheme="minorHAnsi" w:hAnsiTheme="minorHAnsi" w:cstheme="minorHAnsi"/>
        </w:rPr>
        <w:t xml:space="preserve">, follow the same trend as many astrological cookbooks of the twentieth century. </w:t>
      </w:r>
      <w:r w:rsidRPr="008A0874">
        <w:rPr>
          <w:rFonts w:asciiTheme="minorHAnsi" w:hAnsiTheme="minorHAnsi" w:cstheme="minorHAnsi"/>
          <w:i/>
          <w:iCs/>
        </w:rPr>
        <w:t>Your Place Amoung the Stars</w:t>
      </w:r>
      <w:r w:rsidRPr="008A0874">
        <w:rPr>
          <w:rFonts w:asciiTheme="minorHAnsi" w:hAnsiTheme="minorHAnsi" w:cstheme="minorHAnsi"/>
        </w:rPr>
        <w:t xml:space="preserve"> gives delineations for all the classical planets in the signs as well as significant future periods based on transiting planets that make aspects to those placements. The delineations do briefly mention when a planet is in its ‘own house’ or exaltation, but not much else pertaining to the essential dignities emerges. In a delineation of Mercury in Virgo, it is stated that:</w:t>
      </w:r>
    </w:p>
    <w:p w14:paraId="2B7819D8" w14:textId="77777777" w:rsidR="008A0874" w:rsidRPr="008A0874" w:rsidRDefault="008A0874" w:rsidP="008A0874">
      <w:pPr>
        <w:contextualSpacing/>
        <w:rPr>
          <w:rFonts w:asciiTheme="minorHAnsi" w:hAnsiTheme="minorHAnsi" w:cstheme="minorHAnsi"/>
        </w:rPr>
      </w:pPr>
    </w:p>
    <w:p w14:paraId="39843AE0" w14:textId="77777777" w:rsidR="008A0874" w:rsidRPr="008A0874" w:rsidRDefault="008A0874" w:rsidP="008A0874">
      <w:pPr>
        <w:ind w:left="288" w:right="432"/>
        <w:contextualSpacing/>
        <w:rPr>
          <w:rFonts w:asciiTheme="minorHAnsi" w:hAnsiTheme="minorHAnsi" w:cstheme="minorHAnsi"/>
        </w:rPr>
      </w:pPr>
      <w:r w:rsidRPr="008A0874">
        <w:rPr>
          <w:rFonts w:asciiTheme="minorHAnsi" w:hAnsiTheme="minorHAnsi" w:cstheme="minorHAnsi"/>
        </w:rPr>
        <w:t>‘In this sign Mercury is not only in his own house, but also in the house of his exaltation, and it is natural to suppose that he will be stronger and more excellent here than anywhere else in the Zodiac’.</w:t>
      </w:r>
      <w:r w:rsidRPr="008A0874">
        <w:rPr>
          <w:rStyle w:val="FootnoteReference"/>
          <w:rFonts w:asciiTheme="minorHAnsi" w:hAnsiTheme="minorHAnsi" w:cstheme="minorHAnsi"/>
        </w:rPr>
        <w:footnoteReference w:id="45"/>
      </w:r>
      <w:r w:rsidRPr="008A0874">
        <w:rPr>
          <w:rFonts w:asciiTheme="minorHAnsi" w:hAnsiTheme="minorHAnsi" w:cstheme="minorHAnsi"/>
        </w:rPr>
        <w:t xml:space="preserve"> </w:t>
      </w:r>
    </w:p>
    <w:p w14:paraId="20D38130" w14:textId="77777777" w:rsidR="008A0874" w:rsidRPr="008A0874" w:rsidRDefault="008A0874" w:rsidP="008A0874">
      <w:pPr>
        <w:contextualSpacing/>
        <w:rPr>
          <w:rFonts w:asciiTheme="minorHAnsi" w:hAnsiTheme="minorHAnsi" w:cstheme="minorHAnsi"/>
        </w:rPr>
      </w:pPr>
    </w:p>
    <w:p w14:paraId="6D0FD1CC" w14:textId="77777777" w:rsidR="008A0874" w:rsidRPr="008A0874" w:rsidRDefault="008A0874" w:rsidP="008A0874">
      <w:pPr>
        <w:spacing w:before="240"/>
        <w:contextualSpacing/>
        <w:rPr>
          <w:rFonts w:asciiTheme="minorHAnsi" w:hAnsiTheme="minorHAnsi" w:cstheme="minorHAnsi"/>
        </w:rPr>
      </w:pPr>
      <w:r w:rsidRPr="008A0874">
        <w:rPr>
          <w:rFonts w:asciiTheme="minorHAnsi" w:hAnsiTheme="minorHAnsi" w:cstheme="minorHAnsi"/>
        </w:rPr>
        <w:t>Planets in their domiciles or exaltation are described as being stronger positions, but not much else is said of them. As with many popular astrological books of this period, Adams and Crowley’s works sought to make astrology as accessible as possible and were thus non-technical. Yet, According to Karen Christino, in</w:t>
      </w:r>
      <w:r w:rsidRPr="008A0874">
        <w:rPr>
          <w:rFonts w:asciiTheme="minorHAnsi" w:hAnsiTheme="minorHAnsi" w:cstheme="minorHAnsi"/>
          <w:i/>
          <w:iCs/>
        </w:rPr>
        <w:t xml:space="preserve"> What Evangeline Adams Knew</w:t>
      </w:r>
      <w:r w:rsidRPr="008A0874">
        <w:rPr>
          <w:rFonts w:asciiTheme="minorHAnsi" w:hAnsiTheme="minorHAnsi" w:cstheme="minorHAnsi"/>
        </w:rPr>
        <w:t>, Adams used essential dignities in her practice and personal life as documented charts demonstrate. Two such examples involve wedding charts, one for Adam’s herself an another for her niece, Gertrude Adams. While Chistino does not provide conclusive evidence that Adams intentionally elected the wedding dates and times, the charts themselves appear to demonstrate an abundance of placements that correspond to the doctrine of essential dignities beyond what would occur by chance. As Christino states, Adams ‘had a huge consulting business and regularly elected dates for clients, particularly surgical dates’.</w:t>
      </w:r>
      <w:r w:rsidRPr="008A0874">
        <w:rPr>
          <w:rStyle w:val="FootnoteReference"/>
          <w:rFonts w:asciiTheme="minorHAnsi" w:hAnsiTheme="minorHAnsi" w:cstheme="minorHAnsi"/>
        </w:rPr>
        <w:footnoteReference w:id="46"/>
      </w:r>
      <w:r w:rsidRPr="008A0874">
        <w:rPr>
          <w:rFonts w:asciiTheme="minorHAnsi" w:hAnsiTheme="minorHAnsi" w:cstheme="minorHAnsi"/>
        </w:rPr>
        <w:t xml:space="preserve"> It appears likely based on these documented wedding dates that Adams would have carefully selected them. In her own wedding chart, at the age of 53 and an established and successful practicing astrologer, Adams selected a date with Venus exalted in Pisces, the Sun exalted in Aries, Saturn exalted in Libra, the face of Jupiter occupied by the Moon and Venus, and the term of Venus occupied by the Ascendant and Jupiter. Adams also selected a Thursday (ruled by Jupiter) and a Jupiter hour.</w:t>
      </w:r>
      <w:r w:rsidRPr="008A0874">
        <w:rPr>
          <w:rStyle w:val="FootnoteReference"/>
          <w:rFonts w:asciiTheme="minorHAnsi" w:hAnsiTheme="minorHAnsi" w:cstheme="minorHAnsi"/>
        </w:rPr>
        <w:footnoteReference w:id="47"/>
      </w:r>
      <w:r w:rsidRPr="008A0874">
        <w:rPr>
          <w:rFonts w:asciiTheme="minorHAnsi" w:hAnsiTheme="minorHAnsi" w:cstheme="minorHAnsi"/>
        </w:rPr>
        <w:t xml:space="preserve"> The planetary placements in the houses, such as Venus placed in the 7</w:t>
      </w:r>
      <w:r w:rsidRPr="008A0874">
        <w:rPr>
          <w:rFonts w:asciiTheme="minorHAnsi" w:hAnsiTheme="minorHAnsi" w:cstheme="minorHAnsi"/>
          <w:vertAlign w:val="superscript"/>
        </w:rPr>
        <w:t>th</w:t>
      </w:r>
      <w:r w:rsidRPr="008A0874">
        <w:rPr>
          <w:rFonts w:asciiTheme="minorHAnsi" w:hAnsiTheme="minorHAnsi" w:cstheme="minorHAnsi"/>
        </w:rPr>
        <w:t xml:space="preserve"> house </w:t>
      </w:r>
      <w:r w:rsidRPr="008A0874">
        <w:rPr>
          <w:rFonts w:asciiTheme="minorHAnsi" w:hAnsiTheme="minorHAnsi" w:cstheme="minorHAnsi"/>
        </w:rPr>
        <w:lastRenderedPageBreak/>
        <w:t>(associated with marriage) in the term of Venus are also revealing.</w:t>
      </w:r>
      <w:r w:rsidRPr="008A0874">
        <w:rPr>
          <w:rStyle w:val="FootnoteReference"/>
          <w:rFonts w:asciiTheme="minorHAnsi" w:hAnsiTheme="minorHAnsi" w:cstheme="minorHAnsi"/>
        </w:rPr>
        <w:footnoteReference w:id="48"/>
      </w:r>
      <w:r w:rsidRPr="008A0874">
        <w:rPr>
          <w:rFonts w:asciiTheme="minorHAnsi" w:hAnsiTheme="minorHAnsi" w:cstheme="minorHAnsi"/>
        </w:rPr>
        <w:t xml:space="preserve"> While Adams’ books never discuss the more complex essential dignities doctrine, especially as it pertained to selecting elections, the evidence at least points to Adams having used them in her personal affairs. Like Leo, Adams briefly mentions essential dignities in her books, but does not elaborate much more. Numerous books in the twentieth century sought to appeal to a broader audience and remained accessible and thus consumable. What astrologers in the twentieth century were publishing versus practicing may have diverged significantly. Thus, it may be incorrect to assume that twentieth-century astrology did not inherit complex, Greek astrological techniques, but rather failed to write about them.  </w:t>
      </w:r>
    </w:p>
    <w:p w14:paraId="12F06444" w14:textId="77777777" w:rsidR="008A0874" w:rsidRPr="008A0874" w:rsidRDefault="008A0874" w:rsidP="008A0874">
      <w:pPr>
        <w:contextualSpacing/>
        <w:rPr>
          <w:rFonts w:asciiTheme="minorHAnsi" w:hAnsiTheme="minorHAnsi" w:cstheme="minorHAnsi"/>
        </w:rPr>
      </w:pPr>
      <w:r w:rsidRPr="008A0874">
        <w:rPr>
          <w:rFonts w:asciiTheme="minorHAnsi" w:hAnsiTheme="minorHAnsi" w:cstheme="minorHAnsi"/>
        </w:rPr>
        <w:tab/>
        <w:t>What precisely shaped the simplification of modern astrology is at least partly illuminated by astrology’s marginalization. However, the issue of modern astrology’s distance from both its classical roots and the mainstream institutions it was once attached is more nuanced than the decline of a single worldview or the emergence of a new one. As Vermij and Hirai also state, astrological practices were already abandoned in specific instances prior to the embrace of what they describe as the mechanistic worldview later upheld by natural philosophers.</w:t>
      </w:r>
      <w:r w:rsidRPr="008A0874">
        <w:rPr>
          <w:rStyle w:val="FootnoteReference"/>
          <w:rFonts w:asciiTheme="minorHAnsi" w:hAnsiTheme="minorHAnsi" w:cstheme="minorHAnsi"/>
        </w:rPr>
        <w:footnoteReference w:id="49"/>
      </w:r>
      <w:r w:rsidRPr="008A0874">
        <w:rPr>
          <w:rFonts w:asciiTheme="minorHAnsi" w:hAnsiTheme="minorHAnsi" w:cstheme="minorHAnsi"/>
        </w:rPr>
        <w:t xml:space="preserve"> Vermij and Hirai argue that ‘This makes it untenable that the downfall of the traditional Aristotelian world view was the sole factor behind the marginalization of astrology’.</w:t>
      </w:r>
      <w:r w:rsidRPr="008A0874">
        <w:rPr>
          <w:rStyle w:val="FootnoteReference"/>
          <w:rFonts w:asciiTheme="minorHAnsi" w:hAnsiTheme="minorHAnsi" w:cstheme="minorHAnsi"/>
        </w:rPr>
        <w:footnoteReference w:id="50"/>
      </w:r>
      <w:r w:rsidRPr="008A0874">
        <w:rPr>
          <w:rFonts w:asciiTheme="minorHAnsi" w:hAnsiTheme="minorHAnsi" w:cstheme="minorHAnsi"/>
        </w:rPr>
        <w:t xml:space="preserve"> They point to astrology’s marginalization as an epiphenomena of the embrace of the shifting paradigm rather than a direct consequence of it.</w:t>
      </w:r>
      <w:r w:rsidRPr="008A0874">
        <w:rPr>
          <w:rStyle w:val="FootnoteReference"/>
          <w:rFonts w:asciiTheme="minorHAnsi" w:hAnsiTheme="minorHAnsi" w:cstheme="minorHAnsi"/>
        </w:rPr>
        <w:footnoteReference w:id="51"/>
      </w:r>
      <w:r w:rsidRPr="008A0874">
        <w:rPr>
          <w:rFonts w:asciiTheme="minorHAnsi" w:hAnsiTheme="minorHAnsi" w:cstheme="minorHAnsi"/>
        </w:rPr>
        <w:t xml:space="preserve"> The rise of the new scientific paradigm also occurred alongside the rise of the secular state. Astrology was one of many causalities exiled from sectors of power as secularism redefined the legitimacy of certain fields of knowledge. Theology itself, once at the helm of the state’s hegemonic power, especially in medieval Europe, was equally phased to the margins of western culture. Modern secularism redefined the boundaries of acceptable scientific discourse and advanced new institutional categorizations. Religion is one such categorization that astrology is sometimes affiliated with by the secular worldview. In challenging Clifford Geertz’s attempts at establishing a definition of religion, and by effect establishing religion as a human universal, Talal Asad, in </w:t>
      </w:r>
      <w:r w:rsidRPr="008A0874">
        <w:rPr>
          <w:rFonts w:asciiTheme="minorHAnsi" w:hAnsiTheme="minorHAnsi" w:cstheme="minorHAnsi"/>
          <w:i/>
          <w:iCs/>
        </w:rPr>
        <w:t>Genealogies of Religion: Discipline and Reasons of Power in Christian and Islam</w:t>
      </w:r>
      <w:r w:rsidRPr="008A0874">
        <w:rPr>
          <w:rFonts w:asciiTheme="minorHAnsi" w:hAnsiTheme="minorHAnsi" w:cstheme="minorHAnsi"/>
        </w:rPr>
        <w:t>, argues that the conceptualization of religion by the modern world stems entirely from the unique historical trajectory of the West.</w:t>
      </w:r>
      <w:r w:rsidRPr="008A0874">
        <w:rPr>
          <w:rStyle w:val="FootnoteReference"/>
          <w:rFonts w:asciiTheme="minorHAnsi" w:hAnsiTheme="minorHAnsi" w:cstheme="minorHAnsi"/>
        </w:rPr>
        <w:footnoteReference w:id="52"/>
      </w:r>
      <w:r w:rsidRPr="008A0874">
        <w:rPr>
          <w:rFonts w:asciiTheme="minorHAnsi" w:hAnsiTheme="minorHAnsi" w:cstheme="minorHAnsi"/>
        </w:rPr>
        <w:t xml:space="preserve"> In other words, the modern conception of religion is not a universal structure that can be clearly discerned outside the context of secularized modernity. As Asad argues, the modern view of religion, as an activity designated as separate and thus private from state sanctioned institutions, arose as a need to more clearly define the secular state itself and what it deemed as appropriate domains of knowledge.</w:t>
      </w:r>
      <w:r w:rsidRPr="008A0874">
        <w:rPr>
          <w:rStyle w:val="FootnoteReference"/>
          <w:rFonts w:asciiTheme="minorHAnsi" w:hAnsiTheme="minorHAnsi" w:cstheme="minorHAnsi"/>
        </w:rPr>
        <w:footnoteReference w:id="53"/>
      </w:r>
      <w:r w:rsidRPr="008A0874">
        <w:rPr>
          <w:rFonts w:asciiTheme="minorHAnsi" w:hAnsiTheme="minorHAnsi" w:cstheme="minorHAnsi"/>
        </w:rPr>
        <w:t xml:space="preserve"> This demarcation of religious activity to a privatized domain relates similarly to the ‘marginalization of astrology’ as defined by Virmij and Hirai as both were consequences of the cultural shifts brought about by the Enlightenment. The astrologers of the twentieth century may not have completely liberated astrology from it Aristotelian roots, but firmly accustomed to new causal explanations which had tangible results in the modern, industrialized world, led to a </w:t>
      </w:r>
      <w:r w:rsidRPr="008A0874">
        <w:rPr>
          <w:rFonts w:asciiTheme="minorHAnsi" w:hAnsiTheme="minorHAnsi" w:cstheme="minorHAnsi"/>
        </w:rPr>
        <w:lastRenderedPageBreak/>
        <w:t xml:space="preserve">reconceptualization of certain astrological components. The collapse of the old models and worldviews may have opened new possibilities for astrological novelty such as in Leo’s revolution of the zodiac. Astrologers of the twentieth century also lived in a solar system that was ever expanding with new planetary discoveries, shattering the seven-planet model which numerous Greek astrological doctrines were based as exemplified by the </w:t>
      </w:r>
      <w:r w:rsidRPr="008A0874">
        <w:rPr>
          <w:rFonts w:asciiTheme="minorHAnsi" w:hAnsiTheme="minorHAnsi" w:cstheme="minorHAnsi"/>
          <w:i/>
          <w:iCs/>
        </w:rPr>
        <w:t>thema mundi</w:t>
      </w:r>
      <w:r w:rsidRPr="008A0874">
        <w:rPr>
          <w:rFonts w:asciiTheme="minorHAnsi" w:hAnsiTheme="minorHAnsi" w:cstheme="minorHAnsi"/>
        </w:rPr>
        <w:t>. New planets were given sign rulerships in modern astrology. As it relates to secularism, astrological practice also sought to secularize itself by becoming more compatible and thus palatable with psychological or personality-centred concepts rather than those upheld by the Aristotelian worldview. An astrology that focused on character analysis was likely less threatening to the secular state than one that attempted weather forecasting or worse, ‘fortune telling’, as many laws, especially in the twentieth century, explicitly forbid. Thus, much like religion, the more complex astrological practices were relegated not only to the margins but more so to the astrologer’s private domain, and thus what they published conformed as well to the emergent, secularized modernity.</w:t>
      </w:r>
    </w:p>
    <w:p w14:paraId="2B434093" w14:textId="1A81E875" w:rsidR="008A0874" w:rsidRDefault="008A0874" w:rsidP="008A0874">
      <w:pPr>
        <w:contextualSpacing/>
        <w:rPr>
          <w:rFonts w:asciiTheme="minorHAnsi" w:hAnsiTheme="minorHAnsi" w:cstheme="minorHAnsi"/>
        </w:rPr>
      </w:pPr>
    </w:p>
    <w:p w14:paraId="04BF89E7" w14:textId="431A1BA4" w:rsidR="008A0874" w:rsidRDefault="008A0874" w:rsidP="008A0874">
      <w:pPr>
        <w:contextualSpacing/>
        <w:rPr>
          <w:rFonts w:asciiTheme="minorHAnsi" w:hAnsiTheme="minorHAnsi" w:cstheme="minorHAnsi"/>
        </w:rPr>
      </w:pPr>
    </w:p>
    <w:p w14:paraId="5BA3294F" w14:textId="1D74A786" w:rsidR="008A0874" w:rsidRDefault="008A0874" w:rsidP="008A0874">
      <w:pPr>
        <w:contextualSpacing/>
        <w:rPr>
          <w:rFonts w:asciiTheme="minorHAnsi" w:hAnsiTheme="minorHAnsi" w:cstheme="minorHAnsi"/>
        </w:rPr>
      </w:pPr>
    </w:p>
    <w:p w14:paraId="1F4B81C5" w14:textId="2EBE1DFC" w:rsidR="008A0874" w:rsidRDefault="008A0874" w:rsidP="008A0874">
      <w:pPr>
        <w:contextualSpacing/>
        <w:rPr>
          <w:rFonts w:asciiTheme="minorHAnsi" w:hAnsiTheme="minorHAnsi" w:cstheme="minorHAnsi"/>
        </w:rPr>
      </w:pPr>
    </w:p>
    <w:p w14:paraId="4E9127F5" w14:textId="31B6D2EC" w:rsidR="008A0874" w:rsidRDefault="008A0874" w:rsidP="008A0874">
      <w:pPr>
        <w:contextualSpacing/>
        <w:rPr>
          <w:rFonts w:asciiTheme="minorHAnsi" w:hAnsiTheme="minorHAnsi" w:cstheme="minorHAnsi"/>
        </w:rPr>
      </w:pPr>
    </w:p>
    <w:p w14:paraId="4DC6774F" w14:textId="51DBE7CB" w:rsidR="008A0874" w:rsidRDefault="008A0874" w:rsidP="008A0874">
      <w:pPr>
        <w:contextualSpacing/>
        <w:rPr>
          <w:rFonts w:asciiTheme="minorHAnsi" w:hAnsiTheme="minorHAnsi" w:cstheme="minorHAnsi"/>
        </w:rPr>
      </w:pPr>
    </w:p>
    <w:p w14:paraId="7C582545" w14:textId="5C9AAFB1" w:rsidR="008A0874" w:rsidRDefault="008A0874" w:rsidP="008A0874">
      <w:pPr>
        <w:contextualSpacing/>
        <w:rPr>
          <w:rFonts w:asciiTheme="minorHAnsi" w:hAnsiTheme="minorHAnsi" w:cstheme="minorHAnsi"/>
        </w:rPr>
      </w:pPr>
    </w:p>
    <w:p w14:paraId="3552FB3C" w14:textId="4B7CEFC8" w:rsidR="008A0874" w:rsidRDefault="008A0874" w:rsidP="008A0874">
      <w:pPr>
        <w:contextualSpacing/>
        <w:rPr>
          <w:rFonts w:asciiTheme="minorHAnsi" w:hAnsiTheme="minorHAnsi" w:cstheme="minorHAnsi"/>
        </w:rPr>
      </w:pPr>
    </w:p>
    <w:p w14:paraId="1307B456" w14:textId="299DF134" w:rsidR="008A0874" w:rsidRDefault="008A0874" w:rsidP="008A0874">
      <w:pPr>
        <w:contextualSpacing/>
        <w:rPr>
          <w:rFonts w:asciiTheme="minorHAnsi" w:hAnsiTheme="minorHAnsi" w:cstheme="minorHAnsi"/>
        </w:rPr>
      </w:pPr>
    </w:p>
    <w:p w14:paraId="2B3B26F1" w14:textId="1751B73B" w:rsidR="008A0874" w:rsidRDefault="008A0874" w:rsidP="008A0874">
      <w:pPr>
        <w:contextualSpacing/>
        <w:rPr>
          <w:rFonts w:asciiTheme="minorHAnsi" w:hAnsiTheme="minorHAnsi" w:cstheme="minorHAnsi"/>
        </w:rPr>
      </w:pPr>
    </w:p>
    <w:p w14:paraId="34EF1772" w14:textId="53632F0E" w:rsidR="008A0874" w:rsidRDefault="008A0874" w:rsidP="008A0874">
      <w:pPr>
        <w:contextualSpacing/>
        <w:rPr>
          <w:rFonts w:asciiTheme="minorHAnsi" w:hAnsiTheme="minorHAnsi" w:cstheme="minorHAnsi"/>
        </w:rPr>
      </w:pPr>
    </w:p>
    <w:p w14:paraId="1F11003C" w14:textId="6A42B099" w:rsidR="008A0874" w:rsidRDefault="008A0874" w:rsidP="008A0874">
      <w:pPr>
        <w:contextualSpacing/>
        <w:rPr>
          <w:rFonts w:asciiTheme="minorHAnsi" w:hAnsiTheme="minorHAnsi" w:cstheme="minorHAnsi"/>
        </w:rPr>
      </w:pPr>
    </w:p>
    <w:p w14:paraId="1B7DBD45" w14:textId="41D2B1D2" w:rsidR="008A0874" w:rsidRDefault="008A0874" w:rsidP="008A0874">
      <w:pPr>
        <w:contextualSpacing/>
        <w:rPr>
          <w:rFonts w:asciiTheme="minorHAnsi" w:hAnsiTheme="minorHAnsi" w:cstheme="minorHAnsi"/>
        </w:rPr>
      </w:pPr>
    </w:p>
    <w:p w14:paraId="4AFC9024" w14:textId="5632A086" w:rsidR="008A0874" w:rsidRDefault="008A0874" w:rsidP="008A0874">
      <w:pPr>
        <w:contextualSpacing/>
        <w:rPr>
          <w:rFonts w:asciiTheme="minorHAnsi" w:hAnsiTheme="minorHAnsi" w:cstheme="minorHAnsi"/>
        </w:rPr>
      </w:pPr>
    </w:p>
    <w:p w14:paraId="6F4520A6" w14:textId="4A0276B1" w:rsidR="008A0874" w:rsidRDefault="008A0874" w:rsidP="008A0874">
      <w:pPr>
        <w:contextualSpacing/>
        <w:rPr>
          <w:rFonts w:asciiTheme="minorHAnsi" w:hAnsiTheme="minorHAnsi" w:cstheme="minorHAnsi"/>
        </w:rPr>
      </w:pPr>
    </w:p>
    <w:p w14:paraId="5B903DD7" w14:textId="47A13D44" w:rsidR="008A0874" w:rsidRDefault="008A0874" w:rsidP="008A0874">
      <w:pPr>
        <w:contextualSpacing/>
        <w:rPr>
          <w:rFonts w:asciiTheme="minorHAnsi" w:hAnsiTheme="minorHAnsi" w:cstheme="minorHAnsi"/>
        </w:rPr>
      </w:pPr>
    </w:p>
    <w:p w14:paraId="0FB84394" w14:textId="2B05517E" w:rsidR="008A0874" w:rsidRDefault="008A0874" w:rsidP="008A0874">
      <w:pPr>
        <w:contextualSpacing/>
        <w:rPr>
          <w:rFonts w:asciiTheme="minorHAnsi" w:hAnsiTheme="minorHAnsi" w:cstheme="minorHAnsi"/>
        </w:rPr>
      </w:pPr>
    </w:p>
    <w:p w14:paraId="0614289E" w14:textId="4E66E0B5" w:rsidR="008A0874" w:rsidRDefault="008A0874" w:rsidP="008A0874">
      <w:pPr>
        <w:contextualSpacing/>
        <w:rPr>
          <w:rFonts w:asciiTheme="minorHAnsi" w:hAnsiTheme="minorHAnsi" w:cstheme="minorHAnsi"/>
        </w:rPr>
      </w:pPr>
    </w:p>
    <w:p w14:paraId="5BC75924" w14:textId="09B3AEAC" w:rsidR="008A0874" w:rsidRDefault="008A0874" w:rsidP="008A0874">
      <w:pPr>
        <w:contextualSpacing/>
        <w:rPr>
          <w:rFonts w:asciiTheme="minorHAnsi" w:hAnsiTheme="minorHAnsi" w:cstheme="minorHAnsi"/>
        </w:rPr>
      </w:pPr>
    </w:p>
    <w:p w14:paraId="4D40A1E0" w14:textId="438EDA5A" w:rsidR="008A0874" w:rsidRDefault="008A0874" w:rsidP="008A0874">
      <w:pPr>
        <w:contextualSpacing/>
        <w:rPr>
          <w:rFonts w:asciiTheme="minorHAnsi" w:hAnsiTheme="minorHAnsi" w:cstheme="minorHAnsi"/>
        </w:rPr>
      </w:pPr>
    </w:p>
    <w:p w14:paraId="5A5B8F94" w14:textId="059FF54A" w:rsidR="008A0874" w:rsidRDefault="008A0874" w:rsidP="008A0874">
      <w:pPr>
        <w:contextualSpacing/>
        <w:rPr>
          <w:rFonts w:asciiTheme="minorHAnsi" w:hAnsiTheme="minorHAnsi" w:cstheme="minorHAnsi"/>
        </w:rPr>
      </w:pPr>
    </w:p>
    <w:p w14:paraId="6491C729" w14:textId="47926156" w:rsidR="008A0874" w:rsidRDefault="008A0874" w:rsidP="008A0874">
      <w:pPr>
        <w:contextualSpacing/>
        <w:rPr>
          <w:rFonts w:asciiTheme="minorHAnsi" w:hAnsiTheme="minorHAnsi" w:cstheme="minorHAnsi"/>
        </w:rPr>
      </w:pPr>
    </w:p>
    <w:p w14:paraId="55ACFA3B" w14:textId="6808890A" w:rsidR="008A0874" w:rsidRDefault="008A0874" w:rsidP="008A0874">
      <w:pPr>
        <w:contextualSpacing/>
        <w:rPr>
          <w:rFonts w:asciiTheme="minorHAnsi" w:hAnsiTheme="minorHAnsi" w:cstheme="minorHAnsi"/>
        </w:rPr>
      </w:pPr>
    </w:p>
    <w:p w14:paraId="2A7E3C25" w14:textId="47D6266A" w:rsidR="008A0874" w:rsidRDefault="008A0874" w:rsidP="008A0874">
      <w:pPr>
        <w:contextualSpacing/>
        <w:rPr>
          <w:rFonts w:asciiTheme="minorHAnsi" w:hAnsiTheme="minorHAnsi" w:cstheme="minorHAnsi"/>
        </w:rPr>
      </w:pPr>
    </w:p>
    <w:p w14:paraId="7D8C9B94" w14:textId="16396C43" w:rsidR="008A0874" w:rsidRDefault="008A0874" w:rsidP="008A0874">
      <w:pPr>
        <w:contextualSpacing/>
        <w:rPr>
          <w:rFonts w:asciiTheme="minorHAnsi" w:hAnsiTheme="minorHAnsi" w:cstheme="minorHAnsi"/>
        </w:rPr>
      </w:pPr>
    </w:p>
    <w:p w14:paraId="33FB049B" w14:textId="3FEC85FA" w:rsidR="008A0874" w:rsidRDefault="008A0874" w:rsidP="008A0874">
      <w:pPr>
        <w:contextualSpacing/>
        <w:rPr>
          <w:rFonts w:asciiTheme="minorHAnsi" w:hAnsiTheme="minorHAnsi" w:cstheme="minorHAnsi"/>
        </w:rPr>
      </w:pPr>
    </w:p>
    <w:p w14:paraId="6FDC8F39" w14:textId="7B6F81E1" w:rsidR="008A0874" w:rsidRDefault="008A0874" w:rsidP="008A0874">
      <w:pPr>
        <w:contextualSpacing/>
        <w:rPr>
          <w:rFonts w:asciiTheme="minorHAnsi" w:hAnsiTheme="minorHAnsi" w:cstheme="minorHAnsi"/>
        </w:rPr>
      </w:pPr>
    </w:p>
    <w:p w14:paraId="7FD67E75" w14:textId="62BE5A18" w:rsidR="008A0874" w:rsidRDefault="008A0874" w:rsidP="008A0874">
      <w:pPr>
        <w:contextualSpacing/>
        <w:rPr>
          <w:rFonts w:asciiTheme="minorHAnsi" w:hAnsiTheme="minorHAnsi" w:cstheme="minorHAnsi"/>
        </w:rPr>
      </w:pPr>
    </w:p>
    <w:p w14:paraId="3B9333D8" w14:textId="1938B93E" w:rsidR="008A0874" w:rsidRDefault="008A0874" w:rsidP="008A0874">
      <w:pPr>
        <w:contextualSpacing/>
        <w:rPr>
          <w:rFonts w:asciiTheme="minorHAnsi" w:hAnsiTheme="minorHAnsi" w:cstheme="minorHAnsi"/>
        </w:rPr>
      </w:pPr>
    </w:p>
    <w:p w14:paraId="302735D9" w14:textId="6B4993C1" w:rsidR="008A0874" w:rsidRDefault="008A0874" w:rsidP="008A0874">
      <w:pPr>
        <w:contextualSpacing/>
        <w:rPr>
          <w:rFonts w:asciiTheme="minorHAnsi" w:hAnsiTheme="minorHAnsi" w:cstheme="minorHAnsi"/>
        </w:rPr>
      </w:pPr>
    </w:p>
    <w:p w14:paraId="00B64FB9" w14:textId="6D1D2261" w:rsidR="008A0874" w:rsidRDefault="008A0874" w:rsidP="008A0874">
      <w:pPr>
        <w:contextualSpacing/>
        <w:rPr>
          <w:rFonts w:asciiTheme="minorHAnsi" w:hAnsiTheme="minorHAnsi" w:cstheme="minorHAnsi"/>
        </w:rPr>
      </w:pPr>
    </w:p>
    <w:p w14:paraId="11BCC998" w14:textId="128E8FE2" w:rsidR="008A0874" w:rsidRDefault="008A0874" w:rsidP="008A0874">
      <w:pPr>
        <w:contextualSpacing/>
        <w:rPr>
          <w:rFonts w:asciiTheme="minorHAnsi" w:hAnsiTheme="minorHAnsi" w:cstheme="minorHAnsi"/>
        </w:rPr>
      </w:pPr>
    </w:p>
    <w:p w14:paraId="02328568" w14:textId="67349203" w:rsidR="008A0874" w:rsidRDefault="008A0874" w:rsidP="008A0874">
      <w:pPr>
        <w:contextualSpacing/>
        <w:rPr>
          <w:rFonts w:asciiTheme="minorHAnsi" w:hAnsiTheme="minorHAnsi" w:cstheme="minorHAnsi"/>
        </w:rPr>
      </w:pPr>
    </w:p>
    <w:p w14:paraId="66D275E0" w14:textId="3300FBBA" w:rsidR="008A0874" w:rsidRDefault="008A0874" w:rsidP="008A0874">
      <w:pPr>
        <w:contextualSpacing/>
        <w:rPr>
          <w:rFonts w:asciiTheme="minorHAnsi" w:hAnsiTheme="minorHAnsi" w:cstheme="minorHAnsi"/>
        </w:rPr>
      </w:pPr>
    </w:p>
    <w:p w14:paraId="47C5D0E2" w14:textId="3B7E365E" w:rsidR="008A0874" w:rsidRDefault="008A0874" w:rsidP="008A0874">
      <w:pPr>
        <w:contextualSpacing/>
        <w:jc w:val="center"/>
        <w:rPr>
          <w:rFonts w:asciiTheme="minorHAnsi" w:hAnsiTheme="minorHAnsi" w:cstheme="minorHAnsi"/>
        </w:rPr>
      </w:pPr>
      <w:r>
        <w:rPr>
          <w:rFonts w:asciiTheme="minorHAnsi" w:hAnsiTheme="minorHAnsi" w:cstheme="minorHAnsi"/>
        </w:rPr>
        <w:t>Reference</w:t>
      </w:r>
      <w:r w:rsidR="00C1179E">
        <w:rPr>
          <w:rFonts w:asciiTheme="minorHAnsi" w:hAnsiTheme="minorHAnsi" w:cstheme="minorHAnsi"/>
        </w:rPr>
        <w:t xml:space="preserve"> List</w:t>
      </w:r>
    </w:p>
    <w:p w14:paraId="20430973" w14:textId="46CE3F58" w:rsidR="008A0874" w:rsidRDefault="008A0874" w:rsidP="008A0874">
      <w:pPr>
        <w:contextualSpacing/>
        <w:jc w:val="center"/>
        <w:rPr>
          <w:rFonts w:asciiTheme="minorHAnsi" w:hAnsiTheme="minorHAnsi" w:cstheme="minorHAnsi"/>
        </w:rPr>
      </w:pPr>
    </w:p>
    <w:p w14:paraId="1BCB69F1" w14:textId="73FCDDCF" w:rsidR="00691A31" w:rsidRPr="00B57E18" w:rsidRDefault="008A0874" w:rsidP="00691A31">
      <w:pPr>
        <w:contextualSpacing/>
        <w:rPr>
          <w:rFonts w:asciiTheme="minorHAnsi" w:hAnsiTheme="minorHAnsi" w:cstheme="minorHAnsi"/>
          <w:b/>
          <w:bCs/>
        </w:rPr>
      </w:pPr>
      <w:r w:rsidRPr="00E87EF7">
        <w:rPr>
          <w:rFonts w:asciiTheme="minorHAnsi" w:hAnsiTheme="minorHAnsi" w:cstheme="minorHAnsi"/>
          <w:b/>
          <w:bCs/>
        </w:rPr>
        <w:t xml:space="preserve">Primary Sources </w:t>
      </w:r>
    </w:p>
    <w:p w14:paraId="65AC14AC" w14:textId="77777777" w:rsidR="00691A31" w:rsidRPr="00691A31" w:rsidRDefault="00691A31" w:rsidP="00691A31">
      <w:pPr>
        <w:contextualSpacing/>
        <w:rPr>
          <w:rFonts w:ascii="Calibri" w:hAnsi="Calibri" w:cs="Calibri"/>
        </w:rPr>
      </w:pPr>
    </w:p>
    <w:p w14:paraId="15A1E753"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Adams, Evangeline, </w:t>
      </w:r>
      <w:r w:rsidRPr="00691A31">
        <w:rPr>
          <w:rFonts w:ascii="Calibri" w:hAnsi="Calibri" w:cs="Calibri"/>
          <w:i/>
          <w:iCs/>
        </w:rPr>
        <w:t>Your Place Among the Stars</w:t>
      </w:r>
      <w:r w:rsidRPr="00691A31">
        <w:rPr>
          <w:rFonts w:ascii="Calibri" w:hAnsi="Calibri" w:cs="Calibri"/>
        </w:rPr>
        <w:t xml:space="preserve"> (New York: Vail-Ballou Press, Inc., 1930)</w:t>
      </w:r>
    </w:p>
    <w:p w14:paraId="7F3410A6" w14:textId="77777777" w:rsidR="00691A31" w:rsidRPr="00691A31" w:rsidRDefault="00691A31" w:rsidP="00B57E18">
      <w:pPr>
        <w:ind w:left="720" w:hanging="720"/>
        <w:contextualSpacing/>
        <w:rPr>
          <w:rFonts w:ascii="Calibri" w:hAnsi="Calibri" w:cs="Calibri"/>
        </w:rPr>
      </w:pPr>
    </w:p>
    <w:p w14:paraId="0B6FA4AC"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Crowley, Aleister, </w:t>
      </w:r>
      <w:r w:rsidRPr="00691A31">
        <w:rPr>
          <w:rFonts w:ascii="Calibri" w:hAnsi="Calibri" w:cs="Calibri"/>
          <w:i/>
          <w:iCs/>
        </w:rPr>
        <w:t>Aleister Crowley: The Complete Astrological Writings</w:t>
      </w:r>
      <w:r w:rsidRPr="00691A31">
        <w:rPr>
          <w:rFonts w:ascii="Calibri" w:hAnsi="Calibri" w:cs="Calibri"/>
        </w:rPr>
        <w:t xml:space="preserve">, John Symonds and Kenneth Grant eds. (London: Tandem Publishing Ltd, 1976), </w:t>
      </w:r>
    </w:p>
    <w:p w14:paraId="550D1168" w14:textId="77777777" w:rsidR="00691A31" w:rsidRPr="00691A31" w:rsidRDefault="00691A31" w:rsidP="00B57E18">
      <w:pPr>
        <w:ind w:left="720" w:hanging="720"/>
        <w:contextualSpacing/>
        <w:rPr>
          <w:rFonts w:ascii="Calibri" w:hAnsi="Calibri" w:cs="Calibri"/>
        </w:rPr>
      </w:pPr>
    </w:p>
    <w:p w14:paraId="7161A216" w14:textId="704A3086" w:rsidR="00691A31" w:rsidRPr="00691A31" w:rsidRDefault="00691A31" w:rsidP="00B57E18">
      <w:pPr>
        <w:ind w:left="720" w:hanging="720"/>
        <w:contextualSpacing/>
        <w:rPr>
          <w:rFonts w:ascii="Calibri" w:hAnsi="Calibri" w:cs="Calibri"/>
        </w:rPr>
      </w:pPr>
      <w:r w:rsidRPr="00691A31">
        <w:rPr>
          <w:rFonts w:ascii="Calibri" w:hAnsi="Calibri" w:cs="Calibri"/>
        </w:rPr>
        <w:t xml:space="preserve">Crowley, Aleister with Evangeline Adams, </w:t>
      </w:r>
      <w:r w:rsidRPr="00691A31">
        <w:rPr>
          <w:rFonts w:ascii="Calibri" w:hAnsi="Calibri" w:cs="Calibri"/>
          <w:i/>
          <w:iCs/>
        </w:rPr>
        <w:t>The General Principles of Astrology</w:t>
      </w:r>
      <w:r w:rsidRPr="00691A31">
        <w:rPr>
          <w:rFonts w:ascii="Calibri" w:hAnsi="Calibri" w:cs="Calibri"/>
        </w:rPr>
        <w:t xml:space="preserve">, </w:t>
      </w:r>
      <w:r>
        <w:rPr>
          <w:rFonts w:ascii="Calibri" w:hAnsi="Calibri" w:cs="Calibri"/>
        </w:rPr>
        <w:t xml:space="preserve">ed. by </w:t>
      </w:r>
      <w:r w:rsidRPr="00691A31">
        <w:rPr>
          <w:rFonts w:ascii="Calibri" w:hAnsi="Calibri" w:cs="Calibri"/>
        </w:rPr>
        <w:t xml:space="preserve">Hymenaeus Beta (New York: Ordo Templi Orientis, 2008), </w:t>
      </w:r>
    </w:p>
    <w:p w14:paraId="499427FE" w14:textId="77777777" w:rsidR="00691A31" w:rsidRPr="00691A31" w:rsidRDefault="00691A31" w:rsidP="00B57E18">
      <w:pPr>
        <w:ind w:left="720" w:hanging="720"/>
        <w:contextualSpacing/>
        <w:rPr>
          <w:rFonts w:ascii="Calibri" w:hAnsi="Calibri" w:cs="Calibri"/>
        </w:rPr>
      </w:pPr>
    </w:p>
    <w:p w14:paraId="53CF1ACE"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Goodman, Linda, </w:t>
      </w:r>
      <w:r w:rsidRPr="00691A31">
        <w:rPr>
          <w:rFonts w:ascii="Calibri" w:hAnsi="Calibri" w:cs="Calibri"/>
          <w:i/>
          <w:iCs/>
        </w:rPr>
        <w:t>Sun Signs</w:t>
      </w:r>
      <w:r w:rsidRPr="00691A31">
        <w:rPr>
          <w:rFonts w:ascii="Calibri" w:hAnsi="Calibri" w:cs="Calibri"/>
        </w:rPr>
        <w:t xml:space="preserve"> (New York: Bantam Books, 1971).</w:t>
      </w:r>
    </w:p>
    <w:p w14:paraId="4B444161" w14:textId="77777777" w:rsidR="00691A31" w:rsidRPr="00691A31" w:rsidRDefault="00691A31" w:rsidP="00B57E18">
      <w:pPr>
        <w:ind w:left="720" w:hanging="720"/>
        <w:contextualSpacing/>
        <w:rPr>
          <w:rFonts w:ascii="Calibri" w:hAnsi="Calibri" w:cs="Calibri"/>
        </w:rPr>
      </w:pPr>
    </w:p>
    <w:p w14:paraId="148CF956" w14:textId="77777777" w:rsidR="00691A31" w:rsidRPr="00691A31" w:rsidRDefault="00691A31" w:rsidP="00B57E18">
      <w:pPr>
        <w:ind w:left="720" w:hanging="720"/>
        <w:contextualSpacing/>
        <w:rPr>
          <w:rFonts w:ascii="Calibri" w:hAnsi="Calibri" w:cs="Calibri"/>
        </w:rPr>
      </w:pPr>
      <w:r w:rsidRPr="00691A31">
        <w:rPr>
          <w:rFonts w:ascii="Calibri" w:hAnsi="Calibri" w:cs="Calibri"/>
        </w:rPr>
        <w:t>Greene, Liz</w:t>
      </w:r>
      <w:r w:rsidRPr="00691A31">
        <w:rPr>
          <w:rFonts w:ascii="Calibri" w:hAnsi="Calibri" w:cs="Calibri"/>
          <w:i/>
          <w:iCs/>
        </w:rPr>
        <w:t>, Saturn: A New Look at an Old Devil</w:t>
      </w:r>
      <w:r w:rsidRPr="00691A31">
        <w:rPr>
          <w:rFonts w:ascii="Calibri" w:hAnsi="Calibri" w:cs="Calibri"/>
        </w:rPr>
        <w:t xml:space="preserve"> (New York: Samuel Weiser Inc., 1978).</w:t>
      </w:r>
    </w:p>
    <w:p w14:paraId="7F461C93" w14:textId="77777777" w:rsidR="00691A31" w:rsidRPr="00691A31" w:rsidRDefault="00691A31" w:rsidP="00B57E18">
      <w:pPr>
        <w:ind w:left="720" w:hanging="720"/>
        <w:contextualSpacing/>
        <w:rPr>
          <w:rFonts w:ascii="Calibri" w:hAnsi="Calibri" w:cs="Calibri"/>
        </w:rPr>
      </w:pPr>
    </w:p>
    <w:p w14:paraId="3FC3266B"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Heindel, Max, </w:t>
      </w:r>
      <w:r w:rsidRPr="00691A31">
        <w:rPr>
          <w:rFonts w:ascii="Calibri" w:hAnsi="Calibri" w:cs="Calibri"/>
          <w:i/>
          <w:iCs/>
        </w:rPr>
        <w:t>Simplified Scientific Astrology</w:t>
      </w:r>
      <w:r w:rsidRPr="00691A31">
        <w:rPr>
          <w:rFonts w:ascii="Calibri" w:hAnsi="Calibri" w:cs="Calibri"/>
        </w:rPr>
        <w:t xml:space="preserve"> (Las Vegas: Murine Press, 2008).</w:t>
      </w:r>
    </w:p>
    <w:p w14:paraId="3CA5A9D1" w14:textId="77777777" w:rsidR="00691A31" w:rsidRPr="00691A31" w:rsidRDefault="00691A31" w:rsidP="00B57E18">
      <w:pPr>
        <w:ind w:left="720" w:hanging="720"/>
        <w:contextualSpacing/>
        <w:rPr>
          <w:rFonts w:ascii="Calibri" w:hAnsi="Calibri" w:cs="Calibri"/>
        </w:rPr>
      </w:pPr>
    </w:p>
    <w:p w14:paraId="760D0C7F" w14:textId="2DA8203B" w:rsidR="00691A31" w:rsidRPr="00691A31" w:rsidRDefault="00691A31" w:rsidP="00B57E18">
      <w:pPr>
        <w:ind w:left="720" w:hanging="720"/>
        <w:contextualSpacing/>
        <w:rPr>
          <w:rFonts w:ascii="Calibri" w:hAnsi="Calibri" w:cs="Calibri"/>
        </w:rPr>
      </w:pPr>
      <w:r w:rsidRPr="00691A31">
        <w:rPr>
          <w:rFonts w:ascii="Calibri" w:hAnsi="Calibri" w:cs="Calibri"/>
        </w:rPr>
        <w:t xml:space="preserve">Heindel, Max and Augusta Foss Heindel, </w:t>
      </w:r>
      <w:r w:rsidRPr="00691A31">
        <w:rPr>
          <w:rFonts w:ascii="Calibri" w:hAnsi="Calibri" w:cs="Calibri"/>
          <w:i/>
          <w:iCs/>
        </w:rPr>
        <w:t>The Message of the Stars: An Esoteric Exposition of Natal and Medical Astrology Explaining the Arts of Reading the Horoscope and Diagnosing Disease</w:t>
      </w:r>
      <w:r w:rsidRPr="00691A31">
        <w:rPr>
          <w:rFonts w:ascii="Calibri" w:hAnsi="Calibri" w:cs="Calibri"/>
        </w:rPr>
        <w:t>, 12th ed. (Oceanside: The Rosicrucian Fellowship, 2011).</w:t>
      </w:r>
    </w:p>
    <w:p w14:paraId="6DA56755" w14:textId="77777777" w:rsidR="00691A31" w:rsidRPr="00691A31" w:rsidRDefault="00691A31" w:rsidP="00B57E18">
      <w:pPr>
        <w:ind w:left="720" w:hanging="720"/>
        <w:contextualSpacing/>
        <w:rPr>
          <w:rFonts w:ascii="Calibri" w:hAnsi="Calibri" w:cs="Calibri"/>
        </w:rPr>
      </w:pPr>
    </w:p>
    <w:p w14:paraId="7D7A2A2D"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Lehman, J. Lee, </w:t>
      </w:r>
      <w:r w:rsidRPr="00691A31">
        <w:rPr>
          <w:rFonts w:ascii="Calibri" w:hAnsi="Calibri" w:cs="Calibri"/>
          <w:i/>
          <w:iCs/>
        </w:rPr>
        <w:t>Essential Dignities</w:t>
      </w:r>
      <w:r w:rsidRPr="00691A31">
        <w:rPr>
          <w:rFonts w:ascii="Calibri" w:hAnsi="Calibri" w:cs="Calibri"/>
        </w:rPr>
        <w:t xml:space="preserve"> (West Chester: Whitford Press, 1989).</w:t>
      </w:r>
    </w:p>
    <w:p w14:paraId="52B0FBC1" w14:textId="77777777" w:rsidR="00691A31" w:rsidRPr="00691A31" w:rsidRDefault="00691A31" w:rsidP="00B57E18">
      <w:pPr>
        <w:ind w:left="720" w:hanging="720"/>
        <w:contextualSpacing/>
        <w:rPr>
          <w:rFonts w:ascii="Calibri" w:hAnsi="Calibri" w:cs="Calibri"/>
        </w:rPr>
      </w:pPr>
    </w:p>
    <w:p w14:paraId="6AB6FB3E"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Leo, Alan, </w:t>
      </w:r>
      <w:r w:rsidRPr="00691A31">
        <w:rPr>
          <w:rFonts w:ascii="Calibri" w:hAnsi="Calibri" w:cs="Calibri"/>
          <w:i/>
          <w:iCs/>
        </w:rPr>
        <w:t>Astrology for All</w:t>
      </w:r>
      <w:r w:rsidRPr="00691A31">
        <w:rPr>
          <w:rFonts w:ascii="Calibri" w:hAnsi="Calibri" w:cs="Calibri"/>
        </w:rPr>
        <w:t xml:space="preserve"> (New York: Cosimo, 2016)</w:t>
      </w:r>
    </w:p>
    <w:p w14:paraId="08D17B74" w14:textId="77777777" w:rsidR="00691A31" w:rsidRPr="00691A31" w:rsidRDefault="00691A31" w:rsidP="00B57E18">
      <w:pPr>
        <w:ind w:left="720" w:hanging="720"/>
        <w:contextualSpacing/>
        <w:rPr>
          <w:rFonts w:ascii="Calibri" w:hAnsi="Calibri" w:cs="Calibri"/>
        </w:rPr>
      </w:pPr>
    </w:p>
    <w:p w14:paraId="6779C344"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Leo, Alan, </w:t>
      </w:r>
      <w:r w:rsidRPr="00691A31">
        <w:rPr>
          <w:rFonts w:ascii="Calibri" w:hAnsi="Calibri" w:cs="Calibri"/>
          <w:i/>
          <w:iCs/>
        </w:rPr>
        <w:t>How to Judge a Nativity</w:t>
      </w:r>
      <w:r w:rsidRPr="00691A31">
        <w:rPr>
          <w:rFonts w:ascii="Calibri" w:hAnsi="Calibri" w:cs="Calibri"/>
        </w:rPr>
        <w:t xml:space="preserve"> (London: Modern Astrology, 1948).</w:t>
      </w:r>
    </w:p>
    <w:p w14:paraId="4544F566" w14:textId="77777777" w:rsidR="00691A31" w:rsidRPr="00691A31" w:rsidRDefault="00691A31" w:rsidP="00B57E18">
      <w:pPr>
        <w:ind w:left="720" w:hanging="720"/>
        <w:contextualSpacing/>
        <w:rPr>
          <w:rFonts w:ascii="Calibri" w:hAnsi="Calibri" w:cs="Calibri"/>
        </w:rPr>
      </w:pPr>
    </w:p>
    <w:p w14:paraId="018720E7"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Lewi, Grant, </w:t>
      </w:r>
      <w:r w:rsidRPr="00691A31">
        <w:rPr>
          <w:rFonts w:ascii="Calibri" w:hAnsi="Calibri" w:cs="Calibri"/>
          <w:i/>
          <w:iCs/>
        </w:rPr>
        <w:t>Astrology for the Millions</w:t>
      </w:r>
      <w:r w:rsidRPr="00691A31">
        <w:rPr>
          <w:rFonts w:ascii="Calibri" w:hAnsi="Calibri" w:cs="Calibri"/>
        </w:rPr>
        <w:t xml:space="preserve"> (St. Paul: Llewellyn Publications, 1973)</w:t>
      </w:r>
    </w:p>
    <w:p w14:paraId="3805DF09" w14:textId="77777777" w:rsidR="00691A31" w:rsidRPr="00691A31" w:rsidRDefault="00691A31" w:rsidP="00B57E18">
      <w:pPr>
        <w:ind w:left="720" w:hanging="720"/>
        <w:contextualSpacing/>
        <w:rPr>
          <w:rFonts w:ascii="Calibri" w:hAnsi="Calibri" w:cs="Calibri"/>
        </w:rPr>
      </w:pPr>
    </w:p>
    <w:p w14:paraId="544A410C"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Maternus, Julius Firmicus, </w:t>
      </w:r>
      <w:r w:rsidRPr="00691A31">
        <w:rPr>
          <w:rFonts w:ascii="Calibri" w:hAnsi="Calibri" w:cs="Calibri"/>
          <w:i/>
          <w:iCs/>
        </w:rPr>
        <w:t>Mathesis</w:t>
      </w:r>
      <w:r w:rsidRPr="00691A31">
        <w:rPr>
          <w:rFonts w:ascii="Calibri" w:hAnsi="Calibri" w:cs="Calibri"/>
        </w:rPr>
        <w:t>, ed. and trans. by James H. Holden (Tempe: American Federation of Astrologers, 2011).</w:t>
      </w:r>
    </w:p>
    <w:p w14:paraId="3FAE5A6D" w14:textId="77777777" w:rsidR="00691A31" w:rsidRPr="00691A31" w:rsidRDefault="00691A31" w:rsidP="00B57E18">
      <w:pPr>
        <w:ind w:left="720" w:hanging="720"/>
        <w:contextualSpacing/>
        <w:rPr>
          <w:rFonts w:ascii="Calibri" w:hAnsi="Calibri" w:cs="Calibri"/>
        </w:rPr>
      </w:pPr>
    </w:p>
    <w:p w14:paraId="1ECFE51C" w14:textId="77777777" w:rsidR="00691A31" w:rsidRPr="00691A31" w:rsidRDefault="00691A31" w:rsidP="00B57E18">
      <w:pPr>
        <w:ind w:left="720" w:hanging="720"/>
        <w:contextualSpacing/>
        <w:rPr>
          <w:rFonts w:ascii="Calibri" w:hAnsi="Calibri" w:cs="Calibri"/>
        </w:rPr>
      </w:pPr>
      <w:r w:rsidRPr="00691A31">
        <w:rPr>
          <w:rFonts w:ascii="Calibri" w:hAnsi="Calibri" w:cs="Calibri"/>
        </w:rPr>
        <w:t xml:space="preserve">Ptolemy, Claudius, </w:t>
      </w:r>
      <w:r w:rsidRPr="00691A31">
        <w:rPr>
          <w:rFonts w:ascii="Calibri" w:hAnsi="Calibri" w:cs="Calibri"/>
          <w:i/>
          <w:iCs/>
        </w:rPr>
        <w:t>Tetrabiblos</w:t>
      </w:r>
      <w:r w:rsidRPr="00691A31">
        <w:rPr>
          <w:rFonts w:ascii="Calibri" w:hAnsi="Calibri" w:cs="Calibri"/>
        </w:rPr>
        <w:t>, ed. and trans. by Frank E. Robbins (London: Harvard University Press, 1940).</w:t>
      </w:r>
    </w:p>
    <w:p w14:paraId="28953106" w14:textId="77777777" w:rsidR="00691A31" w:rsidRPr="00691A31" w:rsidRDefault="00691A31" w:rsidP="00B57E18">
      <w:pPr>
        <w:ind w:left="720" w:hanging="720"/>
        <w:contextualSpacing/>
        <w:rPr>
          <w:rFonts w:ascii="Calibri" w:hAnsi="Calibri" w:cs="Calibri"/>
        </w:rPr>
      </w:pPr>
    </w:p>
    <w:p w14:paraId="0D897E64" w14:textId="7E868273" w:rsidR="00691A31" w:rsidRDefault="00691A31" w:rsidP="00B57E18">
      <w:pPr>
        <w:ind w:left="720" w:hanging="720"/>
        <w:contextualSpacing/>
        <w:rPr>
          <w:rFonts w:asciiTheme="minorHAnsi" w:hAnsiTheme="minorHAnsi" w:cstheme="minorHAnsi"/>
        </w:rPr>
      </w:pPr>
      <w:r w:rsidRPr="00691A31">
        <w:rPr>
          <w:rFonts w:ascii="Calibri" w:hAnsi="Calibri" w:cs="Calibri"/>
        </w:rPr>
        <w:t xml:space="preserve">Valens, Vettius, </w:t>
      </w:r>
      <w:r w:rsidRPr="00691A31">
        <w:rPr>
          <w:rFonts w:ascii="Calibri" w:hAnsi="Calibri" w:cs="Calibri"/>
          <w:i/>
          <w:iCs/>
        </w:rPr>
        <w:t>Anthologies</w:t>
      </w:r>
      <w:r w:rsidRPr="00691A31">
        <w:rPr>
          <w:rFonts w:ascii="Calibri" w:hAnsi="Calibri" w:cs="Calibri"/>
        </w:rPr>
        <w:t>, trans. by Mark Riley (2010), I, 2, p. 3 &lt;https://www.csus.edu/indiv/r/rileymt/Vettius%20Valens%20entire.pdf&gt; [accessed 12 April 2022].</w:t>
      </w:r>
    </w:p>
    <w:p w14:paraId="4F27D861" w14:textId="6A55042A" w:rsidR="008A0874" w:rsidRDefault="008A0874" w:rsidP="00FA07E9">
      <w:pPr>
        <w:pStyle w:val="NormalWeb"/>
        <w:spacing w:before="0" w:beforeAutospacing="0" w:after="0" w:afterAutospacing="0"/>
        <w:ind w:right="-334"/>
        <w:rPr>
          <w:rFonts w:asciiTheme="minorHAnsi" w:hAnsiTheme="minorHAnsi" w:cstheme="minorHAnsi"/>
          <w:bCs/>
          <w:sz w:val="24"/>
          <w:szCs w:val="24"/>
        </w:rPr>
      </w:pPr>
    </w:p>
    <w:p w14:paraId="42FA56E6" w14:textId="24D6BB53" w:rsidR="000455B6" w:rsidRDefault="00FF3C96" w:rsidP="00FA07E9">
      <w:pPr>
        <w:pStyle w:val="NormalWeb"/>
        <w:spacing w:before="0" w:beforeAutospacing="0" w:after="0" w:afterAutospacing="0"/>
        <w:ind w:right="-334"/>
        <w:rPr>
          <w:rFonts w:asciiTheme="minorHAnsi" w:hAnsiTheme="minorHAnsi" w:cstheme="minorHAnsi"/>
          <w:b/>
          <w:sz w:val="24"/>
          <w:szCs w:val="24"/>
        </w:rPr>
      </w:pPr>
      <w:r>
        <w:rPr>
          <w:rFonts w:asciiTheme="minorHAnsi" w:hAnsiTheme="minorHAnsi" w:cstheme="minorHAnsi"/>
          <w:b/>
          <w:sz w:val="24"/>
          <w:szCs w:val="24"/>
        </w:rPr>
        <w:t>Secondary Sources</w:t>
      </w:r>
    </w:p>
    <w:p w14:paraId="615E305F" w14:textId="7C8D1343"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Asad, Telal, </w:t>
      </w:r>
      <w:r w:rsidRPr="00B57E18">
        <w:rPr>
          <w:rFonts w:ascii="Calibri" w:hAnsi="Calibri" w:cs="Calibri"/>
          <w:bCs/>
          <w:i/>
          <w:iCs/>
          <w:sz w:val="24"/>
          <w:szCs w:val="24"/>
        </w:rPr>
        <w:t>Genealogies of Religion: Discipline and Reasons of Power in Christianity and Islam</w:t>
      </w:r>
      <w:r w:rsidRPr="000455B6">
        <w:rPr>
          <w:rFonts w:ascii="Calibri" w:hAnsi="Calibri" w:cs="Calibri"/>
          <w:bCs/>
          <w:sz w:val="24"/>
          <w:szCs w:val="24"/>
        </w:rPr>
        <w:t xml:space="preserve"> (Baltimore and London: The John Hopkins University Press, 1993).</w:t>
      </w:r>
    </w:p>
    <w:p w14:paraId="45EF387D" w14:textId="441E4231"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Campion, Nicholas, </w:t>
      </w:r>
      <w:r w:rsidRPr="000455B6">
        <w:rPr>
          <w:rFonts w:ascii="Calibri" w:hAnsi="Calibri" w:cs="Calibri"/>
          <w:bCs/>
          <w:i/>
          <w:iCs/>
          <w:sz w:val="24"/>
          <w:szCs w:val="24"/>
        </w:rPr>
        <w:t>A History of Western Astrology Vol I: The Ancient World</w:t>
      </w:r>
      <w:r w:rsidRPr="000455B6">
        <w:rPr>
          <w:rFonts w:ascii="Calibri" w:hAnsi="Calibri" w:cs="Calibri"/>
          <w:bCs/>
          <w:sz w:val="24"/>
          <w:szCs w:val="24"/>
        </w:rPr>
        <w:t xml:space="preserve"> (London and New York: Bloomsbury, 2015), </w:t>
      </w:r>
    </w:p>
    <w:p w14:paraId="717F9170" w14:textId="5FF174F3"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lastRenderedPageBreak/>
        <w:t>Campion, Nicholas</w:t>
      </w:r>
      <w:r w:rsidRPr="000455B6">
        <w:rPr>
          <w:rFonts w:ascii="Calibri" w:hAnsi="Calibri" w:cs="Calibri"/>
          <w:bCs/>
          <w:i/>
          <w:iCs/>
          <w:sz w:val="24"/>
          <w:szCs w:val="24"/>
        </w:rPr>
        <w:t>, A History of Western Astrology Vol. II: The Medieval and Modern Worlds</w:t>
      </w:r>
      <w:r w:rsidRPr="000455B6">
        <w:rPr>
          <w:rFonts w:ascii="Calibri" w:hAnsi="Calibri" w:cs="Calibri"/>
          <w:bCs/>
          <w:sz w:val="24"/>
          <w:szCs w:val="24"/>
        </w:rPr>
        <w:t xml:space="preserve"> (London and New York: Bloomsbury, 2013). </w:t>
      </w:r>
    </w:p>
    <w:p w14:paraId="5A344598" w14:textId="2F5AD61D"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Christino, Karen, </w:t>
      </w:r>
      <w:r w:rsidRPr="000455B6">
        <w:rPr>
          <w:rFonts w:ascii="Calibri" w:hAnsi="Calibri" w:cs="Calibri"/>
          <w:bCs/>
          <w:i/>
          <w:iCs/>
          <w:sz w:val="24"/>
          <w:szCs w:val="24"/>
        </w:rPr>
        <w:t>What Evangeline Adams Knew: A Book of Astrological Charts and Techniques</w:t>
      </w:r>
      <w:r w:rsidRPr="000455B6">
        <w:rPr>
          <w:rFonts w:ascii="Calibri" w:hAnsi="Calibri" w:cs="Calibri"/>
          <w:bCs/>
          <w:sz w:val="24"/>
          <w:szCs w:val="24"/>
        </w:rPr>
        <w:t xml:space="preserve"> (New York: Stella Mira Books, 2004).</w:t>
      </w:r>
    </w:p>
    <w:p w14:paraId="24E7A660" w14:textId="4734B88F"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Greene, Liz, </w:t>
      </w:r>
      <w:r w:rsidRPr="000455B6">
        <w:rPr>
          <w:rFonts w:ascii="Calibri" w:hAnsi="Calibri" w:cs="Calibri"/>
          <w:bCs/>
          <w:i/>
          <w:iCs/>
          <w:sz w:val="24"/>
          <w:szCs w:val="24"/>
        </w:rPr>
        <w:t>Jung’s Studies in Astrology: Prophecy, Magic, and the Qualities of Time</w:t>
      </w:r>
      <w:r w:rsidRPr="000455B6">
        <w:rPr>
          <w:rFonts w:ascii="Calibri" w:hAnsi="Calibri" w:cs="Calibri"/>
          <w:bCs/>
          <w:sz w:val="24"/>
          <w:szCs w:val="24"/>
        </w:rPr>
        <w:t xml:space="preserve"> (London and New York: Routledge, 2018).</w:t>
      </w:r>
    </w:p>
    <w:p w14:paraId="54902C40" w14:textId="47E920FD"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Lippincott, Kristen, 'Giovanni Di Paolo's 'Creation of the World' and the Tradition of the 'Thema Mundi' in Late Medieval and Renaissance Art', </w:t>
      </w:r>
      <w:r w:rsidRPr="000455B6">
        <w:rPr>
          <w:rFonts w:ascii="Calibri" w:hAnsi="Calibri" w:cs="Calibri"/>
          <w:bCs/>
          <w:i/>
          <w:iCs/>
          <w:sz w:val="24"/>
          <w:szCs w:val="24"/>
        </w:rPr>
        <w:t>The Burlington Magazine</w:t>
      </w:r>
      <w:r w:rsidRPr="000455B6">
        <w:rPr>
          <w:rFonts w:ascii="Calibri" w:hAnsi="Calibri" w:cs="Calibri"/>
          <w:bCs/>
          <w:sz w:val="24"/>
          <w:szCs w:val="24"/>
        </w:rPr>
        <w:t>, 132, no. 1048 (1990), 460-468 (pg. 462). &lt;http://www.jstor.org/stable/884275&gt; [accessed 20 April 2022].</w:t>
      </w:r>
    </w:p>
    <w:p w14:paraId="743B1407" w14:textId="1D30B184" w:rsidR="000455B6" w:rsidRPr="000455B6" w:rsidRDefault="000455B6" w:rsidP="00B57E18">
      <w:pPr>
        <w:pStyle w:val="NormalWeb"/>
        <w:ind w:left="720" w:right="-331" w:hanging="720"/>
        <w:rPr>
          <w:rFonts w:ascii="Calibri" w:hAnsi="Calibri" w:cs="Calibri"/>
          <w:bCs/>
          <w:sz w:val="24"/>
          <w:szCs w:val="24"/>
        </w:rPr>
      </w:pPr>
      <w:r w:rsidRPr="000455B6">
        <w:rPr>
          <w:rFonts w:ascii="Calibri" w:hAnsi="Calibri" w:cs="Calibri"/>
          <w:bCs/>
          <w:sz w:val="24"/>
          <w:szCs w:val="24"/>
        </w:rPr>
        <w:t xml:space="preserve">Rutkin, Darrel H., 'How to Accurately Account for Astrology's Marginalization in the History of Science and Culture: The Central Importance of an Interpretive Framework', </w:t>
      </w:r>
      <w:r w:rsidRPr="005A507B">
        <w:rPr>
          <w:rFonts w:ascii="Calibri" w:hAnsi="Calibri" w:cs="Calibri"/>
          <w:bCs/>
          <w:i/>
          <w:iCs/>
          <w:sz w:val="24"/>
          <w:szCs w:val="24"/>
        </w:rPr>
        <w:t>Early Science and Medicine</w:t>
      </w:r>
      <w:r w:rsidRPr="000455B6">
        <w:rPr>
          <w:rFonts w:ascii="Calibri" w:hAnsi="Calibri" w:cs="Calibri"/>
          <w:bCs/>
          <w:sz w:val="24"/>
          <w:szCs w:val="24"/>
        </w:rPr>
        <w:t>, 23, no. 3 (2018), 217-243 (pg. 239) &lt;https://www.jstor.org/stable/26567137&gt;</w:t>
      </w:r>
      <w:r w:rsidR="005A507B">
        <w:rPr>
          <w:rFonts w:ascii="Calibri" w:hAnsi="Calibri" w:cs="Calibri"/>
          <w:bCs/>
          <w:sz w:val="24"/>
          <w:szCs w:val="24"/>
        </w:rPr>
        <w:t xml:space="preserve"> </w:t>
      </w:r>
      <w:r w:rsidRPr="000455B6">
        <w:rPr>
          <w:rFonts w:ascii="Calibri" w:hAnsi="Calibri" w:cs="Calibri"/>
          <w:bCs/>
          <w:sz w:val="24"/>
          <w:szCs w:val="24"/>
        </w:rPr>
        <w:t>[accessed 15 April 2022).</w:t>
      </w:r>
    </w:p>
    <w:p w14:paraId="15213310" w14:textId="197C4E46" w:rsidR="000455B6" w:rsidRPr="000455B6" w:rsidRDefault="000455B6" w:rsidP="00B57E18">
      <w:pPr>
        <w:pStyle w:val="NormalWeb"/>
        <w:spacing w:before="0" w:beforeAutospacing="0" w:after="0" w:afterAutospacing="0"/>
        <w:ind w:left="720" w:right="-331" w:hanging="720"/>
        <w:rPr>
          <w:rFonts w:asciiTheme="minorHAnsi" w:hAnsiTheme="minorHAnsi" w:cstheme="minorHAnsi"/>
          <w:bCs/>
          <w:sz w:val="24"/>
          <w:szCs w:val="24"/>
        </w:rPr>
      </w:pPr>
      <w:r w:rsidRPr="000455B6">
        <w:rPr>
          <w:rFonts w:ascii="Calibri" w:hAnsi="Calibri" w:cs="Calibri"/>
          <w:bCs/>
          <w:sz w:val="24"/>
          <w:szCs w:val="24"/>
        </w:rPr>
        <w:t xml:space="preserve">Vermij, Rienk and Hiro Hirai, 'The Marginalization of Astrology: Introduction', </w:t>
      </w:r>
      <w:r w:rsidRPr="00B57E18">
        <w:rPr>
          <w:rFonts w:ascii="Calibri" w:hAnsi="Calibri" w:cs="Calibri"/>
          <w:bCs/>
          <w:i/>
          <w:iCs/>
          <w:sz w:val="24"/>
          <w:szCs w:val="24"/>
        </w:rPr>
        <w:t xml:space="preserve">Early Science and Medicine, </w:t>
      </w:r>
      <w:r w:rsidRPr="000455B6">
        <w:rPr>
          <w:rFonts w:ascii="Calibri" w:hAnsi="Calibri" w:cs="Calibri"/>
          <w:bCs/>
          <w:sz w:val="24"/>
          <w:szCs w:val="24"/>
        </w:rPr>
        <w:t>22, no. 5/6 (2017), 405-409 (pg. 405) &lt;https://www.jstor.org/stable/26567118&gt; [accessed 15 April 2022].</w:t>
      </w:r>
    </w:p>
    <w:p w14:paraId="7B1C00B7" w14:textId="77777777" w:rsidR="00FF3C96" w:rsidRDefault="00FF3C96" w:rsidP="00B57E18">
      <w:pPr>
        <w:pStyle w:val="NormalWeb"/>
        <w:spacing w:before="0" w:beforeAutospacing="0" w:after="0" w:afterAutospacing="0"/>
        <w:ind w:left="720" w:right="-331" w:hanging="720"/>
        <w:rPr>
          <w:rFonts w:asciiTheme="minorHAnsi" w:hAnsiTheme="minorHAnsi" w:cstheme="minorHAnsi"/>
          <w:b/>
          <w:sz w:val="24"/>
          <w:szCs w:val="24"/>
        </w:rPr>
      </w:pPr>
    </w:p>
    <w:p w14:paraId="4E028583" w14:textId="77777777" w:rsidR="00FF3C96" w:rsidRPr="00FF3C96" w:rsidRDefault="00FF3C96" w:rsidP="00FA07E9">
      <w:pPr>
        <w:pStyle w:val="NormalWeb"/>
        <w:spacing w:before="0" w:beforeAutospacing="0" w:after="0" w:afterAutospacing="0"/>
        <w:ind w:right="-334"/>
        <w:rPr>
          <w:rFonts w:asciiTheme="minorHAnsi" w:hAnsiTheme="minorHAnsi" w:cstheme="minorHAnsi"/>
          <w:b/>
          <w:sz w:val="24"/>
          <w:szCs w:val="24"/>
        </w:rPr>
      </w:pPr>
    </w:p>
    <w:p w14:paraId="5A8DA828" w14:textId="77777777" w:rsidR="00AC53A6" w:rsidRPr="008A0874" w:rsidRDefault="00AC53A6" w:rsidP="00FA07E9">
      <w:pPr>
        <w:pStyle w:val="NormalWeb"/>
        <w:spacing w:before="0" w:beforeAutospacing="0" w:after="0" w:afterAutospacing="0"/>
        <w:ind w:right="-334"/>
        <w:rPr>
          <w:rFonts w:asciiTheme="minorHAnsi" w:hAnsiTheme="minorHAnsi" w:cstheme="minorHAnsi"/>
          <w:bCs/>
          <w:sz w:val="24"/>
          <w:szCs w:val="24"/>
        </w:rPr>
      </w:pPr>
    </w:p>
    <w:sectPr w:rsidR="00AC53A6" w:rsidRPr="008A0874" w:rsidSect="00B462B1">
      <w:footerReference w:type="default" r:id="rId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48148" w14:textId="77777777" w:rsidR="00247677" w:rsidRDefault="00247677" w:rsidP="00AD5D5A">
      <w:r>
        <w:separator/>
      </w:r>
    </w:p>
  </w:endnote>
  <w:endnote w:type="continuationSeparator" w:id="0">
    <w:p w14:paraId="7079862E" w14:textId="77777777" w:rsidR="00247677" w:rsidRDefault="00247677"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799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2873A" w14:textId="77777777" w:rsidR="00247677" w:rsidRDefault="00247677" w:rsidP="00AD5D5A">
      <w:r>
        <w:separator/>
      </w:r>
    </w:p>
  </w:footnote>
  <w:footnote w:type="continuationSeparator" w:id="0">
    <w:p w14:paraId="5A4C660E" w14:textId="77777777" w:rsidR="00247677" w:rsidRDefault="00247677" w:rsidP="00AD5D5A">
      <w:r>
        <w:continuationSeparator/>
      </w:r>
    </w:p>
  </w:footnote>
  <w:footnote w:id="1">
    <w:p w14:paraId="4E10FFE6" w14:textId="77777777" w:rsidR="008A0874" w:rsidRPr="006960EC" w:rsidRDefault="008A0874" w:rsidP="008A0874">
      <w:pPr>
        <w:pStyle w:val="FootnoteText"/>
        <w:rPr>
          <w:lang w:val="en-US"/>
        </w:rPr>
      </w:pPr>
      <w:r>
        <w:rPr>
          <w:rStyle w:val="FootnoteReference"/>
        </w:rPr>
        <w:footnoteRef/>
      </w:r>
      <w:r>
        <w:t xml:space="preserve"> </w:t>
      </w:r>
      <w:r w:rsidRPr="00DB6F35">
        <w:t>Rienk Vermij and Hiro Hirai, 'The Marginalization of Astrology: Introduction'</w:t>
      </w:r>
      <w:r w:rsidRPr="00C1045A">
        <w:rPr>
          <w:i/>
          <w:iCs/>
        </w:rPr>
        <w:t>, Early Science and Medicine</w:t>
      </w:r>
      <w:r w:rsidRPr="00DB6F35">
        <w:t>, 22, no. 5/6 (2017), 405-409</w:t>
      </w:r>
      <w:r>
        <w:t xml:space="preserve"> (pg. 405)</w:t>
      </w:r>
      <w:r w:rsidRPr="00DB6F35">
        <w:t xml:space="preserve"> </w:t>
      </w:r>
      <w:r>
        <w:t>&lt;</w:t>
      </w:r>
      <w:r w:rsidRPr="00C1045A">
        <w:t>https://www.jstor.org/stable/26567118</w:t>
      </w:r>
      <w:r>
        <w:t xml:space="preserve">&gt; </w:t>
      </w:r>
      <w:r w:rsidRPr="00DB6F35">
        <w:t>[accessed 15 April 2022]</w:t>
      </w:r>
      <w:r>
        <w:rPr>
          <w:lang w:val="en-US"/>
        </w:rPr>
        <w:t>.</w:t>
      </w:r>
    </w:p>
  </w:footnote>
  <w:footnote w:id="2">
    <w:p w14:paraId="7D35F2BE" w14:textId="77777777" w:rsidR="008A0874" w:rsidRPr="0021263D" w:rsidRDefault="008A0874" w:rsidP="008A0874">
      <w:pPr>
        <w:pStyle w:val="FootnoteText"/>
        <w:rPr>
          <w:lang w:val="en-US"/>
        </w:rPr>
      </w:pPr>
      <w:r>
        <w:rPr>
          <w:rStyle w:val="FootnoteReference"/>
        </w:rPr>
        <w:footnoteRef/>
      </w:r>
      <w:r>
        <w:t xml:space="preserve"> </w:t>
      </w:r>
      <w:r>
        <w:rPr>
          <w:lang w:val="en-US"/>
        </w:rPr>
        <w:t>Ibid, 405-406.</w:t>
      </w:r>
    </w:p>
  </w:footnote>
  <w:footnote w:id="3">
    <w:p w14:paraId="19AE5B36" w14:textId="77777777" w:rsidR="008A0874" w:rsidRPr="003D69F1" w:rsidRDefault="008A0874" w:rsidP="008A0874">
      <w:pPr>
        <w:pStyle w:val="FootnoteText"/>
        <w:rPr>
          <w:lang w:val="en-US"/>
        </w:rPr>
      </w:pPr>
      <w:r>
        <w:rPr>
          <w:rStyle w:val="FootnoteReference"/>
        </w:rPr>
        <w:footnoteRef/>
      </w:r>
      <w:r>
        <w:t xml:space="preserve"> Nicholas Campion, </w:t>
      </w:r>
      <w:r w:rsidRPr="00F14477">
        <w:rPr>
          <w:i/>
          <w:iCs/>
          <w:lang w:val="en-US"/>
        </w:rPr>
        <w:t>A History of Western Astrology Vol I: The Ancient World</w:t>
      </w:r>
      <w:r>
        <w:rPr>
          <w:lang w:val="en-US"/>
        </w:rPr>
        <w:t xml:space="preserve"> (London and New York: Bloomsbury, 2015), p. 213.</w:t>
      </w:r>
    </w:p>
  </w:footnote>
  <w:footnote w:id="4">
    <w:p w14:paraId="50EDE794" w14:textId="355603A1" w:rsidR="008A0874" w:rsidRPr="00145E8B" w:rsidRDefault="008A0874" w:rsidP="008A0874">
      <w:pPr>
        <w:pStyle w:val="FootnoteText"/>
        <w:rPr>
          <w:lang w:val="en-US"/>
        </w:rPr>
      </w:pPr>
      <w:r>
        <w:rPr>
          <w:rStyle w:val="FootnoteReference"/>
        </w:rPr>
        <w:footnoteRef/>
      </w:r>
      <w:r>
        <w:t xml:space="preserve"> </w:t>
      </w:r>
      <w:r>
        <w:rPr>
          <w:lang w:val="en-US"/>
        </w:rPr>
        <w:t>Ibid, 406</w:t>
      </w:r>
      <w:r w:rsidR="00361239">
        <w:rPr>
          <w:lang w:val="en-US"/>
        </w:rPr>
        <w:t>.</w:t>
      </w:r>
    </w:p>
  </w:footnote>
  <w:footnote w:id="5">
    <w:p w14:paraId="51DA051C" w14:textId="77777777" w:rsidR="008A0874" w:rsidRPr="00C548C6" w:rsidRDefault="008A0874" w:rsidP="008A0874">
      <w:pPr>
        <w:pStyle w:val="FootnoteText"/>
        <w:rPr>
          <w:lang w:val="en-US"/>
        </w:rPr>
      </w:pPr>
      <w:r>
        <w:rPr>
          <w:rStyle w:val="FootnoteReference"/>
        </w:rPr>
        <w:footnoteRef/>
      </w:r>
      <w:r>
        <w:t xml:space="preserve"> </w:t>
      </w:r>
      <w:r>
        <w:rPr>
          <w:lang w:val="en-US"/>
        </w:rPr>
        <w:t>Ibid.</w:t>
      </w:r>
    </w:p>
  </w:footnote>
  <w:footnote w:id="6">
    <w:p w14:paraId="3402F60A" w14:textId="7F5D49A1" w:rsidR="008A0874" w:rsidRPr="0068167F" w:rsidRDefault="008A0874" w:rsidP="008A0874">
      <w:pPr>
        <w:pStyle w:val="FootnoteText"/>
        <w:rPr>
          <w:lang w:val="en-US"/>
        </w:rPr>
      </w:pPr>
      <w:r>
        <w:rPr>
          <w:rStyle w:val="FootnoteReference"/>
        </w:rPr>
        <w:footnoteRef/>
      </w:r>
      <w:r>
        <w:t xml:space="preserve"> </w:t>
      </w:r>
      <w:r>
        <w:rPr>
          <w:lang w:val="en-US"/>
        </w:rPr>
        <w:t>Ibid, 407</w:t>
      </w:r>
      <w:r w:rsidR="00F80687">
        <w:rPr>
          <w:lang w:val="en-US"/>
        </w:rPr>
        <w:t>.</w:t>
      </w:r>
    </w:p>
  </w:footnote>
  <w:footnote w:id="7">
    <w:p w14:paraId="70A5A290" w14:textId="77777777" w:rsidR="008A0874" w:rsidRPr="00EA4C45" w:rsidRDefault="008A0874" w:rsidP="008A0874">
      <w:pPr>
        <w:pStyle w:val="FootnoteText"/>
        <w:rPr>
          <w:lang w:val="en-US"/>
        </w:rPr>
      </w:pPr>
      <w:r>
        <w:rPr>
          <w:rStyle w:val="FootnoteReference"/>
        </w:rPr>
        <w:footnoteRef/>
      </w:r>
      <w:r>
        <w:t xml:space="preserve"> </w:t>
      </w:r>
      <w:r>
        <w:rPr>
          <w:lang w:val="en-US"/>
        </w:rPr>
        <w:t>Ibid.</w:t>
      </w:r>
    </w:p>
  </w:footnote>
  <w:footnote w:id="8">
    <w:p w14:paraId="1D5A72B7" w14:textId="03B9188D" w:rsidR="008A0874" w:rsidRPr="003847B1" w:rsidRDefault="008A0874" w:rsidP="008A0874">
      <w:pPr>
        <w:pStyle w:val="FootnoteText"/>
        <w:rPr>
          <w:lang w:val="en-US"/>
        </w:rPr>
      </w:pPr>
      <w:r>
        <w:rPr>
          <w:rStyle w:val="FootnoteReference"/>
        </w:rPr>
        <w:footnoteRef/>
      </w:r>
      <w:r>
        <w:t xml:space="preserve"> </w:t>
      </w:r>
      <w:r w:rsidRPr="00816C88">
        <w:t xml:space="preserve">Darrel H. Rutkin, 'How to Accurately Account for Astrology's Marginalization in the History of Science and Culture: The Central Importance of an Interpretive Framework', </w:t>
      </w:r>
      <w:r w:rsidRPr="00970E62">
        <w:rPr>
          <w:i/>
          <w:iCs/>
        </w:rPr>
        <w:t>Early Science and Medicine</w:t>
      </w:r>
      <w:r w:rsidRPr="00816C88">
        <w:t>, 23, no. 3 (2018),</w:t>
      </w:r>
      <w:r>
        <w:t xml:space="preserve"> </w:t>
      </w:r>
      <w:r w:rsidRPr="00816C88">
        <w:t>217-243 (</w:t>
      </w:r>
      <w:r>
        <w:t>pg. 239</w:t>
      </w:r>
      <w:r w:rsidRPr="00816C88">
        <w:t>) &lt;https://www.jstor.org/stable/26567137&gt;[accessed 15 April 2022)</w:t>
      </w:r>
      <w:r w:rsidR="00FF0597">
        <w:t>.</w:t>
      </w:r>
    </w:p>
  </w:footnote>
  <w:footnote w:id="9">
    <w:p w14:paraId="31EF8875" w14:textId="77777777" w:rsidR="008A0874" w:rsidRPr="00BF06D8" w:rsidRDefault="008A0874" w:rsidP="008A0874">
      <w:pPr>
        <w:pStyle w:val="FootnoteText"/>
        <w:rPr>
          <w:lang w:val="en-US"/>
        </w:rPr>
      </w:pPr>
      <w:r>
        <w:rPr>
          <w:rStyle w:val="FootnoteReference"/>
        </w:rPr>
        <w:footnoteRef/>
      </w:r>
      <w:r>
        <w:t xml:space="preserve"> </w:t>
      </w:r>
      <w:r>
        <w:rPr>
          <w:lang w:val="en-US"/>
        </w:rPr>
        <w:t xml:space="preserve">Ibid. </w:t>
      </w:r>
    </w:p>
  </w:footnote>
  <w:footnote w:id="10">
    <w:p w14:paraId="4D52D043" w14:textId="38DEB1E8" w:rsidR="008A0874" w:rsidRPr="00574BDD" w:rsidRDefault="008A0874" w:rsidP="008A0874">
      <w:pPr>
        <w:pStyle w:val="FootnoteText"/>
        <w:rPr>
          <w:lang w:val="en-US"/>
        </w:rPr>
      </w:pPr>
      <w:r>
        <w:rPr>
          <w:rStyle w:val="FootnoteReference"/>
        </w:rPr>
        <w:footnoteRef/>
      </w:r>
      <w:r>
        <w:t xml:space="preserve"> </w:t>
      </w:r>
      <w:r>
        <w:rPr>
          <w:lang w:val="en-US"/>
        </w:rPr>
        <w:t>Ibid., 242-243</w:t>
      </w:r>
      <w:r w:rsidR="00F80687">
        <w:rPr>
          <w:lang w:val="en-US"/>
        </w:rPr>
        <w:t>.</w:t>
      </w:r>
    </w:p>
  </w:footnote>
  <w:footnote w:id="11">
    <w:p w14:paraId="7D0C796C" w14:textId="525BD40B" w:rsidR="008A0874" w:rsidRPr="00271B7A" w:rsidRDefault="008A0874" w:rsidP="008A0874">
      <w:pPr>
        <w:pStyle w:val="FootnoteText"/>
        <w:rPr>
          <w:lang w:val="en-US"/>
        </w:rPr>
      </w:pPr>
      <w:r>
        <w:rPr>
          <w:rStyle w:val="FootnoteReference"/>
        </w:rPr>
        <w:footnoteRef/>
      </w:r>
      <w:r>
        <w:t xml:space="preserve"> </w:t>
      </w:r>
      <w:r>
        <w:rPr>
          <w:lang w:val="en-US"/>
        </w:rPr>
        <w:t>Ibid., 237</w:t>
      </w:r>
      <w:r w:rsidR="00F80687">
        <w:rPr>
          <w:lang w:val="en-US"/>
        </w:rPr>
        <w:t>.</w:t>
      </w:r>
    </w:p>
  </w:footnote>
  <w:footnote w:id="12">
    <w:p w14:paraId="629B1154" w14:textId="27E27DC5" w:rsidR="008A0874" w:rsidRPr="00D82CBC" w:rsidRDefault="008A0874" w:rsidP="008A0874">
      <w:pPr>
        <w:pStyle w:val="FootnoteText"/>
        <w:rPr>
          <w:lang w:val="en-US"/>
        </w:rPr>
      </w:pPr>
      <w:r>
        <w:rPr>
          <w:rStyle w:val="FootnoteReference"/>
        </w:rPr>
        <w:footnoteRef/>
      </w:r>
      <w:r>
        <w:t xml:space="preserve"> Nicholas </w:t>
      </w:r>
      <w:r>
        <w:rPr>
          <w:lang w:val="en-US"/>
        </w:rPr>
        <w:t xml:space="preserve">Campion, </w:t>
      </w:r>
      <w:r w:rsidRPr="003A43BB">
        <w:rPr>
          <w:i/>
          <w:iCs/>
          <w:lang w:val="en-US"/>
        </w:rPr>
        <w:t>A History of Western Astrology Vol. II: The Medieval and Modern Worlds</w:t>
      </w:r>
      <w:r>
        <w:rPr>
          <w:lang w:val="en-US"/>
        </w:rPr>
        <w:t xml:space="preserve"> (London and New York: Bloomsbury, 2013), p. 233</w:t>
      </w:r>
      <w:r w:rsidR="00F80687">
        <w:rPr>
          <w:lang w:val="en-US"/>
        </w:rPr>
        <w:t>.</w:t>
      </w:r>
    </w:p>
  </w:footnote>
  <w:footnote w:id="13">
    <w:p w14:paraId="71F4AF56" w14:textId="08658CC2" w:rsidR="008A0874" w:rsidRPr="006D11AE" w:rsidRDefault="008A0874" w:rsidP="008A0874">
      <w:pPr>
        <w:pStyle w:val="FootnoteText"/>
        <w:rPr>
          <w:lang w:val="en-US"/>
        </w:rPr>
      </w:pPr>
      <w:r>
        <w:rPr>
          <w:rStyle w:val="FootnoteReference"/>
        </w:rPr>
        <w:footnoteRef/>
      </w:r>
      <w:r>
        <w:t xml:space="preserve"> Vettius Valens</w:t>
      </w:r>
      <w:r w:rsidRPr="00D747CA">
        <w:rPr>
          <w:i/>
          <w:iCs/>
        </w:rPr>
        <w:t xml:space="preserve">, </w:t>
      </w:r>
      <w:r w:rsidRPr="00D747CA">
        <w:rPr>
          <w:i/>
          <w:iCs/>
          <w:lang w:val="en-US"/>
        </w:rPr>
        <w:t>Anthologies</w:t>
      </w:r>
      <w:r>
        <w:rPr>
          <w:lang w:val="en-US"/>
        </w:rPr>
        <w:t>, trans. by Mark Riley (2010), I, 2, p. 3</w:t>
      </w:r>
      <w:r w:rsidR="00F80687">
        <w:rPr>
          <w:lang w:val="en-US"/>
        </w:rPr>
        <w:t>.</w:t>
      </w:r>
      <w:r>
        <w:rPr>
          <w:lang w:val="en-US"/>
        </w:rPr>
        <w:t>&lt;</w:t>
      </w:r>
      <w:r w:rsidRPr="00AA5D17">
        <w:rPr>
          <w:lang w:val="en-US"/>
        </w:rPr>
        <w:t>https://www.csus.edu/indiv/r/rileymt/Vettius%20Valens%20entire.pdf</w:t>
      </w:r>
      <w:r>
        <w:rPr>
          <w:lang w:val="en-US"/>
        </w:rPr>
        <w:t>&gt; [accessed 12 April 2022].</w:t>
      </w:r>
    </w:p>
  </w:footnote>
  <w:footnote w:id="14">
    <w:p w14:paraId="52F75EB1" w14:textId="77777777" w:rsidR="008A0874" w:rsidRPr="00085801" w:rsidRDefault="008A0874" w:rsidP="008A0874">
      <w:pPr>
        <w:pStyle w:val="FootnoteText"/>
        <w:rPr>
          <w:lang w:val="en-US"/>
        </w:rPr>
      </w:pPr>
      <w:r>
        <w:rPr>
          <w:rStyle w:val="FootnoteReference"/>
        </w:rPr>
        <w:footnoteRef/>
      </w:r>
      <w:r>
        <w:t xml:space="preserve"> Nicholas </w:t>
      </w:r>
      <w:r>
        <w:rPr>
          <w:lang w:val="en-US"/>
        </w:rPr>
        <w:t xml:space="preserve">Campion, </w:t>
      </w:r>
      <w:r w:rsidRPr="00924D9C">
        <w:rPr>
          <w:i/>
          <w:iCs/>
          <w:lang w:val="en-US"/>
        </w:rPr>
        <w:t>Vol. II</w:t>
      </w:r>
      <w:r>
        <w:rPr>
          <w:lang w:val="en-US"/>
        </w:rPr>
        <w:t>, p. 233.</w:t>
      </w:r>
    </w:p>
  </w:footnote>
  <w:footnote w:id="15">
    <w:p w14:paraId="76F88E3B" w14:textId="77777777" w:rsidR="008A0874" w:rsidRPr="001E303D" w:rsidRDefault="008A0874" w:rsidP="008A0874">
      <w:pPr>
        <w:pStyle w:val="FootnoteText"/>
        <w:rPr>
          <w:lang w:val="en-US"/>
        </w:rPr>
      </w:pPr>
      <w:r>
        <w:rPr>
          <w:rStyle w:val="FootnoteReference"/>
        </w:rPr>
        <w:footnoteRef/>
      </w:r>
      <w:r>
        <w:t xml:space="preserve"> Alan Leo, </w:t>
      </w:r>
      <w:r w:rsidRPr="00D747CA">
        <w:rPr>
          <w:i/>
          <w:iCs/>
          <w:lang w:val="en-US"/>
        </w:rPr>
        <w:t>Astrology for All</w:t>
      </w:r>
      <w:r>
        <w:rPr>
          <w:lang w:val="en-US"/>
        </w:rPr>
        <w:t xml:space="preserve"> (New York: Cosimo, 2016), p. 19.</w:t>
      </w:r>
    </w:p>
  </w:footnote>
  <w:footnote w:id="16">
    <w:p w14:paraId="387556C9" w14:textId="77777777" w:rsidR="008A0874" w:rsidRPr="002F048C" w:rsidRDefault="008A0874" w:rsidP="008A0874">
      <w:pPr>
        <w:pStyle w:val="FootnoteText"/>
        <w:rPr>
          <w:lang w:val="en-US"/>
        </w:rPr>
      </w:pPr>
      <w:r>
        <w:rPr>
          <w:rStyle w:val="FootnoteReference"/>
        </w:rPr>
        <w:footnoteRef/>
      </w:r>
      <w:r>
        <w:t xml:space="preserve"> Nicholas </w:t>
      </w:r>
      <w:r>
        <w:rPr>
          <w:lang w:val="en-US"/>
        </w:rPr>
        <w:t xml:space="preserve">Campion, </w:t>
      </w:r>
      <w:r>
        <w:rPr>
          <w:i/>
          <w:iCs/>
          <w:lang w:val="en-US"/>
        </w:rPr>
        <w:t>Vol. II</w:t>
      </w:r>
      <w:r>
        <w:rPr>
          <w:lang w:val="en-US"/>
        </w:rPr>
        <w:t>, p. 233.</w:t>
      </w:r>
    </w:p>
  </w:footnote>
  <w:footnote w:id="17">
    <w:p w14:paraId="088F1F7C" w14:textId="77777777" w:rsidR="008A0874" w:rsidRPr="00D672E0" w:rsidRDefault="008A0874" w:rsidP="008A0874">
      <w:pPr>
        <w:pStyle w:val="FootnoteText"/>
        <w:rPr>
          <w:lang w:val="en-US"/>
        </w:rPr>
      </w:pPr>
      <w:r>
        <w:rPr>
          <w:rStyle w:val="FootnoteReference"/>
        </w:rPr>
        <w:footnoteRef/>
      </w:r>
      <w:r>
        <w:t xml:space="preserve"> Grant Lewi, </w:t>
      </w:r>
      <w:r w:rsidRPr="00CC53A9">
        <w:rPr>
          <w:i/>
          <w:iCs/>
          <w:lang w:val="en-US"/>
        </w:rPr>
        <w:t>Astrology for the Millions</w:t>
      </w:r>
      <w:r>
        <w:rPr>
          <w:lang w:val="en-US"/>
        </w:rPr>
        <w:t xml:space="preserve"> (St. Paul: Llewellyn Publications, 1973), p. 80.</w:t>
      </w:r>
    </w:p>
  </w:footnote>
  <w:footnote w:id="18">
    <w:p w14:paraId="75B78FF1" w14:textId="77777777" w:rsidR="008A0874" w:rsidRPr="00E22915" w:rsidRDefault="008A0874" w:rsidP="008A0874">
      <w:pPr>
        <w:pStyle w:val="FootnoteText"/>
        <w:rPr>
          <w:lang w:val="en-US"/>
        </w:rPr>
      </w:pPr>
      <w:r>
        <w:rPr>
          <w:rStyle w:val="FootnoteReference"/>
        </w:rPr>
        <w:footnoteRef/>
      </w:r>
      <w:r>
        <w:t xml:space="preserve"> Linda Goodman, </w:t>
      </w:r>
      <w:r w:rsidRPr="00A80C6E">
        <w:rPr>
          <w:i/>
          <w:iCs/>
          <w:lang w:val="en-US"/>
        </w:rPr>
        <w:t>Sun Signs</w:t>
      </w:r>
      <w:r>
        <w:rPr>
          <w:lang w:val="en-US"/>
        </w:rPr>
        <w:t xml:space="preserve"> (New York: Bantam Books, 1971), p. 86-119.</w:t>
      </w:r>
    </w:p>
  </w:footnote>
  <w:footnote w:id="19">
    <w:p w14:paraId="1E19FDB9" w14:textId="77777777" w:rsidR="008A0874" w:rsidRPr="008F750B" w:rsidRDefault="008A0874" w:rsidP="008A0874">
      <w:pPr>
        <w:pStyle w:val="FootnoteText"/>
        <w:rPr>
          <w:lang w:val="en-US"/>
        </w:rPr>
      </w:pPr>
      <w:r>
        <w:rPr>
          <w:rStyle w:val="FootnoteReference"/>
        </w:rPr>
        <w:footnoteRef/>
      </w:r>
      <w:r>
        <w:t xml:space="preserve"> </w:t>
      </w:r>
      <w:r w:rsidRPr="00B30E9F">
        <w:rPr>
          <w:lang w:val="en-US"/>
        </w:rPr>
        <w:t>Kristen Lippincott, 'Giovanni Di Paolo's 'Creation of the World' and the Tradition of the 'Thema Mundi' in Late Medieval and Renaissance Art', The Burlington Magazine, 132, no. 1048 (1990), 460-468 (</w:t>
      </w:r>
      <w:r>
        <w:rPr>
          <w:lang w:val="en-US"/>
        </w:rPr>
        <w:t>pg. 462</w:t>
      </w:r>
      <w:r w:rsidRPr="00B30E9F">
        <w:rPr>
          <w:lang w:val="en-US"/>
        </w:rPr>
        <w:t>)</w:t>
      </w:r>
      <w:r>
        <w:rPr>
          <w:lang w:val="en-US"/>
        </w:rPr>
        <w:t>.</w:t>
      </w:r>
      <w:r w:rsidRPr="00B30E9F">
        <w:rPr>
          <w:lang w:val="en-US"/>
        </w:rPr>
        <w:t xml:space="preserve"> &lt;http://www.jstor.org/stable/884275&gt; [accessed 20 April 2022].</w:t>
      </w:r>
    </w:p>
  </w:footnote>
  <w:footnote w:id="20">
    <w:p w14:paraId="66276EB5" w14:textId="77777777" w:rsidR="008A0874" w:rsidRPr="004A22EA" w:rsidRDefault="008A0874" w:rsidP="008A0874">
      <w:pPr>
        <w:pStyle w:val="FootnoteText"/>
        <w:rPr>
          <w:lang w:val="en-US"/>
        </w:rPr>
      </w:pPr>
      <w:r>
        <w:rPr>
          <w:rStyle w:val="FootnoteReference"/>
        </w:rPr>
        <w:footnoteRef/>
      </w:r>
      <w:r>
        <w:t xml:space="preserve"> </w:t>
      </w:r>
      <w:r>
        <w:rPr>
          <w:lang w:val="en-US"/>
        </w:rPr>
        <w:t>Ibid.</w:t>
      </w:r>
    </w:p>
  </w:footnote>
  <w:footnote w:id="21">
    <w:p w14:paraId="11CF010E" w14:textId="77777777" w:rsidR="008A0874" w:rsidRPr="0091679F" w:rsidRDefault="008A0874" w:rsidP="008A0874">
      <w:pPr>
        <w:pStyle w:val="FootnoteText"/>
        <w:rPr>
          <w:lang w:val="en-US"/>
        </w:rPr>
      </w:pPr>
      <w:r>
        <w:rPr>
          <w:rStyle w:val="FootnoteReference"/>
        </w:rPr>
        <w:footnoteRef/>
      </w:r>
      <w:r>
        <w:t xml:space="preserve"> </w:t>
      </w:r>
      <w:r>
        <w:rPr>
          <w:lang w:val="en-US"/>
        </w:rPr>
        <w:t>Ibid.</w:t>
      </w:r>
    </w:p>
  </w:footnote>
  <w:footnote w:id="22">
    <w:p w14:paraId="4D682DC2" w14:textId="3918EEE9" w:rsidR="008A0874" w:rsidRPr="00222E92" w:rsidRDefault="008A0874" w:rsidP="008A0874">
      <w:pPr>
        <w:pStyle w:val="FootnoteText"/>
        <w:rPr>
          <w:lang w:val="en-US"/>
        </w:rPr>
      </w:pPr>
      <w:r>
        <w:rPr>
          <w:rStyle w:val="FootnoteReference"/>
        </w:rPr>
        <w:footnoteRef/>
      </w:r>
      <w:r>
        <w:t xml:space="preserve"> Julius Firmicus Maternus, </w:t>
      </w:r>
      <w:r w:rsidRPr="00866E15">
        <w:rPr>
          <w:i/>
          <w:iCs/>
          <w:lang w:val="en-US"/>
        </w:rPr>
        <w:t>Mathesis</w:t>
      </w:r>
      <w:r>
        <w:rPr>
          <w:lang w:val="en-US"/>
        </w:rPr>
        <w:t xml:space="preserve">, </w:t>
      </w:r>
      <w:r w:rsidR="00AC53A6">
        <w:rPr>
          <w:lang w:val="en-US"/>
        </w:rPr>
        <w:t xml:space="preserve">ed. and </w:t>
      </w:r>
      <w:r>
        <w:rPr>
          <w:lang w:val="en-US"/>
        </w:rPr>
        <w:t xml:space="preserve">trans. </w:t>
      </w:r>
      <w:r w:rsidR="00AC53A6">
        <w:rPr>
          <w:lang w:val="en-US"/>
        </w:rPr>
        <w:t xml:space="preserve">by </w:t>
      </w:r>
      <w:r>
        <w:rPr>
          <w:lang w:val="en-US"/>
        </w:rPr>
        <w:t>James H. Holden (Tempe: American Federation of Astrologers, 2011), III, 2: 9, p. 92.</w:t>
      </w:r>
    </w:p>
  </w:footnote>
  <w:footnote w:id="23">
    <w:p w14:paraId="30B043BE" w14:textId="3AD59E5B" w:rsidR="008A0874" w:rsidRPr="005A38F9" w:rsidRDefault="008A0874" w:rsidP="008A0874">
      <w:pPr>
        <w:pStyle w:val="FootnoteText"/>
        <w:rPr>
          <w:lang w:val="en-US"/>
        </w:rPr>
      </w:pPr>
      <w:r>
        <w:rPr>
          <w:rStyle w:val="FootnoteReference"/>
        </w:rPr>
        <w:footnoteRef/>
      </w:r>
      <w:r>
        <w:t xml:space="preserve"> </w:t>
      </w:r>
      <w:r>
        <w:rPr>
          <w:lang w:val="en-US"/>
        </w:rPr>
        <w:t xml:space="preserve">Julius Firmicus Maternus, </w:t>
      </w:r>
      <w:r>
        <w:rPr>
          <w:i/>
          <w:iCs/>
          <w:lang w:val="en-US"/>
        </w:rPr>
        <w:t xml:space="preserve">Mathesis, </w:t>
      </w:r>
      <w:r>
        <w:rPr>
          <w:lang w:val="en-US"/>
        </w:rPr>
        <w:t>III, 2: 3, p. 91</w:t>
      </w:r>
      <w:r w:rsidR="00F80687">
        <w:rPr>
          <w:lang w:val="en-US"/>
        </w:rPr>
        <w:t>.</w:t>
      </w:r>
    </w:p>
  </w:footnote>
  <w:footnote w:id="24">
    <w:p w14:paraId="7523A8CF" w14:textId="77777777" w:rsidR="008A0874" w:rsidRPr="00B56CD2" w:rsidRDefault="008A0874" w:rsidP="008A0874">
      <w:pPr>
        <w:pStyle w:val="FootnoteText"/>
        <w:rPr>
          <w:lang w:val="en-US"/>
        </w:rPr>
      </w:pPr>
      <w:r>
        <w:rPr>
          <w:rStyle w:val="FootnoteReference"/>
        </w:rPr>
        <w:footnoteRef/>
      </w:r>
      <w:r>
        <w:t xml:space="preserve"> </w:t>
      </w:r>
      <w:r>
        <w:rPr>
          <w:lang w:val="en-US"/>
        </w:rPr>
        <w:t xml:space="preserve">Ibid. </w:t>
      </w:r>
    </w:p>
  </w:footnote>
  <w:footnote w:id="25">
    <w:p w14:paraId="741016C4" w14:textId="77777777" w:rsidR="008A0874" w:rsidRPr="00E713DF" w:rsidRDefault="008A0874" w:rsidP="008A0874">
      <w:pPr>
        <w:pStyle w:val="FootnoteText"/>
        <w:rPr>
          <w:lang w:val="en-US"/>
        </w:rPr>
      </w:pPr>
      <w:r>
        <w:rPr>
          <w:rStyle w:val="FootnoteReference"/>
        </w:rPr>
        <w:footnoteRef/>
      </w:r>
      <w:r>
        <w:t xml:space="preserve"> Claudius Ptolemy</w:t>
      </w:r>
      <w:r w:rsidRPr="00B27E4F">
        <w:rPr>
          <w:i/>
          <w:iCs/>
        </w:rPr>
        <w:t xml:space="preserve">, </w:t>
      </w:r>
      <w:r w:rsidRPr="00B27E4F">
        <w:rPr>
          <w:i/>
          <w:iCs/>
          <w:lang w:val="en-US"/>
        </w:rPr>
        <w:t>Tetrabiblos</w:t>
      </w:r>
      <w:r>
        <w:rPr>
          <w:lang w:val="en-US"/>
        </w:rPr>
        <w:t>, ed. and trans. by Frank E. Robbins (London: Harvard University Press, 1940), I, 17, p. 79.</w:t>
      </w:r>
    </w:p>
  </w:footnote>
  <w:footnote w:id="26">
    <w:p w14:paraId="284649ED" w14:textId="77777777" w:rsidR="008A0874" w:rsidRPr="00180EBF" w:rsidRDefault="008A0874" w:rsidP="008A0874">
      <w:pPr>
        <w:pStyle w:val="FootnoteText"/>
        <w:rPr>
          <w:lang w:val="en-US"/>
        </w:rPr>
      </w:pPr>
      <w:r>
        <w:rPr>
          <w:rStyle w:val="FootnoteReference"/>
        </w:rPr>
        <w:footnoteRef/>
      </w:r>
      <w:r>
        <w:t xml:space="preserve"> </w:t>
      </w:r>
      <w:r>
        <w:rPr>
          <w:lang w:val="en-US"/>
        </w:rPr>
        <w:t>Ibid.</w:t>
      </w:r>
    </w:p>
  </w:footnote>
  <w:footnote w:id="27">
    <w:p w14:paraId="2B8ED228" w14:textId="77777777" w:rsidR="008A0874" w:rsidRPr="007065B8" w:rsidRDefault="008A0874" w:rsidP="008A0874">
      <w:pPr>
        <w:pStyle w:val="FootnoteText"/>
        <w:rPr>
          <w:lang w:val="en-US"/>
        </w:rPr>
      </w:pPr>
      <w:r>
        <w:rPr>
          <w:rStyle w:val="FootnoteReference"/>
        </w:rPr>
        <w:footnoteRef/>
      </w:r>
      <w:r>
        <w:t xml:space="preserve"> Julius Firmicus Maternus, </w:t>
      </w:r>
      <w:r w:rsidRPr="00562D77">
        <w:rPr>
          <w:i/>
          <w:iCs/>
          <w:lang w:val="en-US"/>
        </w:rPr>
        <w:t>Mathesis</w:t>
      </w:r>
      <w:r>
        <w:rPr>
          <w:lang w:val="en-US"/>
        </w:rPr>
        <w:t>, III, 2: 3, p. 91.</w:t>
      </w:r>
    </w:p>
  </w:footnote>
  <w:footnote w:id="28">
    <w:p w14:paraId="2120FFD5" w14:textId="77777777" w:rsidR="008A0874" w:rsidRPr="00FB799E" w:rsidRDefault="008A0874" w:rsidP="008A0874">
      <w:pPr>
        <w:pStyle w:val="FootnoteText"/>
        <w:rPr>
          <w:lang w:val="en-US"/>
        </w:rPr>
      </w:pPr>
      <w:r>
        <w:rPr>
          <w:rStyle w:val="FootnoteReference"/>
        </w:rPr>
        <w:footnoteRef/>
      </w:r>
      <w:r>
        <w:t xml:space="preserve"> Alan Leo</w:t>
      </w:r>
      <w:r w:rsidRPr="00C53F14">
        <w:rPr>
          <w:i/>
          <w:iCs/>
        </w:rPr>
        <w:t xml:space="preserve">, </w:t>
      </w:r>
      <w:r w:rsidRPr="00C53F14">
        <w:rPr>
          <w:i/>
          <w:iCs/>
          <w:lang w:val="en-US"/>
        </w:rPr>
        <w:t>How to Judge a Nativit</w:t>
      </w:r>
      <w:r>
        <w:rPr>
          <w:i/>
          <w:iCs/>
          <w:lang w:val="en-US"/>
        </w:rPr>
        <w:t xml:space="preserve">y </w:t>
      </w:r>
      <w:r>
        <w:rPr>
          <w:lang w:val="en-US"/>
        </w:rPr>
        <w:t>(London: Modern Astrology, 1948), p. 17-25.</w:t>
      </w:r>
    </w:p>
  </w:footnote>
  <w:footnote w:id="29">
    <w:p w14:paraId="0A0343CE" w14:textId="77777777" w:rsidR="008A0874" w:rsidRPr="008914D6" w:rsidRDefault="008A0874" w:rsidP="008A0874">
      <w:pPr>
        <w:pStyle w:val="FootnoteText"/>
        <w:rPr>
          <w:lang w:val="en-US"/>
        </w:rPr>
      </w:pPr>
      <w:r>
        <w:rPr>
          <w:rStyle w:val="FootnoteReference"/>
        </w:rPr>
        <w:footnoteRef/>
      </w:r>
      <w:r>
        <w:t xml:space="preserve"> Liz Greene, </w:t>
      </w:r>
      <w:r w:rsidRPr="00116397">
        <w:rPr>
          <w:i/>
          <w:iCs/>
          <w:lang w:val="en-US"/>
        </w:rPr>
        <w:t>Saturn: A New Look at an Old Devil</w:t>
      </w:r>
      <w:r>
        <w:rPr>
          <w:lang w:val="en-US"/>
        </w:rPr>
        <w:t xml:space="preserve"> (New York: Samuel Weiser Inc., 1978), p. 15-33.</w:t>
      </w:r>
    </w:p>
  </w:footnote>
  <w:footnote w:id="30">
    <w:p w14:paraId="3A4CFCDE" w14:textId="77777777" w:rsidR="008A0874" w:rsidRPr="003169E9" w:rsidRDefault="008A0874" w:rsidP="008A0874">
      <w:pPr>
        <w:pStyle w:val="FootnoteText"/>
        <w:rPr>
          <w:lang w:val="en-US"/>
        </w:rPr>
      </w:pPr>
      <w:r>
        <w:rPr>
          <w:rStyle w:val="FootnoteReference"/>
        </w:rPr>
        <w:footnoteRef/>
      </w:r>
      <w:r>
        <w:t xml:space="preserve"> Claudius Ptolemy, </w:t>
      </w:r>
      <w:r w:rsidRPr="00237653">
        <w:rPr>
          <w:i/>
          <w:iCs/>
          <w:lang w:val="en-US"/>
        </w:rPr>
        <w:t>Tetrabiblos</w:t>
      </w:r>
      <w:r>
        <w:rPr>
          <w:lang w:val="en-US"/>
        </w:rPr>
        <w:t>, I, 18, p. 83.</w:t>
      </w:r>
    </w:p>
  </w:footnote>
  <w:footnote w:id="31">
    <w:p w14:paraId="368DB1FB" w14:textId="77777777" w:rsidR="008A0874" w:rsidRPr="00E64B56" w:rsidRDefault="008A0874" w:rsidP="008A0874">
      <w:pPr>
        <w:pStyle w:val="FootnoteText"/>
        <w:rPr>
          <w:lang w:val="en-US"/>
        </w:rPr>
      </w:pPr>
      <w:r>
        <w:rPr>
          <w:rStyle w:val="FootnoteReference"/>
        </w:rPr>
        <w:footnoteRef/>
      </w:r>
      <w:r>
        <w:t xml:space="preserve"> </w:t>
      </w:r>
      <w:r>
        <w:rPr>
          <w:lang w:val="en-US"/>
        </w:rPr>
        <w:t>Ibid., I, 91, p. 91.</w:t>
      </w:r>
    </w:p>
  </w:footnote>
  <w:footnote w:id="32">
    <w:p w14:paraId="74F1C226" w14:textId="77777777" w:rsidR="008A0874" w:rsidRPr="00D34390" w:rsidRDefault="008A0874" w:rsidP="008A0874">
      <w:pPr>
        <w:pStyle w:val="FootnoteText"/>
        <w:rPr>
          <w:lang w:val="en-US"/>
        </w:rPr>
      </w:pPr>
      <w:r>
        <w:rPr>
          <w:rStyle w:val="FootnoteReference"/>
        </w:rPr>
        <w:footnoteRef/>
      </w:r>
      <w:r>
        <w:t xml:space="preserve"> </w:t>
      </w:r>
      <w:r>
        <w:rPr>
          <w:lang w:val="en-US"/>
        </w:rPr>
        <w:t xml:space="preserve">J. Lee Lehman, </w:t>
      </w:r>
      <w:r>
        <w:rPr>
          <w:i/>
          <w:iCs/>
          <w:lang w:val="en-US"/>
        </w:rPr>
        <w:t xml:space="preserve">Essential Dignities </w:t>
      </w:r>
      <w:r>
        <w:rPr>
          <w:lang w:val="en-US"/>
        </w:rPr>
        <w:t>(West Chester: Whitford Press, 1989), p. 235.</w:t>
      </w:r>
    </w:p>
  </w:footnote>
  <w:footnote w:id="33">
    <w:p w14:paraId="79B20F15" w14:textId="77777777" w:rsidR="008A0874" w:rsidRPr="003C6143" w:rsidRDefault="008A0874" w:rsidP="008A0874">
      <w:pPr>
        <w:pStyle w:val="FootnoteText"/>
        <w:rPr>
          <w:lang w:val="en-US"/>
        </w:rPr>
      </w:pPr>
      <w:r>
        <w:rPr>
          <w:rStyle w:val="FootnoteReference"/>
        </w:rPr>
        <w:footnoteRef/>
      </w:r>
      <w:r>
        <w:t xml:space="preserve"> Alan Leo, </w:t>
      </w:r>
      <w:r w:rsidRPr="00B53C39">
        <w:rPr>
          <w:i/>
          <w:iCs/>
          <w:lang w:val="en-US"/>
        </w:rPr>
        <w:t>Nativity</w:t>
      </w:r>
      <w:r>
        <w:rPr>
          <w:lang w:val="en-US"/>
        </w:rPr>
        <w:t>, p. 28.</w:t>
      </w:r>
    </w:p>
  </w:footnote>
  <w:footnote w:id="34">
    <w:p w14:paraId="3EF98C65" w14:textId="77777777" w:rsidR="008A0874" w:rsidRPr="00C26DE8" w:rsidRDefault="008A0874" w:rsidP="008A0874">
      <w:pPr>
        <w:pStyle w:val="FootnoteText"/>
        <w:rPr>
          <w:lang w:val="en-US"/>
        </w:rPr>
      </w:pPr>
      <w:r>
        <w:rPr>
          <w:rStyle w:val="FootnoteReference"/>
        </w:rPr>
        <w:footnoteRef/>
      </w:r>
      <w:r>
        <w:t xml:space="preserve"> </w:t>
      </w:r>
      <w:r>
        <w:rPr>
          <w:lang w:val="en-US"/>
        </w:rPr>
        <w:t>Ibid.</w:t>
      </w:r>
    </w:p>
  </w:footnote>
  <w:footnote w:id="35">
    <w:p w14:paraId="068BCA99" w14:textId="77777777" w:rsidR="008A0874" w:rsidRPr="00ED0429" w:rsidRDefault="008A0874" w:rsidP="008A0874">
      <w:pPr>
        <w:pStyle w:val="FootnoteText"/>
        <w:rPr>
          <w:lang w:val="en-US"/>
        </w:rPr>
      </w:pPr>
      <w:r>
        <w:rPr>
          <w:rStyle w:val="FootnoteReference"/>
        </w:rPr>
        <w:footnoteRef/>
      </w:r>
      <w:r>
        <w:t xml:space="preserve"> </w:t>
      </w:r>
      <w:r>
        <w:rPr>
          <w:lang w:val="en-US"/>
        </w:rPr>
        <w:t>Ibid.</w:t>
      </w:r>
    </w:p>
  </w:footnote>
  <w:footnote w:id="36">
    <w:p w14:paraId="3BE80322" w14:textId="77777777" w:rsidR="008A0874" w:rsidRPr="008E6249" w:rsidRDefault="008A0874" w:rsidP="008A0874">
      <w:pPr>
        <w:pStyle w:val="FootnoteText"/>
        <w:rPr>
          <w:lang w:val="en-US"/>
        </w:rPr>
      </w:pPr>
      <w:r>
        <w:rPr>
          <w:rStyle w:val="FootnoteReference"/>
        </w:rPr>
        <w:footnoteRef/>
      </w:r>
      <w:r>
        <w:t xml:space="preserve"> Liz </w:t>
      </w:r>
      <w:r>
        <w:rPr>
          <w:lang w:val="en-US"/>
        </w:rPr>
        <w:t xml:space="preserve">Greene, </w:t>
      </w:r>
      <w:r>
        <w:rPr>
          <w:i/>
          <w:iCs/>
          <w:lang w:val="en-US"/>
        </w:rPr>
        <w:t xml:space="preserve">Jung’s Studies in Astrology: Prophecy, Magic, and the Qualities of Time </w:t>
      </w:r>
      <w:r>
        <w:rPr>
          <w:lang w:val="en-US"/>
        </w:rPr>
        <w:t>(London and New York: Routledge, 2018), p. 44.</w:t>
      </w:r>
    </w:p>
  </w:footnote>
  <w:footnote w:id="37">
    <w:p w14:paraId="4ECD07FE" w14:textId="77777777" w:rsidR="008A0874" w:rsidRPr="00BA406B" w:rsidRDefault="008A0874" w:rsidP="008A0874">
      <w:pPr>
        <w:pStyle w:val="FootnoteText"/>
        <w:rPr>
          <w:lang w:val="en-US"/>
        </w:rPr>
      </w:pPr>
      <w:r>
        <w:rPr>
          <w:rStyle w:val="FootnoteReference"/>
        </w:rPr>
        <w:footnoteRef/>
      </w:r>
      <w:r>
        <w:t xml:space="preserve"> Max Heindel, </w:t>
      </w:r>
      <w:r w:rsidRPr="003A3421">
        <w:rPr>
          <w:i/>
          <w:iCs/>
          <w:lang w:val="en-US"/>
        </w:rPr>
        <w:t>Simplified Scientific Astrology</w:t>
      </w:r>
      <w:r>
        <w:rPr>
          <w:lang w:val="en-US"/>
        </w:rPr>
        <w:t xml:space="preserve"> (Las Vegas: Murine Press, 2008), p. 89-91.</w:t>
      </w:r>
    </w:p>
  </w:footnote>
  <w:footnote w:id="38">
    <w:p w14:paraId="2AB8708B" w14:textId="77777777" w:rsidR="008A0874" w:rsidRPr="002C310F" w:rsidRDefault="008A0874" w:rsidP="008A0874">
      <w:pPr>
        <w:pStyle w:val="FootnoteText"/>
        <w:rPr>
          <w:lang w:val="en-US"/>
        </w:rPr>
      </w:pPr>
      <w:r>
        <w:rPr>
          <w:rStyle w:val="FootnoteReference"/>
        </w:rPr>
        <w:footnoteRef/>
      </w:r>
      <w:r>
        <w:t xml:space="preserve"> </w:t>
      </w:r>
      <w:r>
        <w:rPr>
          <w:lang w:val="en-US"/>
        </w:rPr>
        <w:t xml:space="preserve">Greene, </w:t>
      </w:r>
      <w:r>
        <w:rPr>
          <w:i/>
          <w:iCs/>
          <w:lang w:val="en-US"/>
        </w:rPr>
        <w:t xml:space="preserve">Jung’s Studies, </w:t>
      </w:r>
      <w:r>
        <w:rPr>
          <w:lang w:val="en-US"/>
        </w:rPr>
        <w:t>p. 49.</w:t>
      </w:r>
    </w:p>
  </w:footnote>
  <w:footnote w:id="39">
    <w:p w14:paraId="00C2531A" w14:textId="77777777" w:rsidR="008A0874" w:rsidRPr="002D6131" w:rsidRDefault="008A0874" w:rsidP="008A0874">
      <w:pPr>
        <w:pStyle w:val="FootnoteText"/>
        <w:rPr>
          <w:lang w:val="en-US"/>
        </w:rPr>
      </w:pPr>
      <w:r>
        <w:rPr>
          <w:rStyle w:val="FootnoteReference"/>
        </w:rPr>
        <w:footnoteRef/>
      </w:r>
      <w:r>
        <w:t xml:space="preserve"> </w:t>
      </w:r>
      <w:r>
        <w:rPr>
          <w:lang w:val="en-US"/>
        </w:rPr>
        <w:t xml:space="preserve">Greene, </w:t>
      </w:r>
      <w:r>
        <w:rPr>
          <w:i/>
          <w:iCs/>
          <w:lang w:val="en-US"/>
        </w:rPr>
        <w:t xml:space="preserve">Jung’s Studies, p. </w:t>
      </w:r>
      <w:r>
        <w:rPr>
          <w:lang w:val="en-US"/>
        </w:rPr>
        <w:t>47.</w:t>
      </w:r>
    </w:p>
  </w:footnote>
  <w:footnote w:id="40">
    <w:p w14:paraId="39FAAE50" w14:textId="77777777" w:rsidR="008A0874" w:rsidRPr="0075618D" w:rsidRDefault="008A0874" w:rsidP="008A0874">
      <w:pPr>
        <w:pStyle w:val="FootnoteText"/>
        <w:rPr>
          <w:lang w:val="en-US"/>
        </w:rPr>
      </w:pPr>
      <w:r>
        <w:rPr>
          <w:rStyle w:val="FootnoteReference"/>
        </w:rPr>
        <w:footnoteRef/>
      </w:r>
      <w:r>
        <w:t xml:space="preserve"> </w:t>
      </w:r>
      <w:r>
        <w:rPr>
          <w:lang w:val="en-US"/>
        </w:rPr>
        <w:t xml:space="preserve">Ibid. </w:t>
      </w:r>
    </w:p>
  </w:footnote>
  <w:footnote w:id="41">
    <w:p w14:paraId="60FE10CC" w14:textId="77777777" w:rsidR="008A0874" w:rsidRPr="0028580F" w:rsidRDefault="008A0874" w:rsidP="008A0874">
      <w:pPr>
        <w:pStyle w:val="FootnoteText"/>
        <w:rPr>
          <w:lang w:val="en-US"/>
        </w:rPr>
      </w:pPr>
      <w:r>
        <w:rPr>
          <w:rStyle w:val="FootnoteReference"/>
        </w:rPr>
        <w:footnoteRef/>
      </w:r>
      <w:r>
        <w:t xml:space="preserve"> Max Heindel and Augusta Foss Heindel, </w:t>
      </w:r>
      <w:r w:rsidRPr="00333A48">
        <w:rPr>
          <w:i/>
          <w:iCs/>
          <w:lang w:val="en-US"/>
        </w:rPr>
        <w:t>The Message of the Stars</w:t>
      </w:r>
      <w:r>
        <w:rPr>
          <w:i/>
          <w:iCs/>
          <w:lang w:val="en-US"/>
        </w:rPr>
        <w:t>: An Esoteric Exposition of Natal and Medical Astrology Explaining the Arts of Reading the Horoscope and Diagnosing Disease</w:t>
      </w:r>
      <w:r>
        <w:rPr>
          <w:lang w:val="en-US"/>
        </w:rPr>
        <w:t>, 12</w:t>
      </w:r>
      <w:r w:rsidRPr="00534C13">
        <w:rPr>
          <w:vertAlign w:val="superscript"/>
          <w:lang w:val="en-US"/>
        </w:rPr>
        <w:t>th</w:t>
      </w:r>
      <w:r>
        <w:rPr>
          <w:lang w:val="en-US"/>
        </w:rPr>
        <w:t xml:space="preserve"> ed. (Oceanside: The Rosicrucian Fellowship, 2011).</w:t>
      </w:r>
    </w:p>
  </w:footnote>
  <w:footnote w:id="42">
    <w:p w14:paraId="0DD75055" w14:textId="77777777" w:rsidR="008A0874" w:rsidRPr="00590D61" w:rsidRDefault="008A0874" w:rsidP="008A0874">
      <w:pPr>
        <w:pStyle w:val="FootnoteText"/>
        <w:rPr>
          <w:lang w:val="en-US"/>
        </w:rPr>
      </w:pPr>
      <w:r>
        <w:rPr>
          <w:rStyle w:val="FootnoteReference"/>
        </w:rPr>
        <w:footnoteRef/>
      </w:r>
      <w:r>
        <w:t xml:space="preserve"> James H. Holden, </w:t>
      </w:r>
      <w:r w:rsidRPr="00C2775A">
        <w:rPr>
          <w:i/>
          <w:iCs/>
        </w:rPr>
        <w:t>A History of Horoscopic Astrology</w:t>
      </w:r>
      <w:r>
        <w:t xml:space="preserve"> (Tempe: American Federation of Astrologers, 1996), p. 213.</w:t>
      </w:r>
    </w:p>
  </w:footnote>
  <w:footnote w:id="43">
    <w:p w14:paraId="183187C6" w14:textId="55FEA9A6" w:rsidR="008A0874" w:rsidRPr="00B27105" w:rsidRDefault="008A0874" w:rsidP="008A0874">
      <w:pPr>
        <w:pStyle w:val="FootnoteText"/>
        <w:rPr>
          <w:lang w:val="en-US"/>
        </w:rPr>
      </w:pPr>
      <w:r>
        <w:rPr>
          <w:rStyle w:val="FootnoteReference"/>
        </w:rPr>
        <w:footnoteRef/>
      </w:r>
      <w:r>
        <w:t xml:space="preserve"> Aleister Crowley</w:t>
      </w:r>
      <w:r>
        <w:rPr>
          <w:lang w:val="en-US"/>
        </w:rPr>
        <w:t xml:space="preserve">, </w:t>
      </w:r>
      <w:r>
        <w:rPr>
          <w:i/>
          <w:iCs/>
          <w:lang w:val="en-US"/>
        </w:rPr>
        <w:t xml:space="preserve">Aleister Crowley: The Complete Astrological </w:t>
      </w:r>
      <w:r w:rsidRPr="00D031EE">
        <w:rPr>
          <w:lang w:val="en-US"/>
        </w:rPr>
        <w:t>Writings</w:t>
      </w:r>
      <w:r>
        <w:rPr>
          <w:lang w:val="en-US"/>
        </w:rPr>
        <w:t xml:space="preserve">, </w:t>
      </w:r>
      <w:r w:rsidR="00F74366">
        <w:rPr>
          <w:lang w:val="en-US"/>
        </w:rPr>
        <w:t xml:space="preserve">ed. by </w:t>
      </w:r>
      <w:r>
        <w:rPr>
          <w:lang w:val="en-US"/>
        </w:rPr>
        <w:t xml:space="preserve">John Symonds and Kenneth Grant (London: Tandem Publishing Ltd, 1976), p. </w:t>
      </w:r>
      <w:r w:rsidRPr="00D031EE">
        <w:rPr>
          <w:lang w:val="en-US"/>
        </w:rPr>
        <w:t>7</w:t>
      </w:r>
      <w:r>
        <w:rPr>
          <w:lang w:val="en-US"/>
        </w:rPr>
        <w:t>.</w:t>
      </w:r>
    </w:p>
  </w:footnote>
  <w:footnote w:id="44">
    <w:p w14:paraId="3F3287ED" w14:textId="77777777" w:rsidR="008A0874" w:rsidRPr="006E164B" w:rsidRDefault="008A0874" w:rsidP="008A0874">
      <w:pPr>
        <w:pStyle w:val="FootnoteText"/>
        <w:rPr>
          <w:lang w:val="en-US"/>
        </w:rPr>
      </w:pPr>
      <w:r>
        <w:rPr>
          <w:rStyle w:val="FootnoteReference"/>
        </w:rPr>
        <w:footnoteRef/>
      </w:r>
      <w:r>
        <w:t xml:space="preserve"> Aleister Crowley with Evangeline Adams, </w:t>
      </w:r>
      <w:r>
        <w:rPr>
          <w:i/>
          <w:iCs/>
        </w:rPr>
        <w:t xml:space="preserve">The General Principles of Astrology, </w:t>
      </w:r>
      <w:r>
        <w:t xml:space="preserve">Hymenaeus </w:t>
      </w:r>
      <w:r>
        <w:rPr>
          <w:lang w:val="en-US"/>
        </w:rPr>
        <w:t>Beta ed. (New York: Ordo Templi Orientis, 2008), p. xvii.</w:t>
      </w:r>
    </w:p>
  </w:footnote>
  <w:footnote w:id="45">
    <w:p w14:paraId="10957680" w14:textId="77777777" w:rsidR="008A0874" w:rsidRPr="00D67CB8" w:rsidRDefault="008A0874" w:rsidP="008A0874">
      <w:pPr>
        <w:pStyle w:val="FootnoteText"/>
        <w:rPr>
          <w:lang w:val="en-US"/>
        </w:rPr>
      </w:pPr>
      <w:r>
        <w:rPr>
          <w:rStyle w:val="FootnoteReference"/>
        </w:rPr>
        <w:footnoteRef/>
      </w:r>
      <w:r>
        <w:t xml:space="preserve"> Evangeline Adams, </w:t>
      </w:r>
      <w:r w:rsidRPr="007C32E4">
        <w:rPr>
          <w:i/>
          <w:iCs/>
          <w:lang w:val="en-US"/>
        </w:rPr>
        <w:t xml:space="preserve">Your Place </w:t>
      </w:r>
      <w:r>
        <w:rPr>
          <w:i/>
          <w:iCs/>
          <w:lang w:val="en-US"/>
        </w:rPr>
        <w:t>Among</w:t>
      </w:r>
      <w:r w:rsidRPr="007C32E4">
        <w:rPr>
          <w:i/>
          <w:iCs/>
          <w:lang w:val="en-US"/>
        </w:rPr>
        <w:t xml:space="preserve"> the Stars</w:t>
      </w:r>
      <w:r>
        <w:rPr>
          <w:i/>
          <w:iCs/>
          <w:lang w:val="en-US"/>
        </w:rPr>
        <w:t xml:space="preserve"> </w:t>
      </w:r>
      <w:r>
        <w:rPr>
          <w:lang w:val="en-US"/>
        </w:rPr>
        <w:t>(New York: Vail-Ballou Press, Inc., 1930), p. 208.</w:t>
      </w:r>
    </w:p>
  </w:footnote>
  <w:footnote w:id="46">
    <w:p w14:paraId="50EFD973" w14:textId="77777777" w:rsidR="008A0874" w:rsidRPr="00B66923" w:rsidRDefault="008A0874" w:rsidP="008A0874">
      <w:pPr>
        <w:pStyle w:val="FootnoteText"/>
        <w:rPr>
          <w:lang w:val="en-US"/>
        </w:rPr>
      </w:pPr>
      <w:r>
        <w:rPr>
          <w:rStyle w:val="FootnoteReference"/>
        </w:rPr>
        <w:footnoteRef/>
      </w:r>
      <w:r>
        <w:t xml:space="preserve"> Karen Christino, </w:t>
      </w:r>
      <w:r w:rsidRPr="008411BA">
        <w:rPr>
          <w:i/>
          <w:iCs/>
          <w:lang w:val="en-US"/>
        </w:rPr>
        <w:t>What Evangeline Adams Knew: A Book of Astrological Charts and Techniques</w:t>
      </w:r>
      <w:r>
        <w:rPr>
          <w:lang w:val="en-US"/>
        </w:rPr>
        <w:t xml:space="preserve"> (New York: Stella Mira Books, 2004), p. 67.</w:t>
      </w:r>
    </w:p>
  </w:footnote>
  <w:footnote w:id="47">
    <w:p w14:paraId="1C75FF86" w14:textId="77777777" w:rsidR="008A0874" w:rsidRPr="00B46605" w:rsidRDefault="008A0874" w:rsidP="008A0874">
      <w:pPr>
        <w:pStyle w:val="FootnoteText"/>
        <w:rPr>
          <w:lang w:val="en-US"/>
        </w:rPr>
      </w:pPr>
      <w:r>
        <w:rPr>
          <w:rStyle w:val="FootnoteReference"/>
        </w:rPr>
        <w:footnoteRef/>
      </w:r>
      <w:r>
        <w:t xml:space="preserve"> </w:t>
      </w:r>
      <w:r>
        <w:rPr>
          <w:lang w:val="en-US"/>
        </w:rPr>
        <w:t>Ibid., 71-72.</w:t>
      </w:r>
    </w:p>
  </w:footnote>
  <w:footnote w:id="48">
    <w:p w14:paraId="75D87CFC" w14:textId="77777777" w:rsidR="008A0874" w:rsidRPr="0019035D" w:rsidRDefault="008A0874" w:rsidP="008A0874">
      <w:pPr>
        <w:pStyle w:val="FootnoteText"/>
        <w:rPr>
          <w:lang w:val="en-US"/>
        </w:rPr>
      </w:pPr>
      <w:r>
        <w:rPr>
          <w:rStyle w:val="FootnoteReference"/>
        </w:rPr>
        <w:footnoteRef/>
      </w:r>
      <w:r>
        <w:t xml:space="preserve"> </w:t>
      </w:r>
      <w:r>
        <w:rPr>
          <w:lang w:val="en-US"/>
        </w:rPr>
        <w:t>Ibid., 72.</w:t>
      </w:r>
    </w:p>
  </w:footnote>
  <w:footnote w:id="49">
    <w:p w14:paraId="0D3FD06D" w14:textId="77777777" w:rsidR="008A0874" w:rsidRPr="00A21218" w:rsidRDefault="008A0874" w:rsidP="008A0874">
      <w:pPr>
        <w:pStyle w:val="FootnoteText"/>
        <w:rPr>
          <w:lang w:val="en-US"/>
        </w:rPr>
      </w:pPr>
      <w:r>
        <w:rPr>
          <w:rStyle w:val="FootnoteReference"/>
        </w:rPr>
        <w:footnoteRef/>
      </w:r>
      <w:r>
        <w:t xml:space="preserve"> </w:t>
      </w:r>
      <w:r>
        <w:rPr>
          <w:lang w:val="en-US"/>
        </w:rPr>
        <w:t xml:space="preserve">Vermij and Hirai, </w:t>
      </w:r>
      <w:r w:rsidRPr="00077F7B">
        <w:rPr>
          <w:lang w:val="en-US"/>
        </w:rPr>
        <w:t>Introduction</w:t>
      </w:r>
      <w:r>
        <w:rPr>
          <w:lang w:val="en-US"/>
        </w:rPr>
        <w:t xml:space="preserve">, p. </w:t>
      </w:r>
      <w:r w:rsidRPr="00077F7B">
        <w:rPr>
          <w:lang w:val="en-US"/>
        </w:rPr>
        <w:t>407</w:t>
      </w:r>
      <w:r>
        <w:rPr>
          <w:lang w:val="en-US"/>
        </w:rPr>
        <w:t>.</w:t>
      </w:r>
    </w:p>
  </w:footnote>
  <w:footnote w:id="50">
    <w:p w14:paraId="642BA942" w14:textId="77777777" w:rsidR="008A0874" w:rsidRPr="00B978E2" w:rsidRDefault="008A0874" w:rsidP="008A0874">
      <w:pPr>
        <w:pStyle w:val="FootnoteText"/>
        <w:rPr>
          <w:lang w:val="en-US"/>
        </w:rPr>
      </w:pPr>
      <w:r>
        <w:rPr>
          <w:rStyle w:val="FootnoteReference"/>
        </w:rPr>
        <w:footnoteRef/>
      </w:r>
      <w:r>
        <w:t xml:space="preserve"> </w:t>
      </w:r>
      <w:r>
        <w:rPr>
          <w:lang w:val="en-US"/>
        </w:rPr>
        <w:t>Ibid.</w:t>
      </w:r>
    </w:p>
  </w:footnote>
  <w:footnote w:id="51">
    <w:p w14:paraId="7A0923A3" w14:textId="77777777" w:rsidR="008A0874" w:rsidRPr="00956CDE" w:rsidRDefault="008A0874" w:rsidP="008A0874">
      <w:pPr>
        <w:pStyle w:val="FootnoteText"/>
        <w:rPr>
          <w:lang w:val="en-US"/>
        </w:rPr>
      </w:pPr>
      <w:r>
        <w:rPr>
          <w:rStyle w:val="FootnoteReference"/>
        </w:rPr>
        <w:footnoteRef/>
      </w:r>
      <w:r>
        <w:t xml:space="preserve"> </w:t>
      </w:r>
      <w:r>
        <w:rPr>
          <w:lang w:val="en-US"/>
        </w:rPr>
        <w:t>Ibid.</w:t>
      </w:r>
    </w:p>
  </w:footnote>
  <w:footnote w:id="52">
    <w:p w14:paraId="4BA91C2D" w14:textId="77777777" w:rsidR="008A0874" w:rsidRPr="000C76F0" w:rsidRDefault="008A0874" w:rsidP="008A0874">
      <w:pPr>
        <w:pStyle w:val="FootnoteText"/>
        <w:rPr>
          <w:lang w:val="en-US"/>
        </w:rPr>
      </w:pPr>
      <w:r>
        <w:rPr>
          <w:rStyle w:val="FootnoteReference"/>
        </w:rPr>
        <w:footnoteRef/>
      </w:r>
      <w:r>
        <w:t xml:space="preserve"> Telal </w:t>
      </w:r>
      <w:r>
        <w:rPr>
          <w:lang w:val="en-US"/>
        </w:rPr>
        <w:t xml:space="preserve">Asad, </w:t>
      </w:r>
      <w:r>
        <w:rPr>
          <w:i/>
          <w:iCs/>
          <w:lang w:val="en-US"/>
        </w:rPr>
        <w:t xml:space="preserve">Genealogies of Religion: Discipline and Reasons of Power in Christianity and Islam </w:t>
      </w:r>
      <w:r>
        <w:rPr>
          <w:lang w:val="en-US"/>
        </w:rPr>
        <w:t>(Baltimore and London: The John Hopkins University Press, 1993)</w:t>
      </w:r>
      <w:r>
        <w:rPr>
          <w:i/>
          <w:iCs/>
          <w:lang w:val="en-US"/>
        </w:rPr>
        <w:t xml:space="preserve">, </w:t>
      </w:r>
      <w:r>
        <w:rPr>
          <w:lang w:val="en-US"/>
        </w:rPr>
        <w:t>p. 39.</w:t>
      </w:r>
    </w:p>
  </w:footnote>
  <w:footnote w:id="53">
    <w:p w14:paraId="31AABCD8" w14:textId="77777777" w:rsidR="008A0874" w:rsidRPr="00683D2F" w:rsidRDefault="008A0874" w:rsidP="008A0874">
      <w:pPr>
        <w:pStyle w:val="FootnoteText"/>
        <w:rPr>
          <w:lang w:val="en-US"/>
        </w:rPr>
      </w:pPr>
      <w:r>
        <w:rPr>
          <w:rStyle w:val="FootnoteReference"/>
        </w:rPr>
        <w:footnoteRef/>
      </w:r>
      <w:r>
        <w:t xml:space="preserve"> </w:t>
      </w:r>
      <w:r>
        <w:rPr>
          <w:lang w:val="en-US"/>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47928299">
    <w:abstractNumId w:val="18"/>
  </w:num>
  <w:num w:numId="2" w16cid:durableId="1992128567">
    <w:abstractNumId w:val="20"/>
  </w:num>
  <w:num w:numId="3" w16cid:durableId="771390803">
    <w:abstractNumId w:val="9"/>
  </w:num>
  <w:num w:numId="4" w16cid:durableId="962930781">
    <w:abstractNumId w:val="6"/>
  </w:num>
  <w:num w:numId="5" w16cid:durableId="812135866">
    <w:abstractNumId w:val="2"/>
  </w:num>
  <w:num w:numId="6" w16cid:durableId="1330522538">
    <w:abstractNumId w:val="4"/>
  </w:num>
  <w:num w:numId="7" w16cid:durableId="379014577">
    <w:abstractNumId w:val="13"/>
  </w:num>
  <w:num w:numId="8" w16cid:durableId="901713213">
    <w:abstractNumId w:val="21"/>
  </w:num>
  <w:num w:numId="9" w16cid:durableId="50663230">
    <w:abstractNumId w:val="23"/>
  </w:num>
  <w:num w:numId="10" w16cid:durableId="38172905">
    <w:abstractNumId w:val="5"/>
  </w:num>
  <w:num w:numId="11" w16cid:durableId="1366099618">
    <w:abstractNumId w:val="19"/>
  </w:num>
  <w:num w:numId="12" w16cid:durableId="751239955">
    <w:abstractNumId w:val="22"/>
  </w:num>
  <w:num w:numId="13" w16cid:durableId="841970995">
    <w:abstractNumId w:val="11"/>
  </w:num>
  <w:num w:numId="14" w16cid:durableId="2144497001">
    <w:abstractNumId w:val="14"/>
  </w:num>
  <w:num w:numId="15" w16cid:durableId="713847056">
    <w:abstractNumId w:val="16"/>
  </w:num>
  <w:num w:numId="16" w16cid:durableId="1399522909">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108548863">
    <w:abstractNumId w:val="10"/>
  </w:num>
  <w:num w:numId="18" w16cid:durableId="37462177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246156115">
    <w:abstractNumId w:val="12"/>
  </w:num>
  <w:num w:numId="20" w16cid:durableId="239601208">
    <w:abstractNumId w:val="17"/>
  </w:num>
  <w:num w:numId="21" w16cid:durableId="1117673622">
    <w:abstractNumId w:val="3"/>
  </w:num>
  <w:num w:numId="22" w16cid:durableId="1134104128">
    <w:abstractNumId w:val="7"/>
  </w:num>
  <w:num w:numId="23" w16cid:durableId="1899784372">
    <w:abstractNumId w:val="15"/>
  </w:num>
  <w:num w:numId="24" w16cid:durableId="384834706">
    <w:abstractNumId w:val="8"/>
  </w:num>
  <w:num w:numId="25" w16cid:durableId="1012487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720"/>
  <w:noPunctuationKerning/>
  <w:characterSpacingControl w:val="doNotCompress"/>
  <w:hdrShapeDefaults>
    <o:shapedefaults v:ext="edit" spidmax="3074"/>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13545"/>
    <w:rsid w:val="00022345"/>
    <w:rsid w:val="00026363"/>
    <w:rsid w:val="00043549"/>
    <w:rsid w:val="000455B6"/>
    <w:rsid w:val="00046A16"/>
    <w:rsid w:val="00047074"/>
    <w:rsid w:val="00066BA7"/>
    <w:rsid w:val="00076A0B"/>
    <w:rsid w:val="000854DF"/>
    <w:rsid w:val="000A6D49"/>
    <w:rsid w:val="000E3682"/>
    <w:rsid w:val="000E3751"/>
    <w:rsid w:val="0010199D"/>
    <w:rsid w:val="001070F2"/>
    <w:rsid w:val="00111283"/>
    <w:rsid w:val="0011161A"/>
    <w:rsid w:val="00152EBE"/>
    <w:rsid w:val="00165047"/>
    <w:rsid w:val="00172497"/>
    <w:rsid w:val="001C0B52"/>
    <w:rsid w:val="001C4B2D"/>
    <w:rsid w:val="001E0E06"/>
    <w:rsid w:val="001F4CE1"/>
    <w:rsid w:val="002132DC"/>
    <w:rsid w:val="00216211"/>
    <w:rsid w:val="00224B95"/>
    <w:rsid w:val="00230F35"/>
    <w:rsid w:val="00247677"/>
    <w:rsid w:val="0025530E"/>
    <w:rsid w:val="002715FA"/>
    <w:rsid w:val="00276002"/>
    <w:rsid w:val="00277421"/>
    <w:rsid w:val="00290783"/>
    <w:rsid w:val="002A4954"/>
    <w:rsid w:val="002C1CF1"/>
    <w:rsid w:val="002D2A04"/>
    <w:rsid w:val="002E2BA0"/>
    <w:rsid w:val="002E67CE"/>
    <w:rsid w:val="002F1475"/>
    <w:rsid w:val="002F467C"/>
    <w:rsid w:val="00305185"/>
    <w:rsid w:val="00307B22"/>
    <w:rsid w:val="00326631"/>
    <w:rsid w:val="00337A70"/>
    <w:rsid w:val="00341D2F"/>
    <w:rsid w:val="00351F4B"/>
    <w:rsid w:val="00361239"/>
    <w:rsid w:val="0038342D"/>
    <w:rsid w:val="003C3F4F"/>
    <w:rsid w:val="003C7F6F"/>
    <w:rsid w:val="003D6255"/>
    <w:rsid w:val="003E08F3"/>
    <w:rsid w:val="003F0AD2"/>
    <w:rsid w:val="003F737B"/>
    <w:rsid w:val="00402DB0"/>
    <w:rsid w:val="0040732D"/>
    <w:rsid w:val="004250DD"/>
    <w:rsid w:val="0043758C"/>
    <w:rsid w:val="0044129B"/>
    <w:rsid w:val="00447497"/>
    <w:rsid w:val="00450156"/>
    <w:rsid w:val="00460A5C"/>
    <w:rsid w:val="004627BA"/>
    <w:rsid w:val="004724D6"/>
    <w:rsid w:val="00475C78"/>
    <w:rsid w:val="004A024B"/>
    <w:rsid w:val="004A1977"/>
    <w:rsid w:val="004B73BA"/>
    <w:rsid w:val="004C79CE"/>
    <w:rsid w:val="004F26C9"/>
    <w:rsid w:val="004F2B31"/>
    <w:rsid w:val="00521E0F"/>
    <w:rsid w:val="00531109"/>
    <w:rsid w:val="00537B4C"/>
    <w:rsid w:val="005429EF"/>
    <w:rsid w:val="005627D4"/>
    <w:rsid w:val="005819B2"/>
    <w:rsid w:val="0058726A"/>
    <w:rsid w:val="00590E9A"/>
    <w:rsid w:val="005942E9"/>
    <w:rsid w:val="005A507B"/>
    <w:rsid w:val="005C6560"/>
    <w:rsid w:val="00610318"/>
    <w:rsid w:val="00632937"/>
    <w:rsid w:val="0065654E"/>
    <w:rsid w:val="00662A40"/>
    <w:rsid w:val="006805EC"/>
    <w:rsid w:val="00691819"/>
    <w:rsid w:val="00691A31"/>
    <w:rsid w:val="00693C4D"/>
    <w:rsid w:val="006A205D"/>
    <w:rsid w:val="006A65E9"/>
    <w:rsid w:val="006C0A3A"/>
    <w:rsid w:val="006C5E96"/>
    <w:rsid w:val="006E4F24"/>
    <w:rsid w:val="00701D8C"/>
    <w:rsid w:val="00751BE2"/>
    <w:rsid w:val="00765417"/>
    <w:rsid w:val="00770733"/>
    <w:rsid w:val="00773D0E"/>
    <w:rsid w:val="00790E2F"/>
    <w:rsid w:val="007B721A"/>
    <w:rsid w:val="007C098A"/>
    <w:rsid w:val="007C512E"/>
    <w:rsid w:val="007C6F33"/>
    <w:rsid w:val="007D7715"/>
    <w:rsid w:val="00823895"/>
    <w:rsid w:val="0083442E"/>
    <w:rsid w:val="00840B95"/>
    <w:rsid w:val="0084272E"/>
    <w:rsid w:val="00843DE9"/>
    <w:rsid w:val="00860711"/>
    <w:rsid w:val="0089447F"/>
    <w:rsid w:val="008A0874"/>
    <w:rsid w:val="008A4DCC"/>
    <w:rsid w:val="008B3A97"/>
    <w:rsid w:val="008D03F0"/>
    <w:rsid w:val="008D3C15"/>
    <w:rsid w:val="008D674F"/>
    <w:rsid w:val="008E525C"/>
    <w:rsid w:val="00901157"/>
    <w:rsid w:val="00914769"/>
    <w:rsid w:val="00973B44"/>
    <w:rsid w:val="009801D3"/>
    <w:rsid w:val="009A3D0A"/>
    <w:rsid w:val="009B2D10"/>
    <w:rsid w:val="009C01A3"/>
    <w:rsid w:val="009C1A08"/>
    <w:rsid w:val="009C396A"/>
    <w:rsid w:val="009F2623"/>
    <w:rsid w:val="00A02C62"/>
    <w:rsid w:val="00A04220"/>
    <w:rsid w:val="00A06B94"/>
    <w:rsid w:val="00A2073F"/>
    <w:rsid w:val="00A303FE"/>
    <w:rsid w:val="00A41032"/>
    <w:rsid w:val="00A41AF9"/>
    <w:rsid w:val="00A507E4"/>
    <w:rsid w:val="00A62E68"/>
    <w:rsid w:val="00A745B6"/>
    <w:rsid w:val="00A972E4"/>
    <w:rsid w:val="00A9744A"/>
    <w:rsid w:val="00AC36E3"/>
    <w:rsid w:val="00AC53A6"/>
    <w:rsid w:val="00AC6213"/>
    <w:rsid w:val="00AD5D5A"/>
    <w:rsid w:val="00AE3217"/>
    <w:rsid w:val="00B11E29"/>
    <w:rsid w:val="00B34964"/>
    <w:rsid w:val="00B36F4A"/>
    <w:rsid w:val="00B42501"/>
    <w:rsid w:val="00B45FEF"/>
    <w:rsid w:val="00B462B1"/>
    <w:rsid w:val="00B51531"/>
    <w:rsid w:val="00B56E7B"/>
    <w:rsid w:val="00B57E18"/>
    <w:rsid w:val="00B72F46"/>
    <w:rsid w:val="00B81E5D"/>
    <w:rsid w:val="00B962F0"/>
    <w:rsid w:val="00B96983"/>
    <w:rsid w:val="00B9724B"/>
    <w:rsid w:val="00BC17F1"/>
    <w:rsid w:val="00BE7B7A"/>
    <w:rsid w:val="00BF22DC"/>
    <w:rsid w:val="00BF3D29"/>
    <w:rsid w:val="00BF6291"/>
    <w:rsid w:val="00C1179E"/>
    <w:rsid w:val="00C129C7"/>
    <w:rsid w:val="00C22A88"/>
    <w:rsid w:val="00C43406"/>
    <w:rsid w:val="00C65E7F"/>
    <w:rsid w:val="00C93CD4"/>
    <w:rsid w:val="00CB5E37"/>
    <w:rsid w:val="00CC52A3"/>
    <w:rsid w:val="00CE3B79"/>
    <w:rsid w:val="00D0754F"/>
    <w:rsid w:val="00D328AB"/>
    <w:rsid w:val="00D429CC"/>
    <w:rsid w:val="00D459DC"/>
    <w:rsid w:val="00D56EFA"/>
    <w:rsid w:val="00D67889"/>
    <w:rsid w:val="00D67BF8"/>
    <w:rsid w:val="00DA3217"/>
    <w:rsid w:val="00DA3E0F"/>
    <w:rsid w:val="00DB0EE2"/>
    <w:rsid w:val="00DB185F"/>
    <w:rsid w:val="00DB43BB"/>
    <w:rsid w:val="00DD363B"/>
    <w:rsid w:val="00DE54B1"/>
    <w:rsid w:val="00E251B2"/>
    <w:rsid w:val="00E3766D"/>
    <w:rsid w:val="00E5019A"/>
    <w:rsid w:val="00E502BA"/>
    <w:rsid w:val="00E57529"/>
    <w:rsid w:val="00E67719"/>
    <w:rsid w:val="00E84F5D"/>
    <w:rsid w:val="00E86DDC"/>
    <w:rsid w:val="00E87EF7"/>
    <w:rsid w:val="00EA28B3"/>
    <w:rsid w:val="00EC7546"/>
    <w:rsid w:val="00F1661E"/>
    <w:rsid w:val="00F16D6F"/>
    <w:rsid w:val="00F2453C"/>
    <w:rsid w:val="00F346BE"/>
    <w:rsid w:val="00F73533"/>
    <w:rsid w:val="00F74366"/>
    <w:rsid w:val="00F80687"/>
    <w:rsid w:val="00FA07E9"/>
    <w:rsid w:val="00FA2A4C"/>
    <w:rsid w:val="00FF0597"/>
    <w:rsid w:val="00FF1125"/>
    <w:rsid w:val="00FF3C96"/>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7AB6219"/>
  <w15:chartTrackingRefBased/>
  <w15:docId w15:val="{FC1929DA-43EB-47E5-971F-16CAA60E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8A0874"/>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8A0874"/>
    <w:rPr>
      <w:rFonts w:ascii="Calibri" w:eastAsia="Calibri" w:hAnsi="Calibri"/>
      <w:lang w:eastAsia="en-US"/>
    </w:rPr>
  </w:style>
  <w:style w:type="character" w:styleId="FootnoteReference">
    <w:name w:val="footnote reference"/>
    <w:uiPriority w:val="99"/>
    <w:unhideWhenUsed/>
    <w:rsid w:val="008A0874"/>
    <w:rPr>
      <w:vertAlign w:val="superscript"/>
    </w:rPr>
  </w:style>
  <w:style w:type="character" w:styleId="Hyperlink">
    <w:name w:val="Hyperlink"/>
    <w:uiPriority w:val="99"/>
    <w:unhideWhenUsed/>
    <w:rsid w:val="008A0874"/>
    <w:rPr>
      <w:color w:val="0563C1"/>
      <w:u w:val="single"/>
    </w:rPr>
  </w:style>
  <w:style w:type="character" w:styleId="UnresolvedMention">
    <w:name w:val="Unresolved Mention"/>
    <w:uiPriority w:val="99"/>
    <w:semiHidden/>
    <w:unhideWhenUsed/>
    <w:rsid w:val="008A0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EFA1-1D25-416A-961D-783CF783C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5430</Words>
  <Characters>29325</Characters>
  <Application>Microsoft Office Word</Application>
  <DocSecurity>0</DocSecurity>
  <Lines>407</Lines>
  <Paragraphs>34</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Chad Woodward</cp:lastModifiedBy>
  <cp:revision>2</cp:revision>
  <cp:lastPrinted>2011-03-31T21:57:00Z</cp:lastPrinted>
  <dcterms:created xsi:type="dcterms:W3CDTF">2022-04-28T08:35:00Z</dcterms:created>
  <dcterms:modified xsi:type="dcterms:W3CDTF">2022-04-28T08:35:00Z</dcterms:modified>
</cp:coreProperties>
</file>