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F311D52" w:rsidR="7908378C" w:rsidRDefault="7908378C" w:rsidP="33572C6E">
            <w:pPr>
              <w:ind w:right="237"/>
              <w:rPr>
                <w:b/>
                <w:bCs/>
                <w:color w:val="auto"/>
                <w:sz w:val="32"/>
                <w:szCs w:val="32"/>
              </w:rPr>
            </w:pPr>
            <w:r w:rsidRPr="33572C6E">
              <w:rPr>
                <w:b/>
                <w:bCs/>
                <w:color w:val="auto"/>
                <w:sz w:val="32"/>
                <w:szCs w:val="32"/>
              </w:rPr>
              <w:t xml:space="preserve">Learner name: </w:t>
            </w:r>
            <w:r w:rsidR="0084760D">
              <w:rPr>
                <w:b/>
                <w:bCs/>
                <w:color w:val="auto"/>
                <w:sz w:val="32"/>
                <w:szCs w:val="32"/>
              </w:rPr>
              <w:t>Luke Rimes</w:t>
            </w:r>
            <w:r w:rsidRPr="33572C6E">
              <w:rPr>
                <w:b/>
                <w:bCs/>
                <w:color w:val="auto"/>
                <w:sz w:val="32"/>
                <w:szCs w:val="32"/>
              </w:rPr>
              <w:t>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66F2FD6" w:rsidR="7908378C" w:rsidRDefault="7908378C" w:rsidP="33572C6E">
            <w:pPr>
              <w:ind w:right="237"/>
              <w:rPr>
                <w:b/>
                <w:bCs/>
                <w:color w:val="auto"/>
                <w:sz w:val="32"/>
                <w:szCs w:val="32"/>
              </w:rPr>
            </w:pPr>
            <w:r w:rsidRPr="33572C6E">
              <w:rPr>
                <w:b/>
                <w:bCs/>
                <w:color w:val="auto"/>
                <w:sz w:val="32"/>
                <w:szCs w:val="32"/>
              </w:rPr>
              <w:t>_</w:t>
            </w:r>
            <w:r w:rsidR="0084760D">
              <w:rPr>
                <w:b/>
                <w:bCs/>
                <w:color w:val="auto"/>
                <w:sz w:val="32"/>
                <w:szCs w:val="32"/>
              </w:rPr>
              <w:t>2117603</w:t>
            </w:r>
            <w:r w:rsidRPr="33572C6E">
              <w:rPr>
                <w:b/>
                <w:bCs/>
                <w:color w:val="auto"/>
                <w:sz w:val="32"/>
                <w:szCs w:val="32"/>
              </w:rPr>
              <w:t>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39252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016F272" w14:textId="77777777" w:rsidR="0032517E" w:rsidRDefault="0032517E" w:rsidP="0032517E">
      <w:pPr>
        <w:spacing w:after="360" w:line="360" w:lineRule="auto"/>
        <w:jc w:val="both"/>
      </w:pPr>
      <w:r w:rsidRPr="00092BC2">
        <w:t>This essay will</w:t>
      </w:r>
      <w:r>
        <w:t xml:space="preserve"> firstly</w:t>
      </w:r>
      <w:r w:rsidRPr="00092BC2">
        <w:t xml:space="preserve"> explore</w:t>
      </w:r>
      <w:r>
        <w:t xml:space="preserve"> my role in the Child Abuse Investigation Unit (CAIU)</w:t>
      </w:r>
      <w:r w:rsidRPr="00092BC2">
        <w:t xml:space="preserve"> </w:t>
      </w:r>
      <w:r>
        <w:t>during the removal of children from their family a</w:t>
      </w:r>
      <w:r w:rsidRPr="00092BC2">
        <w:t>nd examine the efficacy of those who assisted me</w:t>
      </w:r>
      <w:r>
        <w:t xml:space="preserve">. The second part will discuss ways to prevent repeat victimisation and offending.  </w:t>
      </w:r>
    </w:p>
    <w:p w14:paraId="5C9A14B1" w14:textId="77777777" w:rsidR="005F617F" w:rsidRDefault="0032517E" w:rsidP="0032517E">
      <w:pPr>
        <w:spacing w:after="360" w:line="360" w:lineRule="auto"/>
        <w:ind w:firstLine="720"/>
        <w:jc w:val="both"/>
      </w:pPr>
      <w:r w:rsidRPr="00092BC2">
        <w:t>The policing incident</w:t>
      </w:r>
      <w:r>
        <w:t xml:space="preserve"> happened during an on-going investigation into a father who had previously been alleged to have assaulted his eldest daughter</w:t>
      </w:r>
      <w:r w:rsidR="005F617F">
        <w:t xml:space="preserve">. </w:t>
      </w:r>
    </w:p>
    <w:p w14:paraId="1B11FAE6" w14:textId="77777777" w:rsidR="00867BE7" w:rsidRDefault="005F617F" w:rsidP="0032517E">
      <w:pPr>
        <w:spacing w:after="360" w:line="360" w:lineRule="auto"/>
        <w:ind w:firstLine="720"/>
        <w:jc w:val="both"/>
      </w:pPr>
      <w:r>
        <w:t xml:space="preserve">He </w:t>
      </w:r>
      <w:r w:rsidR="0032517E">
        <w:t>was made to adhere to a safety plan by social services (SS): to reside outside the family home.</w:t>
      </w:r>
      <w:r>
        <w:t xml:space="preserve"> However, t</w:t>
      </w:r>
      <w:r w:rsidR="0032517E">
        <w:t xml:space="preserve">wo months later, the victim disclosed that her father, mother, and brother repeatedly assaulted again. </w:t>
      </w:r>
      <w:r>
        <w:t>She</w:t>
      </w:r>
      <w:r w:rsidR="0032517E">
        <w:t xml:space="preserve"> explained that her family were Kurdish Iranians who practiced Islam and were ashamed of her due to having a pre-marital sexual relationship with a person outside of their socio-cultural religious community. </w:t>
      </w:r>
    </w:p>
    <w:p w14:paraId="6D1D5F4C" w14:textId="2F599766" w:rsidR="0032517E" w:rsidRDefault="0032517E" w:rsidP="0032517E">
      <w:pPr>
        <w:spacing w:after="360" w:line="360" w:lineRule="auto"/>
        <w:ind w:firstLine="720"/>
        <w:jc w:val="both"/>
      </w:pPr>
      <w:r>
        <w:t xml:space="preserve">She further explained that her brother’s assaults against her and her boyfriend were to uphold and protect family honour. This greatly concerned me, as the added complexity of family honour concerningly linked these assaults to Honour Based Abuse (HBA). </w:t>
      </w:r>
    </w:p>
    <w:p w14:paraId="1ADDDF65" w14:textId="4487CA3F" w:rsidR="0032517E" w:rsidRDefault="0032517E" w:rsidP="0032517E">
      <w:pPr>
        <w:spacing w:after="360" w:line="360" w:lineRule="auto"/>
        <w:ind w:firstLine="720"/>
        <w:jc w:val="both"/>
      </w:pPr>
      <w:r>
        <w:lastRenderedPageBreak/>
        <w:t xml:space="preserve">HBA is a complex </w:t>
      </w:r>
      <w:r w:rsidR="00B31529">
        <w:t>topic</w:t>
      </w:r>
      <w:r>
        <w:t xml:space="preserve"> and may be best seen through the lens of domestic violence and abuse due to the relational family aspect (</w:t>
      </w:r>
      <w:proofErr w:type="spellStart"/>
      <w:r>
        <w:t>Idriss</w:t>
      </w:r>
      <w:proofErr w:type="spellEnd"/>
      <w:r>
        <w:t>, 2017). In essence, most families hold values and expectations of one another; when those values are not met, that person may experience shame and disappointment by the family (</w:t>
      </w:r>
      <w:proofErr w:type="spellStart"/>
      <w:r>
        <w:t>Chantler</w:t>
      </w:r>
      <w:proofErr w:type="spellEnd"/>
      <w:r>
        <w:t xml:space="preserve"> et al, 2022). </w:t>
      </w:r>
      <w:r w:rsidR="00B31529">
        <w:t>S</w:t>
      </w:r>
      <w:r>
        <w:t xml:space="preserve">ome families, particularly those that hold close ties to a community, the actions of that member can lead to shame being received externally, resulting in further embarrassment for the family (Hafez, 2008; GOV, 2021). </w:t>
      </w:r>
    </w:p>
    <w:p w14:paraId="4CCFF80A" w14:textId="251478EF" w:rsidR="0032517E" w:rsidRDefault="0032517E" w:rsidP="0032517E">
      <w:pPr>
        <w:spacing w:after="360" w:line="360" w:lineRule="auto"/>
        <w:ind w:firstLine="720"/>
        <w:jc w:val="both"/>
      </w:pPr>
      <w:r>
        <w:t xml:space="preserve">Shame can come in several forms but is most associated with non-conformity to the dominant values set by the family’s culture and or religion, such as: having pre-marital relationships; drug and alcohol use; low educational attainment; and, dressing in ways and being involved in social circles outside of the family’s community (Hafez, 2008). As a result of shaming the family, that member </w:t>
      </w:r>
      <w:r w:rsidR="005A7D96">
        <w:t>can be</w:t>
      </w:r>
      <w:r>
        <w:t xml:space="preserve"> abused into adhering to the values set by the family and its wider socio-cultural ties and or practiced religion (Bates, 2020). </w:t>
      </w:r>
      <w:r w:rsidR="00340A92">
        <w:t>HBA can be mental and physical, but</w:t>
      </w:r>
      <w:r>
        <w:t xml:space="preserve"> in extreme cases the abuse can lead to female genital mutilation, honour killings, and abduction into forced marriages</w:t>
      </w:r>
      <w:r w:rsidRPr="001F48BF">
        <w:t xml:space="preserve"> (College of Policing, 2021).</w:t>
      </w:r>
    </w:p>
    <w:p w14:paraId="616B6302" w14:textId="3637CB59" w:rsidR="0032517E" w:rsidRDefault="0032517E" w:rsidP="0032517E">
      <w:pPr>
        <w:spacing w:after="360" w:line="360" w:lineRule="auto"/>
        <w:ind w:firstLine="720"/>
        <w:jc w:val="both"/>
      </w:pPr>
      <w:r>
        <w:t>To note, HBA in its simplest form can occur across all cultures. It is not tied to one place, people, or religion, and therefore, can be misunderstood to have close links to Islam and the countries that practice the faith to a Fundamentalist extent – such as Iran and elsewhere in the Middle East and Africa (Abdullah, 2019). For instance, HBA is known to occur within Irish Catholic communities and traveller or Gypsy communities also. When confronted with this in a policing context</w:t>
      </w:r>
      <w:r w:rsidR="004C72CB">
        <w:t>, officers must</w:t>
      </w:r>
      <w:r>
        <w:t xml:space="preserve"> remain open-minded when faced with similar incidents within religious families, or people that originate from countries tied to HBA practices, as the situation may not be motivated by family honour (College of Policing, 2023).  </w:t>
      </w:r>
    </w:p>
    <w:p w14:paraId="6FC23996" w14:textId="5FD7687D" w:rsidR="0032517E" w:rsidRDefault="0032517E" w:rsidP="0032517E">
      <w:pPr>
        <w:spacing w:after="360" w:line="360" w:lineRule="auto"/>
        <w:ind w:firstLine="720"/>
        <w:jc w:val="both"/>
      </w:pPr>
      <w:r>
        <w:t xml:space="preserve">Thus, with the eldest daughter now a repeat victim and her younger sister now increasingly vulnerable and exposed to risk of further harm, plans were put in place to immediately remove the pair into foster care. Initially, I would assist the family social worker (FSW) to action </w:t>
      </w:r>
      <w:r w:rsidRPr="00092BC2">
        <w:t>s</w:t>
      </w:r>
      <w:r>
        <w:t xml:space="preserve">ection </w:t>
      </w:r>
      <w:r w:rsidRPr="00092BC2">
        <w:t>76 of the Child Act (Children Act, 1989)</w:t>
      </w:r>
      <w:r>
        <w:t xml:space="preserve"> and remove the children on a voluntary agreement from the parents. Failing this, and following an Inspectors authorisation, it would be incumbent upon me to use Police Protection Powers to place the sisters into care.</w:t>
      </w:r>
    </w:p>
    <w:p w14:paraId="092824FC" w14:textId="2364C7E2" w:rsidR="0032517E" w:rsidRDefault="0032517E" w:rsidP="0032517E">
      <w:pPr>
        <w:spacing w:after="360" w:line="360" w:lineRule="auto"/>
        <w:ind w:firstLine="720"/>
        <w:jc w:val="both"/>
      </w:pPr>
      <w:r>
        <w:t>The incident went as follows: firstly, a joint section 47 visit was agreed at the school</w:t>
      </w:r>
      <w:r w:rsidR="00BA1B64">
        <w:t xml:space="preserve"> </w:t>
      </w:r>
      <w:r>
        <w:t>where the family social worker and I would meet with the victim and confirm her account</w:t>
      </w:r>
      <w:r w:rsidR="00BA1B64">
        <w:t xml:space="preserve"> (Child Act, 1989)</w:t>
      </w:r>
      <w:r>
        <w:t xml:space="preserve">. As the school was a place of safety, the eldest daughter remained there, while CAIU and uniformed officers (UO), along with social services and a Kurdish interpreter met at the victim’s home to remove the younger sister. </w:t>
      </w:r>
    </w:p>
    <w:p w14:paraId="641F83D4" w14:textId="6185EE04" w:rsidR="0032517E" w:rsidRDefault="0032517E" w:rsidP="0032517E">
      <w:pPr>
        <w:spacing w:after="360" w:line="360" w:lineRule="auto"/>
        <w:ind w:firstLine="720"/>
        <w:jc w:val="both"/>
      </w:pPr>
      <w:r>
        <w:t xml:space="preserve">Upon arrival to the home, I was notified that the older brother was attempting to break into the school. UOs and I returned to the school; the brother had left, but the mother and younger daughter </w:t>
      </w:r>
      <w:r>
        <w:lastRenderedPageBreak/>
        <w:t xml:space="preserve">then arrived at the school. I contained the pair in the school reception and waited for the team to arrive. </w:t>
      </w:r>
      <w:r w:rsidR="00823756">
        <w:t xml:space="preserve">One the team arrived, </w:t>
      </w:r>
      <w:r>
        <w:t xml:space="preserve">the </w:t>
      </w:r>
      <w:r w:rsidR="00823756">
        <w:t>F</w:t>
      </w:r>
      <w:r>
        <w:t>SW</w:t>
      </w:r>
      <w:r w:rsidR="00823756">
        <w:t>,</w:t>
      </w:r>
      <w:r>
        <w:t xml:space="preserve"> interpreter</w:t>
      </w:r>
      <w:r w:rsidR="00823756">
        <w:t>, and I</w:t>
      </w:r>
      <w:r>
        <w:t xml:space="preserve"> made multiple attempts to explain </w:t>
      </w:r>
      <w:r w:rsidR="00823756">
        <w:t>the</w:t>
      </w:r>
      <w:r>
        <w:t xml:space="preserve"> s.76</w:t>
      </w:r>
      <w:r w:rsidR="00823756">
        <w:t xml:space="preserve"> to the victim’s mother.</w:t>
      </w:r>
      <w:r>
        <w:t xml:space="preserve"> </w:t>
      </w:r>
    </w:p>
    <w:p w14:paraId="28114345" w14:textId="77777777" w:rsidR="0032517E" w:rsidRDefault="0032517E" w:rsidP="0032517E">
      <w:pPr>
        <w:spacing w:after="360" w:line="360" w:lineRule="auto"/>
        <w:ind w:firstLine="720"/>
        <w:jc w:val="both"/>
      </w:pPr>
      <w:r>
        <w:t xml:space="preserve">During this time, the father arrived at the school. Owing to the change in behaviour and actions sought by my victim’s parents towards officers, several uses of force were required to calm the situation down and ensure the safety of those present. </w:t>
      </w:r>
    </w:p>
    <w:p w14:paraId="394E6D15" w14:textId="77777777" w:rsidR="0032517E" w:rsidRDefault="0032517E" w:rsidP="0032517E">
      <w:pPr>
        <w:spacing w:after="360" w:line="360" w:lineRule="auto"/>
        <w:ind w:firstLine="720"/>
        <w:jc w:val="both"/>
      </w:pPr>
      <w:r>
        <w:t xml:space="preserve">Due to external operational pressures on UOs which resulted in 2/3’s of them leaving – thus rendering the team weaker – and the time already taken in offering parents a s.76, I have made the decision to use Police Protection Powers to remove the children. The children were removed from the school and made their way to a foster home. </w:t>
      </w:r>
    </w:p>
    <w:p w14:paraId="10BB8F41" w14:textId="69C3A682" w:rsidR="0032517E" w:rsidRDefault="0032517E" w:rsidP="0032517E">
      <w:pPr>
        <w:spacing w:after="360" w:line="360" w:lineRule="auto"/>
        <w:ind w:firstLine="720"/>
        <w:jc w:val="both"/>
      </w:pPr>
      <w:r>
        <w:t xml:space="preserve">Throughout the incident, the familiarity and rapport that the FSW had with the victim and their family was invaluable, as they provided empathy and warmth during a highly emotional situation. This was evident both in the s.47 at the school and when explaining the voluntary removal of the children to the </w:t>
      </w:r>
      <w:r w:rsidR="007B26F9">
        <w:t>mother</w:t>
      </w:r>
      <w:r>
        <w:t>. Moreover, once back at the school, the sisters were reunited in a separate room with school staff away from reception and another SW joined them with a CAIU officer. This compounded the support and emotional wellbeing to the girls and would have reduced the likelihood and limited the damage caused by any potential trauma by the incident because the SW and CAIU officer were aware of the facts and provided familiarity to the victim (</w:t>
      </w:r>
      <w:proofErr w:type="spellStart"/>
      <w:r>
        <w:t>Geurts</w:t>
      </w:r>
      <w:proofErr w:type="spellEnd"/>
      <w:r>
        <w:t xml:space="preserve">, 2022). </w:t>
      </w:r>
    </w:p>
    <w:p w14:paraId="0673752D" w14:textId="77777777" w:rsidR="0032517E" w:rsidRDefault="0032517E" w:rsidP="0032517E">
      <w:pPr>
        <w:spacing w:after="360" w:line="360" w:lineRule="auto"/>
        <w:ind w:firstLine="720"/>
        <w:jc w:val="both"/>
      </w:pPr>
      <w:r>
        <w:t xml:space="preserve">The FSW was able to balance the needs of the children (safety via removal) and the parents (empathetic understanding and clear communication). This dual role was vitally important during the incident and is a specific skill set required of SS, where they must approach the family holistically, while also protecting its most vulnerable persons (Gentles-Gibbs, 2016). As a result, the trauma felt by the parents in removal of their children and the effect that the incident had on the children themselves, was able to be monitored and supported. This allowed for a successful dyad to be achieved, where the whole family received equitable service. </w:t>
      </w:r>
    </w:p>
    <w:p w14:paraId="1662FA8B" w14:textId="77777777" w:rsidR="0032517E" w:rsidRDefault="0032517E" w:rsidP="0032517E">
      <w:pPr>
        <w:spacing w:after="360" w:line="360" w:lineRule="auto"/>
        <w:ind w:firstLine="720"/>
        <w:jc w:val="both"/>
      </w:pPr>
      <w:r>
        <w:t>Despite the patient efforts of SS in explaining the s.76 process through an interpreter, the situation became unsafe at several junctures. Due to their lack of understanding into threat, risk, harm (TRH), and dynamic risk assessing from a police perspective, the SW and interpreter became increasingly at risk of harm, so it fell to police to remove the children, as time and reduced resources became a factor (Cooper, 2007).</w:t>
      </w:r>
    </w:p>
    <w:p w14:paraId="6E326D00" w14:textId="77777777" w:rsidR="0032517E" w:rsidRDefault="0032517E" w:rsidP="0032517E">
      <w:pPr>
        <w:spacing w:after="360" w:line="360" w:lineRule="auto"/>
        <w:ind w:firstLine="720"/>
        <w:jc w:val="both"/>
      </w:pPr>
      <w:r>
        <w:t xml:space="preserve">The combined skillsets and resources from CAIU and uniformed officers (UO) provided resources, presence, and capability to use force where necessary when responding to unforeseen issues. Firstly, the marked police vehicle assisted us to get to the school at speed, following information that the brother had arrived. Secondly, UO that were present in the reception were able to assist me </w:t>
      </w:r>
      <w:r>
        <w:lastRenderedPageBreak/>
        <w:t xml:space="preserve">when the mother became increasingly angry. She stood from the sofa, threw a small table towards my direction, and made her way to tackle me. These additional officers assisted to safely handcuff the mother and reduce TRH, as her capacity to harm others was removed. Finally, we safely dealt with the father, who arrived at the school reception and forcefully opened the locked magnetic door. Owing to his irate behaviour and strength, the combined draw of my irritant spray and another officer’s taser, resulted in the father calming down and being removed to the back of a marked police van (Buttle, 2003). </w:t>
      </w:r>
    </w:p>
    <w:p w14:paraId="1F8C9648" w14:textId="4AE55276" w:rsidR="0032517E" w:rsidRDefault="0032517E" w:rsidP="0032517E">
      <w:pPr>
        <w:spacing w:after="360" w:line="360" w:lineRule="auto"/>
        <w:ind w:firstLine="720"/>
        <w:jc w:val="both"/>
      </w:pPr>
      <w:r>
        <w:t xml:space="preserve">However, UO failed to stop the father from entering the school grounds that could only be a single accessed point, which therefore lead to the incident above. Moreover, due to the time take not negotiate with the mother grew, UO were required to leave to respond to other emergency calls. These officers sought for my guidance on this. The increased stress in decision making was challenging, yet, as both parents had calmed significantly, I felt it proportionate and acceptable for 2/3’s of the UOs to leave. While this was an incredibly stressful period of the incident, the overall presence of the UO was </w:t>
      </w:r>
      <w:r w:rsidR="00BF5EC3">
        <w:t>imperative</w:t>
      </w:r>
      <w:r>
        <w:t xml:space="preserve"> in upholding the safety of those present and they allowed us to effectively respond to several unforeseen situations.</w:t>
      </w:r>
    </w:p>
    <w:p w14:paraId="6F6E169B" w14:textId="4C6D7F39" w:rsidR="0032517E" w:rsidRDefault="0032517E" w:rsidP="0032517E">
      <w:pPr>
        <w:spacing w:after="360" w:line="360" w:lineRule="auto"/>
        <w:ind w:firstLine="720"/>
        <w:jc w:val="both"/>
      </w:pPr>
      <w:r>
        <w:t>Although not directly to the detriment of SS in being unable to bring about a s.76, it would be fair to suggest that my decision to employ PPP was necessitated by the changing dynamics of the situation. The mother had been given ample opportunity</w:t>
      </w:r>
      <w:r w:rsidR="00531BA0">
        <w:t xml:space="preserve"> and interpretation</w:t>
      </w:r>
      <w:r>
        <w:t xml:space="preserve"> to </w:t>
      </w:r>
      <w:r w:rsidR="00531BA0">
        <w:t>make an informed decision on</w:t>
      </w:r>
      <w:r>
        <w:t xml:space="preserve"> the voluntary </w:t>
      </w:r>
      <w:r w:rsidR="00030A87">
        <w:t xml:space="preserve">process but refused to cooperate. </w:t>
      </w:r>
      <w:r w:rsidR="009F3B83">
        <w:t>Therefore, with</w:t>
      </w:r>
      <w:r w:rsidR="00445EC3">
        <w:t xml:space="preserve"> the time taken already to conclude the incident</w:t>
      </w:r>
      <w:r w:rsidR="009F3B83">
        <w:t xml:space="preserve"> </w:t>
      </w:r>
      <w:r w:rsidR="00445EC3">
        <w:t>having likely impacted</w:t>
      </w:r>
      <w:r w:rsidR="009F3B83">
        <w:t xml:space="preserve"> wellbeing of the children</w:t>
      </w:r>
      <w:r w:rsidR="00445EC3">
        <w:t>,</w:t>
      </w:r>
      <w:r w:rsidR="009F3B83">
        <w:t xml:space="preserve"> using PPP was justified for their safeguarding.</w:t>
      </w:r>
    </w:p>
    <w:p w14:paraId="75254129" w14:textId="77777777" w:rsidR="00481072" w:rsidRDefault="0032517E" w:rsidP="0032517E">
      <w:pPr>
        <w:spacing w:after="360" w:line="360" w:lineRule="auto"/>
        <w:ind w:firstLine="720"/>
        <w:jc w:val="both"/>
      </w:pPr>
      <w:r>
        <w:t>Seen more widely, however, social work itself attempts to gain engagement from the whole family</w:t>
      </w:r>
      <w:r w:rsidR="00481072">
        <w:t xml:space="preserve"> and can prevent repeat victimisation and offending</w:t>
      </w:r>
      <w:r>
        <w:t xml:space="preserve">. </w:t>
      </w:r>
      <w:r w:rsidR="00481072">
        <w:t xml:space="preserve">In the case of my victim for instance, she and her SW would have generated a rapport and worked through preventative interventions. As a result of this new incident and her recent disclosures, the relationship between she and the SW would be able to focus their visits on emotional regulation and coping skills, which are pivotal to confronting trauma in a positive way (Spence, 2014). </w:t>
      </w:r>
    </w:p>
    <w:p w14:paraId="00D8A1DD" w14:textId="167A7977" w:rsidR="0032517E" w:rsidRDefault="0032517E" w:rsidP="0032517E">
      <w:pPr>
        <w:spacing w:after="360" w:line="360" w:lineRule="auto"/>
        <w:ind w:firstLine="720"/>
        <w:jc w:val="both"/>
      </w:pPr>
      <w:r>
        <w:t xml:space="preserve">Through the Family Engagement Model SWs begin by understanding the family view with dignity, establishing its needs, identifying concerns, and bringing assistance in meeting </w:t>
      </w:r>
      <w:r w:rsidR="003D5813">
        <w:t>needs</w:t>
      </w:r>
      <w:r>
        <w:t xml:space="preserve">. This can be achieved by locating ways to expand the family circle, exploring barriers to positive change, and following this up with a “strengths-based attitude” (Horwitz, 2015). Consequently, the SW can be seen as a positive </w:t>
      </w:r>
      <w:r w:rsidR="00F878D8">
        <w:t>pillar</w:t>
      </w:r>
      <w:r>
        <w:t xml:space="preserve"> that is actively assisting the family, as they are seen to be helpful and are appreciated for their efforts </w:t>
      </w:r>
      <w:r w:rsidR="00F878D8">
        <w:t>to</w:t>
      </w:r>
      <w:r>
        <w:t xml:space="preserve"> empower them. </w:t>
      </w:r>
      <w:r w:rsidR="004F616A">
        <w:t>Research indicates</w:t>
      </w:r>
      <w:r w:rsidR="00F878D8">
        <w:t xml:space="preserve"> this</w:t>
      </w:r>
      <w:r>
        <w:t xml:space="preserve"> lead</w:t>
      </w:r>
      <w:r w:rsidR="00F878D8">
        <w:t>s</w:t>
      </w:r>
      <w:r>
        <w:t xml:space="preserve"> to increased engagement by the family </w:t>
      </w:r>
      <w:r w:rsidR="00C16F25">
        <w:t xml:space="preserve">to </w:t>
      </w:r>
      <w:r>
        <w:t xml:space="preserve">improve their circumstances and educate them away from re-offending i.e., rebuilding familial relationships, thus taking the family from a less vulnerable position, to one of strength and unity (Gentles-Gibbs, 2016). </w:t>
      </w:r>
    </w:p>
    <w:p w14:paraId="11C63E94" w14:textId="77777777" w:rsidR="0032517E" w:rsidRDefault="0032517E" w:rsidP="0032517E">
      <w:pPr>
        <w:spacing w:after="360" w:line="360" w:lineRule="auto"/>
        <w:ind w:firstLine="720"/>
        <w:jc w:val="both"/>
      </w:pPr>
      <w:r>
        <w:lastRenderedPageBreak/>
        <w:t>When social work is practiced in this way, scholars have suggested that the results from this strategy “would make a positive contribution toward building an evidence-based child protection practice” (Gentles-Gibbs, 2016). However, where the risk is too high to bring children back into the family home, the physical removal into foster care still provides the best remedy for repeat offending and victimisation (</w:t>
      </w:r>
      <w:proofErr w:type="spellStart"/>
      <w:r>
        <w:t>Geurts</w:t>
      </w:r>
      <w:proofErr w:type="spellEnd"/>
      <w:r>
        <w:t>, 2022).</w:t>
      </w:r>
    </w:p>
    <w:p w14:paraId="7D5B7C72" w14:textId="77777777" w:rsidR="0032517E" w:rsidRDefault="0032517E" w:rsidP="0032517E">
      <w:pPr>
        <w:spacing w:after="360" w:line="360" w:lineRule="auto"/>
        <w:ind w:firstLine="720"/>
        <w:jc w:val="both"/>
      </w:pPr>
      <w:r>
        <w:t xml:space="preserve">In the context of the RV seen herein, it challenges to the efficacy of the Family Engagement Model, as it requires the whole family to be in contact. Due to the victim and her sibling being in foster care via a PPP, parental contact became limited. </w:t>
      </w:r>
    </w:p>
    <w:p w14:paraId="64A3ADDF" w14:textId="48F6557C" w:rsidR="0032517E" w:rsidRDefault="00C814CB" w:rsidP="0032517E">
      <w:pPr>
        <w:spacing w:after="360" w:line="360" w:lineRule="auto"/>
        <w:ind w:firstLine="720"/>
        <w:jc w:val="both"/>
      </w:pPr>
      <w:r>
        <w:t>Alternatively, support for</w:t>
      </w:r>
      <w:r w:rsidR="0032517E">
        <w:t xml:space="preserve"> repeat offenders and victims </w:t>
      </w:r>
      <w:r>
        <w:t>can be found in</w:t>
      </w:r>
      <w:r w:rsidR="0032517E">
        <w:t xml:space="preserve"> </w:t>
      </w:r>
      <w:r w:rsidR="0087582D">
        <w:t>Educational Services through</w:t>
      </w:r>
      <w:r w:rsidR="0032517E">
        <w:t xml:space="preserve"> Emotional Literacy Support Assistant</w:t>
      </w:r>
      <w:r w:rsidR="0087582D">
        <w:t>s</w:t>
      </w:r>
      <w:r w:rsidR="0032517E">
        <w:t xml:space="preserve"> (ELSA).</w:t>
      </w:r>
      <w:r w:rsidR="003D5813">
        <w:t xml:space="preserve"> </w:t>
      </w:r>
      <w:r w:rsidR="0032517E">
        <w:t>ELSAs are specialised teaching assistants which are trained by educational psychologists in the aim to aid the emotional development of a pupil and help manage the challenges in their life (</w:t>
      </w:r>
      <w:proofErr w:type="spellStart"/>
      <w:r w:rsidR="0032517E" w:rsidRPr="0032010C">
        <w:t>Palphreyman</w:t>
      </w:r>
      <w:proofErr w:type="spellEnd"/>
      <w:r w:rsidR="0032517E">
        <w:t xml:space="preserve">, </w:t>
      </w:r>
      <w:r w:rsidR="0032517E" w:rsidRPr="0032010C">
        <w:t>2023</w:t>
      </w:r>
      <w:r w:rsidR="0032517E">
        <w:t xml:space="preserve">). Through one-to-one sessions with students, pupils talk, write, and use pictures to obtain emotional responses from the pupil. The ELSA then identifies themes and works with the pupil to create an individualised strategy and develop coping strategies.  </w:t>
      </w:r>
    </w:p>
    <w:p w14:paraId="76522737" w14:textId="13464759" w:rsidR="0032517E" w:rsidRDefault="0032517E" w:rsidP="0032517E">
      <w:pPr>
        <w:spacing w:after="360" w:line="360" w:lineRule="auto"/>
        <w:ind w:firstLine="720"/>
        <w:jc w:val="both"/>
      </w:pPr>
      <w:r>
        <w:t xml:space="preserve">By working closely together, pupils often form close bonds with their ELSAs. This helps build trust, which helps promote healthy emotional well-being and regulation. Research further suggests that ELSAs can be incredibly successful </w:t>
      </w:r>
      <w:r w:rsidR="003D5813">
        <w:t>by</w:t>
      </w:r>
      <w:r>
        <w:t xml:space="preserve"> fostering problem solving capabilities, belonging, motivation (Purcell, 2023), and improved communication with family members (Wilding, 2016; Wong, 2020). Equally, therefore, ELSA’s could also assist with confronting the life challenges of youth offenders, helping them to consider life choices and problem solving when faced with future vulnerable situations. </w:t>
      </w:r>
    </w:p>
    <w:p w14:paraId="48B755B4" w14:textId="045FA16B" w:rsidR="0032517E" w:rsidRDefault="0032517E" w:rsidP="0032517E">
      <w:pPr>
        <w:spacing w:after="360" w:line="360" w:lineRule="auto"/>
        <w:ind w:firstLine="720"/>
        <w:jc w:val="both"/>
      </w:pPr>
      <w:r>
        <w:t>There are drawbacks, however, due to increased demand of pupils in need of ELSAs and the lack of ELSA staff, pupils typically have limited access to these services for a term period – approximately 6 weeks (</w:t>
      </w:r>
      <w:proofErr w:type="spellStart"/>
      <w:r w:rsidRPr="0032010C">
        <w:t>Palphreyman</w:t>
      </w:r>
      <w:proofErr w:type="spellEnd"/>
      <w:r>
        <w:t xml:space="preserve">, </w:t>
      </w:r>
      <w:r w:rsidRPr="0032010C">
        <w:t>2023</w:t>
      </w:r>
      <w:r>
        <w:t>). Nonetheless, ELSAs can be of great value to repeat victims and youth offenders, with or without access to</w:t>
      </w:r>
      <w:r w:rsidR="00470AC1">
        <w:t xml:space="preserve"> their</w:t>
      </w:r>
      <w:r>
        <w:t xml:space="preserve"> family, because it is delivered in school. Over time, pupils may gain a healthier self-esteem, academic attainment, and improved emotional well-being (Krause, 2019). While there are limitations, the potential for ELSAs success demonstrates an effective response in </w:t>
      </w:r>
      <w:r w:rsidR="00470AC1">
        <w:t>supporting</w:t>
      </w:r>
      <w:r>
        <w:t xml:space="preserve"> repeat victims and offenders.  </w:t>
      </w:r>
    </w:p>
    <w:p w14:paraId="3C5FA372" w14:textId="77777777" w:rsidR="0032517E" w:rsidRDefault="0032517E" w:rsidP="0032517E">
      <w:pPr>
        <w:spacing w:after="360" w:line="360" w:lineRule="auto"/>
        <w:ind w:firstLine="720"/>
        <w:jc w:val="both"/>
      </w:pPr>
      <w:r>
        <w:t xml:space="preserve">In conclusion, this essay has discussed the effectiveness of police and multi-agency actors and approaches towards a complex incident. Despite the positive intentions to work with social services and the victim’s family, the vulnerability of their daughter who was a repeat victim and the change in risk-factor circumstances, lead to a police decision being needed to safely remove the family’s daughters who were increasingly vulnerable family dishonour. </w:t>
      </w:r>
    </w:p>
    <w:p w14:paraId="3C0E2A13" w14:textId="20130BD3" w:rsidR="0032517E" w:rsidRDefault="0032517E" w:rsidP="0032517E">
      <w:pPr>
        <w:spacing w:after="360" w:line="360" w:lineRule="auto"/>
        <w:ind w:firstLine="720"/>
        <w:jc w:val="both"/>
      </w:pPr>
      <w:r>
        <w:lastRenderedPageBreak/>
        <w:t>The essay has also proposed how social services and education ca</w:t>
      </w:r>
      <w:r w:rsidR="00B86F95">
        <w:t>n</w:t>
      </w:r>
      <w:r>
        <w:t xml:space="preserve"> tackle repeat victimisation and offending. Where possible, it has used the nuances of the complex policing incident herein to highlight strengths and weaknesses in these approaches.</w:t>
      </w:r>
    </w:p>
    <w:p w14:paraId="0670F6B1" w14:textId="1020C421" w:rsidR="0032517E" w:rsidRDefault="0032517E" w:rsidP="0032517E">
      <w:pPr>
        <w:spacing w:after="360" w:line="360" w:lineRule="auto"/>
        <w:ind w:firstLine="720"/>
        <w:jc w:val="right"/>
      </w:pPr>
      <w:r>
        <w:t>Word Count: 2</w:t>
      </w:r>
      <w:r w:rsidR="00270992">
        <w:t>197</w:t>
      </w:r>
    </w:p>
    <w:p w14:paraId="36B4AB55" w14:textId="77777777" w:rsidR="0032517E" w:rsidRDefault="0032517E" w:rsidP="0032517E"/>
    <w:p w14:paraId="1F73C6B6" w14:textId="77777777" w:rsidR="000C3A3C" w:rsidRDefault="000C3A3C" w:rsidP="000C3A3C"/>
    <w:p w14:paraId="38E1E3CF" w14:textId="77777777" w:rsidR="0004348E" w:rsidRDefault="0004348E" w:rsidP="0004348E"/>
    <w:p w14:paraId="68317E39" w14:textId="77777777" w:rsidR="00E676F7" w:rsidRPr="00E676F7" w:rsidRDefault="00E676F7" w:rsidP="00052D4A">
      <w:r w:rsidRPr="5CE196A1">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4FC028F2" w14:textId="7FFA81D7" w:rsidR="001A20F5" w:rsidRDefault="001A20F5" w:rsidP="008522C1">
      <w:pPr>
        <w:overflowPunct/>
        <w:autoSpaceDE/>
        <w:autoSpaceDN/>
        <w:adjustRightInd/>
        <w:spacing w:after="160" w:line="360" w:lineRule="auto"/>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lastRenderedPageBreak/>
        <w:t xml:space="preserve">I am currently investigating a complex case where a child has made a second set of disclosures into an historic oral rape allegation </w:t>
      </w:r>
      <w:r w:rsidR="004C361B">
        <w:rPr>
          <w:rFonts w:asciiTheme="minorHAnsi" w:eastAsiaTheme="minorHAnsi" w:hAnsiTheme="minorHAnsi" w:cstheme="minorBidi"/>
          <w:color w:val="auto"/>
          <w:sz w:val="22"/>
          <w:szCs w:val="22"/>
          <w:lang w:eastAsia="en-US"/>
        </w:rPr>
        <w:t>against</w:t>
      </w:r>
      <w:r w:rsidRPr="004925C8">
        <w:rPr>
          <w:rFonts w:asciiTheme="minorHAnsi" w:eastAsiaTheme="minorHAnsi" w:hAnsiTheme="minorHAnsi" w:cstheme="minorBidi"/>
          <w:color w:val="auto"/>
          <w:sz w:val="22"/>
          <w:szCs w:val="22"/>
          <w:lang w:eastAsia="en-US"/>
        </w:rPr>
        <w:t xml:space="preserve"> their child minder. This essay will outline my role and decisions made to further the investigation and support those within it. </w:t>
      </w:r>
    </w:p>
    <w:p w14:paraId="19EFBEA2" w14:textId="77777777" w:rsidR="001A20F5"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U</w:t>
      </w:r>
      <w:r w:rsidRPr="004925C8">
        <w:rPr>
          <w:rFonts w:asciiTheme="minorHAnsi" w:eastAsiaTheme="minorHAnsi" w:hAnsiTheme="minorHAnsi" w:cstheme="minorBidi"/>
          <w:color w:val="auto"/>
          <w:sz w:val="22"/>
          <w:szCs w:val="22"/>
          <w:lang w:eastAsia="en-US"/>
        </w:rPr>
        <w:t xml:space="preserve">pon learning of the disclosure, our strategy was to firstly arrest the suspect, seize any electronic devices, interview, and then bail/remand the suspect. The plan was simple, the arrest itself, however, was complicated. </w:t>
      </w:r>
    </w:p>
    <w:p w14:paraId="1D7103DA" w14:textId="48542185"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The suspect lived in a small flat with their daughter and I was concerned that the daughter would be exposed to trauma whilst witnessing the arrest of their father. Moreover, given the severity of the offence, this was likely to increase chances of trauma and distress (Bellis, 2017; Leung, 2022). This is often referred to as </w:t>
      </w:r>
      <w:r>
        <w:rPr>
          <w:rFonts w:asciiTheme="minorHAnsi" w:eastAsiaTheme="minorHAnsi" w:hAnsiTheme="minorHAnsi" w:cstheme="minorBidi"/>
          <w:color w:val="auto"/>
          <w:sz w:val="22"/>
          <w:szCs w:val="22"/>
          <w:lang w:eastAsia="en-US"/>
        </w:rPr>
        <w:t>Adverse</w:t>
      </w:r>
      <w:r w:rsidRPr="004925C8">
        <w:rPr>
          <w:rFonts w:asciiTheme="minorHAnsi" w:eastAsiaTheme="minorHAnsi" w:hAnsiTheme="minorHAnsi" w:cstheme="minorBidi"/>
          <w:color w:val="auto"/>
          <w:sz w:val="22"/>
          <w:szCs w:val="22"/>
          <w:lang w:eastAsia="en-US"/>
        </w:rPr>
        <w:t xml:space="preserve"> Childhood Experiences (ACES)</w:t>
      </w:r>
      <w:r w:rsidRPr="004925C8">
        <w:rPr>
          <w:rFonts w:asciiTheme="minorHAnsi" w:eastAsiaTheme="minorHAnsi" w:hAnsiTheme="minorHAnsi" w:cstheme="minorBidi"/>
          <w:b/>
          <w:bCs/>
          <w:color w:val="auto"/>
          <w:sz w:val="22"/>
          <w:szCs w:val="22"/>
          <w:lang w:eastAsia="en-US"/>
        </w:rPr>
        <w:t xml:space="preserve"> </w:t>
      </w:r>
      <w:r w:rsidRPr="004925C8">
        <w:rPr>
          <w:rFonts w:asciiTheme="minorHAnsi" w:eastAsiaTheme="minorHAnsi" w:hAnsiTheme="minorHAnsi" w:cstheme="minorBidi"/>
          <w:color w:val="auto"/>
          <w:sz w:val="22"/>
          <w:szCs w:val="22"/>
          <w:lang w:eastAsia="en-US"/>
        </w:rPr>
        <w:t xml:space="preserve">and can greatly impact on the child’s future relationships and overall wellbeing (Davies, 2018). Therefore, to limit exposure to ACES, our arrest strategy involved taking the suspect into a different room to allow for privacy, while other colleagues distracted his daughter (College of Policing, 2019). </w:t>
      </w:r>
    </w:p>
    <w:p w14:paraId="13AD821D" w14:textId="77777777" w:rsidR="001A20F5"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The plan was partly successful. Although we were able to separate the two and limit his child witnessing the arrest and caution, however, due to the size and layout of the flat, the daughter witnessed her father in handcuffs exiting the address. Therefore, the suspect’s child was exposed to trauma despite our best efforts. Two female officers remained at the property, </w:t>
      </w:r>
      <w:r>
        <w:rPr>
          <w:rFonts w:asciiTheme="minorHAnsi" w:eastAsiaTheme="minorHAnsi" w:hAnsiTheme="minorHAnsi" w:cstheme="minorBidi"/>
          <w:color w:val="auto"/>
          <w:sz w:val="22"/>
          <w:szCs w:val="22"/>
          <w:lang w:eastAsia="en-US"/>
        </w:rPr>
        <w:t>which</w:t>
      </w:r>
      <w:r w:rsidRPr="004925C8">
        <w:rPr>
          <w:rFonts w:asciiTheme="minorHAnsi" w:eastAsiaTheme="minorHAnsi" w:hAnsiTheme="minorHAnsi" w:cstheme="minorBidi"/>
          <w:color w:val="auto"/>
          <w:sz w:val="22"/>
          <w:szCs w:val="22"/>
          <w:lang w:eastAsia="en-US"/>
        </w:rPr>
        <w:t xml:space="preserve"> ensur</w:t>
      </w:r>
      <w:r>
        <w:rPr>
          <w:rFonts w:asciiTheme="minorHAnsi" w:eastAsiaTheme="minorHAnsi" w:hAnsiTheme="minorHAnsi" w:cstheme="minorBidi"/>
          <w:color w:val="auto"/>
          <w:sz w:val="22"/>
          <w:szCs w:val="22"/>
          <w:lang w:eastAsia="en-US"/>
        </w:rPr>
        <w:t>ed</w:t>
      </w:r>
      <w:r w:rsidRPr="004925C8">
        <w:rPr>
          <w:rFonts w:asciiTheme="minorHAnsi" w:eastAsiaTheme="minorHAnsi" w:hAnsiTheme="minorHAnsi" w:cstheme="minorBidi"/>
          <w:color w:val="auto"/>
          <w:sz w:val="22"/>
          <w:szCs w:val="22"/>
          <w:lang w:eastAsia="en-US"/>
        </w:rPr>
        <w:t xml:space="preserve"> the mental and emotional well-being of the child</w:t>
      </w:r>
      <w:r>
        <w:rPr>
          <w:rFonts w:asciiTheme="minorHAnsi" w:eastAsiaTheme="minorHAnsi" w:hAnsiTheme="minorHAnsi" w:cstheme="minorBidi"/>
          <w:color w:val="auto"/>
          <w:sz w:val="22"/>
          <w:szCs w:val="22"/>
          <w:lang w:eastAsia="en-US"/>
        </w:rPr>
        <w:t xml:space="preserve"> </w:t>
      </w:r>
      <w:r w:rsidRPr="004925C8">
        <w:rPr>
          <w:rFonts w:asciiTheme="minorHAnsi" w:eastAsiaTheme="minorHAnsi" w:hAnsiTheme="minorHAnsi" w:cstheme="minorBidi"/>
          <w:color w:val="auto"/>
          <w:sz w:val="22"/>
          <w:szCs w:val="22"/>
          <w:lang w:eastAsia="en-US"/>
        </w:rPr>
        <w:t>(Bellis, 2017), and secondly, to wait for a social worker to arrive and provide further specialist support for the child</w:t>
      </w:r>
      <w:r>
        <w:rPr>
          <w:rFonts w:asciiTheme="minorHAnsi" w:eastAsiaTheme="minorHAnsi" w:hAnsiTheme="minorHAnsi" w:cstheme="minorBidi"/>
          <w:color w:val="auto"/>
          <w:sz w:val="22"/>
          <w:szCs w:val="22"/>
          <w:lang w:eastAsia="en-US"/>
        </w:rPr>
        <w:t xml:space="preserve"> (Gentles-Gibbs, 2016).</w:t>
      </w:r>
    </w:p>
    <w:p w14:paraId="026543B1" w14:textId="069FCFDD"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At the time of interview, there was nothing of evidential value to put to the suspect, only the allegations within the initial accounts from the victim and his family.</w:t>
      </w:r>
      <w:r w:rsidR="006B134D">
        <w:rPr>
          <w:rFonts w:asciiTheme="minorHAnsi" w:eastAsiaTheme="minorHAnsi" w:hAnsiTheme="minorHAnsi" w:cstheme="minorBidi"/>
          <w:color w:val="auto"/>
          <w:sz w:val="22"/>
          <w:szCs w:val="22"/>
          <w:lang w:eastAsia="en-US"/>
        </w:rPr>
        <w:t xml:space="preserve"> G</w:t>
      </w:r>
      <w:r w:rsidRPr="004925C8">
        <w:rPr>
          <w:rFonts w:asciiTheme="minorHAnsi" w:eastAsiaTheme="minorHAnsi" w:hAnsiTheme="minorHAnsi" w:cstheme="minorBidi"/>
          <w:color w:val="auto"/>
          <w:sz w:val="22"/>
          <w:szCs w:val="22"/>
          <w:lang w:eastAsia="en-US"/>
        </w:rPr>
        <w:t>iven the abhorrent nature of the allegations, it impacted me emotionally and directly opposed my personal, moral compass. I felt anger towards the suspect; frustration towards the victim’s parents for allowing the suspect to continue seeing their child after his historic allegations</w:t>
      </w:r>
      <w:r>
        <w:rPr>
          <w:rFonts w:asciiTheme="minorHAnsi" w:eastAsiaTheme="minorHAnsi" w:hAnsiTheme="minorHAnsi" w:cstheme="minorBidi"/>
          <w:color w:val="auto"/>
          <w:sz w:val="22"/>
          <w:szCs w:val="22"/>
          <w:lang w:eastAsia="en-US"/>
        </w:rPr>
        <w:t xml:space="preserve">, </w:t>
      </w:r>
      <w:r w:rsidRPr="004925C8">
        <w:rPr>
          <w:rFonts w:asciiTheme="minorHAnsi" w:eastAsiaTheme="minorHAnsi" w:hAnsiTheme="minorHAnsi" w:cstheme="minorBidi"/>
          <w:color w:val="auto"/>
          <w:sz w:val="22"/>
          <w:szCs w:val="22"/>
          <w:lang w:eastAsia="en-US"/>
        </w:rPr>
        <w:t xml:space="preserve">and, I was nervously excited about leading the interview, as this was the most serious </w:t>
      </w:r>
      <w:proofErr w:type="gramStart"/>
      <w:r w:rsidRPr="004925C8">
        <w:rPr>
          <w:rFonts w:asciiTheme="minorHAnsi" w:eastAsiaTheme="minorHAnsi" w:hAnsiTheme="minorHAnsi" w:cstheme="minorBidi"/>
          <w:color w:val="auto"/>
          <w:sz w:val="22"/>
          <w:szCs w:val="22"/>
          <w:lang w:eastAsia="en-US"/>
        </w:rPr>
        <w:t>investigation</w:t>
      </w:r>
      <w:proofErr w:type="gramEnd"/>
      <w:r w:rsidRPr="004925C8">
        <w:rPr>
          <w:rFonts w:asciiTheme="minorHAnsi" w:eastAsiaTheme="minorHAnsi" w:hAnsiTheme="minorHAnsi" w:cstheme="minorBidi"/>
          <w:color w:val="auto"/>
          <w:sz w:val="22"/>
          <w:szCs w:val="22"/>
          <w:lang w:eastAsia="en-US"/>
        </w:rPr>
        <w:t xml:space="preserve"> I had lead. </w:t>
      </w:r>
    </w:p>
    <w:p w14:paraId="01E296C6"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I felt similarly when arresting the suspect. To remain professional and composed, I became task orientated and focused on the delivery of the caution, searching the male, applying handcuffs, and conveying to custody. By dividing one larger task into four smaller parts, I compartmentalised my role and directed my emotions</w:t>
      </w:r>
      <w:r>
        <w:rPr>
          <w:rFonts w:asciiTheme="minorHAnsi" w:eastAsiaTheme="minorHAnsi" w:hAnsiTheme="minorHAnsi" w:cstheme="minorBidi"/>
          <w:color w:val="auto"/>
          <w:sz w:val="22"/>
          <w:szCs w:val="22"/>
          <w:lang w:eastAsia="en-US"/>
        </w:rPr>
        <w:t xml:space="preserve">, which allowed me to fell </w:t>
      </w:r>
      <w:r w:rsidRPr="004925C8">
        <w:rPr>
          <w:rFonts w:asciiTheme="minorHAnsi" w:eastAsiaTheme="minorHAnsi" w:hAnsiTheme="minorHAnsi" w:cstheme="minorBidi"/>
          <w:color w:val="auto"/>
          <w:sz w:val="22"/>
          <w:szCs w:val="22"/>
          <w:lang w:eastAsia="en-US"/>
        </w:rPr>
        <w:t xml:space="preserve">calm and concentrated (Miller, 2022; </w:t>
      </w:r>
      <w:proofErr w:type="spellStart"/>
      <w:r w:rsidRPr="004925C8">
        <w:rPr>
          <w:rFonts w:asciiTheme="minorHAnsi" w:eastAsiaTheme="minorHAnsi" w:hAnsiTheme="minorHAnsi" w:cstheme="minorBidi"/>
          <w:color w:val="auto"/>
          <w:sz w:val="22"/>
          <w:szCs w:val="22"/>
          <w:lang w:eastAsia="en-US"/>
        </w:rPr>
        <w:t>Gutschmidt</w:t>
      </w:r>
      <w:proofErr w:type="spellEnd"/>
      <w:r w:rsidRPr="004925C8">
        <w:rPr>
          <w:rFonts w:asciiTheme="minorHAnsi" w:eastAsiaTheme="minorHAnsi" w:hAnsiTheme="minorHAnsi" w:cstheme="minorBidi"/>
          <w:color w:val="auto"/>
          <w:sz w:val="22"/>
          <w:szCs w:val="22"/>
          <w:lang w:eastAsia="en-US"/>
        </w:rPr>
        <w:t xml:space="preserve"> &amp; Vera, 2021). </w:t>
      </w:r>
    </w:p>
    <w:p w14:paraId="6CBEE99E"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As a practitioner of cognitive reappraisal, I approached my apprehension </w:t>
      </w:r>
      <w:r>
        <w:rPr>
          <w:rFonts w:asciiTheme="minorHAnsi" w:eastAsiaTheme="minorHAnsi" w:hAnsiTheme="minorHAnsi" w:cstheme="minorBidi"/>
          <w:color w:val="auto"/>
          <w:sz w:val="22"/>
          <w:szCs w:val="22"/>
          <w:lang w:eastAsia="en-US"/>
        </w:rPr>
        <w:t>and</w:t>
      </w:r>
      <w:r w:rsidRPr="004925C8">
        <w:rPr>
          <w:rFonts w:asciiTheme="minorHAnsi" w:eastAsiaTheme="minorHAnsi" w:hAnsiTheme="minorHAnsi" w:cstheme="minorBidi"/>
          <w:color w:val="auto"/>
          <w:sz w:val="22"/>
          <w:szCs w:val="22"/>
          <w:lang w:eastAsia="en-US"/>
        </w:rPr>
        <w:t xml:space="preserve"> fear of making mistakes in these processes </w:t>
      </w:r>
      <w:r>
        <w:rPr>
          <w:rFonts w:asciiTheme="minorHAnsi" w:eastAsiaTheme="minorHAnsi" w:hAnsiTheme="minorHAnsi" w:cstheme="minorBidi"/>
          <w:color w:val="auto"/>
          <w:sz w:val="22"/>
          <w:szCs w:val="22"/>
          <w:lang w:eastAsia="en-US"/>
        </w:rPr>
        <w:t>towards</w:t>
      </w:r>
      <w:r w:rsidRPr="004925C8">
        <w:rPr>
          <w:rFonts w:asciiTheme="minorHAnsi" w:eastAsiaTheme="minorHAnsi" w:hAnsiTheme="minorHAnsi" w:cstheme="minorBidi"/>
          <w:color w:val="auto"/>
          <w:sz w:val="22"/>
          <w:szCs w:val="22"/>
          <w:lang w:eastAsia="en-US"/>
        </w:rPr>
        <w:t xml:space="preserve"> eagerness and trust to perform my role well</w:t>
      </w:r>
      <w:r>
        <w:rPr>
          <w:rFonts w:asciiTheme="minorHAnsi" w:eastAsiaTheme="minorHAnsi" w:hAnsiTheme="minorHAnsi" w:cstheme="minorBidi"/>
          <w:color w:val="auto"/>
          <w:sz w:val="22"/>
          <w:szCs w:val="22"/>
          <w:lang w:eastAsia="en-US"/>
        </w:rPr>
        <w:t xml:space="preserve">. </w:t>
      </w:r>
      <w:r w:rsidRPr="004925C8">
        <w:rPr>
          <w:rFonts w:asciiTheme="minorHAnsi" w:eastAsiaTheme="minorHAnsi" w:hAnsiTheme="minorHAnsi" w:cstheme="minorBidi"/>
          <w:color w:val="auto"/>
          <w:sz w:val="22"/>
          <w:szCs w:val="22"/>
          <w:lang w:eastAsia="en-US"/>
        </w:rPr>
        <w:t xml:space="preserve">Cognitive </w:t>
      </w:r>
      <w:r w:rsidRPr="004925C8">
        <w:rPr>
          <w:rFonts w:asciiTheme="minorHAnsi" w:eastAsiaTheme="minorHAnsi" w:hAnsiTheme="minorHAnsi" w:cstheme="minorBidi"/>
          <w:color w:val="auto"/>
          <w:sz w:val="22"/>
          <w:szCs w:val="22"/>
          <w:lang w:eastAsia="en-US"/>
        </w:rPr>
        <w:lastRenderedPageBreak/>
        <w:t xml:space="preserve">reappraisal has been a mainstay technique </w:t>
      </w:r>
      <w:r>
        <w:rPr>
          <w:rFonts w:asciiTheme="minorHAnsi" w:eastAsiaTheme="minorHAnsi" w:hAnsiTheme="minorHAnsi" w:cstheme="minorBidi"/>
          <w:color w:val="auto"/>
          <w:sz w:val="22"/>
          <w:szCs w:val="22"/>
          <w:lang w:eastAsia="en-US"/>
        </w:rPr>
        <w:t xml:space="preserve">in my career </w:t>
      </w:r>
      <w:r w:rsidRPr="004925C8">
        <w:rPr>
          <w:rFonts w:asciiTheme="minorHAnsi" w:eastAsiaTheme="minorHAnsi" w:hAnsiTheme="minorHAnsi" w:cstheme="minorBidi"/>
          <w:color w:val="auto"/>
          <w:sz w:val="22"/>
          <w:szCs w:val="22"/>
          <w:lang w:eastAsia="en-US"/>
        </w:rPr>
        <w:t>during stressful or anxious situations (</w:t>
      </w:r>
      <w:proofErr w:type="spellStart"/>
      <w:r w:rsidRPr="004925C8">
        <w:rPr>
          <w:rFonts w:asciiTheme="minorHAnsi" w:eastAsiaTheme="minorHAnsi" w:hAnsiTheme="minorHAnsi" w:cstheme="minorBidi"/>
          <w:color w:val="auto"/>
          <w:sz w:val="22"/>
          <w:szCs w:val="22"/>
          <w:lang w:eastAsia="en-US"/>
        </w:rPr>
        <w:t>DeCastella</w:t>
      </w:r>
      <w:proofErr w:type="spellEnd"/>
      <w:r w:rsidRPr="004925C8">
        <w:rPr>
          <w:rFonts w:asciiTheme="minorHAnsi" w:eastAsiaTheme="minorHAnsi" w:hAnsiTheme="minorHAnsi" w:cstheme="minorBidi"/>
          <w:color w:val="auto"/>
          <w:sz w:val="22"/>
          <w:szCs w:val="22"/>
          <w:lang w:eastAsia="en-US"/>
        </w:rPr>
        <w:t>, 2013</w:t>
      </w:r>
      <w:r>
        <w:rPr>
          <w:rFonts w:asciiTheme="minorHAnsi" w:eastAsiaTheme="minorHAnsi" w:hAnsiTheme="minorHAnsi" w:cstheme="minorBidi"/>
          <w:color w:val="auto"/>
          <w:sz w:val="22"/>
          <w:szCs w:val="22"/>
          <w:lang w:eastAsia="en-US"/>
        </w:rPr>
        <w:t xml:space="preserve">; </w:t>
      </w:r>
      <w:r w:rsidRPr="004925C8">
        <w:rPr>
          <w:rFonts w:asciiTheme="minorHAnsi" w:eastAsiaTheme="minorHAnsi" w:hAnsiTheme="minorHAnsi" w:cstheme="minorBidi"/>
          <w:color w:val="auto"/>
          <w:sz w:val="22"/>
          <w:szCs w:val="22"/>
          <w:lang w:eastAsia="en-US"/>
        </w:rPr>
        <w:t xml:space="preserve">Raymond, 2019). In those moments, I have chosen to view those initial feelings as excitement and confidence to fulfil my potential (T </w:t>
      </w:r>
      <w:proofErr w:type="spellStart"/>
      <w:r w:rsidRPr="004925C8">
        <w:rPr>
          <w:rFonts w:asciiTheme="minorHAnsi" w:eastAsiaTheme="minorHAnsi" w:hAnsiTheme="minorHAnsi" w:cstheme="minorBidi"/>
          <w:color w:val="auto"/>
          <w:sz w:val="22"/>
          <w:szCs w:val="22"/>
          <w:lang w:eastAsia="en-US"/>
        </w:rPr>
        <w:t>Gutentag</w:t>
      </w:r>
      <w:proofErr w:type="spellEnd"/>
      <w:r w:rsidRPr="004925C8">
        <w:rPr>
          <w:rFonts w:asciiTheme="minorHAnsi" w:eastAsiaTheme="minorHAnsi" w:hAnsiTheme="minorHAnsi" w:cstheme="minorBidi"/>
          <w:color w:val="auto"/>
          <w:sz w:val="22"/>
          <w:szCs w:val="22"/>
          <w:lang w:eastAsia="en-US"/>
        </w:rPr>
        <w:t xml:space="preserve"> et al., 2016). Instead, therefore, I chose to focus on positively applying these feelings and directing them towards my aim: safeguarding all those involved and gathering the best evidential products in a timely manner to support my victim. </w:t>
      </w:r>
    </w:p>
    <w:p w14:paraId="7315525E"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The execution of </w:t>
      </w:r>
      <w:r>
        <w:rPr>
          <w:rFonts w:asciiTheme="minorHAnsi" w:eastAsiaTheme="minorHAnsi" w:hAnsiTheme="minorHAnsi" w:cstheme="minorBidi"/>
          <w:color w:val="auto"/>
          <w:sz w:val="22"/>
          <w:szCs w:val="22"/>
          <w:lang w:eastAsia="en-US"/>
        </w:rPr>
        <w:t>the suspect</w:t>
      </w:r>
      <w:r w:rsidRPr="004925C8">
        <w:rPr>
          <w:rFonts w:asciiTheme="minorHAnsi" w:eastAsiaTheme="minorHAnsi" w:hAnsiTheme="minorHAnsi" w:cstheme="minorBidi"/>
          <w:color w:val="auto"/>
          <w:sz w:val="22"/>
          <w:szCs w:val="22"/>
          <w:lang w:eastAsia="en-US"/>
        </w:rPr>
        <w:t xml:space="preserve"> interview was paramount. Ultimately, as an impartial evidence gatherer, this interview served as an opportunity for the suspect to provide an account. In that light, the suspect may not be responsible</w:t>
      </w:r>
      <w:r>
        <w:rPr>
          <w:rFonts w:asciiTheme="minorHAnsi" w:eastAsiaTheme="minorHAnsi" w:hAnsiTheme="minorHAnsi" w:cstheme="minorBidi"/>
          <w:color w:val="auto"/>
          <w:sz w:val="22"/>
          <w:szCs w:val="22"/>
          <w:lang w:eastAsia="en-US"/>
        </w:rPr>
        <w:t>,</w:t>
      </w:r>
      <w:r w:rsidRPr="004925C8">
        <w:rPr>
          <w:rFonts w:asciiTheme="minorHAnsi" w:eastAsiaTheme="minorHAnsi" w:hAnsiTheme="minorHAnsi" w:cstheme="minorBidi"/>
          <w:color w:val="auto"/>
          <w:sz w:val="22"/>
          <w:szCs w:val="22"/>
          <w:lang w:eastAsia="en-US"/>
        </w:rPr>
        <w:t xml:space="preserve"> and it was crucial that lines of enquiry could be obtained to corroborate any defences or alibis raised. Thus, while I knew I had to be in control of my emotions, I was also acutely aware that I needed to manage the suspect’s feelings and develop a rapport in interview to achieve the best evidential product (Howes, 2019). </w:t>
      </w:r>
    </w:p>
    <w:p w14:paraId="1405E227" w14:textId="77777777" w:rsidR="001A20F5"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Due the severity of these </w:t>
      </w:r>
      <w:r w:rsidRPr="004925C8">
        <w:rPr>
          <w:rFonts w:asciiTheme="minorHAnsi" w:eastAsiaTheme="minorHAnsi" w:hAnsiTheme="minorHAnsi" w:cstheme="minorBidi"/>
          <w:color w:val="auto"/>
          <w:sz w:val="22"/>
          <w:szCs w:val="22"/>
          <w:lang w:eastAsia="en-US"/>
        </w:rPr>
        <w:t>allegations</w:t>
      </w:r>
      <w:r>
        <w:rPr>
          <w:rFonts w:asciiTheme="minorHAnsi" w:eastAsiaTheme="minorHAnsi" w:hAnsiTheme="minorHAnsi" w:cstheme="minorBidi"/>
          <w:color w:val="auto"/>
          <w:sz w:val="22"/>
          <w:szCs w:val="22"/>
          <w:lang w:eastAsia="en-US"/>
        </w:rPr>
        <w:t xml:space="preserve">, </w:t>
      </w:r>
      <w:r w:rsidRPr="004925C8">
        <w:rPr>
          <w:rFonts w:asciiTheme="minorHAnsi" w:eastAsiaTheme="minorHAnsi" w:hAnsiTheme="minorHAnsi" w:cstheme="minorBidi"/>
          <w:color w:val="auto"/>
          <w:sz w:val="22"/>
          <w:szCs w:val="22"/>
          <w:lang w:eastAsia="en-US"/>
        </w:rPr>
        <w:t>I gave a prelude before questioning</w:t>
      </w:r>
      <w:r>
        <w:rPr>
          <w:rFonts w:asciiTheme="minorHAnsi" w:eastAsiaTheme="minorHAnsi" w:hAnsiTheme="minorHAnsi" w:cstheme="minorBidi"/>
          <w:color w:val="auto"/>
          <w:sz w:val="22"/>
          <w:szCs w:val="22"/>
          <w:lang w:eastAsia="en-US"/>
        </w:rPr>
        <w:t xml:space="preserve"> the suspect</w:t>
      </w:r>
      <w:r w:rsidRPr="0068168E">
        <w:rPr>
          <w:rFonts w:asciiTheme="minorHAnsi" w:eastAsiaTheme="minorHAnsi" w:hAnsiTheme="minorHAnsi" w:cstheme="minorBidi"/>
          <w:color w:val="auto"/>
          <w:sz w:val="22"/>
          <w:szCs w:val="22"/>
          <w:lang w:eastAsia="en-US"/>
        </w:rPr>
        <w:t xml:space="preserve"> </w:t>
      </w:r>
      <w:r w:rsidRPr="004925C8">
        <w:rPr>
          <w:rFonts w:asciiTheme="minorHAnsi" w:eastAsiaTheme="minorHAnsi" w:hAnsiTheme="minorHAnsi" w:cstheme="minorBidi"/>
          <w:color w:val="auto"/>
          <w:sz w:val="22"/>
          <w:szCs w:val="22"/>
          <w:lang w:eastAsia="en-US"/>
        </w:rPr>
        <w:t>Following the delivery of the PACE interview sheet, I acknowledged that the severity of the allegations may be distressing. This settled the suspect who had now had their feelings validated and he became less nervous in the process</w:t>
      </w:r>
      <w:r>
        <w:rPr>
          <w:rFonts w:asciiTheme="minorHAnsi" w:eastAsiaTheme="minorHAnsi" w:hAnsiTheme="minorHAnsi" w:cstheme="minorBidi"/>
          <w:color w:val="auto"/>
          <w:sz w:val="22"/>
          <w:szCs w:val="22"/>
          <w:lang w:eastAsia="en-US"/>
        </w:rPr>
        <w:t xml:space="preserve"> (Liden, 2018)</w:t>
      </w:r>
      <w:r w:rsidRPr="004925C8">
        <w:rPr>
          <w:rFonts w:asciiTheme="minorHAnsi" w:eastAsiaTheme="minorHAnsi" w:hAnsiTheme="minorHAnsi" w:cstheme="minorBidi"/>
          <w:color w:val="auto"/>
          <w:sz w:val="22"/>
          <w:szCs w:val="22"/>
          <w:lang w:eastAsia="en-US"/>
        </w:rPr>
        <w:t>.</w:t>
      </w:r>
    </w:p>
    <w:p w14:paraId="40C1AB57" w14:textId="77777777" w:rsidR="001A20F5"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Consequently, by self-regulating my own emotions and </w:t>
      </w:r>
      <w:r>
        <w:rPr>
          <w:rFonts w:asciiTheme="minorHAnsi" w:eastAsiaTheme="minorHAnsi" w:hAnsiTheme="minorHAnsi" w:cstheme="minorBidi"/>
          <w:color w:val="auto"/>
          <w:sz w:val="22"/>
          <w:szCs w:val="22"/>
          <w:lang w:eastAsia="en-US"/>
        </w:rPr>
        <w:t>showing empathy</w:t>
      </w:r>
      <w:r w:rsidRPr="004925C8">
        <w:rPr>
          <w:rFonts w:asciiTheme="minorHAnsi" w:eastAsiaTheme="minorHAnsi" w:hAnsiTheme="minorHAnsi" w:cstheme="minorBidi"/>
          <w:color w:val="auto"/>
          <w:sz w:val="22"/>
          <w:szCs w:val="22"/>
          <w:lang w:eastAsia="en-US"/>
        </w:rPr>
        <w:t xml:space="preserve"> to the suspect</w:t>
      </w:r>
      <w:r>
        <w:rPr>
          <w:rFonts w:asciiTheme="minorHAnsi" w:eastAsiaTheme="minorHAnsi" w:hAnsiTheme="minorHAnsi" w:cstheme="minorBidi"/>
          <w:color w:val="auto"/>
          <w:sz w:val="22"/>
          <w:szCs w:val="22"/>
          <w:lang w:eastAsia="en-US"/>
        </w:rPr>
        <w:t xml:space="preserve"> in a dignified way</w:t>
      </w:r>
      <w:r w:rsidRPr="004925C8">
        <w:rPr>
          <w:rFonts w:asciiTheme="minorHAnsi" w:eastAsiaTheme="minorHAnsi" w:hAnsiTheme="minorHAnsi" w:cstheme="minorBidi"/>
          <w:color w:val="auto"/>
          <w:sz w:val="22"/>
          <w:szCs w:val="22"/>
          <w:lang w:eastAsia="en-US"/>
        </w:rPr>
        <w:t>, it allowed the</w:t>
      </w:r>
      <w:r>
        <w:rPr>
          <w:rFonts w:asciiTheme="minorHAnsi" w:eastAsiaTheme="minorHAnsi" w:hAnsiTheme="minorHAnsi" w:cstheme="minorBidi"/>
          <w:color w:val="auto"/>
          <w:sz w:val="22"/>
          <w:szCs w:val="22"/>
          <w:lang w:eastAsia="en-US"/>
        </w:rPr>
        <w:t xml:space="preserve">m </w:t>
      </w:r>
      <w:r w:rsidRPr="004925C8">
        <w:rPr>
          <w:rFonts w:asciiTheme="minorHAnsi" w:eastAsiaTheme="minorHAnsi" w:hAnsiTheme="minorHAnsi" w:cstheme="minorBidi"/>
          <w:color w:val="auto"/>
          <w:sz w:val="22"/>
          <w:szCs w:val="22"/>
          <w:lang w:eastAsia="en-US"/>
        </w:rPr>
        <w:t xml:space="preserve">to feel calmer and understood (Wenzel, 2020). This successfully built rapport between us; the suspect was questioned and was able to answer serious and personal questions in a more relaxed and comfortable way because I showed them respect and acted impartially throughout the interview (Linden, 2018). </w:t>
      </w:r>
    </w:p>
    <w:p w14:paraId="60D6F2C8"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Following the interview, I continued to support the suspect by handing them a leaflet from the Lucy Faithful Foundation (LFF). The LFF assist all those involved in child sexual abuse and offer confidential services and advice. Providing this document and explaining it to the suspect in a respectful and dignifying way was imperative. Regardless of the outcome of the investigation, the suspect’s mental wellbeing was at risk, as their response to these allegations could severely impact them into more risk-taking behaviours such as committing further offences, seeking revenge on the victim, or taking up substance abuse. Moreover, the suspect may experience a spiral in their emotional wellbeing, become ostracised from their family and friends or workplace. In addition, if found guilty there is likely to be thoughts of unfavourable treatment in prison and their life after their conviction (McCartan et al., 2021; Mann et al., 2009)</w:t>
      </w:r>
    </w:p>
    <w:p w14:paraId="312CDC1E" w14:textId="77777777" w:rsidR="001A20F5"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Subsequently, there is increased risk of harm to the suspect following police contact, which in some cases, can lead to suicide (Levenson, 2018). Therefore, because the suspect would leave our </w:t>
      </w:r>
      <w:r w:rsidRPr="004925C8">
        <w:rPr>
          <w:rFonts w:asciiTheme="minorHAnsi" w:eastAsiaTheme="minorHAnsi" w:hAnsiTheme="minorHAnsi" w:cstheme="minorBidi"/>
          <w:color w:val="auto"/>
          <w:sz w:val="22"/>
          <w:szCs w:val="22"/>
          <w:lang w:eastAsia="en-US"/>
        </w:rPr>
        <w:lastRenderedPageBreak/>
        <w:t xml:space="preserve">responsibility following interview, it was my duty of care to provide them with access and information to specialist support via LFF. </w:t>
      </w:r>
    </w:p>
    <w:p w14:paraId="21052F3C" w14:textId="77777777" w:rsidR="001A20F5"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T</w:t>
      </w:r>
      <w:r w:rsidRPr="004925C8">
        <w:rPr>
          <w:rFonts w:asciiTheme="minorHAnsi" w:eastAsiaTheme="minorHAnsi" w:hAnsiTheme="minorHAnsi" w:cstheme="minorBidi"/>
          <w:color w:val="auto"/>
          <w:sz w:val="22"/>
          <w:szCs w:val="22"/>
          <w:lang w:eastAsia="en-US"/>
        </w:rPr>
        <w:t xml:space="preserve">o bail the suspect, I consulted with the victim’s parents over their representations for the suspect’s bail conditions ask them several questions required as part of the new bail application that was enacted of September 2022. I was able to offer them some agency and involvement over the protective factors they wanted. Thus, I was able to involve the parents and provide them some ownership in the investigation.  We agreed on contact and update periods and organised for dates to obtain disclosure statements from themselves. Additionally, we discussed the plan moving forwards with regards to obtaining a video recorded statement from the victim and his brother and the requirement for an intermediary assessment due to the boys’ age. I continued to further explain the nature of an investigation and manage expectations early, as a protracted investigation was likely to follow (College of Policing, 2022). </w:t>
      </w:r>
    </w:p>
    <w:p w14:paraId="5EF1DD72"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As the allegations were historic, the forensic window for a Force Medical Examination (FME) was lost. This meant that other forms evidence gathering was required.  </w:t>
      </w:r>
    </w:p>
    <w:p w14:paraId="7FC957A5"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To produce a richer contextual and evidential picture, I requested the following sets of information and Third-Party Material (TMP): the digital examination of the suspects phone, school records for the victim and his brother, and Annex C information like Multi Agency Referral Forms and Child Protection Conference notes. The return period for this information could be up to 28 days and the review stage may also take a considerable amount of time. Therefore, it was imperative that these requests were sent on the day so that the investigation could progress. </w:t>
      </w:r>
    </w:p>
    <w:p w14:paraId="6A345118"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Although the time taken for the information to be returned and reviewed was likely to be substantial, the records may reveal earlier disclosures of a concerning nature where a pattern of behaviour may be deduced. This would be beneficial in aiding the investigation to pinpoint when the historic incident was alleged to have happened. Moreover, school records could also provide holistic view of the child, as teacher reports may give an insight to any additional learning needs and coping mechanisms to assist the child interview process. </w:t>
      </w:r>
    </w:p>
    <w:p w14:paraId="7418052B" w14:textId="77777777" w:rsidR="001A20F5"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u w:val="single"/>
          <w:lang w:eastAsia="en-US"/>
        </w:rPr>
      </w:pPr>
      <w:r w:rsidRPr="004925C8">
        <w:rPr>
          <w:rFonts w:asciiTheme="minorHAnsi" w:eastAsiaTheme="minorHAnsi" w:hAnsiTheme="minorHAnsi" w:cstheme="minorBidi"/>
          <w:color w:val="auto"/>
          <w:sz w:val="22"/>
          <w:szCs w:val="22"/>
          <w:lang w:eastAsia="en-US"/>
        </w:rPr>
        <w:t xml:space="preserve">The download of the suspect’s phone was also a high priority enquiry. It was alleged that there were discussions between the suspect and the victims’ parents leading up to the second, later, disclosure. This, as well as any further discussion of the offences that may be held on the suspect’s device would therefore greatly assist the investigation. </w:t>
      </w:r>
      <w:r>
        <w:rPr>
          <w:rFonts w:asciiTheme="minorHAnsi" w:eastAsiaTheme="minorHAnsi" w:hAnsiTheme="minorHAnsi" w:cstheme="minorBidi"/>
          <w:color w:val="auto"/>
          <w:sz w:val="22"/>
          <w:szCs w:val="22"/>
          <w:lang w:eastAsia="en-US"/>
        </w:rPr>
        <w:t xml:space="preserve"> Sex offenders obtain sexual gratification in several ways and therefore t</w:t>
      </w:r>
      <w:r w:rsidRPr="004925C8">
        <w:rPr>
          <w:rFonts w:asciiTheme="minorHAnsi" w:eastAsiaTheme="minorHAnsi" w:hAnsiTheme="minorHAnsi" w:cstheme="minorBidi"/>
          <w:color w:val="auto"/>
          <w:sz w:val="22"/>
          <w:szCs w:val="22"/>
          <w:lang w:eastAsia="en-US"/>
        </w:rPr>
        <w:t xml:space="preserve">he phone was also examined for any searches into child pornography and extreme images (Rimer, 2023). Any information in relation to these searches would not only incur </w:t>
      </w:r>
      <w:r w:rsidRPr="004925C8">
        <w:rPr>
          <w:rFonts w:asciiTheme="minorHAnsi" w:eastAsiaTheme="minorHAnsi" w:hAnsiTheme="minorHAnsi" w:cstheme="minorBidi"/>
          <w:color w:val="auto"/>
          <w:sz w:val="22"/>
          <w:szCs w:val="22"/>
          <w:lang w:eastAsia="en-US"/>
        </w:rPr>
        <w:lastRenderedPageBreak/>
        <w:t>further offences, but also indicate a pattern of behaviour and bad character of the suspect in relation to the current rape offence (</w:t>
      </w:r>
      <w:proofErr w:type="spellStart"/>
      <w:r w:rsidRPr="004925C8">
        <w:rPr>
          <w:rFonts w:asciiTheme="minorHAnsi" w:eastAsiaTheme="minorHAnsi" w:hAnsiTheme="minorHAnsi" w:cstheme="minorBidi"/>
          <w:color w:val="auto"/>
          <w:sz w:val="22"/>
          <w:szCs w:val="22"/>
          <w:lang w:eastAsia="en-US"/>
        </w:rPr>
        <w:t>Kissenger</w:t>
      </w:r>
      <w:proofErr w:type="spellEnd"/>
      <w:r w:rsidRPr="004925C8">
        <w:rPr>
          <w:rFonts w:asciiTheme="minorHAnsi" w:eastAsiaTheme="minorHAnsi" w:hAnsiTheme="minorHAnsi" w:cstheme="minorBidi"/>
          <w:color w:val="auto"/>
          <w:sz w:val="22"/>
          <w:szCs w:val="22"/>
          <w:lang w:eastAsia="en-US"/>
        </w:rPr>
        <w:t xml:space="preserve"> et al., 2021). However, because phone downloads also take time, ensuring that applications for the download were promptly expedited was a further fast-track decision made. </w:t>
      </w:r>
    </w:p>
    <w:p w14:paraId="588B41B3" w14:textId="77777777" w:rsidR="001A20F5" w:rsidRPr="00513087"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u w:val="single"/>
          <w:lang w:eastAsia="en-US"/>
        </w:rPr>
      </w:pPr>
      <w:r w:rsidRPr="004925C8">
        <w:rPr>
          <w:rFonts w:asciiTheme="minorHAnsi" w:eastAsiaTheme="minorHAnsi" w:hAnsiTheme="minorHAnsi" w:cstheme="minorBidi"/>
          <w:color w:val="auto"/>
          <w:sz w:val="22"/>
          <w:szCs w:val="22"/>
          <w:lang w:eastAsia="en-US"/>
        </w:rPr>
        <w:t xml:space="preserve">A key difficulty to the investigation was organising times and spaces for multiples agencies, whilst managing the expectations of the victim’s parents during that time (College of Policing, 2022). This was most prevalent when planning to obtain accounts from the victim and their brother, an initial disclosure witness. The parents felt that their child should be fast-tracked immediately; I had to tactfully explain that the interview process required several specialist agencies and different spaces working concurrently amidst challenging resource levels and competing demands within each agency. </w:t>
      </w:r>
    </w:p>
    <w:p w14:paraId="71644C43"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Nonetheless, it was pivotal to the investigation that the accounts were obtained. Due to the age of the complainant, as well as being a victim of sexual violence, this gave them the option to provide their evidence over video as opposed to a written statement. </w:t>
      </w:r>
    </w:p>
    <w:p w14:paraId="2FCE972F"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Video recorded statements form part of Achieving Best Evidence (ABE) standards, because they are effective in presenting the account of a vulnerable victim. This is recorded at a Sexual Assault Referral Centre (SARC). SARCs are designed to offer comfort and support to the victim and their families and are often decorated with warm colours, comfortable seating, and relaxing spaces (Robinson, 2011). These spaces have non-invasive cameras and recording equipment that can be accessed in monitoring rooms next door. During an ABE interview, the victim recalls the incident(s) to a specialist trained child interviewer – SCAIDP officer – while another officer takes notes in the monitoring room and guides their colleague like a second jockey (College of Policing, 2022). The ABE recording becomes the victim’s statement and is played in court, significantly limiting the victim from having to revisit their trauma in a public domain and safeguards them from further emotional anguish. </w:t>
      </w:r>
    </w:p>
    <w:p w14:paraId="238AAED5" w14:textId="70947710"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The aim of the process </w:t>
      </w:r>
      <w:r>
        <w:rPr>
          <w:rFonts w:asciiTheme="minorHAnsi" w:eastAsiaTheme="minorHAnsi" w:hAnsiTheme="minorHAnsi" w:cstheme="minorBidi"/>
          <w:color w:val="auto"/>
          <w:sz w:val="22"/>
          <w:szCs w:val="22"/>
          <w:lang w:eastAsia="en-US"/>
        </w:rPr>
        <w:t>is</w:t>
      </w:r>
      <w:r w:rsidRPr="004925C8">
        <w:rPr>
          <w:rFonts w:asciiTheme="minorHAnsi" w:eastAsiaTheme="minorHAnsi" w:hAnsiTheme="minorHAnsi" w:cstheme="minorBidi"/>
          <w:color w:val="auto"/>
          <w:sz w:val="22"/>
          <w:szCs w:val="22"/>
          <w:lang w:eastAsia="en-US"/>
        </w:rPr>
        <w:t xml:space="preserve"> to limit the amount of trauma being re-accessed and to create a</w:t>
      </w:r>
      <w:r>
        <w:rPr>
          <w:rFonts w:asciiTheme="minorHAnsi" w:eastAsiaTheme="minorHAnsi" w:hAnsiTheme="minorHAnsi" w:cstheme="minorBidi"/>
          <w:color w:val="auto"/>
          <w:sz w:val="22"/>
          <w:szCs w:val="22"/>
          <w:lang w:eastAsia="en-US"/>
        </w:rPr>
        <w:t xml:space="preserve"> comfortable </w:t>
      </w:r>
      <w:r w:rsidRPr="004925C8">
        <w:rPr>
          <w:rFonts w:asciiTheme="minorHAnsi" w:eastAsiaTheme="minorHAnsi" w:hAnsiTheme="minorHAnsi" w:cstheme="minorBidi"/>
          <w:color w:val="auto"/>
          <w:sz w:val="22"/>
          <w:szCs w:val="22"/>
          <w:lang w:eastAsia="en-US"/>
        </w:rPr>
        <w:t xml:space="preserve">environment for the victim. Depending on the victim’s age or vulnerabilities, they are entitled to have a communication assessment from a specialist to assist with the ABE. They are called Registered Intermediaries and are employed by the National Crime Agency (NCA) (College of Policing, 2022). During the ABE, the RI is invaluable, as they give a bespoke report to the SCAIDIP officer to guide their questions in ways that will provide the best evidential product. This is obtained during a pre-ABE communication assessment of the child with the RI and the interviewing officer. The RI will use unrelated, game/story-like topics to test the child’s ability to recall information and provide detail. This previously generated rapport greatly benefits the ABE itself and the child, as the RI will also be </w:t>
      </w:r>
      <w:r w:rsidRPr="004925C8">
        <w:rPr>
          <w:rFonts w:asciiTheme="minorHAnsi" w:eastAsiaTheme="minorHAnsi" w:hAnsiTheme="minorHAnsi" w:cstheme="minorBidi"/>
          <w:color w:val="auto"/>
          <w:sz w:val="22"/>
          <w:szCs w:val="22"/>
          <w:lang w:eastAsia="en-US"/>
        </w:rPr>
        <w:lastRenderedPageBreak/>
        <w:t>present to assist the interviewing officer to overcome communication barriers during the ABE (</w:t>
      </w:r>
      <w:proofErr w:type="spellStart"/>
      <w:r w:rsidRPr="004925C8">
        <w:rPr>
          <w:rFonts w:asciiTheme="minorHAnsi" w:eastAsiaTheme="minorHAnsi" w:hAnsiTheme="minorHAnsi" w:cstheme="minorBidi"/>
          <w:color w:val="auto"/>
          <w:sz w:val="22"/>
          <w:szCs w:val="22"/>
          <w:lang w:eastAsia="en-US"/>
        </w:rPr>
        <w:t>Risan</w:t>
      </w:r>
      <w:proofErr w:type="spellEnd"/>
      <w:r w:rsidRPr="004925C8">
        <w:rPr>
          <w:rFonts w:asciiTheme="minorHAnsi" w:eastAsiaTheme="minorHAnsi" w:hAnsiTheme="minorHAnsi" w:cstheme="minorBidi"/>
          <w:color w:val="auto"/>
          <w:sz w:val="22"/>
          <w:szCs w:val="22"/>
          <w:lang w:eastAsia="en-US"/>
        </w:rPr>
        <w:t xml:space="preserve">, 2018). </w:t>
      </w:r>
    </w:p>
    <w:p w14:paraId="1A61E32B"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Whilst at the SARC, the victim can meet their Independent Sexual Violence Advocate (ISVA). ISVAs work independently from police and are solely invested in supporting the victim through their trauma. Due to their specialist nature and detachment from the investigation, they are best equipped to provide help with vulnerable victims and can be a source of strength to their recovery (Brooks &amp; Burman, 2016). Despite the great potential of their work, when supporting child victims, it is up to the parents to facilitate this contact as their consent is required (Bradford, 2011).</w:t>
      </w:r>
    </w:p>
    <w:p w14:paraId="3854AE88" w14:textId="77777777" w:rsidR="001A20F5"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Therefore, to effectively support my victim and investigate expeditiously, it was imperative to promptly contact the SARC to organise for an ISVA referral; apply for an RI through the NCA; </w:t>
      </w:r>
      <w:proofErr w:type="gramStart"/>
      <w:r w:rsidRPr="004925C8">
        <w:rPr>
          <w:rFonts w:asciiTheme="minorHAnsi" w:eastAsiaTheme="minorHAnsi" w:hAnsiTheme="minorHAnsi" w:cstheme="minorBidi"/>
          <w:color w:val="auto"/>
          <w:sz w:val="22"/>
          <w:szCs w:val="22"/>
          <w:lang w:eastAsia="en-US"/>
        </w:rPr>
        <w:t>and,</w:t>
      </w:r>
      <w:proofErr w:type="gramEnd"/>
      <w:r w:rsidRPr="004925C8">
        <w:rPr>
          <w:rFonts w:asciiTheme="minorHAnsi" w:eastAsiaTheme="minorHAnsi" w:hAnsiTheme="minorHAnsi" w:cstheme="minorBidi"/>
          <w:color w:val="auto"/>
          <w:sz w:val="22"/>
          <w:szCs w:val="22"/>
          <w:lang w:eastAsia="en-US"/>
        </w:rPr>
        <w:t xml:space="preserve"> find a SCAIDP officer available for a date where all persons could be present. At the time, we were experiencing a three week wait to establish an RI’s availability, so this request also had to be expedited. </w:t>
      </w:r>
    </w:p>
    <w:p w14:paraId="23B85CF1" w14:textId="6279A795"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In conclusion, owing to the complex nature surrounding historic allegations into the oral rape of a child with</w:t>
      </w:r>
      <w:r w:rsidR="00876FFF">
        <w:rPr>
          <w:rFonts w:asciiTheme="minorHAnsi" w:eastAsiaTheme="minorHAnsi" w:hAnsiTheme="minorHAnsi" w:cstheme="minorBidi"/>
          <w:color w:val="auto"/>
          <w:sz w:val="22"/>
          <w:szCs w:val="22"/>
          <w:lang w:eastAsia="en-US"/>
        </w:rPr>
        <w:t xml:space="preserve"> the</w:t>
      </w:r>
      <w:r w:rsidRPr="004925C8">
        <w:rPr>
          <w:rFonts w:asciiTheme="minorHAnsi" w:eastAsiaTheme="minorHAnsi" w:hAnsiTheme="minorHAnsi" w:cstheme="minorBidi"/>
          <w:color w:val="auto"/>
          <w:sz w:val="22"/>
          <w:szCs w:val="22"/>
          <w:lang w:eastAsia="en-US"/>
        </w:rPr>
        <w:t xml:space="preserve"> physical evidential window being closed, all fast-track decisions were of greater importance. Decisions to arrest, interview, and conditionally bail the suspect were vital towards the safeguarding the victim and other children. The arrest also enabled us to seize the suspect’s phone for examination. </w:t>
      </w:r>
    </w:p>
    <w:p w14:paraId="72D2529A"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Other medium-term actions such as arranging for the victim’s account to be obtained, still required prompt organisation due difficulties in resources across multiple agencies that were required as part of the ABE process. </w:t>
      </w:r>
    </w:p>
    <w:p w14:paraId="09B7E1F9" w14:textId="77777777" w:rsidR="001A20F5" w:rsidRPr="004925C8" w:rsidRDefault="001A20F5" w:rsidP="001A20F5">
      <w:pPr>
        <w:overflowPunct/>
        <w:autoSpaceDE/>
        <w:autoSpaceDN/>
        <w:adjustRightInd/>
        <w:spacing w:after="160" w:line="360" w:lineRule="auto"/>
        <w:ind w:firstLine="720"/>
        <w:jc w:val="both"/>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 xml:space="preserve">When considering my own personal values and attitudes when faced with such abhorrent allegations, I successfully channelled my emotions in a focused way through cognitive reappraisal to gain the best possible account from the </w:t>
      </w:r>
      <w:proofErr w:type="gramStart"/>
      <w:r w:rsidRPr="004925C8">
        <w:rPr>
          <w:rFonts w:asciiTheme="minorHAnsi" w:eastAsiaTheme="minorHAnsi" w:hAnsiTheme="minorHAnsi" w:cstheme="minorBidi"/>
          <w:color w:val="auto"/>
          <w:sz w:val="22"/>
          <w:szCs w:val="22"/>
          <w:lang w:eastAsia="en-US"/>
        </w:rPr>
        <w:t>suspect, and</w:t>
      </w:r>
      <w:proofErr w:type="gramEnd"/>
      <w:r w:rsidRPr="004925C8">
        <w:rPr>
          <w:rFonts w:asciiTheme="minorHAnsi" w:eastAsiaTheme="minorHAnsi" w:hAnsiTheme="minorHAnsi" w:cstheme="minorBidi"/>
          <w:color w:val="auto"/>
          <w:sz w:val="22"/>
          <w:szCs w:val="22"/>
          <w:lang w:eastAsia="en-US"/>
        </w:rPr>
        <w:t xml:space="preserve"> ensure all those involved received specialist support for their varying needs.   </w:t>
      </w:r>
    </w:p>
    <w:p w14:paraId="6E64C307" w14:textId="4E05FD51" w:rsidR="001A20F5" w:rsidRPr="004925C8" w:rsidRDefault="001A20F5" w:rsidP="001A20F5">
      <w:pPr>
        <w:overflowPunct/>
        <w:autoSpaceDE/>
        <w:autoSpaceDN/>
        <w:adjustRightInd/>
        <w:spacing w:after="160" w:line="360" w:lineRule="auto"/>
        <w:ind w:firstLine="720"/>
        <w:jc w:val="right"/>
        <w:textAlignment w:val="auto"/>
        <w:rPr>
          <w:rFonts w:asciiTheme="minorHAnsi" w:eastAsiaTheme="minorHAnsi" w:hAnsiTheme="minorHAnsi" w:cstheme="minorBidi"/>
          <w:color w:val="auto"/>
          <w:sz w:val="22"/>
          <w:szCs w:val="22"/>
          <w:lang w:eastAsia="en-US"/>
        </w:rPr>
      </w:pPr>
      <w:r w:rsidRPr="004925C8">
        <w:rPr>
          <w:rFonts w:asciiTheme="minorHAnsi" w:eastAsiaTheme="minorHAnsi" w:hAnsiTheme="minorHAnsi" w:cstheme="minorBidi"/>
          <w:color w:val="auto"/>
          <w:sz w:val="22"/>
          <w:szCs w:val="22"/>
          <w:lang w:eastAsia="en-US"/>
        </w:rPr>
        <w:t>Words: 21</w:t>
      </w:r>
      <w:r>
        <w:rPr>
          <w:rFonts w:asciiTheme="minorHAnsi" w:eastAsiaTheme="minorHAnsi" w:hAnsiTheme="minorHAnsi" w:cstheme="minorBidi"/>
          <w:color w:val="auto"/>
          <w:sz w:val="22"/>
          <w:szCs w:val="22"/>
          <w:lang w:eastAsia="en-US"/>
        </w:rPr>
        <w:t>7</w:t>
      </w:r>
      <w:r w:rsidR="00F524A2">
        <w:rPr>
          <w:rFonts w:asciiTheme="minorHAnsi" w:eastAsiaTheme="minorHAnsi" w:hAnsiTheme="minorHAnsi" w:cstheme="minorBidi"/>
          <w:color w:val="auto"/>
          <w:sz w:val="22"/>
          <w:szCs w:val="22"/>
          <w:lang w:eastAsia="en-US"/>
        </w:rPr>
        <w:t>9</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CD11053"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Signed:</w:t>
      </w:r>
      <w:r w:rsidR="00FD193A">
        <w:rPr>
          <w:rFonts w:eastAsia="Arial"/>
          <w:b/>
          <w:bCs/>
          <w:color w:val="000000" w:themeColor="text1"/>
          <w:sz w:val="24"/>
          <w:szCs w:val="24"/>
        </w:rPr>
        <w:t xml:space="preserve"> </w:t>
      </w:r>
      <w:r w:rsidR="003828AB">
        <w:rPr>
          <w:rFonts w:eastAsia="Arial"/>
          <w:b/>
          <w:bCs/>
          <w:color w:val="000000" w:themeColor="text1"/>
          <w:sz w:val="24"/>
          <w:szCs w:val="24"/>
        </w:rPr>
        <w:t>Student 2117603</w:t>
      </w:r>
      <w:r w:rsidR="001A20F5">
        <w:rPr>
          <w:rFonts w:eastAsia="Arial"/>
          <w:b/>
          <w:bCs/>
          <w:color w:val="000000" w:themeColor="text1"/>
          <w:sz w:val="24"/>
          <w:szCs w:val="24"/>
        </w:rPr>
        <w:t>,</w:t>
      </w:r>
      <w:r w:rsidR="003828AB">
        <w:rPr>
          <w:rFonts w:eastAsia="Arial"/>
          <w:b/>
          <w:bCs/>
          <w:color w:val="000000" w:themeColor="text1"/>
          <w:sz w:val="24"/>
          <w:szCs w:val="24"/>
        </w:rPr>
        <w:t xml:space="preserve"> </w:t>
      </w:r>
      <w:r w:rsidR="00FD193A">
        <w:rPr>
          <w:rFonts w:eastAsia="Arial"/>
          <w:b/>
          <w:bCs/>
          <w:color w:val="000000" w:themeColor="text1"/>
          <w:sz w:val="24"/>
          <w:szCs w:val="24"/>
        </w:rPr>
        <w:t>Detective Constable</w:t>
      </w:r>
      <w:r w:rsidRPr="5CE196A1">
        <w:rPr>
          <w:rFonts w:eastAsia="Arial"/>
          <w:b/>
          <w:bCs/>
          <w:color w:val="000000" w:themeColor="text1"/>
          <w:sz w:val="24"/>
          <w:szCs w:val="24"/>
        </w:rPr>
        <w:t xml:space="preserve"> </w:t>
      </w:r>
      <w:r w:rsidR="00FD193A">
        <w:rPr>
          <w:rFonts w:eastAsia="Arial"/>
          <w:b/>
          <w:bCs/>
          <w:color w:val="000000" w:themeColor="text1"/>
          <w:sz w:val="24"/>
          <w:szCs w:val="24"/>
        </w:rPr>
        <w:t>Luke Rimes, SWP8077</w:t>
      </w:r>
      <w:r w:rsidR="001A20F5">
        <w:rPr>
          <w:rFonts w:eastAsia="Arial"/>
          <w:b/>
          <w:bCs/>
          <w:color w:val="000000" w:themeColor="text1"/>
          <w:sz w:val="24"/>
          <w:szCs w:val="24"/>
        </w:rPr>
        <w:t>.</w:t>
      </w:r>
    </w:p>
    <w:p w14:paraId="3B6C1832" w14:textId="77777777" w:rsidR="002777B9" w:rsidRDefault="002777B9" w:rsidP="5CE196A1">
      <w:pPr>
        <w:rPr>
          <w:rFonts w:eastAsia="Arial"/>
          <w:b/>
          <w:bCs/>
          <w:color w:val="000000" w:themeColor="text1"/>
          <w:sz w:val="24"/>
          <w:szCs w:val="24"/>
        </w:rPr>
      </w:pPr>
    </w:p>
    <w:p w14:paraId="2D47403A" w14:textId="2177C6F1" w:rsidR="0093775B" w:rsidRDefault="0093775B" w:rsidP="5CE196A1">
      <w:pPr>
        <w:rPr>
          <w:rFonts w:eastAsia="Arial"/>
          <w:b/>
          <w:bCs/>
          <w:color w:val="000000" w:themeColor="text1"/>
          <w:sz w:val="24"/>
          <w:szCs w:val="24"/>
        </w:rPr>
      </w:pPr>
    </w:p>
    <w:p w14:paraId="0B17C52D" w14:textId="29F3F69D" w:rsidR="0093775B" w:rsidRDefault="0093775B" w:rsidP="5CE196A1">
      <w:pPr>
        <w:rPr>
          <w:rFonts w:eastAsia="Arial"/>
          <w:b/>
          <w:bCs/>
          <w:color w:val="000000" w:themeColor="text1"/>
          <w:sz w:val="24"/>
          <w:szCs w:val="24"/>
        </w:rPr>
      </w:pPr>
    </w:p>
    <w:p w14:paraId="0F489F68" w14:textId="37B50F1E" w:rsidR="0093775B" w:rsidRDefault="0093775B"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3811D089" wp14:editId="462A869D">
                <wp:simplePos x="0" y="0"/>
                <wp:positionH relativeFrom="column">
                  <wp:posOffset>221306</wp:posOffset>
                </wp:positionH>
                <wp:positionV relativeFrom="paragraph">
                  <wp:posOffset>-228737</wp:posOffset>
                </wp:positionV>
                <wp:extent cx="2769840" cy="775800"/>
                <wp:effectExtent l="38100" t="57150" r="50165" b="43815"/>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2769840" cy="775800"/>
                      </w14:xfrm>
                    </w14:contentPart>
                  </a:graphicData>
                </a:graphic>
              </wp:anchor>
            </w:drawing>
          </mc:Choice>
          <mc:Fallback>
            <w:pict>
              <v:shapetype w14:anchorId="3130413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6.75pt;margin-top:-18.7pt;width:219.55pt;height:62.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">
                <v:imagedata r:id="rId16" o:title=""/>
              </v:shape>
            </w:pict>
          </mc:Fallback>
        </mc:AlternateContent>
      </w:r>
    </w:p>
    <w:p w14:paraId="687810AB" w14:textId="612460E3" w:rsidR="0093775B" w:rsidRDefault="0093775B" w:rsidP="5CE196A1">
      <w:pPr>
        <w:rPr>
          <w:rFonts w:eastAsia="Arial"/>
          <w:b/>
          <w:bCs/>
          <w:color w:val="000000" w:themeColor="text1"/>
          <w:sz w:val="24"/>
          <w:szCs w:val="24"/>
        </w:rPr>
      </w:pPr>
    </w:p>
    <w:p w14:paraId="4BA5CC77" w14:textId="32A1CF91" w:rsidR="0093775B" w:rsidRDefault="0093775B" w:rsidP="5CE196A1">
      <w:pPr>
        <w:rPr>
          <w:rFonts w:eastAsia="Arial"/>
          <w:b/>
          <w:bCs/>
          <w:color w:val="000000" w:themeColor="text1"/>
          <w:sz w:val="24"/>
          <w:szCs w:val="24"/>
        </w:rPr>
      </w:pPr>
    </w:p>
    <w:p w14:paraId="04A4BB75" w14:textId="77777777" w:rsidR="0093775B" w:rsidRDefault="0093775B" w:rsidP="5CE196A1"/>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2BA4BDBC" w:rsidR="0FF883D4" w:rsidRDefault="003828AB" w:rsidP="5CE196A1">
      <w:pPr>
        <w:ind w:left="2880" w:right="225" w:firstLine="720"/>
        <w:rPr>
          <w:b/>
          <w:bCs/>
          <w:sz w:val="24"/>
          <w:szCs w:val="24"/>
          <w:lang w:eastAsia="zh-TW"/>
        </w:rPr>
        <w:sectPr w:rsidR="0FF883D4" w:rsidSect="0022001B">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docGrid w:linePitch="272"/>
        </w:sectPr>
      </w:pPr>
      <w:r>
        <w:rPr>
          <w:b/>
          <w:bCs/>
          <w:sz w:val="24"/>
          <w:szCs w:val="24"/>
          <w:lang w:eastAsia="zh-TW"/>
        </w:rPr>
        <w:t>08/05/23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0CD8DED"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w:t>
      </w:r>
      <w:r w:rsidR="002777B9">
        <w:rPr>
          <w:sz w:val="24"/>
          <w:szCs w:val="24"/>
        </w:rPr>
        <w:lastRenderedPageBreak/>
        <w:t>t</w:t>
      </w:r>
      <w:r w:rsidR="00A36BDD">
        <w:rPr>
          <w:sz w:val="24"/>
          <w:szCs w:val="24"/>
        </w:rPr>
        <w:t>h</w:t>
      </w:r>
      <w:r w:rsidR="00147DE3" w:rsidRPr="00E676F7">
        <w:rPr>
          <w:sz w:val="24"/>
          <w:szCs w:val="24"/>
        </w:rPr>
        <w:t>at</w:t>
      </w:r>
      <w:r w:rsidR="00A36BDD">
        <w:rPr>
          <w:sz w:val="24"/>
          <w:szCs w:val="24"/>
        </w:rPr>
        <w:t xml:space="preserve"> y</w:t>
      </w:r>
      <w:r w:rsidR="00147DE3" w:rsidRPr="00E676F7">
        <w:rPr>
          <w:sz w:val="24"/>
          <w:szCs w:val="24"/>
        </w:rPr>
        <w:t>ou are aware of the importance of ensuring that the work submitted is your original work</w:t>
      </w:r>
      <w:r w:rsidR="00EA28F1">
        <w:rPr>
          <w:sz w:val="24"/>
          <w:szCs w:val="24"/>
        </w:rPr>
        <w:t xml:space="preserve">. </w:t>
      </w:r>
    </w:p>
    <w:p w14:paraId="6805E230" w14:textId="77777777" w:rsidR="001A20F5" w:rsidRDefault="001A20F5" w:rsidP="001A20F5">
      <w:pPr>
        <w:keepNext/>
        <w:spacing w:before="240" w:after="60"/>
        <w:ind w:right="237"/>
        <w:jc w:val="both"/>
      </w:pPr>
    </w:p>
    <w:p w14:paraId="11035DBB" w14:textId="77777777" w:rsidR="001A20F5" w:rsidRPr="001A20F5" w:rsidRDefault="001A20F5" w:rsidP="001A20F5">
      <w:pPr>
        <w:keepNext/>
        <w:spacing w:before="240" w:after="60"/>
        <w:ind w:right="237"/>
        <w:jc w:val="both"/>
        <w:rPr>
          <w:b/>
          <w:bCs/>
          <w:sz w:val="22"/>
          <w:szCs w:val="22"/>
        </w:rPr>
      </w:pPr>
      <w:r w:rsidRPr="001A20F5">
        <w:rPr>
          <w:b/>
          <w:bCs/>
          <w:sz w:val="22"/>
          <w:szCs w:val="22"/>
        </w:rPr>
        <w:t>Journals</w:t>
      </w:r>
    </w:p>
    <w:p w14:paraId="492F882E" w14:textId="77777777" w:rsidR="001A20F5" w:rsidRDefault="001A20F5" w:rsidP="001A20F5">
      <w:pPr>
        <w:keepNext/>
        <w:spacing w:before="240" w:after="60"/>
        <w:ind w:right="237"/>
        <w:jc w:val="both"/>
      </w:pPr>
    </w:p>
    <w:p w14:paraId="3F881DDC" w14:textId="77777777" w:rsidR="001A20F5" w:rsidRDefault="001A20F5" w:rsidP="001A20F5">
      <w:pPr>
        <w:keepNext/>
        <w:spacing w:before="240" w:after="60"/>
        <w:ind w:right="237"/>
        <w:jc w:val="both"/>
      </w:pPr>
      <w:proofErr w:type="spellStart"/>
      <w:r>
        <w:t>Abdulah</w:t>
      </w:r>
      <w:proofErr w:type="spellEnd"/>
      <w:r>
        <w:t xml:space="preserve">, D.M., </w:t>
      </w:r>
      <w:proofErr w:type="spellStart"/>
      <w:r>
        <w:t>Sedo</w:t>
      </w:r>
      <w:proofErr w:type="spellEnd"/>
      <w:r>
        <w:t>, B.A. and Dawson, A. (2019). Female Genital Mutilation in Rural Regions of Iraqi Kurdistan: A Cross-Sectional Study. Public Health Reports, 134(5), pp.514–521.</w:t>
      </w:r>
    </w:p>
    <w:p w14:paraId="63EE4FE5" w14:textId="77777777" w:rsidR="001A20F5" w:rsidRDefault="001A20F5" w:rsidP="001A20F5">
      <w:pPr>
        <w:keepNext/>
        <w:spacing w:before="240" w:after="60"/>
        <w:ind w:right="237"/>
        <w:jc w:val="both"/>
      </w:pPr>
      <w:r>
        <w:t xml:space="preserve">Bates, L. (2020). </w:t>
      </w:r>
      <w:proofErr w:type="spellStart"/>
      <w:r>
        <w:t>Honor</w:t>
      </w:r>
      <w:proofErr w:type="spellEnd"/>
      <w:r>
        <w:t>-Based Abuse in England and Wales: Who Does What to Whom? Violence Against Women, 27(10), pp.1774-1795</w:t>
      </w:r>
    </w:p>
    <w:p w14:paraId="487BEF44" w14:textId="77777777" w:rsidR="001A20F5" w:rsidRDefault="001A20F5" w:rsidP="001A20F5">
      <w:pPr>
        <w:keepNext/>
        <w:spacing w:before="240" w:after="60"/>
        <w:ind w:right="237"/>
        <w:jc w:val="both"/>
      </w:pPr>
      <w:proofErr w:type="spellStart"/>
      <w:r>
        <w:t>Belçim</w:t>
      </w:r>
      <w:proofErr w:type="spellEnd"/>
      <w:r>
        <w:t xml:space="preserve"> </w:t>
      </w:r>
      <w:proofErr w:type="spellStart"/>
      <w:r>
        <w:t>Galip</w:t>
      </w:r>
      <w:proofErr w:type="spellEnd"/>
      <w:r>
        <w:t>, Ö. (2022). Recognition of power: The agency of Kurdish women in their everyday practices. European Journal of Women’s Studies, pp.402-417</w:t>
      </w:r>
    </w:p>
    <w:p w14:paraId="5596CCD5" w14:textId="77777777" w:rsidR="001A20F5" w:rsidRDefault="001A20F5" w:rsidP="001A20F5">
      <w:pPr>
        <w:keepNext/>
        <w:spacing w:before="240" w:after="60"/>
        <w:ind w:right="237"/>
        <w:jc w:val="both"/>
      </w:pPr>
      <w:r>
        <w:t xml:space="preserve">Bellis, M., Hughes, K., Hardcastle, K., Ashton, K., Ford, K., </w:t>
      </w:r>
      <w:proofErr w:type="spellStart"/>
      <w:r>
        <w:t>Quigg</w:t>
      </w:r>
      <w:proofErr w:type="spellEnd"/>
      <w:r>
        <w:t xml:space="preserve">, Z. and Davies, A. (2017). The impact of adverse childhood experiences on health service use across the life course using a retrospective cohort study. Journal of Health Services Research &amp; Policy, 22(3), pp.168–177. </w:t>
      </w:r>
    </w:p>
    <w:p w14:paraId="153CEC03" w14:textId="77777777" w:rsidR="001A20F5" w:rsidRDefault="001A20F5" w:rsidP="001A20F5">
      <w:pPr>
        <w:keepNext/>
        <w:spacing w:before="240" w:after="60"/>
        <w:ind w:right="237"/>
        <w:jc w:val="both"/>
      </w:pPr>
      <w:proofErr w:type="spellStart"/>
      <w:r>
        <w:t>Bertilsson</w:t>
      </w:r>
      <w:proofErr w:type="spellEnd"/>
      <w:r>
        <w:t xml:space="preserve">, J., </w:t>
      </w:r>
      <w:proofErr w:type="spellStart"/>
      <w:r>
        <w:t>Petersson</w:t>
      </w:r>
      <w:proofErr w:type="spellEnd"/>
      <w:r>
        <w:t xml:space="preserve">, U., Fredriksson, P.J., Magnusson, M. and </w:t>
      </w:r>
      <w:proofErr w:type="spellStart"/>
      <w:r>
        <w:t>Fransson</w:t>
      </w:r>
      <w:proofErr w:type="spellEnd"/>
      <w:r>
        <w:t xml:space="preserve">, P.A. (2017). Use of pepper spray in policing: retrospective study of situational characteristics and implications for violent situations. Police Practice and Research, 18(4), pp.391–406. </w:t>
      </w:r>
    </w:p>
    <w:p w14:paraId="5D36E064" w14:textId="77777777" w:rsidR="001A20F5" w:rsidRDefault="001A20F5" w:rsidP="001A20F5">
      <w:pPr>
        <w:keepNext/>
        <w:spacing w:before="240" w:after="60"/>
        <w:ind w:right="237"/>
        <w:jc w:val="both"/>
      </w:pPr>
      <w:r>
        <w:t xml:space="preserve">Bradford, B. (2011). Voice, </w:t>
      </w:r>
      <w:proofErr w:type="gramStart"/>
      <w:r>
        <w:t>neutrality</w:t>
      </w:r>
      <w:proofErr w:type="gramEnd"/>
      <w:r>
        <w:t xml:space="preserve"> and respect: Use of Victim Support services, procedural fairness and confidence in the criminal justice system. Criminology &amp; Criminal Justice, 11(4), pp.345–366. </w:t>
      </w:r>
    </w:p>
    <w:p w14:paraId="1D4B4A1A" w14:textId="77777777" w:rsidR="001A20F5" w:rsidRDefault="001A20F5" w:rsidP="001A20F5">
      <w:pPr>
        <w:keepNext/>
        <w:spacing w:before="240" w:after="60"/>
        <w:ind w:right="237"/>
        <w:jc w:val="both"/>
      </w:pPr>
      <w:r>
        <w:t xml:space="preserve">Brooks, O. and Burman, M. (2016). Reporting rape: Victim perspectives on advocacy support in the criminal justice process. Criminology &amp; Criminal Justice, 17(2), pp.209–225. </w:t>
      </w:r>
    </w:p>
    <w:p w14:paraId="6C667EE4" w14:textId="77777777" w:rsidR="001A20F5" w:rsidRDefault="001A20F5" w:rsidP="001A20F5">
      <w:pPr>
        <w:keepNext/>
        <w:spacing w:before="240" w:after="60"/>
        <w:ind w:right="237"/>
        <w:jc w:val="both"/>
      </w:pPr>
      <w:r>
        <w:t xml:space="preserve">Buttle, J.W. (2003). ‘What’s Good for Them, is Good for Us’: Outside Influences on the Adoption of Incapacitant Sprays by the British Police. International Journal of Police Science &amp; Management, 5(2), pp.98–111. </w:t>
      </w:r>
    </w:p>
    <w:p w14:paraId="331EDA8E" w14:textId="77777777" w:rsidR="001A20F5" w:rsidRDefault="001A20F5" w:rsidP="001A20F5">
      <w:pPr>
        <w:keepNext/>
        <w:spacing w:before="240" w:after="60"/>
        <w:ind w:right="237"/>
        <w:jc w:val="both"/>
      </w:pPr>
      <w:proofErr w:type="spellStart"/>
      <w:r>
        <w:t>Chantler</w:t>
      </w:r>
      <w:proofErr w:type="spellEnd"/>
      <w:r>
        <w:t xml:space="preserve">, K., Bracewell, K., Baker, V., </w:t>
      </w:r>
      <w:proofErr w:type="spellStart"/>
      <w:r>
        <w:t>Heyes</w:t>
      </w:r>
      <w:proofErr w:type="spellEnd"/>
      <w:r>
        <w:t xml:space="preserve">, K., Traynor, P. and Ward, M. (2022). An analysis of </w:t>
      </w:r>
      <w:proofErr w:type="spellStart"/>
      <w:r>
        <w:t>minoritisation</w:t>
      </w:r>
      <w:proofErr w:type="spellEnd"/>
      <w:r>
        <w:t xml:space="preserve"> in domestic homicide reviews in England and Wales. Critical Social Policy, pp.1-24</w:t>
      </w:r>
    </w:p>
    <w:p w14:paraId="41B33873" w14:textId="77777777" w:rsidR="001A20F5" w:rsidRDefault="001A20F5" w:rsidP="001A20F5">
      <w:pPr>
        <w:keepNext/>
        <w:spacing w:before="240" w:after="60"/>
        <w:ind w:right="237"/>
        <w:jc w:val="both"/>
      </w:pPr>
      <w:r>
        <w:t>Cooper, H.H.A.T. (2007). Decision Making in a Crisis. Journal of Police Crisis Negotiations, 7(2), pp.5–28.</w:t>
      </w:r>
    </w:p>
    <w:p w14:paraId="13897CD4" w14:textId="77777777" w:rsidR="001A20F5" w:rsidRDefault="001A20F5" w:rsidP="001A20F5">
      <w:pPr>
        <w:keepNext/>
        <w:spacing w:before="240" w:after="60"/>
        <w:ind w:right="237"/>
        <w:jc w:val="both"/>
      </w:pPr>
      <w:r>
        <w:t xml:space="preserve">De Castella, K., Goldin, P., </w:t>
      </w:r>
      <w:proofErr w:type="spellStart"/>
      <w:r>
        <w:t>Jazaieri</w:t>
      </w:r>
      <w:proofErr w:type="spellEnd"/>
      <w:r>
        <w:t>, H., Ziv, M., Dweck, C.S. and Gross, J.J. (2013). Beliefs About Emotion: Links to Emotion Regulation, Well-Being, and Psychological Distress. Basic and Applied Social Psychology, 35(6), pp.497–505.</w:t>
      </w:r>
    </w:p>
    <w:p w14:paraId="1C869DD2" w14:textId="77777777" w:rsidR="001A20F5" w:rsidRDefault="001A20F5" w:rsidP="001A20F5">
      <w:pPr>
        <w:keepNext/>
        <w:spacing w:before="240" w:after="60"/>
        <w:ind w:right="237"/>
        <w:jc w:val="both"/>
      </w:pPr>
      <w:r>
        <w:t xml:space="preserve">De Castella, K., </w:t>
      </w:r>
      <w:proofErr w:type="spellStart"/>
      <w:r>
        <w:t>Platow</w:t>
      </w:r>
      <w:proofErr w:type="spellEnd"/>
      <w:r>
        <w:t>, M.J., Tamir, M. and Gross, J.J. (2017). Beliefs about emotion: implications for avoidance-based emotion regulation and psychological health. Cognition and Emotion, 32(4), pp.773–795.</w:t>
      </w:r>
    </w:p>
    <w:p w14:paraId="73613BBB" w14:textId="77777777" w:rsidR="001A20F5" w:rsidRDefault="001A20F5" w:rsidP="001A20F5">
      <w:pPr>
        <w:keepNext/>
        <w:spacing w:before="240" w:after="60"/>
        <w:ind w:right="237"/>
        <w:jc w:val="both"/>
      </w:pPr>
      <w:r>
        <w:t>Ford, K., Newbury, A., Meredith, Z., Evans, J., Hughes, K., Roderick, J., Davies, A.R. and Bellis, M.A. (2019). Understanding the outcome of police safeguarding notifications to social services in South Wales. The Police Journal: Theory, Practice and Principles, [online] 93(2), pp.87-108</w:t>
      </w:r>
    </w:p>
    <w:p w14:paraId="743D68D8" w14:textId="77777777" w:rsidR="001A20F5" w:rsidRDefault="001A20F5" w:rsidP="001A20F5">
      <w:pPr>
        <w:keepNext/>
        <w:spacing w:before="240" w:after="60"/>
        <w:ind w:right="237"/>
        <w:jc w:val="both"/>
      </w:pPr>
      <w:proofErr w:type="spellStart"/>
      <w:r>
        <w:lastRenderedPageBreak/>
        <w:t>Geurts</w:t>
      </w:r>
      <w:proofErr w:type="spellEnd"/>
      <w:r>
        <w:t xml:space="preserve">, R., Marc, </w:t>
      </w:r>
      <w:proofErr w:type="gramStart"/>
      <w:r>
        <w:t>Jacqueline</w:t>
      </w:r>
      <w:proofErr w:type="gramEnd"/>
      <w:r>
        <w:t xml:space="preserve"> and Ron (2022). The relation between the individual assessment of victims by Dutch police and </w:t>
      </w:r>
      <w:proofErr w:type="gramStart"/>
      <w:r>
        <w:t>repeat</w:t>
      </w:r>
      <w:proofErr w:type="gramEnd"/>
      <w:r>
        <w:t xml:space="preserve"> victimization. Police Practice and Research, pp.1–16. </w:t>
      </w:r>
    </w:p>
    <w:p w14:paraId="72EC26AB" w14:textId="77777777" w:rsidR="001A20F5" w:rsidRDefault="001A20F5" w:rsidP="001A20F5">
      <w:pPr>
        <w:keepNext/>
        <w:spacing w:before="240" w:after="60"/>
        <w:ind w:right="237"/>
        <w:jc w:val="both"/>
      </w:pPr>
      <w:r>
        <w:t xml:space="preserve">Gentles-Gibbs, N. (2016). Child Protection and Family Empowerment: Competing Rights or Accordant Goals? Child Care in Practice, 22(4), pp.386–400. </w:t>
      </w:r>
    </w:p>
    <w:p w14:paraId="6894663B" w14:textId="77777777" w:rsidR="001A20F5" w:rsidRDefault="001A20F5" w:rsidP="001A20F5">
      <w:pPr>
        <w:keepNext/>
        <w:spacing w:before="240" w:after="60"/>
        <w:ind w:right="237"/>
        <w:jc w:val="both"/>
      </w:pPr>
      <w:r>
        <w:t xml:space="preserve">Gill, A. (2009). </w:t>
      </w:r>
      <w:proofErr w:type="spellStart"/>
      <w:r>
        <w:t>Honor</w:t>
      </w:r>
      <w:proofErr w:type="spellEnd"/>
      <w:r>
        <w:t xml:space="preserve"> Killings and the Quest for Justice in Black and Minority Ethnic Communities in the United Kingdom. Criminal Justice Policy Review, 20(4), pp.475–494. </w:t>
      </w:r>
    </w:p>
    <w:p w14:paraId="2022C5DE" w14:textId="77777777" w:rsidR="001A20F5" w:rsidRDefault="001A20F5" w:rsidP="001A20F5">
      <w:pPr>
        <w:keepNext/>
        <w:spacing w:before="240" w:after="60"/>
        <w:ind w:right="237"/>
        <w:jc w:val="both"/>
      </w:pPr>
      <w:proofErr w:type="spellStart"/>
      <w:r>
        <w:t>Gutentag</w:t>
      </w:r>
      <w:proofErr w:type="spellEnd"/>
      <w:r>
        <w:t xml:space="preserve">, T., Halperin, E., </w:t>
      </w:r>
      <w:proofErr w:type="spellStart"/>
      <w:r>
        <w:t>Porat</w:t>
      </w:r>
      <w:proofErr w:type="spellEnd"/>
      <w:r>
        <w:t xml:space="preserve">, R., </w:t>
      </w:r>
      <w:proofErr w:type="spellStart"/>
      <w:r>
        <w:t>Bigman</w:t>
      </w:r>
      <w:proofErr w:type="spellEnd"/>
      <w:r>
        <w:t>, Y.E. and Tamir, M. (2016). Successful emotion regulation requires both conviction and skill: beliefs about the controllability of emotions, reappraisal, and regulation success. Cognition and Emotion, 31(6), pp.1225–1233</w:t>
      </w:r>
    </w:p>
    <w:p w14:paraId="710DA6B8" w14:textId="77777777" w:rsidR="001A20F5" w:rsidRDefault="001A20F5" w:rsidP="001A20F5">
      <w:pPr>
        <w:keepNext/>
        <w:spacing w:before="240" w:after="60"/>
        <w:ind w:right="237"/>
        <w:jc w:val="both"/>
      </w:pPr>
      <w:proofErr w:type="spellStart"/>
      <w:r>
        <w:t>Gutschmidt</w:t>
      </w:r>
      <w:proofErr w:type="spellEnd"/>
      <w:r>
        <w:t>, D. and Vera, A. (2021). Organizational culture, stress, and coping strategies in the police: an empirical investigation. Police Practice and Research, pp.1–16</w:t>
      </w:r>
    </w:p>
    <w:p w14:paraId="33C1CF37" w14:textId="77777777" w:rsidR="001A20F5" w:rsidRDefault="001A20F5" w:rsidP="001A20F5">
      <w:pPr>
        <w:keepNext/>
        <w:spacing w:before="240" w:after="60"/>
        <w:ind w:right="237"/>
        <w:jc w:val="both"/>
      </w:pPr>
      <w:r>
        <w:t xml:space="preserve">Holt, K., Kissinger, J., </w:t>
      </w:r>
      <w:proofErr w:type="spellStart"/>
      <w:r>
        <w:t>Spickler</w:t>
      </w:r>
      <w:proofErr w:type="spellEnd"/>
      <w:r>
        <w:t>, C. and Roush, V. (2021). Pornography Use and Sexual Offending: An Examination of Perceptions of Role and Risk. International Journal of Offender Therapy and Comparative Criminology, pp.1-25</w:t>
      </w:r>
    </w:p>
    <w:p w14:paraId="2D3739E3" w14:textId="77777777" w:rsidR="001A20F5" w:rsidRDefault="001A20F5" w:rsidP="001A20F5">
      <w:pPr>
        <w:keepNext/>
        <w:spacing w:before="240" w:after="60"/>
        <w:ind w:right="237"/>
        <w:jc w:val="both"/>
      </w:pPr>
      <w:r>
        <w:t xml:space="preserve">Horwitz, M. and Marshall, T. (2015). Family Engagement in Child Protection Social Work. Journal of Family Social Work, 18(4), pp.288–301. </w:t>
      </w:r>
    </w:p>
    <w:p w14:paraId="3AB48930" w14:textId="77777777" w:rsidR="001A20F5" w:rsidRDefault="001A20F5" w:rsidP="001A20F5">
      <w:pPr>
        <w:keepNext/>
        <w:spacing w:before="240" w:after="60"/>
        <w:ind w:right="237"/>
        <w:jc w:val="both"/>
      </w:pPr>
      <w:r>
        <w:t>Howes, L.M. (2019). Interpreted investigative interviews under the PEACE interview model: police interviewers’ perceptions of challenges and suggested solutions. Police Practice and Research, 21(4), pp.1–18</w:t>
      </w:r>
    </w:p>
    <w:p w14:paraId="3AFFDA78" w14:textId="77777777" w:rsidR="001A20F5" w:rsidRDefault="001A20F5" w:rsidP="001A20F5">
      <w:pPr>
        <w:keepNext/>
        <w:spacing w:before="240" w:after="60"/>
        <w:ind w:right="237"/>
        <w:jc w:val="both"/>
      </w:pPr>
      <w:proofErr w:type="spellStart"/>
      <w:r>
        <w:t>Idriss</w:t>
      </w:r>
      <w:proofErr w:type="spellEnd"/>
      <w:r>
        <w:t xml:space="preserve">, M.M. (2017). Not domestic violence or cultural tradition: is honour-based violence distinct from domestic violence? Journal of Social Welfare and Family Law, 39(1), pp.3–21. </w:t>
      </w:r>
    </w:p>
    <w:p w14:paraId="046CF3E1" w14:textId="77777777" w:rsidR="001A20F5" w:rsidRDefault="001A20F5" w:rsidP="001A20F5">
      <w:pPr>
        <w:keepNext/>
        <w:spacing w:before="240" w:after="60"/>
        <w:ind w:right="237"/>
        <w:jc w:val="both"/>
      </w:pPr>
      <w:r>
        <w:t xml:space="preserve">Israel, P., </w:t>
      </w:r>
      <w:proofErr w:type="spellStart"/>
      <w:r>
        <w:t>Steffensen</w:t>
      </w:r>
      <w:proofErr w:type="spellEnd"/>
      <w:r>
        <w:t xml:space="preserve">, C. and </w:t>
      </w:r>
      <w:proofErr w:type="spellStart"/>
      <w:r>
        <w:t>Hadland</w:t>
      </w:r>
      <w:proofErr w:type="spellEnd"/>
      <w:r>
        <w:t>, H.H. (2022). Experiences of family therapists working with parents after the forced removal of children: What can the contextual model tell us? Cogent Psychology, 10(1). Pp.1-13</w:t>
      </w:r>
    </w:p>
    <w:p w14:paraId="62D4C0C0" w14:textId="77777777" w:rsidR="001A20F5" w:rsidRDefault="001A20F5" w:rsidP="001A20F5">
      <w:pPr>
        <w:keepNext/>
        <w:spacing w:before="240" w:after="60"/>
        <w:ind w:right="237"/>
        <w:jc w:val="both"/>
      </w:pPr>
      <w:r>
        <w:t>Krause, N., Blackwell, L. and Claridge, S. (2019). An exploration of the impact of the Emotional Literacy Support Assistant (ELSA) programme on wellbeing from the perspective of pupils. Educational Psychology in Practice, 36(1), pp.17–31.</w:t>
      </w:r>
    </w:p>
    <w:p w14:paraId="16F36091" w14:textId="77777777" w:rsidR="001A20F5" w:rsidRDefault="001A20F5" w:rsidP="001A20F5">
      <w:pPr>
        <w:keepNext/>
        <w:spacing w:before="240" w:after="60"/>
        <w:ind w:right="237"/>
        <w:jc w:val="both"/>
      </w:pPr>
      <w:r>
        <w:t xml:space="preserve">Leung, D.Y.L., Chan, A.C.Y. and Ho, G.W.K. (2020). Resilience of Emerging Adults After Adverse Childhood Experiences: A Qualitative Systematic Review. Trauma, Violence, &amp; Abuse, 23(1), pp.163-181 </w:t>
      </w:r>
    </w:p>
    <w:p w14:paraId="11CC53D9" w14:textId="77777777" w:rsidR="001A20F5" w:rsidRDefault="001A20F5" w:rsidP="001A20F5">
      <w:pPr>
        <w:keepNext/>
        <w:spacing w:before="240" w:after="60"/>
        <w:ind w:right="237"/>
        <w:jc w:val="both"/>
      </w:pPr>
      <w:r>
        <w:t>Levenson, J.S. and Grady, M.D. (2018). Preventing Sexual Abuse: Perspectives of Minor-Attracted Persons About Seeking Help. Sexual Abuse, 31 (8) pp. 991-1013</w:t>
      </w:r>
    </w:p>
    <w:p w14:paraId="66B97602" w14:textId="77777777" w:rsidR="001A20F5" w:rsidRDefault="001A20F5" w:rsidP="001A20F5">
      <w:pPr>
        <w:keepNext/>
        <w:spacing w:before="240" w:after="60"/>
        <w:ind w:right="237"/>
        <w:jc w:val="both"/>
      </w:pPr>
      <w:proofErr w:type="spellStart"/>
      <w:r>
        <w:t>Lidén</w:t>
      </w:r>
      <w:proofErr w:type="spellEnd"/>
      <w:r>
        <w:t xml:space="preserve">, M., </w:t>
      </w:r>
      <w:proofErr w:type="spellStart"/>
      <w:r>
        <w:t>Gräns</w:t>
      </w:r>
      <w:proofErr w:type="spellEnd"/>
      <w:r>
        <w:t xml:space="preserve">, M. and </w:t>
      </w:r>
      <w:proofErr w:type="spellStart"/>
      <w:r>
        <w:t>Juslin</w:t>
      </w:r>
      <w:proofErr w:type="spellEnd"/>
      <w:r>
        <w:t xml:space="preserve">, P. (2018). The presumption of guilt in suspect interrogations: Apprehension as a trigger of confirmation bias and debiasing techniques. Law and Human </w:t>
      </w:r>
      <w:proofErr w:type="spellStart"/>
      <w:r>
        <w:t>Behavior</w:t>
      </w:r>
      <w:proofErr w:type="spellEnd"/>
      <w:r>
        <w:t xml:space="preserve">, 42(4), pp.336–354. </w:t>
      </w:r>
    </w:p>
    <w:p w14:paraId="73F1242F" w14:textId="77777777" w:rsidR="001A20F5" w:rsidRDefault="001A20F5" w:rsidP="001A20F5">
      <w:pPr>
        <w:keepNext/>
        <w:spacing w:before="240" w:after="60"/>
        <w:ind w:right="237"/>
        <w:jc w:val="both"/>
      </w:pPr>
      <w:r>
        <w:t xml:space="preserve">Mann, N., </w:t>
      </w:r>
      <w:proofErr w:type="spellStart"/>
      <w:r>
        <w:t>Devendran</w:t>
      </w:r>
      <w:proofErr w:type="spellEnd"/>
      <w:r>
        <w:t>, P.N. and Lundrigan, S. (2019). ‘You’re never really free’: Understanding the barriers to desistance for registered sexual offenders in the community. Criminology &amp; Criminal Justice, pp-206-223</w:t>
      </w:r>
    </w:p>
    <w:p w14:paraId="050609C7" w14:textId="77777777" w:rsidR="001A20F5" w:rsidRDefault="001A20F5" w:rsidP="001A20F5">
      <w:pPr>
        <w:keepNext/>
        <w:spacing w:before="240" w:after="60"/>
        <w:ind w:right="237"/>
        <w:jc w:val="both"/>
      </w:pPr>
      <w:r>
        <w:t xml:space="preserve">McCartan, K., </w:t>
      </w:r>
      <w:proofErr w:type="spellStart"/>
      <w:r>
        <w:t>Uzieblo</w:t>
      </w:r>
      <w:proofErr w:type="spellEnd"/>
      <w:r>
        <w:t xml:space="preserve">, K. and </w:t>
      </w:r>
      <w:proofErr w:type="spellStart"/>
      <w:r>
        <w:t>Smid</w:t>
      </w:r>
      <w:proofErr w:type="spellEnd"/>
      <w:r>
        <w:t xml:space="preserve">, W.J. (2021). Professionals’ Understandings of and Attitudes to the Prevention of Sexual Abuse: An International Exploratory Study. International Journal of Offender Therapy and Comparative Criminology, 65(8), p.815-831 </w:t>
      </w:r>
    </w:p>
    <w:p w14:paraId="53B1BD95" w14:textId="77777777" w:rsidR="001A20F5" w:rsidRDefault="001A20F5" w:rsidP="001A20F5">
      <w:pPr>
        <w:keepNext/>
        <w:spacing w:before="240" w:after="60"/>
        <w:ind w:right="237"/>
        <w:jc w:val="both"/>
      </w:pPr>
      <w:r>
        <w:lastRenderedPageBreak/>
        <w:t xml:space="preserve">Miller, J.K., Peart, A. and </w:t>
      </w:r>
      <w:proofErr w:type="spellStart"/>
      <w:r>
        <w:t>Soffia</w:t>
      </w:r>
      <w:proofErr w:type="spellEnd"/>
      <w:r>
        <w:t>, M. (2019). Can police be trained in trauma processing to minimise PTSD symptoms? Feasibility and proof of concept with a newly recruited UK police population. The Police Journal: Theory, Practice and Principles, Pp.310-331</w:t>
      </w:r>
    </w:p>
    <w:p w14:paraId="64C2CFFF" w14:textId="77777777" w:rsidR="001A20F5" w:rsidRDefault="001A20F5" w:rsidP="001A20F5">
      <w:pPr>
        <w:keepNext/>
        <w:spacing w:before="240" w:after="60"/>
        <w:ind w:right="237"/>
        <w:jc w:val="both"/>
      </w:pPr>
      <w:r>
        <w:t xml:space="preserve">Mulvihill, N., </w:t>
      </w:r>
      <w:proofErr w:type="spellStart"/>
      <w:r>
        <w:t>Gangoli</w:t>
      </w:r>
      <w:proofErr w:type="spellEnd"/>
      <w:r>
        <w:t xml:space="preserve">, G., Gill, A.K. and Hester, M. (2018). The experience of interactional justice for victims of ‘honour’-based violence and abuse reporting to the police in England and Wales. Policing and Society, 29(6), pp.640–656. </w:t>
      </w:r>
    </w:p>
    <w:p w14:paraId="20B265CC" w14:textId="77777777" w:rsidR="001A20F5" w:rsidRDefault="001A20F5" w:rsidP="001A20F5">
      <w:pPr>
        <w:keepNext/>
        <w:spacing w:before="240" w:after="60"/>
        <w:ind w:right="237"/>
        <w:jc w:val="both"/>
      </w:pPr>
      <w:r>
        <w:t>Purcell, R. and Kelly, C. (2023). A systematic literature review to explore pupils’ perspectives on key outcomes of the Emotional Literacy Support Assistant (ELSA) intervention. Educational Psychology in Practice, pp.1–16.</w:t>
      </w:r>
    </w:p>
    <w:p w14:paraId="76F7F5C2" w14:textId="77777777" w:rsidR="001A20F5" w:rsidRDefault="001A20F5" w:rsidP="001A20F5">
      <w:pPr>
        <w:keepNext/>
        <w:spacing w:before="240" w:after="60"/>
        <w:ind w:right="237"/>
        <w:jc w:val="both"/>
      </w:pPr>
      <w:r>
        <w:t xml:space="preserve">Raymond, C, Marin, M.F., </w:t>
      </w:r>
      <w:proofErr w:type="spellStart"/>
      <w:r>
        <w:t>Juster</w:t>
      </w:r>
      <w:proofErr w:type="spellEnd"/>
      <w:r>
        <w:t xml:space="preserve">, R.P., and </w:t>
      </w:r>
      <w:proofErr w:type="spellStart"/>
      <w:proofErr w:type="gramStart"/>
      <w:r>
        <w:t>Lupien</w:t>
      </w:r>
      <w:proofErr w:type="spellEnd"/>
      <w:r>
        <w:t xml:space="preserve"> ,</w:t>
      </w:r>
      <w:proofErr w:type="gramEnd"/>
      <w:r>
        <w:t xml:space="preserve"> S.J., (2019) Should we suppress or reappraise our stress?: the moderating role of reappraisal cortisol reactivity and recovery in healthy adults, Anxiety, Stress, &amp; Coping, 32:3, pp.286-297</w:t>
      </w:r>
    </w:p>
    <w:p w14:paraId="219C0B97" w14:textId="77777777" w:rsidR="001A20F5" w:rsidRDefault="001A20F5" w:rsidP="001A20F5">
      <w:pPr>
        <w:keepNext/>
        <w:spacing w:before="240" w:after="60"/>
        <w:ind w:right="237"/>
        <w:jc w:val="both"/>
      </w:pPr>
      <w:proofErr w:type="spellStart"/>
      <w:r>
        <w:t>Risan</w:t>
      </w:r>
      <w:proofErr w:type="spellEnd"/>
      <w:r>
        <w:t xml:space="preserve">, P., Binder, P.-E. and Milne, R.J. (2017). Establishing and Maintaining Rapport in Investigative Interviews of Traumatized Victims: A Qualitative Study. Policing: A Journal of Policy and Practice, 12(4), pp.372–387. </w:t>
      </w:r>
    </w:p>
    <w:p w14:paraId="7A7559EC" w14:textId="77777777" w:rsidR="001A20F5" w:rsidRDefault="001A20F5" w:rsidP="001A20F5">
      <w:pPr>
        <w:keepNext/>
        <w:spacing w:before="240" w:after="60"/>
        <w:ind w:right="237"/>
        <w:jc w:val="both"/>
      </w:pPr>
      <w:r>
        <w:t xml:space="preserve">Rimer, J, “It was in Control of Me”: Notions of Addiction and Online Child Sexual Exploitation Material Offending. Sexual </w:t>
      </w:r>
      <w:proofErr w:type="spellStart"/>
      <w:r>
        <w:t>AbuseVolume</w:t>
      </w:r>
      <w:proofErr w:type="spellEnd"/>
      <w:r>
        <w:t xml:space="preserve"> 35 (1), 2023, pp.3-30</w:t>
      </w:r>
    </w:p>
    <w:p w14:paraId="0307AA2D" w14:textId="77777777" w:rsidR="001A20F5" w:rsidRDefault="001A20F5" w:rsidP="001A20F5">
      <w:pPr>
        <w:keepNext/>
        <w:spacing w:before="240" w:after="60"/>
        <w:ind w:right="237"/>
        <w:jc w:val="both"/>
      </w:pPr>
      <w:r>
        <w:t xml:space="preserve">Robinson, A. and Hudson, K. (2011). Different yet complementary: Two approaches to supporting victims of sexual violence in the UK. Criminology &amp; Criminal Justice, 11(5), pp.515–533. </w:t>
      </w:r>
    </w:p>
    <w:p w14:paraId="58182224" w14:textId="77777777" w:rsidR="001A20F5" w:rsidRDefault="001A20F5" w:rsidP="001A20F5">
      <w:pPr>
        <w:keepNext/>
        <w:spacing w:before="240" w:after="60"/>
        <w:ind w:right="237"/>
        <w:jc w:val="both"/>
      </w:pPr>
      <w:proofErr w:type="spellStart"/>
      <w:r>
        <w:t>Shorrock</w:t>
      </w:r>
      <w:proofErr w:type="spellEnd"/>
      <w:r>
        <w:t>, S., McManus, M.A. and Kirby, S. (2020). Profile of repeat victimisation within multi-agency referrals. International Review of Victimology, 26(3), pp.332-343</w:t>
      </w:r>
    </w:p>
    <w:p w14:paraId="30E295D9" w14:textId="77777777" w:rsidR="001A20F5" w:rsidRDefault="001A20F5" w:rsidP="001A20F5">
      <w:pPr>
        <w:keepNext/>
        <w:spacing w:before="240" w:after="60"/>
        <w:ind w:right="237"/>
        <w:jc w:val="both"/>
      </w:pPr>
      <w:r>
        <w:t xml:space="preserve">Spence, S.H., De Young, A., Toon, C. and Bond, S. (2009). Longitudinal examination of the associations between emotional dysregulation, coping responses to peer provocation, and victimisation in children. Australian Journal of Psychology, 61(3), pp.145–155. </w:t>
      </w:r>
    </w:p>
    <w:p w14:paraId="53C20DBB" w14:textId="77777777" w:rsidR="0039252C" w:rsidRDefault="0039252C" w:rsidP="0039252C">
      <w:pPr>
        <w:keepNext/>
        <w:spacing w:before="240" w:after="60"/>
        <w:ind w:right="237"/>
        <w:jc w:val="both"/>
      </w:pPr>
      <w:r>
        <w:t xml:space="preserve">Spencer, D.C. (2014). Exposing the conditions of precarity: compounding victimization and marginalized young people. Contemporary Justice Review, 17(1), pp.87–103. </w:t>
      </w:r>
    </w:p>
    <w:p w14:paraId="7F9B7D58" w14:textId="77777777" w:rsidR="001A20F5" w:rsidRDefault="001A20F5" w:rsidP="001A20F5">
      <w:pPr>
        <w:keepNext/>
        <w:spacing w:before="240" w:after="60"/>
        <w:ind w:right="237"/>
        <w:jc w:val="both"/>
      </w:pPr>
      <w:r>
        <w:t xml:space="preserve">Stein, R.E, </w:t>
      </w:r>
      <w:proofErr w:type="spellStart"/>
      <w:r>
        <w:t>Nofziger</w:t>
      </w:r>
      <w:proofErr w:type="spellEnd"/>
      <w:r>
        <w:t>, S.D., (2008). Adolescent Sexual Victimization: Choice of Confidant and the Failure of Authorities. Youth Violence and Juvenile Justice. 6 (2), pp.158-177</w:t>
      </w:r>
    </w:p>
    <w:p w14:paraId="16FAF463" w14:textId="77777777" w:rsidR="001A20F5" w:rsidRDefault="001A20F5" w:rsidP="001A20F5">
      <w:pPr>
        <w:keepNext/>
        <w:spacing w:before="240" w:after="60"/>
        <w:ind w:right="237"/>
        <w:jc w:val="both"/>
      </w:pPr>
      <w:r>
        <w:t>Wenzel, M., Rowland, Z. and Kubiak, T. (2020). How mindfulness shapes the situational use of emotion regulation strategies in daily life. Cognition and Emotion, 34 (7) pp.1–15</w:t>
      </w:r>
    </w:p>
    <w:p w14:paraId="347E438C" w14:textId="77777777" w:rsidR="001A20F5" w:rsidRDefault="001A20F5" w:rsidP="001A20F5">
      <w:pPr>
        <w:keepNext/>
        <w:spacing w:before="240" w:after="60"/>
        <w:ind w:right="237"/>
        <w:jc w:val="both"/>
      </w:pPr>
      <w:r>
        <w:t>Wilding, L. and Claridge, S. (2016). The Emotional Literacy Support Assistant (ELSA) programme: parental perceptions of its impact in school and at home. Educational Psychology in Practice, 32(2), pp.180–196</w:t>
      </w:r>
    </w:p>
    <w:p w14:paraId="6AF21392" w14:textId="77777777" w:rsidR="001A20F5" w:rsidRDefault="001A20F5" w:rsidP="001A20F5">
      <w:pPr>
        <w:keepNext/>
        <w:spacing w:before="240" w:after="60"/>
        <w:ind w:right="237"/>
        <w:jc w:val="both"/>
      </w:pPr>
      <w:r>
        <w:t xml:space="preserve">Wong, B., Cripps, D., White, H., Young, L., </w:t>
      </w:r>
      <w:proofErr w:type="spellStart"/>
      <w:r>
        <w:t>Kovshoff</w:t>
      </w:r>
      <w:proofErr w:type="spellEnd"/>
      <w:r>
        <w:t xml:space="preserve">, H., Pinkard, H. and Woodcock, C. (2020). Primary school children’s perspectives and experiences of Emotional Literacy Support Assistant (ELSA) support. Educational Psychology in Practice, 36(3), pp.1–15. </w:t>
      </w:r>
    </w:p>
    <w:p w14:paraId="63E5AD57" w14:textId="77777777" w:rsidR="001A20F5" w:rsidRDefault="001A20F5" w:rsidP="001A20F5">
      <w:pPr>
        <w:keepNext/>
        <w:spacing w:before="240" w:after="60"/>
        <w:ind w:right="237"/>
        <w:jc w:val="both"/>
      </w:pPr>
    </w:p>
    <w:p w14:paraId="7D37D29F" w14:textId="77777777" w:rsidR="001A20F5" w:rsidRDefault="001A20F5" w:rsidP="001A20F5">
      <w:pPr>
        <w:keepNext/>
        <w:spacing w:before="240" w:after="60"/>
        <w:ind w:right="237"/>
        <w:jc w:val="both"/>
      </w:pPr>
    </w:p>
    <w:p w14:paraId="61980CCE" w14:textId="77777777" w:rsidR="001A20F5" w:rsidRPr="001A20F5" w:rsidRDefault="001A20F5" w:rsidP="001A20F5">
      <w:pPr>
        <w:keepNext/>
        <w:spacing w:before="240" w:after="60"/>
        <w:ind w:right="237"/>
        <w:jc w:val="both"/>
        <w:rPr>
          <w:b/>
          <w:bCs/>
          <w:sz w:val="22"/>
          <w:szCs w:val="22"/>
        </w:rPr>
      </w:pPr>
      <w:r w:rsidRPr="001A20F5">
        <w:rPr>
          <w:b/>
          <w:bCs/>
          <w:sz w:val="22"/>
          <w:szCs w:val="22"/>
        </w:rPr>
        <w:t xml:space="preserve">Books </w:t>
      </w:r>
    </w:p>
    <w:p w14:paraId="21301C2C" w14:textId="77777777" w:rsidR="001A20F5" w:rsidRDefault="001A20F5" w:rsidP="001A20F5">
      <w:pPr>
        <w:keepNext/>
        <w:spacing w:before="240" w:after="60"/>
        <w:ind w:right="237"/>
        <w:jc w:val="both"/>
      </w:pPr>
      <w:r>
        <w:lastRenderedPageBreak/>
        <w:t>Brandon, J. and Hafez, S. (2008). Crimes of the Community.</w:t>
      </w:r>
    </w:p>
    <w:p w14:paraId="4DB57596" w14:textId="77777777" w:rsidR="001A20F5" w:rsidRDefault="001A20F5" w:rsidP="001A20F5">
      <w:pPr>
        <w:keepNext/>
        <w:spacing w:before="240" w:after="60"/>
        <w:ind w:right="237"/>
        <w:jc w:val="both"/>
      </w:pPr>
    </w:p>
    <w:p w14:paraId="456CDEC6" w14:textId="77777777" w:rsidR="001A20F5" w:rsidRPr="001A20F5" w:rsidRDefault="001A20F5" w:rsidP="001A20F5">
      <w:pPr>
        <w:keepNext/>
        <w:spacing w:before="240" w:after="60"/>
        <w:ind w:right="237"/>
        <w:jc w:val="both"/>
        <w:rPr>
          <w:b/>
          <w:bCs/>
          <w:sz w:val="22"/>
          <w:szCs w:val="22"/>
        </w:rPr>
      </w:pPr>
      <w:r w:rsidRPr="001A20F5">
        <w:rPr>
          <w:b/>
          <w:bCs/>
          <w:sz w:val="22"/>
          <w:szCs w:val="22"/>
        </w:rPr>
        <w:t>Websites</w:t>
      </w:r>
    </w:p>
    <w:p w14:paraId="7CAB1F41" w14:textId="77777777" w:rsidR="001A20F5" w:rsidRDefault="001A20F5" w:rsidP="001A20F5">
      <w:pPr>
        <w:keepNext/>
        <w:spacing w:before="240" w:after="60"/>
        <w:ind w:right="237"/>
        <w:jc w:val="both"/>
      </w:pPr>
      <w:r>
        <w:t>College of Policing. (2022) (n.d.). Police response to concern for a child. [online] Available at: https://www.college.police.uk/app/major-investigation-and-public-protection/investigating-child-abuse-and-safeguarding-children/police-response-concern-child#arrest-strategy [Accessed 18 Apr. 2023].</w:t>
      </w:r>
    </w:p>
    <w:p w14:paraId="4BDAEBD6" w14:textId="77777777" w:rsidR="001A20F5" w:rsidRDefault="001A20F5" w:rsidP="001A20F5">
      <w:pPr>
        <w:keepNext/>
        <w:spacing w:before="240" w:after="60"/>
        <w:ind w:right="237"/>
        <w:jc w:val="both"/>
      </w:pPr>
    </w:p>
    <w:p w14:paraId="289647E3" w14:textId="77777777" w:rsidR="001A20F5" w:rsidRDefault="001A20F5" w:rsidP="001A20F5">
      <w:pPr>
        <w:keepNext/>
        <w:spacing w:before="240" w:after="60"/>
        <w:ind w:right="237"/>
        <w:jc w:val="both"/>
      </w:pPr>
    </w:p>
    <w:p w14:paraId="28508C75" w14:textId="77777777" w:rsidR="001A20F5" w:rsidRDefault="001A20F5" w:rsidP="001A20F5">
      <w:pPr>
        <w:keepNext/>
        <w:spacing w:before="240" w:after="60"/>
        <w:ind w:right="237"/>
        <w:jc w:val="both"/>
      </w:pPr>
      <w:r>
        <w:t xml:space="preserve">College of Policing. (2021). Female genital mutilation. [online] Available at: </w:t>
      </w:r>
      <w:proofErr w:type="gramStart"/>
      <w:r>
        <w:t>https://www.college.police.uk/app/major-investigation-and-public-protection/female-genital-mutilation#using-interpreters  [</w:t>
      </w:r>
      <w:proofErr w:type="gramEnd"/>
      <w:r>
        <w:t xml:space="preserve">Accessed 18/04/2023]. </w:t>
      </w:r>
    </w:p>
    <w:p w14:paraId="352938CD" w14:textId="77777777" w:rsidR="001A20F5" w:rsidRDefault="001A20F5" w:rsidP="001A20F5">
      <w:pPr>
        <w:keepNext/>
        <w:spacing w:before="240" w:after="60"/>
        <w:ind w:right="237"/>
        <w:jc w:val="both"/>
      </w:pPr>
    </w:p>
    <w:p w14:paraId="0974D137" w14:textId="77777777" w:rsidR="001A20F5" w:rsidRDefault="001A20F5" w:rsidP="001A20F5">
      <w:pPr>
        <w:keepNext/>
        <w:spacing w:before="240" w:after="60"/>
        <w:ind w:right="237"/>
        <w:jc w:val="both"/>
      </w:pPr>
      <w:r>
        <w:t xml:space="preserve">College of Policing. (2023). Forced marriage and </w:t>
      </w:r>
      <w:proofErr w:type="gramStart"/>
      <w:r>
        <w:t>honour based</w:t>
      </w:r>
      <w:proofErr w:type="gramEnd"/>
      <w:r>
        <w:t xml:space="preserve"> abuse. [online] Available at: https://www.college.police.uk/app/major-investigation-and-public-protection/forced-marriage-and-honour-based-abuse. [Accessed 18/04/2023]. </w:t>
      </w:r>
    </w:p>
    <w:p w14:paraId="618ADC0F" w14:textId="77777777" w:rsidR="001A20F5" w:rsidRDefault="001A20F5" w:rsidP="001A20F5">
      <w:pPr>
        <w:keepNext/>
        <w:spacing w:before="240" w:after="60"/>
        <w:ind w:right="237"/>
        <w:jc w:val="both"/>
      </w:pPr>
    </w:p>
    <w:p w14:paraId="27290451" w14:textId="77777777" w:rsidR="001A20F5" w:rsidRDefault="001A20F5" w:rsidP="001A20F5">
      <w:pPr>
        <w:keepNext/>
        <w:spacing w:before="240" w:after="60"/>
        <w:ind w:right="237"/>
        <w:jc w:val="both"/>
      </w:pPr>
      <w:r>
        <w:t xml:space="preserve">College of Policing. (2022) Police response to concern for a child. [online] Available at: </w:t>
      </w:r>
      <w:proofErr w:type="gramStart"/>
      <w:r>
        <w:t>https://www.college.police.uk/app/major-investigation-and-public-protection/investigating-child-abuse-and-safeguarding-children/police-response-concern-child#arrest-strategy  [</w:t>
      </w:r>
      <w:proofErr w:type="gramEnd"/>
      <w:r>
        <w:t>Accessed 18 Apr. 2023].</w:t>
      </w:r>
    </w:p>
    <w:p w14:paraId="6B975B3C" w14:textId="77777777" w:rsidR="001A20F5" w:rsidRDefault="001A20F5" w:rsidP="001A20F5">
      <w:pPr>
        <w:keepNext/>
        <w:spacing w:before="240" w:after="60"/>
        <w:ind w:right="237"/>
        <w:jc w:val="both"/>
      </w:pPr>
    </w:p>
    <w:p w14:paraId="2893F566" w14:textId="77777777" w:rsidR="001A20F5" w:rsidRDefault="001A20F5" w:rsidP="001A20F5">
      <w:pPr>
        <w:keepNext/>
        <w:spacing w:before="240" w:after="60"/>
        <w:ind w:right="237"/>
        <w:jc w:val="both"/>
      </w:pPr>
      <w:r>
        <w:t>College of Policing. (2019</w:t>
      </w:r>
      <w:proofErr w:type="gramStart"/>
      <w:r>
        <w:t>)  Working</w:t>
      </w:r>
      <w:proofErr w:type="gramEnd"/>
      <w:r>
        <w:t xml:space="preserve"> with suspects. [online] Available at: https://www.college.police.uk/app/investigation/working-suspects#arrest-strategy. [Accessed 18 Apr. 2023].</w:t>
      </w:r>
    </w:p>
    <w:p w14:paraId="4F3A1369" w14:textId="77777777" w:rsidR="001A20F5" w:rsidRDefault="001A20F5" w:rsidP="001A20F5">
      <w:pPr>
        <w:keepNext/>
        <w:spacing w:before="240" w:after="60"/>
        <w:ind w:right="237"/>
        <w:jc w:val="both"/>
      </w:pPr>
    </w:p>
    <w:p w14:paraId="02077652" w14:textId="77777777" w:rsidR="001A20F5" w:rsidRDefault="001A20F5" w:rsidP="001A20F5">
      <w:pPr>
        <w:keepNext/>
        <w:spacing w:before="240" w:after="60"/>
        <w:ind w:right="237"/>
        <w:jc w:val="both"/>
      </w:pPr>
    </w:p>
    <w:p w14:paraId="7352CCBA" w14:textId="77777777" w:rsidR="001A20F5" w:rsidRDefault="001A20F5" w:rsidP="001A20F5">
      <w:pPr>
        <w:keepNext/>
        <w:spacing w:before="240" w:after="60"/>
        <w:ind w:right="237"/>
        <w:jc w:val="both"/>
      </w:pPr>
      <w:r>
        <w:t xml:space="preserve">GOV.UK. (2021). Statistics on so called ‘honour-based’ abuse offences, </w:t>
      </w:r>
      <w:proofErr w:type="gramStart"/>
      <w:r>
        <w:t>England</w:t>
      </w:r>
      <w:proofErr w:type="gramEnd"/>
      <w:r>
        <w:t xml:space="preserve"> and Wales, 2020 to 2021. [online] Available at: https://www.gov.uk/government/statistics/statistics-on-so-called-</w:t>
      </w:r>
      <w:r>
        <w:lastRenderedPageBreak/>
        <w:t>honour-based-abuse-offences-england-and-wales-2020-to-2021/statistics-on-so-called-honour-based-abuse-offences-england-and-wales-2020-to-2021. [Accessed 08/05/23]</w:t>
      </w:r>
    </w:p>
    <w:p w14:paraId="4A84EA77" w14:textId="77777777" w:rsidR="001A20F5" w:rsidRDefault="001A20F5" w:rsidP="001A20F5">
      <w:pPr>
        <w:keepNext/>
        <w:spacing w:before="240" w:after="60"/>
        <w:ind w:right="237"/>
        <w:jc w:val="both"/>
      </w:pPr>
    </w:p>
    <w:p w14:paraId="6823C18D" w14:textId="77777777" w:rsidR="001A20F5" w:rsidRDefault="001A20F5" w:rsidP="001A20F5">
      <w:pPr>
        <w:keepNext/>
        <w:spacing w:before="240" w:after="60"/>
        <w:ind w:right="237"/>
        <w:jc w:val="both"/>
      </w:pPr>
      <w:r>
        <w:t>GOV.UK. (2018). Voluntary police interview: your rights. [online] Available at: https://www.gov.uk/government/publications/voluntary-police-interview-your-rights. [Accessed 18/04/2023]</w:t>
      </w:r>
    </w:p>
    <w:p w14:paraId="3EC534C2" w14:textId="77777777" w:rsidR="001A20F5" w:rsidRDefault="001A20F5" w:rsidP="001A20F5">
      <w:pPr>
        <w:keepNext/>
        <w:spacing w:before="240" w:after="60"/>
        <w:ind w:right="237"/>
        <w:jc w:val="both"/>
      </w:pPr>
    </w:p>
    <w:p w14:paraId="2E85DDF4" w14:textId="77777777" w:rsidR="001A20F5" w:rsidRDefault="001A20F5" w:rsidP="001A20F5">
      <w:pPr>
        <w:keepNext/>
        <w:spacing w:before="240" w:after="60"/>
        <w:ind w:right="237"/>
        <w:jc w:val="both"/>
      </w:pPr>
      <w:r>
        <w:t xml:space="preserve">Legislation.gov.uk. (2023). Children Act 1989. [online] Available at: </w:t>
      </w:r>
      <w:proofErr w:type="gramStart"/>
      <w:r>
        <w:t>https://www.legislation.gov.uk/ukpga/1989/41/section/76/made#:~:text=76%20Inspection%20%281%29%20Any%20person%20authorised%20to%20do  [</w:t>
      </w:r>
      <w:proofErr w:type="gramEnd"/>
      <w:r>
        <w:t>Accessed 18/04/23].</w:t>
      </w:r>
    </w:p>
    <w:p w14:paraId="60A0AD8F" w14:textId="77777777" w:rsidR="001A20F5" w:rsidRDefault="001A20F5" w:rsidP="001A20F5">
      <w:pPr>
        <w:keepNext/>
        <w:spacing w:before="240" w:after="60"/>
        <w:ind w:right="237"/>
        <w:jc w:val="both"/>
      </w:pPr>
    </w:p>
    <w:p w14:paraId="0F2F3193" w14:textId="77777777" w:rsidR="001A20F5" w:rsidRDefault="001A20F5" w:rsidP="001A20F5">
      <w:pPr>
        <w:keepNext/>
        <w:spacing w:before="240" w:after="60"/>
        <w:ind w:right="237"/>
        <w:jc w:val="both"/>
      </w:pPr>
      <w:proofErr w:type="spellStart"/>
      <w:r>
        <w:t>Palphreyman</w:t>
      </w:r>
      <w:proofErr w:type="spellEnd"/>
      <w:r>
        <w:t>, D. (2023). What is ELSA Intervention? [online] ELSA Support. Available at: https://www.elsa-support.co.uk/what-is-elsa-intervention/. [Accessed 08/05/23]</w:t>
      </w:r>
    </w:p>
    <w:p w14:paraId="208D9A17" w14:textId="77777777" w:rsidR="001A20F5" w:rsidRDefault="001A20F5" w:rsidP="001A20F5">
      <w:pPr>
        <w:keepNext/>
        <w:spacing w:before="240" w:after="60"/>
        <w:ind w:right="237"/>
        <w:jc w:val="both"/>
      </w:pPr>
    </w:p>
    <w:p w14:paraId="735D14FB" w14:textId="77777777" w:rsidR="001A20F5" w:rsidRDefault="001A20F5" w:rsidP="001A20F5">
      <w:pPr>
        <w:keepNext/>
        <w:spacing w:before="240" w:after="60"/>
        <w:ind w:right="237"/>
        <w:jc w:val="both"/>
      </w:pPr>
      <w:r>
        <w:t>The Lucy Faithfull Foundation | Preventing Child Sex Abuse. [online] Lucyfaithfull.org.uk. Available at: https://www.lucyfaithfull.org.uk/. [Accessed 18 Apr. 2023].</w:t>
      </w:r>
    </w:p>
    <w:p w14:paraId="54FADCF7" w14:textId="77777777" w:rsidR="001A20F5" w:rsidRDefault="001A20F5" w:rsidP="001A20F5">
      <w:pPr>
        <w:keepNext/>
        <w:spacing w:before="240" w:after="60"/>
        <w:ind w:right="237"/>
        <w:jc w:val="both"/>
      </w:pPr>
    </w:p>
    <w:p w14:paraId="36FBCC45" w14:textId="77777777" w:rsidR="001A20F5" w:rsidRDefault="001A20F5" w:rsidP="001A20F5">
      <w:pPr>
        <w:keepNext/>
        <w:spacing w:before="240" w:after="60"/>
        <w:ind w:right="237"/>
        <w:jc w:val="both"/>
      </w:pPr>
      <w:r>
        <w:t> </w:t>
      </w:r>
    </w:p>
    <w:p w14:paraId="0B018D71" w14:textId="77777777" w:rsidR="001A20F5" w:rsidRDefault="001A20F5" w:rsidP="00EA28F1">
      <w:pPr>
        <w:keepNext/>
        <w:spacing w:before="240" w:after="60"/>
        <w:ind w:right="237"/>
        <w:jc w:val="both"/>
      </w:pPr>
    </w:p>
    <w:sectPr w:rsidR="001A20F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C6E76" w14:textId="77777777" w:rsidR="00052D4A" w:rsidRDefault="00052D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105A2" w14:textId="77777777" w:rsidR="00052D4A" w:rsidRDefault="00052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D7901" w14:textId="77777777" w:rsidR="00052D4A" w:rsidRDefault="00052D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8C0BE" w14:textId="77777777" w:rsidR="00052D4A" w:rsidRDefault="00052D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D0FAA" w14:textId="77777777" w:rsidR="00052D4A" w:rsidRDefault="00052D4A">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9B0B342"/>
    <w:lvl w:ilvl="0" w:tplc="85A0B400">
      <w:start w:val="1"/>
      <w:numFmt w:val="decimal"/>
      <w:lvlText w:val="%1."/>
      <w:lvlJc w:val="left"/>
      <w:pPr>
        <w:ind w:left="720" w:hanging="360"/>
      </w:pPr>
    </w:lvl>
    <w:lvl w:ilvl="1" w:tplc="D6643E24">
      <w:start w:val="1"/>
      <w:numFmt w:val="lowerLetter"/>
      <w:lvlText w:val="%2."/>
      <w:lvlJc w:val="left"/>
      <w:pPr>
        <w:ind w:left="1440" w:hanging="360"/>
      </w:pPr>
    </w:lvl>
    <w:lvl w:ilvl="2" w:tplc="6CA6ADB2">
      <w:start w:val="1"/>
      <w:numFmt w:val="lowerRoman"/>
      <w:lvlText w:val="%3."/>
      <w:lvlJc w:val="right"/>
      <w:pPr>
        <w:ind w:left="2160" w:hanging="180"/>
      </w:pPr>
    </w:lvl>
    <w:lvl w:ilvl="3" w:tplc="F10A9210">
      <w:start w:val="1"/>
      <w:numFmt w:val="decimal"/>
      <w:lvlText w:val="%4."/>
      <w:lvlJc w:val="left"/>
      <w:pPr>
        <w:ind w:left="2880" w:hanging="360"/>
      </w:pPr>
    </w:lvl>
    <w:lvl w:ilvl="4" w:tplc="070EF0F2">
      <w:start w:val="1"/>
      <w:numFmt w:val="lowerLetter"/>
      <w:lvlText w:val="%5."/>
      <w:lvlJc w:val="left"/>
      <w:pPr>
        <w:ind w:left="3600" w:hanging="360"/>
      </w:pPr>
    </w:lvl>
    <w:lvl w:ilvl="5" w:tplc="22DA4A46">
      <w:start w:val="1"/>
      <w:numFmt w:val="lowerRoman"/>
      <w:lvlText w:val="%6."/>
      <w:lvlJc w:val="right"/>
      <w:pPr>
        <w:ind w:left="4320" w:hanging="180"/>
      </w:pPr>
    </w:lvl>
    <w:lvl w:ilvl="6" w:tplc="C03A273C">
      <w:start w:val="1"/>
      <w:numFmt w:val="decimal"/>
      <w:lvlText w:val="%7."/>
      <w:lvlJc w:val="left"/>
      <w:pPr>
        <w:ind w:left="5040" w:hanging="360"/>
      </w:pPr>
    </w:lvl>
    <w:lvl w:ilvl="7" w:tplc="8886E580">
      <w:start w:val="1"/>
      <w:numFmt w:val="lowerLetter"/>
      <w:lvlText w:val="%8."/>
      <w:lvlJc w:val="left"/>
      <w:pPr>
        <w:ind w:left="5760" w:hanging="360"/>
      </w:pPr>
    </w:lvl>
    <w:lvl w:ilvl="8" w:tplc="0834F270">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3910941E"/>
    <w:lvl w:ilvl="0" w:tplc="D15EAB6A">
      <w:start w:val="1"/>
      <w:numFmt w:val="decimal"/>
      <w:lvlText w:val="%1."/>
      <w:lvlJc w:val="left"/>
      <w:pPr>
        <w:ind w:left="720" w:hanging="360"/>
      </w:pPr>
    </w:lvl>
    <w:lvl w:ilvl="1" w:tplc="9C3AE040">
      <w:start w:val="1"/>
      <w:numFmt w:val="decimal"/>
      <w:lvlText w:val="%2."/>
      <w:lvlJc w:val="left"/>
      <w:pPr>
        <w:ind w:left="1440" w:hanging="360"/>
      </w:pPr>
    </w:lvl>
    <w:lvl w:ilvl="2" w:tplc="A3206C06">
      <w:start w:val="1"/>
      <w:numFmt w:val="lowerRoman"/>
      <w:lvlText w:val="%3."/>
      <w:lvlJc w:val="right"/>
      <w:pPr>
        <w:ind w:left="2160" w:hanging="180"/>
      </w:pPr>
    </w:lvl>
    <w:lvl w:ilvl="3" w:tplc="84C2745A">
      <w:start w:val="1"/>
      <w:numFmt w:val="decimal"/>
      <w:lvlText w:val="%4."/>
      <w:lvlJc w:val="left"/>
      <w:pPr>
        <w:ind w:left="2880" w:hanging="360"/>
      </w:pPr>
    </w:lvl>
    <w:lvl w:ilvl="4" w:tplc="1B366514">
      <w:start w:val="1"/>
      <w:numFmt w:val="lowerLetter"/>
      <w:lvlText w:val="%5."/>
      <w:lvlJc w:val="left"/>
      <w:pPr>
        <w:ind w:left="3600" w:hanging="360"/>
      </w:pPr>
    </w:lvl>
    <w:lvl w:ilvl="5" w:tplc="25349AB4">
      <w:start w:val="1"/>
      <w:numFmt w:val="lowerRoman"/>
      <w:lvlText w:val="%6."/>
      <w:lvlJc w:val="right"/>
      <w:pPr>
        <w:ind w:left="4320" w:hanging="180"/>
      </w:pPr>
    </w:lvl>
    <w:lvl w:ilvl="6" w:tplc="52B8C080">
      <w:start w:val="1"/>
      <w:numFmt w:val="decimal"/>
      <w:lvlText w:val="%7."/>
      <w:lvlJc w:val="left"/>
      <w:pPr>
        <w:ind w:left="5040" w:hanging="360"/>
      </w:pPr>
    </w:lvl>
    <w:lvl w:ilvl="7" w:tplc="6EC024F4">
      <w:start w:val="1"/>
      <w:numFmt w:val="lowerLetter"/>
      <w:lvlText w:val="%8."/>
      <w:lvlJc w:val="left"/>
      <w:pPr>
        <w:ind w:left="5760" w:hanging="360"/>
      </w:pPr>
    </w:lvl>
    <w:lvl w:ilvl="8" w:tplc="0DE43E8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3492896">
    <w:abstractNumId w:val="47"/>
  </w:num>
  <w:num w:numId="2" w16cid:durableId="1801419928">
    <w:abstractNumId w:val="10"/>
  </w:num>
  <w:num w:numId="3" w16cid:durableId="496304864">
    <w:abstractNumId w:val="1"/>
    <w:lvlOverride w:ilvl="0">
      <w:lvl w:ilvl="0">
        <w:start w:val="1"/>
        <w:numFmt w:val="bullet"/>
        <w:lvlText w:val=""/>
        <w:lvlJc w:val="left"/>
        <w:pPr>
          <w:ind w:left="720" w:hanging="360"/>
        </w:pPr>
        <w:rPr>
          <w:rFonts w:ascii="Symbol" w:hAnsi="Symbol" w:hint="default"/>
        </w:rPr>
      </w:lvl>
    </w:lvlOverride>
  </w:num>
  <w:num w:numId="4" w16cid:durableId="1502623639">
    <w:abstractNumId w:val="22"/>
  </w:num>
  <w:num w:numId="5" w16cid:durableId="1064910257">
    <w:abstractNumId w:val="44"/>
  </w:num>
  <w:num w:numId="6" w16cid:durableId="1746952133">
    <w:abstractNumId w:val="46"/>
  </w:num>
  <w:num w:numId="7" w16cid:durableId="50272774">
    <w:abstractNumId w:val="34"/>
  </w:num>
  <w:num w:numId="8" w16cid:durableId="58332302">
    <w:abstractNumId w:val="32"/>
  </w:num>
  <w:num w:numId="9" w16cid:durableId="1021860785">
    <w:abstractNumId w:val="29"/>
  </w:num>
  <w:num w:numId="10" w16cid:durableId="1228614764">
    <w:abstractNumId w:val="30"/>
  </w:num>
  <w:num w:numId="11" w16cid:durableId="1742024233">
    <w:abstractNumId w:val="9"/>
  </w:num>
  <w:num w:numId="12" w16cid:durableId="1134250195">
    <w:abstractNumId w:val="33"/>
  </w:num>
  <w:num w:numId="13" w16cid:durableId="1094596620">
    <w:abstractNumId w:val="17"/>
  </w:num>
  <w:num w:numId="14" w16cid:durableId="500195215">
    <w:abstractNumId w:val="16"/>
  </w:num>
  <w:num w:numId="15" w16cid:durableId="748845775">
    <w:abstractNumId w:val="26"/>
  </w:num>
  <w:num w:numId="16" w16cid:durableId="999310514">
    <w:abstractNumId w:val="7"/>
  </w:num>
  <w:num w:numId="17" w16cid:durableId="1888493525">
    <w:abstractNumId w:val="25"/>
  </w:num>
  <w:num w:numId="18" w16cid:durableId="1247426138">
    <w:abstractNumId w:val="15"/>
  </w:num>
  <w:num w:numId="19" w16cid:durableId="1626354249">
    <w:abstractNumId w:val="13"/>
  </w:num>
  <w:num w:numId="20" w16cid:durableId="333109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423525871">
    <w:abstractNumId w:val="23"/>
  </w:num>
  <w:num w:numId="22" w16cid:durableId="154683961">
    <w:abstractNumId w:val="18"/>
  </w:num>
  <w:num w:numId="23" w16cid:durableId="1121068153">
    <w:abstractNumId w:val="14"/>
  </w:num>
  <w:num w:numId="24" w16cid:durableId="780953753">
    <w:abstractNumId w:val="11"/>
  </w:num>
  <w:num w:numId="25" w16cid:durableId="539048262">
    <w:abstractNumId w:val="27"/>
  </w:num>
  <w:num w:numId="26" w16cid:durableId="1917738471">
    <w:abstractNumId w:val="19"/>
  </w:num>
  <w:num w:numId="27" w16cid:durableId="1117290335">
    <w:abstractNumId w:val="40"/>
  </w:num>
  <w:num w:numId="28" w16cid:durableId="813913786">
    <w:abstractNumId w:val="35"/>
  </w:num>
  <w:num w:numId="29" w16cid:durableId="1913468253">
    <w:abstractNumId w:val="39"/>
  </w:num>
  <w:num w:numId="30" w16cid:durableId="1082332229">
    <w:abstractNumId w:val="20"/>
  </w:num>
  <w:num w:numId="31" w16cid:durableId="1336566789">
    <w:abstractNumId w:val="42"/>
  </w:num>
  <w:num w:numId="32" w16cid:durableId="801652050">
    <w:abstractNumId w:val="31"/>
  </w:num>
  <w:num w:numId="33" w16cid:durableId="1730373047">
    <w:abstractNumId w:val="12"/>
  </w:num>
  <w:num w:numId="34" w16cid:durableId="516769655">
    <w:abstractNumId w:val="43"/>
  </w:num>
  <w:num w:numId="35" w16cid:durableId="2133936866">
    <w:abstractNumId w:val="38"/>
  </w:num>
  <w:num w:numId="36" w16cid:durableId="1356152145">
    <w:abstractNumId w:val="4"/>
  </w:num>
  <w:num w:numId="37" w16cid:durableId="2134517204">
    <w:abstractNumId w:val="45"/>
  </w:num>
  <w:num w:numId="38" w16cid:durableId="1437864652">
    <w:abstractNumId w:val="41"/>
  </w:num>
  <w:num w:numId="39" w16cid:durableId="520318564">
    <w:abstractNumId w:val="36"/>
  </w:num>
  <w:num w:numId="40" w16cid:durableId="1409035608">
    <w:abstractNumId w:val="37"/>
  </w:num>
  <w:num w:numId="41" w16cid:durableId="1437794625">
    <w:abstractNumId w:val="3"/>
  </w:num>
  <w:num w:numId="42" w16cid:durableId="914900567">
    <w:abstractNumId w:val="5"/>
  </w:num>
  <w:num w:numId="43" w16cid:durableId="110788102">
    <w:abstractNumId w:val="24"/>
  </w:num>
  <w:num w:numId="44" w16cid:durableId="613171191">
    <w:abstractNumId w:val="6"/>
  </w:num>
  <w:num w:numId="45" w16cid:durableId="1037197897">
    <w:abstractNumId w:val="2"/>
  </w:num>
  <w:num w:numId="46" w16cid:durableId="23410882">
    <w:abstractNumId w:val="0"/>
  </w:num>
  <w:num w:numId="47" w16cid:durableId="1290822124">
    <w:abstractNumId w:val="21"/>
  </w:num>
  <w:num w:numId="48" w16cid:durableId="1585843517">
    <w:abstractNumId w:val="28"/>
  </w:num>
  <w:num w:numId="49" w16cid:durableId="203646669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9DB"/>
    <w:rsid w:val="00026FAB"/>
    <w:rsid w:val="00027B1F"/>
    <w:rsid w:val="0003088B"/>
    <w:rsid w:val="00030A87"/>
    <w:rsid w:val="000325D9"/>
    <w:rsid w:val="000372B2"/>
    <w:rsid w:val="0004079F"/>
    <w:rsid w:val="0004348E"/>
    <w:rsid w:val="00045B87"/>
    <w:rsid w:val="00045C07"/>
    <w:rsid w:val="00052D4A"/>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3A3C"/>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6665"/>
    <w:rsid w:val="00147DE3"/>
    <w:rsid w:val="00150794"/>
    <w:rsid w:val="001608C4"/>
    <w:rsid w:val="00171418"/>
    <w:rsid w:val="00190913"/>
    <w:rsid w:val="001961CF"/>
    <w:rsid w:val="001A20F5"/>
    <w:rsid w:val="001A59BB"/>
    <w:rsid w:val="001A6A51"/>
    <w:rsid w:val="001A79C4"/>
    <w:rsid w:val="001B331A"/>
    <w:rsid w:val="001C0E74"/>
    <w:rsid w:val="001C6CEC"/>
    <w:rsid w:val="001D229F"/>
    <w:rsid w:val="001D6162"/>
    <w:rsid w:val="001E6FAD"/>
    <w:rsid w:val="001E7592"/>
    <w:rsid w:val="001F3878"/>
    <w:rsid w:val="001F4552"/>
    <w:rsid w:val="001F48BF"/>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57A1C"/>
    <w:rsid w:val="002657E9"/>
    <w:rsid w:val="0026665E"/>
    <w:rsid w:val="00270992"/>
    <w:rsid w:val="00270EEB"/>
    <w:rsid w:val="0027147E"/>
    <w:rsid w:val="00274DE8"/>
    <w:rsid w:val="002761F4"/>
    <w:rsid w:val="002775E1"/>
    <w:rsid w:val="002777B9"/>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517E"/>
    <w:rsid w:val="00332F54"/>
    <w:rsid w:val="00335FC5"/>
    <w:rsid w:val="00340A92"/>
    <w:rsid w:val="00340E9A"/>
    <w:rsid w:val="003516C0"/>
    <w:rsid w:val="00352E59"/>
    <w:rsid w:val="00354DBE"/>
    <w:rsid w:val="00355210"/>
    <w:rsid w:val="003555D5"/>
    <w:rsid w:val="00365DF9"/>
    <w:rsid w:val="0036668D"/>
    <w:rsid w:val="00372DB4"/>
    <w:rsid w:val="00373BF9"/>
    <w:rsid w:val="0037490C"/>
    <w:rsid w:val="00375AF5"/>
    <w:rsid w:val="003761BD"/>
    <w:rsid w:val="003769F6"/>
    <w:rsid w:val="003828AB"/>
    <w:rsid w:val="00385414"/>
    <w:rsid w:val="00390074"/>
    <w:rsid w:val="0039252C"/>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813"/>
    <w:rsid w:val="003E16D7"/>
    <w:rsid w:val="003E197E"/>
    <w:rsid w:val="003F02A6"/>
    <w:rsid w:val="004046F0"/>
    <w:rsid w:val="0040668F"/>
    <w:rsid w:val="00412677"/>
    <w:rsid w:val="00417925"/>
    <w:rsid w:val="004348AE"/>
    <w:rsid w:val="00435E9A"/>
    <w:rsid w:val="004362A2"/>
    <w:rsid w:val="004376C0"/>
    <w:rsid w:val="0044115F"/>
    <w:rsid w:val="0044223A"/>
    <w:rsid w:val="00445EC3"/>
    <w:rsid w:val="00446792"/>
    <w:rsid w:val="00446F80"/>
    <w:rsid w:val="00450C83"/>
    <w:rsid w:val="00451851"/>
    <w:rsid w:val="00453343"/>
    <w:rsid w:val="004608B9"/>
    <w:rsid w:val="00460ADB"/>
    <w:rsid w:val="00463580"/>
    <w:rsid w:val="00465947"/>
    <w:rsid w:val="004672C1"/>
    <w:rsid w:val="00470AC1"/>
    <w:rsid w:val="00470BB1"/>
    <w:rsid w:val="004718F7"/>
    <w:rsid w:val="00473153"/>
    <w:rsid w:val="004743AF"/>
    <w:rsid w:val="00481072"/>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361B"/>
    <w:rsid w:val="004C72CB"/>
    <w:rsid w:val="004D03C4"/>
    <w:rsid w:val="004D0BF1"/>
    <w:rsid w:val="004D24D2"/>
    <w:rsid w:val="004D35A4"/>
    <w:rsid w:val="004D445F"/>
    <w:rsid w:val="004E087B"/>
    <w:rsid w:val="004E44A4"/>
    <w:rsid w:val="004E7B8B"/>
    <w:rsid w:val="004E7BDD"/>
    <w:rsid w:val="004F1E21"/>
    <w:rsid w:val="004F616A"/>
    <w:rsid w:val="004F740D"/>
    <w:rsid w:val="004F7B8F"/>
    <w:rsid w:val="00500748"/>
    <w:rsid w:val="005011D6"/>
    <w:rsid w:val="0050167A"/>
    <w:rsid w:val="005042F1"/>
    <w:rsid w:val="00510D6A"/>
    <w:rsid w:val="00513C7D"/>
    <w:rsid w:val="005169D1"/>
    <w:rsid w:val="00521123"/>
    <w:rsid w:val="00521221"/>
    <w:rsid w:val="00531BA0"/>
    <w:rsid w:val="00536FA9"/>
    <w:rsid w:val="005414F4"/>
    <w:rsid w:val="0054342F"/>
    <w:rsid w:val="00546187"/>
    <w:rsid w:val="005463F1"/>
    <w:rsid w:val="00557D77"/>
    <w:rsid w:val="00562EAA"/>
    <w:rsid w:val="00563B58"/>
    <w:rsid w:val="005640C4"/>
    <w:rsid w:val="00564C53"/>
    <w:rsid w:val="0056684C"/>
    <w:rsid w:val="00574A0C"/>
    <w:rsid w:val="00576E4C"/>
    <w:rsid w:val="0057780F"/>
    <w:rsid w:val="00581E0A"/>
    <w:rsid w:val="00582870"/>
    <w:rsid w:val="00584A2A"/>
    <w:rsid w:val="00586D89"/>
    <w:rsid w:val="005916B8"/>
    <w:rsid w:val="00593D00"/>
    <w:rsid w:val="005A1B4C"/>
    <w:rsid w:val="005A1BA3"/>
    <w:rsid w:val="005A545C"/>
    <w:rsid w:val="005A7D96"/>
    <w:rsid w:val="005C1567"/>
    <w:rsid w:val="005C6CE5"/>
    <w:rsid w:val="005C76DE"/>
    <w:rsid w:val="005D3F07"/>
    <w:rsid w:val="005D583E"/>
    <w:rsid w:val="005E13EA"/>
    <w:rsid w:val="005E53BD"/>
    <w:rsid w:val="005F617F"/>
    <w:rsid w:val="00606E27"/>
    <w:rsid w:val="006108C9"/>
    <w:rsid w:val="00615C7E"/>
    <w:rsid w:val="0062158D"/>
    <w:rsid w:val="00626E86"/>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134D"/>
    <w:rsid w:val="006B5E67"/>
    <w:rsid w:val="006C2EB5"/>
    <w:rsid w:val="006D18A3"/>
    <w:rsid w:val="006D5970"/>
    <w:rsid w:val="006E1C7A"/>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8FF"/>
    <w:rsid w:val="007B0DE3"/>
    <w:rsid w:val="007B26F9"/>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1246"/>
    <w:rsid w:val="007F3F7E"/>
    <w:rsid w:val="007F5497"/>
    <w:rsid w:val="00813CEC"/>
    <w:rsid w:val="0081534C"/>
    <w:rsid w:val="008171E4"/>
    <w:rsid w:val="008208EA"/>
    <w:rsid w:val="00823756"/>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60D"/>
    <w:rsid w:val="008522C1"/>
    <w:rsid w:val="0085230E"/>
    <w:rsid w:val="0085355E"/>
    <w:rsid w:val="008550A1"/>
    <w:rsid w:val="00861035"/>
    <w:rsid w:val="00861038"/>
    <w:rsid w:val="00862C7D"/>
    <w:rsid w:val="00865008"/>
    <w:rsid w:val="00866B50"/>
    <w:rsid w:val="00867BE7"/>
    <w:rsid w:val="008708F1"/>
    <w:rsid w:val="0087582D"/>
    <w:rsid w:val="00876FFF"/>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16F60"/>
    <w:rsid w:val="00920E5B"/>
    <w:rsid w:val="009249F8"/>
    <w:rsid w:val="00926436"/>
    <w:rsid w:val="0093018C"/>
    <w:rsid w:val="00932CCA"/>
    <w:rsid w:val="0093775B"/>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3B83"/>
    <w:rsid w:val="00A00081"/>
    <w:rsid w:val="00A015F7"/>
    <w:rsid w:val="00A10D56"/>
    <w:rsid w:val="00A12AAE"/>
    <w:rsid w:val="00A16DD1"/>
    <w:rsid w:val="00A221AB"/>
    <w:rsid w:val="00A22441"/>
    <w:rsid w:val="00A23F3B"/>
    <w:rsid w:val="00A24406"/>
    <w:rsid w:val="00A25F64"/>
    <w:rsid w:val="00A27CC2"/>
    <w:rsid w:val="00A3273B"/>
    <w:rsid w:val="00A36BDD"/>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529"/>
    <w:rsid w:val="00B31C91"/>
    <w:rsid w:val="00B3747F"/>
    <w:rsid w:val="00B43194"/>
    <w:rsid w:val="00B47734"/>
    <w:rsid w:val="00B50FBA"/>
    <w:rsid w:val="00B558EB"/>
    <w:rsid w:val="00B577D3"/>
    <w:rsid w:val="00B60466"/>
    <w:rsid w:val="00B6548F"/>
    <w:rsid w:val="00B7502A"/>
    <w:rsid w:val="00B77305"/>
    <w:rsid w:val="00B82CC2"/>
    <w:rsid w:val="00B84A89"/>
    <w:rsid w:val="00B86F95"/>
    <w:rsid w:val="00B92BEF"/>
    <w:rsid w:val="00B9689A"/>
    <w:rsid w:val="00BA074B"/>
    <w:rsid w:val="00BA1B64"/>
    <w:rsid w:val="00BA1FFA"/>
    <w:rsid w:val="00BA2666"/>
    <w:rsid w:val="00BA3021"/>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EC3"/>
    <w:rsid w:val="00C01D14"/>
    <w:rsid w:val="00C025B4"/>
    <w:rsid w:val="00C0275F"/>
    <w:rsid w:val="00C11F61"/>
    <w:rsid w:val="00C161FD"/>
    <w:rsid w:val="00C16F25"/>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5EF"/>
    <w:rsid w:val="00C63D00"/>
    <w:rsid w:val="00C6441B"/>
    <w:rsid w:val="00C7108B"/>
    <w:rsid w:val="00C8089F"/>
    <w:rsid w:val="00C814CB"/>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646E"/>
    <w:rsid w:val="00D5733C"/>
    <w:rsid w:val="00D607EF"/>
    <w:rsid w:val="00D60F88"/>
    <w:rsid w:val="00D625E7"/>
    <w:rsid w:val="00D646BD"/>
    <w:rsid w:val="00D70239"/>
    <w:rsid w:val="00D71201"/>
    <w:rsid w:val="00D720C7"/>
    <w:rsid w:val="00D77A04"/>
    <w:rsid w:val="00D81D06"/>
    <w:rsid w:val="00D8652C"/>
    <w:rsid w:val="00D876E6"/>
    <w:rsid w:val="00D914A7"/>
    <w:rsid w:val="00DA1025"/>
    <w:rsid w:val="00DA22EC"/>
    <w:rsid w:val="00DA5860"/>
    <w:rsid w:val="00DB2767"/>
    <w:rsid w:val="00DC23F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24A2"/>
    <w:rsid w:val="00F53F27"/>
    <w:rsid w:val="00F546D1"/>
    <w:rsid w:val="00F6513F"/>
    <w:rsid w:val="00F66272"/>
    <w:rsid w:val="00F6ACA0"/>
    <w:rsid w:val="00F709C0"/>
    <w:rsid w:val="00F71CC1"/>
    <w:rsid w:val="00F7439F"/>
    <w:rsid w:val="00F8610A"/>
    <w:rsid w:val="00F878D8"/>
    <w:rsid w:val="00F927A1"/>
    <w:rsid w:val="00F92E4D"/>
    <w:rsid w:val="00F94392"/>
    <w:rsid w:val="00FA3764"/>
    <w:rsid w:val="00FA56ED"/>
    <w:rsid w:val="00FB4CAD"/>
    <w:rsid w:val="00FB5FA6"/>
    <w:rsid w:val="00FB7358"/>
    <w:rsid w:val="00FC1310"/>
    <w:rsid w:val="00FC1328"/>
    <w:rsid w:val="00FC2FF3"/>
    <w:rsid w:val="00FC3263"/>
    <w:rsid w:val="00FC51F9"/>
    <w:rsid w:val="00FC5B40"/>
    <w:rsid w:val="00FC5FF8"/>
    <w:rsid w:val="00FC702B"/>
    <w:rsid w:val="00FD193A"/>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8T15:38:01.718"/>
    </inkml:context>
    <inkml:brush xml:id="br0">
      <inkml:brushProperty name="width" value="0.05" units="cm"/>
      <inkml:brushProperty name="height" value="0.05" units="cm"/>
    </inkml:brush>
  </inkml:definitions>
  <inkml:trace contextRef="#ctx0" brushRef="#br0">554 1388 24575,'0'0'0,"0"0"0,22 19 0,-9-11 0,2-1 0,-1 0 0,1-1 0,0 0 0,0-1 0,0-1 0,1 0 0,-1-2 0,1 1 0,16-1 0,7-1 0,-1-1 0,1-3 0,38-6 0,-20-2 0,0-2 0,0-2 0,-2-3 0,0-3 0,64-33 0,-52 17 0,-2-2 0,-2-3 0,91-79 0,-68 41 0,-3-4 0,-4-4 0,-4-3 0,-4-3 0,71-125 0,-43 40 0,-78 137 0,-3-1 0,19-62 0,-36 101 0,5-29 0,-6 32 0,0 1 0,0-1 0,0 1 0,0-1 0,0 0 0,0 1 0,0-1 0,0 1 0,0-1 0,0 0 0,0 1 0,-1-1 0,1 1 0,0-1 0,0 1 0,-1-1 0,1 1 0,0-1 0,-1 1 0,1-1 0,-1 1 0,1-1 0,0 1 0,-1-1 0,1 1 0,-1 0 0,1-1 0,-1 1 0,1 0 0,-1 0 0,1-1 0,-1 1 0,0 0 0,1 0 0,-1 0 0,1 0 0,-1-1 0,0 1 0,1 0 0,-1 0 0,1 0 0,-1 0 0,0 1 0,1-1 0,-1 0 0,1 0 0,-2 0 0,-12 5 0,1 0 0,0 0 0,0 1 0,0 1 0,0 0 0,-11 9 0,-4 1 0,-796 535 0,689-458 0,-570 427 0,498-364 0,-144 85 0,346-239 0,-16 9 0,20-12 0,1 1 0,-1-1 0,0 0 0,0 1 0,0-1 0,1 0 0,-1 1 0,0-1 0,0 0 0,0 0 0,0 0 0,0 0 0,0 0 0,0 0 0,1 0 0,-1 0 0,0 0 0,0 0 0,-1-1 0,11-14 0,40-37 0,1 2 0,3 2 0,2 3 0,94-61 0,-112 82 0,1 2 0,1 1 0,1 2 0,43-14 0,-63 27 0,0 0 0,0 2 0,1 0 0,-1 1 0,1 1 0,0 1 0,0 1 0,-1 1 0,1 0 0,38 9 0,-24 1 0,1 1 0,-2 2 0,1 1 0,-2 2 0,0 1 0,59 45 0,163 159 0,-170-141 0,84 78 0,-126-122 0,2-2 0,51 30 0,-79-54 0,2-1 0,-1-1 0,1-1 0,1 0 0,-1-2 0,1 0 0,0-1 0,1-1 0,-1 0 0,1-2 0,-1-1 0,1 0 0,0-2 0,0 0 0,-1-1 0,1-1 0,-1-1 0,0-1 0,31-12 0,-6-2 0,-2-1 0,0-3 0,-1-1 0,-2-2 0,0-2 0,57-54 0,-41 28 0,-2-2 0,-3-3 0,59-88 0,31-89 0,-61 95 0,-80 141 0,0-1 0,1 0 0,-1 0 0,0 0 0,1 0 0,-1 1 0,1-1 0,-1 0 0,1 0 0,-1 1 0,1-1 0,0 1 0,-1-1 0,1 0 0,0 1 0,0-1 0,-1 1 0,1-1 0,0 1 0,1-1 0,5 14 0,3 10 0,-6-18 0,-1 0 0,1-1 0,1 0 0,-1 0 0,0 0 0,1 0 0,0-1 0,0 0 0,0 0 0,0 0 0,0-1 0,10 4 0,-5-3 0,0-1 0,1 0 0,-1 0 0,0-1 0,1 0 0,17-2 0,-1-2 0,1-2 0,-1 0 0,0-2 0,39-15 0,-25 5 0,-1-1 0,-1-1 0,-1-3 0,-1-1 0,-1-2 0,0-1 0,58-58 0,-72 61 0,-1-1 0,-1-1 0,-2-1 0,29-51 0,-37 56 0,0-1 0,-2 0 0,0 0 0,-1 0 0,-2-1 0,0 0 0,1-27 0,-5 33 0,0 1 0,-2-1 0,-3-27 0,3 39 0,0-1 0,0 0 0,-1 1 0,0-1 0,0 1 0,0 0 0,0 0 0,-1 0 0,0 0 0,0 0 0,0 0 0,-1 1 0,0-1 0,-4-3 0,6 6 0,0 1 0,0 0 0,1 0 0,-1 0 0,0 0 0,0 0 0,0 0 0,0 1 0,0-1 0,0 1 0,0-1 0,-1 1 0,1 0 0,0 0 0,0 0 0,0 0 0,0 0 0,0 0 0,0 1 0,0-1 0,-1 1 0,1-1 0,0 1 0,0 0 0,1 0 0,-1 0 0,0 0 0,0 0 0,0 0 0,1 0 0,-1 1 0,0-1 0,-1 2 0,-3 4 0,0-1 0,0 1 0,0 0 0,1 0 0,0 1 0,-6 13 0,3-3 0,1 1 0,0 0 0,2 0 0,0 1 0,2-1 0,0 1 0,1 0 0,1 0 0,0 0 0,2 0 0,1 0 0,0 0 0,1 0 0,1-1 0,1 1 0,1-1 0,13 29 0,-9-25 0,0-1 0,2-1 0,1 1 0,0-2 0,2 0 0,0 0 0,1-2 0,1 0 0,1-1 0,0 0 0,1-2 0,1 0 0,41 23 0,-43-30 0,0 0 0,0-1 0,1-1 0,0-1 0,0-1 0,0 0 0,1-1 0,-1-2 0,1 0 0,24-2 0,-18-1 0,0-2 0,0-1 0,0-1 0,-1-1 0,0-1 0,0-2 0,25-12 0,-16 3 0,-1 0 0,0-3 0,-2 0 0,-1-2 0,0-2 0,-2 0 0,-1-2 0,-1-1 0,-2-1 0,31-48 0,-40 53 0,-2-1 0,16-38 0,-24 50 0,-1 0 0,0-1 0,-1 1 0,0-1 0,-1 1 0,0-22 0,-2 31 0,0 1 0,-1-1 0,1 0 0,-1 1 0,0 0 0,-1-1 0,1 1 0,0 0 0,-1-1 0,-3-4 0,4 7 0,-1 0 0,1 1 0,0-1 0,-1 0 0,0 1 0,1-1 0,-1 1 0,0-1 0,0 1 0,0 0 0,0 0 0,0 0 0,0 0 0,0 0 0,0 0 0,0 0 0,-1 1 0,1-1 0,0 1 0,0 0 0,-1 0 0,-2-1 0,-4 2 0,0 0 0,-1 1 0,1 0 0,0 0 0,0 1 0,0 0 0,0 1 0,1 0 0,-1 0 0,-13 10 0,-5 4 0,-44 42 0,39-30 0,1 1 0,2 2 0,1 1 0,2 1 0,1 1 0,2 2 0,1 0 0,-29 75 0,46-101 0,1 1 0,0 0 0,1 0 0,1 1 0,0-1 0,0 0 0,2 1 0,1 23 0,0-31 0,0 0 0,0 0 0,1 0 0,0-1 0,0 1 0,0 0 0,1-1 0,0 0 0,0 1 0,0-1 0,1 0 0,0 0 0,0-1 0,0 1 0,0-1 0,1 0 0,-1 0 0,1 0 0,0-1 0,0 0 0,9 4 0,3 1 0,1-2 0,0 0 0,0-2 0,0 1 0,1-2 0,-1-1 0,1 0 0,0-1 0,0-1 0,23-3 0,12-4 0,-1-2 0,72-21 0,-32 1 0,-1-5 0,-2-4 0,144-83 0,237-184 0,-262 163 0,-30 31 0,-135 87 0,1 2 0,56-18 0,-77 32 0,0 0 0,0 2 0,1 1 0,0 1 0,0 1 0,0 1 0,0 1 0,0 1 0,0 2 0,0 0 0,0 2 0,0 0 0,0 2 0,35 13 0,-22-2 0,-1 2 0,0 1 0,-2 2 0,-1 1 0,0 2 0,-2 1 0,-1 2 0,51 57 0,-39-33 0,-3 1 0,-2 2 0,-2 2 0,49 107 0,-63-115 0,-3 0 0,-2 1 0,-2 1 0,-3 0 0,-1 1 0,-3 0 0,1 58 0,-8-80 0,-2-1 0,0 1 0,-2-1 0,-2 0 0,-1 0 0,0 0 0,-3-1 0,0 0 0,-2 0 0,0-1 0,-2-1 0,-1 0 0,-2 0 0,-20 26 0,17-30-13,-1 0 0,-1-1 0,-1-1 0,0-1 1,-2-2-1,-38 24 0,26-22-33,-1 0 1,-1-3 0,-1-1-1,-43 10 1,1-7-73,-1-3 0,-1-4 1,0-4-1,-90-4 0,-47-11-323,-252-42 1,-220-72-875,175 28 1477,237 52-622,-514-9 0,490 56 479,-90-1-206,9-23-707,192-3-2375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30</Pages>
  <Words>7499</Words>
  <Characters>43480</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Rimes,Luke swp8077</cp:lastModifiedBy>
  <cp:revision>30</cp:revision>
  <cp:lastPrinted>2014-08-26T08:55:00Z</cp:lastPrinted>
  <dcterms:created xsi:type="dcterms:W3CDTF">2023-05-08T12:46:00Z</dcterms:created>
  <dcterms:modified xsi:type="dcterms:W3CDTF">2023-05-08T15:50:00Z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2022-12-24T12:49:48Z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3365dfb6-911d-46e9-9378-9f86cc181fdc</vt:lpwstr>
  </property>
  <property fmtid="{D5CDD505-2E9C-101B-9397-08002B2CF9AE}" pid="9" name="MSIP_Label_66cf8fe5-b7b7-4df7-b38d-1c61ac2f6639_ContentBits">
    <vt:lpwstr>0</vt:lpwstr>
  </property>
</Properties>
</file>