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5A97C1" w14:textId="2FC78F71" w:rsidR="00ED241E" w:rsidRPr="00ED241E" w:rsidRDefault="00ED241E" w:rsidP="001A7620">
      <w:pPr>
        <w:jc w:val="center"/>
        <w:rPr>
          <w:rFonts w:ascii="Arial" w:eastAsia="Arial" w:hAnsi="Arial" w:cs="Arial"/>
          <w:b/>
          <w:bCs/>
          <w:sz w:val="32"/>
          <w:szCs w:val="32"/>
        </w:rPr>
      </w:pPr>
      <w:r w:rsidRPr="00ED241E">
        <w:rPr>
          <w:rFonts w:ascii="Arial" w:eastAsia="Arial" w:hAnsi="Arial" w:cs="Arial"/>
          <w:b/>
          <w:bCs/>
          <w:noProof/>
          <w:sz w:val="32"/>
          <w:szCs w:val="32"/>
          <w:lang w:val="en-IN"/>
        </w:rPr>
        <w:drawing>
          <wp:inline distT="0" distB="0" distL="0" distR="0" wp14:anchorId="7DE9B891" wp14:editId="5BBE54C9">
            <wp:extent cx="3381375" cy="1352550"/>
            <wp:effectExtent l="0" t="0" r="9525" b="0"/>
            <wp:docPr id="858866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322353B9" w14:textId="77777777" w:rsidR="00B43BDF" w:rsidRDefault="00B43BDF">
      <w:pPr>
        <w:jc w:val="center"/>
        <w:rPr>
          <w:rFonts w:ascii="Arial" w:eastAsia="Arial" w:hAnsi="Arial" w:cs="Arial"/>
          <w:b/>
          <w:bCs/>
          <w:sz w:val="32"/>
          <w:szCs w:val="32"/>
        </w:rPr>
      </w:pPr>
    </w:p>
    <w:p w14:paraId="104FA6A5" w14:textId="77777777" w:rsidR="00B43BDF" w:rsidRDefault="00B43BDF">
      <w:pPr>
        <w:jc w:val="center"/>
        <w:rPr>
          <w:rFonts w:ascii="Arial" w:eastAsia="Arial" w:hAnsi="Arial" w:cs="Arial"/>
          <w:b/>
          <w:bCs/>
          <w:sz w:val="32"/>
          <w:szCs w:val="32"/>
        </w:rPr>
      </w:pPr>
    </w:p>
    <w:p w14:paraId="5AB8B186" w14:textId="77777777" w:rsidR="00B43BDF" w:rsidRDefault="001A7620">
      <w:pPr>
        <w:jc w:val="center"/>
        <w:rPr>
          <w:rFonts w:ascii="Arial" w:eastAsia="Arial" w:hAnsi="Arial" w:cs="Arial"/>
          <w:b/>
          <w:bCs/>
          <w:sz w:val="32"/>
          <w:szCs w:val="32"/>
        </w:rPr>
      </w:pPr>
      <w:r>
        <w:rPr>
          <w:rFonts w:ascii="Arial" w:eastAsia="Arial" w:hAnsi="Arial" w:cs="Arial"/>
          <w:b/>
          <w:bCs/>
          <w:sz w:val="32"/>
          <w:szCs w:val="32"/>
        </w:rPr>
        <w:t>University Name: University of Wales Trinity Saint David</w:t>
      </w:r>
    </w:p>
    <w:p w14:paraId="7A7F5A9C" w14:textId="77777777" w:rsidR="00B43BDF" w:rsidRDefault="001A7620">
      <w:pPr>
        <w:jc w:val="center"/>
        <w:rPr>
          <w:rFonts w:ascii="Arial" w:eastAsia="Arial" w:hAnsi="Arial" w:cs="Arial"/>
          <w:b/>
          <w:bCs/>
          <w:sz w:val="32"/>
          <w:szCs w:val="32"/>
        </w:rPr>
      </w:pPr>
      <w:r>
        <w:rPr>
          <w:rFonts w:ascii="Arial" w:eastAsia="Arial" w:hAnsi="Arial" w:cs="Arial"/>
          <w:b/>
          <w:bCs/>
          <w:sz w:val="32"/>
          <w:szCs w:val="32"/>
        </w:rPr>
        <w:t>Programme: Master of Business Administration (MBA)</w:t>
      </w:r>
    </w:p>
    <w:p w14:paraId="1ADE5BB5" w14:textId="77777777" w:rsidR="00220F6C" w:rsidRDefault="001A7620" w:rsidP="00220F6C">
      <w:pPr>
        <w:jc w:val="center"/>
        <w:rPr>
          <w:rFonts w:ascii="Arial" w:eastAsia="Arial" w:hAnsi="Arial" w:cs="Arial"/>
          <w:b/>
        </w:rPr>
      </w:pPr>
      <w:r>
        <w:rPr>
          <w:rFonts w:ascii="Arial" w:eastAsia="Arial" w:hAnsi="Arial" w:cs="Arial"/>
          <w:b/>
          <w:bCs/>
        </w:rPr>
        <w:t xml:space="preserve">Student Name: </w:t>
      </w:r>
      <w:r w:rsidR="00220F6C">
        <w:rPr>
          <w:rFonts w:ascii="Arial" w:eastAsia="Arial" w:hAnsi="Arial" w:cs="Arial"/>
          <w:b/>
        </w:rPr>
        <w:t>HIRABEN RAMA MODHVADIYA</w:t>
      </w:r>
    </w:p>
    <w:p w14:paraId="09060DBC" w14:textId="5F70F722" w:rsidR="001A7620" w:rsidRPr="001A7620" w:rsidRDefault="001A7620" w:rsidP="00220F6C">
      <w:pPr>
        <w:jc w:val="center"/>
        <w:rPr>
          <w:rFonts w:ascii="Arial" w:eastAsia="Arial" w:hAnsi="Arial" w:cs="Arial"/>
          <w:b/>
        </w:rPr>
      </w:pPr>
      <w:r>
        <w:rPr>
          <w:rFonts w:ascii="Arial" w:eastAsia="Arial" w:hAnsi="Arial" w:cs="Arial"/>
          <w:b/>
          <w:bCs/>
        </w:rPr>
        <w:t>Student ID: 2532030</w:t>
      </w:r>
    </w:p>
    <w:p w14:paraId="02C41952" w14:textId="77777777" w:rsidR="00B43BDF" w:rsidRDefault="001A7620">
      <w:pPr>
        <w:jc w:val="center"/>
        <w:rPr>
          <w:rFonts w:ascii="Arial" w:eastAsia="Arial" w:hAnsi="Arial" w:cs="Arial"/>
          <w:b/>
          <w:bCs/>
          <w:sz w:val="32"/>
          <w:szCs w:val="32"/>
        </w:rPr>
      </w:pPr>
      <w:r>
        <w:rPr>
          <w:rFonts w:ascii="Arial" w:eastAsia="Arial" w:hAnsi="Arial" w:cs="Arial"/>
          <w:b/>
          <w:bCs/>
          <w:sz w:val="32"/>
          <w:szCs w:val="32"/>
        </w:rPr>
        <w:t>Module Title: Financial Management</w:t>
      </w:r>
    </w:p>
    <w:p w14:paraId="380C2200" w14:textId="77777777" w:rsidR="00B43BDF" w:rsidRDefault="001A7620">
      <w:pPr>
        <w:jc w:val="center"/>
        <w:rPr>
          <w:rFonts w:ascii="Arial" w:eastAsia="Arial" w:hAnsi="Arial" w:cs="Arial"/>
          <w:b/>
          <w:bCs/>
          <w:sz w:val="32"/>
          <w:szCs w:val="32"/>
        </w:rPr>
      </w:pPr>
      <w:r>
        <w:rPr>
          <w:rFonts w:ascii="Arial" w:eastAsia="Arial" w:hAnsi="Arial" w:cs="Arial"/>
          <w:b/>
          <w:bCs/>
          <w:sz w:val="32"/>
          <w:szCs w:val="32"/>
        </w:rPr>
        <w:t>Module Code: LCMB7002</w:t>
      </w:r>
    </w:p>
    <w:p w14:paraId="0BAC4521" w14:textId="6AE4AC1F" w:rsidR="00220F6C" w:rsidRDefault="00220F6C">
      <w:pPr>
        <w:jc w:val="center"/>
        <w:rPr>
          <w:rFonts w:ascii="Arial" w:eastAsia="Arial" w:hAnsi="Arial" w:cs="Arial"/>
          <w:b/>
          <w:bCs/>
          <w:sz w:val="32"/>
          <w:szCs w:val="32"/>
        </w:rPr>
      </w:pPr>
      <w:r>
        <w:rPr>
          <w:rFonts w:ascii="Arial" w:eastAsia="Arial" w:hAnsi="Arial" w:cs="Arial"/>
          <w:b/>
          <w:bCs/>
        </w:rPr>
        <w:t xml:space="preserve">Lecturer Name: </w:t>
      </w:r>
      <w:r>
        <w:rPr>
          <w:rFonts w:ascii="Arial" w:eastAsia="Arial" w:hAnsi="Arial" w:cs="Arial"/>
          <w:b/>
        </w:rPr>
        <w:t xml:space="preserve"> MD KALAM</w:t>
      </w:r>
    </w:p>
    <w:p w14:paraId="44813138" w14:textId="77777777" w:rsidR="00B43BDF" w:rsidRDefault="001A7620">
      <w:pPr>
        <w:jc w:val="center"/>
        <w:rPr>
          <w:rFonts w:ascii="Arial" w:eastAsia="Arial" w:hAnsi="Arial" w:cs="Arial"/>
          <w:b/>
          <w:bCs/>
          <w:sz w:val="32"/>
          <w:szCs w:val="32"/>
        </w:rPr>
      </w:pPr>
      <w:r>
        <w:rPr>
          <w:rFonts w:ascii="Arial" w:eastAsia="Arial" w:hAnsi="Arial" w:cs="Arial"/>
          <w:b/>
          <w:bCs/>
          <w:sz w:val="32"/>
          <w:szCs w:val="32"/>
        </w:rPr>
        <w:t>Assessment Title: Strategic CFO Challenge – Financial Performance and Management</w:t>
      </w:r>
    </w:p>
    <w:p w14:paraId="2B4A0C4F" w14:textId="77777777" w:rsidR="00B43BDF" w:rsidRDefault="001A7620">
      <w:pPr>
        <w:jc w:val="center"/>
        <w:rPr>
          <w:rFonts w:ascii="Arial" w:eastAsia="Arial" w:hAnsi="Arial" w:cs="Arial"/>
          <w:b/>
          <w:bCs/>
          <w:sz w:val="32"/>
          <w:szCs w:val="32"/>
        </w:rPr>
      </w:pPr>
      <w:r>
        <w:rPr>
          <w:rFonts w:ascii="Arial" w:eastAsia="Arial" w:hAnsi="Arial" w:cs="Arial"/>
          <w:b/>
          <w:bCs/>
          <w:sz w:val="32"/>
          <w:szCs w:val="32"/>
        </w:rPr>
        <w:t>Selected Company: Tesla Inc.</w:t>
      </w:r>
    </w:p>
    <w:p w14:paraId="0B13F79B" w14:textId="77777777" w:rsidR="00B43BDF" w:rsidRDefault="001A7620">
      <w:pPr>
        <w:jc w:val="center"/>
        <w:rPr>
          <w:rFonts w:ascii="Arial" w:eastAsia="Arial" w:hAnsi="Arial" w:cs="Arial"/>
        </w:rPr>
      </w:pPr>
      <w:bookmarkStart w:id="0" w:name="_GoBack"/>
      <w:bookmarkEnd w:id="0"/>
      <w:r>
        <w:rPr>
          <w:rFonts w:ascii="Arial" w:eastAsia="Arial" w:hAnsi="Arial" w:cs="Arial"/>
          <w:b/>
          <w:bCs/>
        </w:rPr>
        <w:t xml:space="preserve">Submission Date: </w:t>
      </w:r>
      <w:r>
        <w:rPr>
          <w:rFonts w:ascii="Arial" w:eastAsia="Arial" w:hAnsi="Arial" w:cs="Arial"/>
        </w:rPr>
        <w:t>24 April 2026</w:t>
      </w:r>
    </w:p>
    <w:p w14:paraId="180EBF1E" w14:textId="763E4C8B" w:rsidR="00B43BDF" w:rsidRDefault="001A7620">
      <w:pPr>
        <w:jc w:val="center"/>
        <w:rPr>
          <w:rFonts w:ascii="Arial" w:eastAsia="Arial" w:hAnsi="Arial" w:cs="Arial"/>
        </w:rPr>
      </w:pPr>
      <w:r>
        <w:br w:type="page"/>
      </w:r>
    </w:p>
    <w:p w14:paraId="08C69228" w14:textId="77777777" w:rsidR="00B43BDF" w:rsidRDefault="001A7620">
      <w:pPr>
        <w:jc w:val="center"/>
        <w:rPr>
          <w:rFonts w:ascii="Arial" w:eastAsia="Arial" w:hAnsi="Arial" w:cs="Arial"/>
        </w:rPr>
      </w:pPr>
      <w:r>
        <w:rPr>
          <w:rFonts w:ascii="Arial" w:eastAsia="Arial" w:hAnsi="Arial" w:cs="Arial"/>
          <w:b/>
          <w:bCs/>
          <w:sz w:val="28"/>
          <w:szCs w:val="28"/>
        </w:rPr>
        <w:lastRenderedPageBreak/>
        <w:t xml:space="preserve">Executive Summary </w:t>
      </w:r>
    </w:p>
    <w:p w14:paraId="44E1BB1C" w14:textId="1F275840" w:rsidR="00B43BDF" w:rsidRDefault="001A7620">
      <w:pPr>
        <w:rPr>
          <w:rFonts w:ascii="Arial" w:eastAsia="Arial" w:hAnsi="Arial" w:cs="Arial"/>
        </w:rPr>
      </w:pPr>
      <w:r>
        <w:rPr>
          <w:rFonts w:ascii="Arial" w:eastAsia="Arial" w:hAnsi="Arial" w:cs="Arial"/>
        </w:rPr>
        <w:t xml:space="preserve">Financial performance and strategic position of Tesla Inc. in 2020-24 is estimated to analyze the financial health, the working capital management, restructuring strategies, investment appraisal and the key financial performance indicators. The analysis indicates the increased revenues and assets, which is justified by the increasing operating cash flows, which symbolise the high demand on the market and the successful scaling. </w:t>
      </w:r>
      <w:r w:rsidR="008E71D7">
        <w:rPr>
          <w:rFonts w:ascii="Arial" w:eastAsia="Arial" w:hAnsi="Arial" w:cs="Arial"/>
        </w:rPr>
        <w:t>But</w:t>
      </w:r>
      <w:r>
        <w:rPr>
          <w:rFonts w:ascii="Arial" w:eastAsia="Arial" w:hAnsi="Arial" w:cs="Arial"/>
        </w:rPr>
        <w:t xml:space="preserve"> eroding profitability and margin squeeze point to rising competition and cost pressures. Ratio analysis indicates that liquidity is improved and the financial risk is less, but efficiency indicators indicate that areas of operation must be enhanced. The working capital analysis shows that the cash operating cycle is on the rise, which means a decrease in the liquidity efficiency, and proposed reforms are grounded on the optimisation of inventory, management of receivables and suppliers. The restructuring plan has a more cost-efficient, equity financing, and strategic partnerships-oriented approach to enhance flexibility and long-term growth. Project C is the most favourable when it comes to investment appraisal, and a combination of Projects B and C is limited by capital constraints. In general, Tesla is financially resilient, but it should focus on profitability and efficiency to maintain a competitive advantage.</w:t>
      </w:r>
    </w:p>
    <w:p w14:paraId="22D3EBF4" w14:textId="77777777" w:rsidR="00B43BDF" w:rsidRDefault="001A7620">
      <w:pPr>
        <w:rPr>
          <w:rFonts w:ascii="Arial" w:eastAsia="Arial" w:hAnsi="Arial" w:cs="Arial"/>
        </w:rPr>
      </w:pPr>
      <w:r>
        <w:br w:type="page"/>
      </w:r>
    </w:p>
    <w:p w14:paraId="370FADC2" w14:textId="77777777" w:rsidR="00B43BDF" w:rsidRDefault="001A7620">
      <w:pPr>
        <w:jc w:val="center"/>
        <w:rPr>
          <w:rFonts w:ascii="Arial" w:eastAsia="Arial" w:hAnsi="Arial" w:cs="Arial"/>
          <w:b/>
          <w:bCs/>
          <w:sz w:val="28"/>
          <w:szCs w:val="28"/>
        </w:rPr>
      </w:pPr>
      <w:r>
        <w:rPr>
          <w:rFonts w:ascii="Arial" w:eastAsia="Arial" w:hAnsi="Arial" w:cs="Arial"/>
          <w:b/>
          <w:bCs/>
          <w:sz w:val="28"/>
          <w:szCs w:val="28"/>
        </w:rPr>
        <w:lastRenderedPageBreak/>
        <w:t>Table of Contents</w:t>
      </w:r>
    </w:p>
    <w:sdt>
      <w:sdtPr>
        <w:id w:val="648874953"/>
        <w:docPartObj>
          <w:docPartGallery w:val="Table of Contents"/>
          <w:docPartUnique/>
        </w:docPartObj>
      </w:sdtPr>
      <w:sdtContent>
        <w:p w14:paraId="63A24231" w14:textId="795A3714" w:rsidR="008E71D7" w:rsidRPr="008E71D7" w:rsidRDefault="001A7620" w:rsidP="008E71D7">
          <w:pPr>
            <w:pStyle w:val="TOC1"/>
            <w:tabs>
              <w:tab w:val="right" w:leader="dot" w:pos="9019"/>
            </w:tabs>
            <w:spacing w:before="0" w:after="0"/>
            <w:rPr>
              <w:rFonts w:ascii="Arial" w:hAnsi="Arial" w:cs="Arial"/>
              <w:noProof/>
            </w:rPr>
          </w:pPr>
          <w:r>
            <w:fldChar w:fldCharType="begin"/>
          </w:r>
          <w:r>
            <w:instrText xml:space="preserve"> TOC \h \u \z \t "Heading 1,1,Heading 2,2,Heading 3,3,Heading 4,4,Heading 5,5,Heading 6,6,"</w:instrText>
          </w:r>
          <w:r>
            <w:fldChar w:fldCharType="separate"/>
          </w:r>
          <w:hyperlink w:anchor="_Toc227622045" w:history="1">
            <w:r w:rsidR="008E71D7" w:rsidRPr="008E71D7">
              <w:rPr>
                <w:rStyle w:val="Hyperlink"/>
                <w:rFonts w:ascii="Arial" w:hAnsi="Arial" w:cs="Arial"/>
                <w:noProof/>
              </w:rPr>
              <w:t>1. Introduction</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_Toc227622045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3</w:t>
            </w:r>
            <w:r w:rsidR="008E71D7" w:rsidRPr="008E71D7">
              <w:rPr>
                <w:rFonts w:ascii="Arial" w:hAnsi="Arial" w:cs="Arial"/>
                <w:noProof/>
                <w:webHidden/>
              </w:rPr>
              <w:fldChar w:fldCharType="end"/>
            </w:r>
          </w:hyperlink>
        </w:p>
        <w:p w14:paraId="62D22D36" w14:textId="3A04DF1D" w:rsidR="008E71D7" w:rsidRPr="008E71D7" w:rsidRDefault="001A7620" w:rsidP="008E71D7">
          <w:pPr>
            <w:pStyle w:val="TOC1"/>
            <w:tabs>
              <w:tab w:val="right" w:leader="dot" w:pos="9019"/>
            </w:tabs>
            <w:spacing w:before="0" w:after="0"/>
            <w:rPr>
              <w:rFonts w:ascii="Arial" w:hAnsi="Arial" w:cs="Arial"/>
              <w:noProof/>
            </w:rPr>
          </w:pPr>
          <w:hyperlink w:anchor="_Toc227622046" w:history="1">
            <w:r w:rsidR="008E71D7" w:rsidRPr="008E71D7">
              <w:rPr>
                <w:rStyle w:val="Hyperlink"/>
                <w:rFonts w:ascii="Arial" w:hAnsi="Arial" w:cs="Arial"/>
                <w:noProof/>
              </w:rPr>
              <w:t>2. Financial Health Check</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_Toc227622046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3</w:t>
            </w:r>
            <w:r w:rsidR="008E71D7" w:rsidRPr="008E71D7">
              <w:rPr>
                <w:rFonts w:ascii="Arial" w:hAnsi="Arial" w:cs="Arial"/>
                <w:noProof/>
                <w:webHidden/>
              </w:rPr>
              <w:fldChar w:fldCharType="end"/>
            </w:r>
          </w:hyperlink>
        </w:p>
        <w:p w14:paraId="341D6189" w14:textId="2F25B0A2" w:rsidR="008E71D7" w:rsidRPr="008E71D7" w:rsidRDefault="001A7620" w:rsidP="008E71D7">
          <w:pPr>
            <w:pStyle w:val="TOC2"/>
            <w:tabs>
              <w:tab w:val="right" w:leader="dot" w:pos="9019"/>
            </w:tabs>
            <w:spacing w:before="0" w:after="0"/>
            <w:rPr>
              <w:rFonts w:ascii="Arial" w:hAnsi="Arial" w:cs="Arial"/>
              <w:noProof/>
            </w:rPr>
          </w:pPr>
          <w:hyperlink w:anchor="_Toc227622047" w:history="1">
            <w:r w:rsidR="008E71D7" w:rsidRPr="008E71D7">
              <w:rPr>
                <w:rStyle w:val="Hyperlink"/>
                <w:rFonts w:ascii="Arial" w:hAnsi="Arial" w:cs="Arial"/>
                <w:noProof/>
              </w:rPr>
              <w:t>2.1 Tesla’s Past Five-Year Financial Statements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_Toc227622047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3</w:t>
            </w:r>
            <w:r w:rsidR="008E71D7" w:rsidRPr="008E71D7">
              <w:rPr>
                <w:rFonts w:ascii="Arial" w:hAnsi="Arial" w:cs="Arial"/>
                <w:noProof/>
                <w:webHidden/>
              </w:rPr>
              <w:fldChar w:fldCharType="end"/>
            </w:r>
          </w:hyperlink>
        </w:p>
        <w:p w14:paraId="66339457" w14:textId="6403515C" w:rsidR="008E71D7" w:rsidRPr="008E71D7" w:rsidRDefault="001A7620" w:rsidP="008E71D7">
          <w:pPr>
            <w:pStyle w:val="TOC2"/>
            <w:tabs>
              <w:tab w:val="right" w:leader="dot" w:pos="9019"/>
            </w:tabs>
            <w:spacing w:before="0" w:after="0"/>
            <w:rPr>
              <w:rFonts w:ascii="Arial" w:hAnsi="Arial" w:cs="Arial"/>
              <w:noProof/>
            </w:rPr>
          </w:pPr>
          <w:hyperlink w:anchor="_Toc227622048" w:history="1">
            <w:r w:rsidR="008E71D7" w:rsidRPr="008E71D7">
              <w:rPr>
                <w:rStyle w:val="Hyperlink"/>
                <w:rFonts w:ascii="Arial" w:hAnsi="Arial" w:cs="Arial"/>
                <w:noProof/>
              </w:rPr>
              <w:t>2.2 Performance of Full Ratio Analysis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_Toc227622048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7</w:t>
            </w:r>
            <w:r w:rsidR="008E71D7" w:rsidRPr="008E71D7">
              <w:rPr>
                <w:rFonts w:ascii="Arial" w:hAnsi="Arial" w:cs="Arial"/>
                <w:noProof/>
                <w:webHidden/>
              </w:rPr>
              <w:fldChar w:fldCharType="end"/>
            </w:r>
          </w:hyperlink>
        </w:p>
        <w:p w14:paraId="63CECA0F" w14:textId="7E3BC405" w:rsidR="008E71D7" w:rsidRPr="008E71D7" w:rsidRDefault="001A7620" w:rsidP="008E71D7">
          <w:pPr>
            <w:pStyle w:val="TOC2"/>
            <w:tabs>
              <w:tab w:val="right" w:leader="dot" w:pos="9019"/>
            </w:tabs>
            <w:spacing w:before="0" w:after="0"/>
            <w:rPr>
              <w:rFonts w:ascii="Arial" w:hAnsi="Arial" w:cs="Arial"/>
              <w:noProof/>
            </w:rPr>
          </w:pPr>
          <w:hyperlink w:anchor="_Toc227622049" w:history="1">
            <w:r w:rsidR="008E71D7" w:rsidRPr="008E71D7">
              <w:rPr>
                <w:rStyle w:val="Hyperlink"/>
                <w:rFonts w:ascii="Arial" w:hAnsi="Arial" w:cs="Arial"/>
                <w:noProof/>
              </w:rPr>
              <w:t>2.3 Identify Trends, Strengths, as well as Threats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_Toc227622049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9</w:t>
            </w:r>
            <w:r w:rsidR="008E71D7" w:rsidRPr="008E71D7">
              <w:rPr>
                <w:rFonts w:ascii="Arial" w:hAnsi="Arial" w:cs="Arial"/>
                <w:noProof/>
                <w:webHidden/>
              </w:rPr>
              <w:fldChar w:fldCharType="end"/>
            </w:r>
          </w:hyperlink>
        </w:p>
        <w:p w14:paraId="0F2A9657" w14:textId="0B603FC9" w:rsidR="008E71D7" w:rsidRPr="008E71D7" w:rsidRDefault="001A7620" w:rsidP="008E71D7">
          <w:pPr>
            <w:pStyle w:val="TOC1"/>
            <w:tabs>
              <w:tab w:val="right" w:leader="dot" w:pos="9019"/>
            </w:tabs>
            <w:spacing w:before="0" w:after="0"/>
            <w:rPr>
              <w:rFonts w:ascii="Arial" w:hAnsi="Arial" w:cs="Arial"/>
              <w:noProof/>
            </w:rPr>
          </w:pPr>
          <w:hyperlink w:anchor="_Toc227622050" w:history="1">
            <w:r w:rsidR="008E71D7" w:rsidRPr="008E71D7">
              <w:rPr>
                <w:rStyle w:val="Hyperlink"/>
                <w:rFonts w:ascii="Arial" w:hAnsi="Arial" w:cs="Arial"/>
                <w:noProof/>
              </w:rPr>
              <w:t>3. Working Capital Management Analysis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_Toc227622050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11</w:t>
            </w:r>
            <w:r w:rsidR="008E71D7" w:rsidRPr="008E71D7">
              <w:rPr>
                <w:rFonts w:ascii="Arial" w:hAnsi="Arial" w:cs="Arial"/>
                <w:noProof/>
                <w:webHidden/>
              </w:rPr>
              <w:fldChar w:fldCharType="end"/>
            </w:r>
          </w:hyperlink>
        </w:p>
        <w:p w14:paraId="6FD648DE" w14:textId="197315CB" w:rsidR="008E71D7" w:rsidRPr="008E71D7" w:rsidRDefault="001A7620" w:rsidP="008E71D7">
          <w:pPr>
            <w:pStyle w:val="TOC2"/>
            <w:tabs>
              <w:tab w:val="right" w:leader="dot" w:pos="9019"/>
            </w:tabs>
            <w:spacing w:before="0" w:after="0"/>
            <w:rPr>
              <w:rFonts w:ascii="Arial" w:hAnsi="Arial" w:cs="Arial"/>
              <w:noProof/>
            </w:rPr>
          </w:pPr>
          <w:hyperlink w:anchor="_Toc227622051" w:history="1">
            <w:r w:rsidR="008E71D7" w:rsidRPr="008E71D7">
              <w:rPr>
                <w:rStyle w:val="Hyperlink"/>
                <w:rFonts w:ascii="Arial" w:hAnsi="Arial" w:cs="Arial"/>
                <w:noProof/>
              </w:rPr>
              <w:t>3.1 Assessment of Cash Operating Cycle</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_Toc227622051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11</w:t>
            </w:r>
            <w:r w:rsidR="008E71D7" w:rsidRPr="008E71D7">
              <w:rPr>
                <w:rFonts w:ascii="Arial" w:hAnsi="Arial" w:cs="Arial"/>
                <w:noProof/>
                <w:webHidden/>
              </w:rPr>
              <w:fldChar w:fldCharType="end"/>
            </w:r>
          </w:hyperlink>
        </w:p>
        <w:p w14:paraId="0AB64E82" w14:textId="7C79A906" w:rsidR="008E71D7" w:rsidRPr="008E71D7" w:rsidRDefault="001A7620" w:rsidP="008E71D7">
          <w:pPr>
            <w:pStyle w:val="TOC2"/>
            <w:tabs>
              <w:tab w:val="right" w:leader="dot" w:pos="9019"/>
            </w:tabs>
            <w:spacing w:before="0" w:after="0"/>
            <w:rPr>
              <w:rFonts w:ascii="Arial" w:hAnsi="Arial" w:cs="Arial"/>
              <w:noProof/>
            </w:rPr>
          </w:pPr>
          <w:hyperlink w:anchor="_Toc227622052" w:history="1">
            <w:r w:rsidR="008E71D7" w:rsidRPr="008E71D7">
              <w:rPr>
                <w:rStyle w:val="Hyperlink"/>
                <w:rFonts w:ascii="Arial" w:hAnsi="Arial" w:cs="Arial"/>
                <w:noProof/>
              </w:rPr>
              <w:t>3.2 Recommendations to Improve Liquidity</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_Toc227622052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12</w:t>
            </w:r>
            <w:r w:rsidR="008E71D7" w:rsidRPr="008E71D7">
              <w:rPr>
                <w:rFonts w:ascii="Arial" w:hAnsi="Arial" w:cs="Arial"/>
                <w:noProof/>
                <w:webHidden/>
              </w:rPr>
              <w:fldChar w:fldCharType="end"/>
            </w:r>
          </w:hyperlink>
        </w:p>
        <w:p w14:paraId="0EEE8D66" w14:textId="43B45034" w:rsidR="008E71D7" w:rsidRPr="008E71D7" w:rsidRDefault="001A7620" w:rsidP="008E71D7">
          <w:pPr>
            <w:pStyle w:val="TOC2"/>
            <w:tabs>
              <w:tab w:val="right" w:leader="dot" w:pos="9019"/>
            </w:tabs>
            <w:spacing w:before="0" w:after="0"/>
            <w:rPr>
              <w:rFonts w:ascii="Arial" w:hAnsi="Arial" w:cs="Arial"/>
              <w:noProof/>
            </w:rPr>
          </w:pPr>
          <w:hyperlink w:anchor="_Toc227622053" w:history="1">
            <w:r w:rsidR="008E71D7" w:rsidRPr="008E71D7">
              <w:rPr>
                <w:rStyle w:val="Hyperlink"/>
                <w:rFonts w:ascii="Arial" w:hAnsi="Arial" w:cs="Arial"/>
                <w:noProof/>
              </w:rPr>
              <w:t>3.3 Comparison of Short-Term vs Long-Term Financing Options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_Toc227622053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12</w:t>
            </w:r>
            <w:r w:rsidR="008E71D7" w:rsidRPr="008E71D7">
              <w:rPr>
                <w:rFonts w:ascii="Arial" w:hAnsi="Arial" w:cs="Arial"/>
                <w:noProof/>
                <w:webHidden/>
              </w:rPr>
              <w:fldChar w:fldCharType="end"/>
            </w:r>
          </w:hyperlink>
        </w:p>
        <w:p w14:paraId="70B3300F" w14:textId="54D752B3" w:rsidR="008E71D7" w:rsidRPr="008E71D7" w:rsidRDefault="001A7620" w:rsidP="008E71D7">
          <w:pPr>
            <w:pStyle w:val="TOC1"/>
            <w:tabs>
              <w:tab w:val="right" w:leader="dot" w:pos="9019"/>
            </w:tabs>
            <w:spacing w:before="0" w:after="0"/>
            <w:rPr>
              <w:rFonts w:ascii="Arial" w:hAnsi="Arial" w:cs="Arial"/>
              <w:noProof/>
            </w:rPr>
          </w:pPr>
          <w:hyperlink w:anchor="_Toc227622054" w:history="1">
            <w:r w:rsidR="008E71D7" w:rsidRPr="008E71D7">
              <w:rPr>
                <w:rStyle w:val="Hyperlink"/>
                <w:rFonts w:ascii="Arial" w:hAnsi="Arial" w:cs="Arial"/>
                <w:noProof/>
              </w:rPr>
              <w:t>4. Strategic Financial Restructuring Plan</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_Toc227622054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13</w:t>
            </w:r>
            <w:r w:rsidR="008E71D7" w:rsidRPr="008E71D7">
              <w:rPr>
                <w:rFonts w:ascii="Arial" w:hAnsi="Arial" w:cs="Arial"/>
                <w:noProof/>
                <w:webHidden/>
              </w:rPr>
              <w:fldChar w:fldCharType="end"/>
            </w:r>
          </w:hyperlink>
        </w:p>
        <w:p w14:paraId="25479D85" w14:textId="75751E60" w:rsidR="008E71D7" w:rsidRPr="008E71D7" w:rsidRDefault="001A7620" w:rsidP="008E71D7">
          <w:pPr>
            <w:pStyle w:val="TOC2"/>
            <w:tabs>
              <w:tab w:val="right" w:leader="dot" w:pos="9019"/>
            </w:tabs>
            <w:spacing w:before="0" w:after="0"/>
            <w:rPr>
              <w:rFonts w:ascii="Arial" w:hAnsi="Arial" w:cs="Arial"/>
              <w:noProof/>
            </w:rPr>
          </w:pPr>
          <w:hyperlink w:anchor="_Toc227622055" w:history="1">
            <w:r w:rsidR="008E71D7" w:rsidRPr="008E71D7">
              <w:rPr>
                <w:rStyle w:val="Hyperlink"/>
                <w:rFonts w:ascii="Arial" w:hAnsi="Arial" w:cs="Arial"/>
                <w:noProof/>
              </w:rPr>
              <w:t>4.1 Financial Restructuring Options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_Toc227622055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13</w:t>
            </w:r>
            <w:r w:rsidR="008E71D7" w:rsidRPr="008E71D7">
              <w:rPr>
                <w:rFonts w:ascii="Arial" w:hAnsi="Arial" w:cs="Arial"/>
                <w:noProof/>
                <w:webHidden/>
              </w:rPr>
              <w:fldChar w:fldCharType="end"/>
            </w:r>
          </w:hyperlink>
        </w:p>
        <w:p w14:paraId="4772CAB6" w14:textId="3236ED35" w:rsidR="008E71D7" w:rsidRPr="008E71D7" w:rsidRDefault="001A7620" w:rsidP="008E71D7">
          <w:pPr>
            <w:pStyle w:val="TOC2"/>
            <w:tabs>
              <w:tab w:val="right" w:leader="dot" w:pos="9019"/>
            </w:tabs>
            <w:spacing w:before="0" w:after="0"/>
            <w:rPr>
              <w:rFonts w:ascii="Arial" w:hAnsi="Arial" w:cs="Arial"/>
              <w:noProof/>
            </w:rPr>
          </w:pPr>
          <w:hyperlink w:anchor="_Toc227622056" w:history="1">
            <w:r w:rsidR="008E71D7" w:rsidRPr="008E71D7">
              <w:rPr>
                <w:rStyle w:val="Hyperlink"/>
                <w:rFonts w:ascii="Arial" w:hAnsi="Arial" w:cs="Arial"/>
                <w:noProof/>
              </w:rPr>
              <w:t>4.2 Impact on Shareholder Value, Debt Structure, and Operational Flexibility</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_Toc227622056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14</w:t>
            </w:r>
            <w:r w:rsidR="008E71D7" w:rsidRPr="008E71D7">
              <w:rPr>
                <w:rFonts w:ascii="Arial" w:hAnsi="Arial" w:cs="Arial"/>
                <w:noProof/>
                <w:webHidden/>
              </w:rPr>
              <w:fldChar w:fldCharType="end"/>
            </w:r>
          </w:hyperlink>
        </w:p>
        <w:p w14:paraId="19D78854" w14:textId="28183CBE" w:rsidR="008E71D7" w:rsidRPr="008E71D7" w:rsidRDefault="001A7620" w:rsidP="008E71D7">
          <w:pPr>
            <w:pStyle w:val="TOC2"/>
            <w:tabs>
              <w:tab w:val="right" w:leader="dot" w:pos="9019"/>
            </w:tabs>
            <w:spacing w:before="0" w:after="0"/>
            <w:rPr>
              <w:rFonts w:ascii="Arial" w:hAnsi="Arial" w:cs="Arial"/>
              <w:noProof/>
            </w:rPr>
          </w:pPr>
          <w:hyperlink w:anchor="_Toc227622057" w:history="1">
            <w:r w:rsidR="008E71D7" w:rsidRPr="008E71D7">
              <w:rPr>
                <w:rStyle w:val="Hyperlink"/>
                <w:rFonts w:ascii="Arial" w:hAnsi="Arial" w:cs="Arial"/>
                <w:noProof/>
              </w:rPr>
              <w:t>4.3 International and Ethical Considerations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_Toc227622057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15</w:t>
            </w:r>
            <w:r w:rsidR="008E71D7" w:rsidRPr="008E71D7">
              <w:rPr>
                <w:rFonts w:ascii="Arial" w:hAnsi="Arial" w:cs="Arial"/>
                <w:noProof/>
                <w:webHidden/>
              </w:rPr>
              <w:fldChar w:fldCharType="end"/>
            </w:r>
          </w:hyperlink>
        </w:p>
        <w:p w14:paraId="7C95BAAE" w14:textId="01C89A37" w:rsidR="008E71D7" w:rsidRPr="008E71D7" w:rsidRDefault="001A7620" w:rsidP="008E71D7">
          <w:pPr>
            <w:pStyle w:val="TOC1"/>
            <w:tabs>
              <w:tab w:val="right" w:leader="dot" w:pos="9019"/>
            </w:tabs>
            <w:spacing w:before="0" w:after="0"/>
            <w:rPr>
              <w:rFonts w:ascii="Arial" w:hAnsi="Arial" w:cs="Arial"/>
              <w:noProof/>
            </w:rPr>
          </w:pPr>
          <w:hyperlink w:anchor="_Toc227622058" w:history="1">
            <w:r w:rsidR="008E71D7" w:rsidRPr="008E71D7">
              <w:rPr>
                <w:rStyle w:val="Hyperlink"/>
                <w:rFonts w:ascii="Arial" w:hAnsi="Arial" w:cs="Arial"/>
                <w:noProof/>
              </w:rPr>
              <w:t>5. Investment Appraisal and Capital Budgeting</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_Toc227622058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16</w:t>
            </w:r>
            <w:r w:rsidR="008E71D7" w:rsidRPr="008E71D7">
              <w:rPr>
                <w:rFonts w:ascii="Arial" w:hAnsi="Arial" w:cs="Arial"/>
                <w:noProof/>
                <w:webHidden/>
              </w:rPr>
              <w:fldChar w:fldCharType="end"/>
            </w:r>
          </w:hyperlink>
        </w:p>
        <w:p w14:paraId="17279FF2" w14:textId="6D18C580" w:rsidR="008E71D7" w:rsidRPr="008E71D7" w:rsidRDefault="001A7620" w:rsidP="008E71D7">
          <w:pPr>
            <w:pStyle w:val="TOC2"/>
            <w:tabs>
              <w:tab w:val="right" w:leader="dot" w:pos="9019"/>
            </w:tabs>
            <w:spacing w:before="0" w:after="0"/>
            <w:rPr>
              <w:rFonts w:ascii="Arial" w:hAnsi="Arial" w:cs="Arial"/>
              <w:noProof/>
            </w:rPr>
          </w:pPr>
          <w:hyperlink w:anchor="_Toc227622059" w:history="1">
            <w:r w:rsidR="008E71D7" w:rsidRPr="008E71D7">
              <w:rPr>
                <w:rStyle w:val="Hyperlink"/>
                <w:rFonts w:ascii="Arial" w:hAnsi="Arial" w:cs="Arial"/>
                <w:noProof/>
              </w:rPr>
              <w:t>5.1 Methodology</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_Toc227622059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16</w:t>
            </w:r>
            <w:r w:rsidR="008E71D7" w:rsidRPr="008E71D7">
              <w:rPr>
                <w:rFonts w:ascii="Arial" w:hAnsi="Arial" w:cs="Arial"/>
                <w:noProof/>
                <w:webHidden/>
              </w:rPr>
              <w:fldChar w:fldCharType="end"/>
            </w:r>
          </w:hyperlink>
        </w:p>
        <w:p w14:paraId="662FCEC5" w14:textId="21C71AE9" w:rsidR="008E71D7" w:rsidRPr="008E71D7" w:rsidRDefault="001A7620" w:rsidP="008E71D7">
          <w:pPr>
            <w:pStyle w:val="TOC2"/>
            <w:tabs>
              <w:tab w:val="right" w:leader="dot" w:pos="9019"/>
            </w:tabs>
            <w:spacing w:before="0" w:after="0"/>
            <w:rPr>
              <w:rFonts w:ascii="Arial" w:hAnsi="Arial" w:cs="Arial"/>
              <w:noProof/>
            </w:rPr>
          </w:pPr>
          <w:hyperlink w:anchor="_Toc227622060" w:history="1">
            <w:r w:rsidR="008E71D7" w:rsidRPr="008E71D7">
              <w:rPr>
                <w:rStyle w:val="Hyperlink"/>
                <w:rFonts w:ascii="Arial" w:hAnsi="Arial" w:cs="Arial"/>
                <w:noProof/>
              </w:rPr>
              <w:t>5.2 Overview of Investment Projects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_Toc227622060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16</w:t>
            </w:r>
            <w:r w:rsidR="008E71D7" w:rsidRPr="008E71D7">
              <w:rPr>
                <w:rFonts w:ascii="Arial" w:hAnsi="Arial" w:cs="Arial"/>
                <w:noProof/>
                <w:webHidden/>
              </w:rPr>
              <w:fldChar w:fldCharType="end"/>
            </w:r>
          </w:hyperlink>
        </w:p>
        <w:p w14:paraId="531C3CD3" w14:textId="3234A9E3" w:rsidR="008E71D7" w:rsidRPr="008E71D7" w:rsidRDefault="001A7620" w:rsidP="008E71D7">
          <w:pPr>
            <w:pStyle w:val="TOC2"/>
            <w:tabs>
              <w:tab w:val="right" w:leader="dot" w:pos="9019"/>
            </w:tabs>
            <w:spacing w:before="0" w:after="0"/>
            <w:rPr>
              <w:rFonts w:ascii="Arial" w:hAnsi="Arial" w:cs="Arial"/>
              <w:noProof/>
            </w:rPr>
          </w:pPr>
          <w:hyperlink w:anchor="_Toc227622061" w:history="1">
            <w:r w:rsidR="008E71D7" w:rsidRPr="008E71D7">
              <w:rPr>
                <w:rStyle w:val="Hyperlink"/>
                <w:rFonts w:ascii="Arial" w:hAnsi="Arial" w:cs="Arial"/>
                <w:noProof/>
              </w:rPr>
              <w:t>5.3 Project Analysis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_Toc227622061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17</w:t>
            </w:r>
            <w:r w:rsidR="008E71D7" w:rsidRPr="008E71D7">
              <w:rPr>
                <w:rFonts w:ascii="Arial" w:hAnsi="Arial" w:cs="Arial"/>
                <w:noProof/>
                <w:webHidden/>
              </w:rPr>
              <w:fldChar w:fldCharType="end"/>
            </w:r>
          </w:hyperlink>
        </w:p>
        <w:p w14:paraId="7D563BA5" w14:textId="158C2BD9" w:rsidR="008E71D7" w:rsidRPr="008E71D7" w:rsidRDefault="001A7620" w:rsidP="008E71D7">
          <w:pPr>
            <w:pStyle w:val="TOC2"/>
            <w:tabs>
              <w:tab w:val="right" w:leader="dot" w:pos="9019"/>
            </w:tabs>
            <w:spacing w:before="0" w:after="0"/>
            <w:rPr>
              <w:rFonts w:ascii="Arial" w:hAnsi="Arial" w:cs="Arial"/>
              <w:noProof/>
            </w:rPr>
          </w:pPr>
          <w:hyperlink w:anchor="_Toc227622062" w:history="1">
            <w:r w:rsidR="008E71D7" w:rsidRPr="008E71D7">
              <w:rPr>
                <w:rStyle w:val="Hyperlink"/>
                <w:rFonts w:ascii="Arial" w:hAnsi="Arial" w:cs="Arial"/>
                <w:noProof/>
              </w:rPr>
              <w:t>5.4 Recommended Project</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_Toc227622062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18</w:t>
            </w:r>
            <w:r w:rsidR="008E71D7" w:rsidRPr="008E71D7">
              <w:rPr>
                <w:rFonts w:ascii="Arial" w:hAnsi="Arial" w:cs="Arial"/>
                <w:noProof/>
                <w:webHidden/>
              </w:rPr>
              <w:fldChar w:fldCharType="end"/>
            </w:r>
          </w:hyperlink>
        </w:p>
        <w:p w14:paraId="703B36B4" w14:textId="00AFA42F" w:rsidR="008E71D7" w:rsidRPr="008E71D7" w:rsidRDefault="001A7620" w:rsidP="008E71D7">
          <w:pPr>
            <w:pStyle w:val="TOC2"/>
            <w:tabs>
              <w:tab w:val="right" w:leader="dot" w:pos="9019"/>
            </w:tabs>
            <w:spacing w:before="0" w:after="0"/>
            <w:rPr>
              <w:rFonts w:ascii="Arial" w:hAnsi="Arial" w:cs="Arial"/>
              <w:noProof/>
            </w:rPr>
          </w:pPr>
          <w:hyperlink w:anchor="_Toc227622063" w:history="1">
            <w:r w:rsidR="008E71D7" w:rsidRPr="008E71D7">
              <w:rPr>
                <w:rStyle w:val="Hyperlink"/>
                <w:rFonts w:ascii="Arial" w:hAnsi="Arial" w:cs="Arial"/>
                <w:noProof/>
              </w:rPr>
              <w:t>5.5 Justification of Recommendation</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_Toc227622063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18</w:t>
            </w:r>
            <w:r w:rsidR="008E71D7" w:rsidRPr="008E71D7">
              <w:rPr>
                <w:rFonts w:ascii="Arial" w:hAnsi="Arial" w:cs="Arial"/>
                <w:noProof/>
                <w:webHidden/>
              </w:rPr>
              <w:fldChar w:fldCharType="end"/>
            </w:r>
          </w:hyperlink>
        </w:p>
        <w:p w14:paraId="2AAE8AB5" w14:textId="11A91215" w:rsidR="008E71D7" w:rsidRPr="008E71D7" w:rsidRDefault="001A7620" w:rsidP="008E71D7">
          <w:pPr>
            <w:pStyle w:val="TOC2"/>
            <w:tabs>
              <w:tab w:val="right" w:leader="dot" w:pos="9019"/>
            </w:tabs>
            <w:spacing w:before="0" w:after="0"/>
            <w:rPr>
              <w:rFonts w:ascii="Arial" w:hAnsi="Arial" w:cs="Arial"/>
              <w:noProof/>
            </w:rPr>
          </w:pPr>
          <w:hyperlink w:anchor="_Toc227622064" w:history="1">
            <w:r w:rsidR="008E71D7" w:rsidRPr="008E71D7">
              <w:rPr>
                <w:rStyle w:val="Hyperlink"/>
                <w:rFonts w:ascii="Arial" w:hAnsi="Arial" w:cs="Arial"/>
                <w:noProof/>
              </w:rPr>
              <w:t>5.6 Best Combination under Capital Constraint</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_Toc227622064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19</w:t>
            </w:r>
            <w:r w:rsidR="008E71D7" w:rsidRPr="008E71D7">
              <w:rPr>
                <w:rFonts w:ascii="Arial" w:hAnsi="Arial" w:cs="Arial"/>
                <w:noProof/>
                <w:webHidden/>
              </w:rPr>
              <w:fldChar w:fldCharType="end"/>
            </w:r>
          </w:hyperlink>
        </w:p>
        <w:p w14:paraId="050C0A37" w14:textId="66CB169C" w:rsidR="008E71D7" w:rsidRPr="008E71D7" w:rsidRDefault="001A7620" w:rsidP="008E71D7">
          <w:pPr>
            <w:pStyle w:val="TOC2"/>
            <w:tabs>
              <w:tab w:val="right" w:leader="dot" w:pos="9019"/>
            </w:tabs>
            <w:spacing w:before="0" w:after="0"/>
            <w:rPr>
              <w:rFonts w:ascii="Arial" w:hAnsi="Arial" w:cs="Arial"/>
              <w:noProof/>
            </w:rPr>
          </w:pPr>
          <w:hyperlink w:anchor="_Toc227622065" w:history="1">
            <w:r w:rsidR="008E71D7" w:rsidRPr="008E71D7">
              <w:rPr>
                <w:rStyle w:val="Hyperlink"/>
                <w:rFonts w:ascii="Arial" w:hAnsi="Arial" w:cs="Arial"/>
                <w:noProof/>
              </w:rPr>
              <w:t>5.7 Justification Using Capital Rationing</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_Toc227622065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19</w:t>
            </w:r>
            <w:r w:rsidR="008E71D7" w:rsidRPr="008E71D7">
              <w:rPr>
                <w:rFonts w:ascii="Arial" w:hAnsi="Arial" w:cs="Arial"/>
                <w:noProof/>
                <w:webHidden/>
              </w:rPr>
              <w:fldChar w:fldCharType="end"/>
            </w:r>
          </w:hyperlink>
        </w:p>
        <w:p w14:paraId="39F085E5" w14:textId="2E44295E" w:rsidR="008E71D7" w:rsidRPr="008E71D7" w:rsidRDefault="001A7620" w:rsidP="008E71D7">
          <w:pPr>
            <w:pStyle w:val="TOC1"/>
            <w:tabs>
              <w:tab w:val="right" w:leader="dot" w:pos="9019"/>
            </w:tabs>
            <w:spacing w:before="0" w:after="0"/>
            <w:rPr>
              <w:rFonts w:ascii="Arial" w:hAnsi="Arial" w:cs="Arial"/>
              <w:noProof/>
            </w:rPr>
          </w:pPr>
          <w:hyperlink w:anchor="_Toc227622066" w:history="1">
            <w:r w:rsidR="008E71D7" w:rsidRPr="008E71D7">
              <w:rPr>
                <w:rStyle w:val="Hyperlink"/>
                <w:rFonts w:ascii="Arial" w:hAnsi="Arial" w:cs="Arial"/>
                <w:noProof/>
              </w:rPr>
              <w:t>6. Conclusion</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_Toc227622066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20</w:t>
            </w:r>
            <w:r w:rsidR="008E71D7" w:rsidRPr="008E71D7">
              <w:rPr>
                <w:rFonts w:ascii="Arial" w:hAnsi="Arial" w:cs="Arial"/>
                <w:noProof/>
                <w:webHidden/>
              </w:rPr>
              <w:fldChar w:fldCharType="end"/>
            </w:r>
          </w:hyperlink>
        </w:p>
        <w:p w14:paraId="5B4D7895" w14:textId="42A17AB3" w:rsidR="008E71D7" w:rsidRPr="008E71D7" w:rsidRDefault="001A7620" w:rsidP="008E71D7">
          <w:pPr>
            <w:pStyle w:val="TOC1"/>
            <w:tabs>
              <w:tab w:val="right" w:leader="dot" w:pos="9019"/>
            </w:tabs>
            <w:spacing w:before="0" w:after="0"/>
            <w:rPr>
              <w:rFonts w:ascii="Arial" w:hAnsi="Arial" w:cs="Arial"/>
              <w:noProof/>
            </w:rPr>
          </w:pPr>
          <w:hyperlink w:anchor="_Toc227622067" w:history="1">
            <w:r w:rsidR="008E71D7" w:rsidRPr="008E71D7">
              <w:rPr>
                <w:rStyle w:val="Hyperlink"/>
                <w:rFonts w:ascii="Arial" w:hAnsi="Arial" w:cs="Arial"/>
                <w:noProof/>
              </w:rPr>
              <w:t>7. References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_Toc227622067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21</w:t>
            </w:r>
            <w:r w:rsidR="008E71D7" w:rsidRPr="008E71D7">
              <w:rPr>
                <w:rFonts w:ascii="Arial" w:hAnsi="Arial" w:cs="Arial"/>
                <w:noProof/>
                <w:webHidden/>
              </w:rPr>
              <w:fldChar w:fldCharType="end"/>
            </w:r>
          </w:hyperlink>
        </w:p>
        <w:p w14:paraId="4617D687" w14:textId="75C747EC" w:rsidR="008E71D7" w:rsidRPr="008E71D7" w:rsidRDefault="001A7620" w:rsidP="008E71D7">
          <w:pPr>
            <w:pStyle w:val="TOC1"/>
            <w:tabs>
              <w:tab w:val="right" w:leader="dot" w:pos="9019"/>
            </w:tabs>
            <w:spacing w:before="0" w:after="0"/>
            <w:rPr>
              <w:rFonts w:ascii="Arial" w:hAnsi="Arial" w:cs="Arial"/>
              <w:noProof/>
            </w:rPr>
          </w:pPr>
          <w:hyperlink w:anchor="_Toc227622068" w:history="1">
            <w:r w:rsidR="008E71D7" w:rsidRPr="008E71D7">
              <w:rPr>
                <w:rStyle w:val="Hyperlink"/>
                <w:rFonts w:ascii="Arial" w:hAnsi="Arial" w:cs="Arial"/>
                <w:noProof/>
              </w:rPr>
              <w:t>8. Appendices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_Toc227622068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24</w:t>
            </w:r>
            <w:r w:rsidR="008E71D7" w:rsidRPr="008E71D7">
              <w:rPr>
                <w:rFonts w:ascii="Arial" w:hAnsi="Arial" w:cs="Arial"/>
                <w:noProof/>
                <w:webHidden/>
              </w:rPr>
              <w:fldChar w:fldCharType="end"/>
            </w:r>
          </w:hyperlink>
        </w:p>
        <w:p w14:paraId="1B8DD030" w14:textId="6940E8C2" w:rsidR="008E71D7" w:rsidRPr="008E71D7" w:rsidRDefault="001A7620" w:rsidP="008E71D7">
          <w:pPr>
            <w:pStyle w:val="TOC2"/>
            <w:tabs>
              <w:tab w:val="right" w:leader="dot" w:pos="9019"/>
            </w:tabs>
            <w:spacing w:before="0" w:after="0"/>
            <w:rPr>
              <w:rFonts w:ascii="Arial" w:hAnsi="Arial" w:cs="Arial"/>
              <w:noProof/>
            </w:rPr>
          </w:pPr>
          <w:hyperlink w:anchor="_Toc227622069" w:history="1">
            <w:r w:rsidR="008E71D7" w:rsidRPr="008E71D7">
              <w:rPr>
                <w:rStyle w:val="Hyperlink"/>
                <w:rFonts w:ascii="Arial" w:hAnsi="Arial" w:cs="Arial"/>
                <w:noProof/>
              </w:rPr>
              <w:t>Appendix 1: Ratio Tables and CCC</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_Toc227622069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24</w:t>
            </w:r>
            <w:r w:rsidR="008E71D7" w:rsidRPr="008E71D7">
              <w:rPr>
                <w:rFonts w:ascii="Arial" w:hAnsi="Arial" w:cs="Arial"/>
                <w:noProof/>
                <w:webHidden/>
              </w:rPr>
              <w:fldChar w:fldCharType="end"/>
            </w:r>
          </w:hyperlink>
        </w:p>
        <w:p w14:paraId="2A787E6E" w14:textId="6977438A" w:rsidR="008E71D7" w:rsidRPr="008E71D7" w:rsidRDefault="001A7620" w:rsidP="008E71D7">
          <w:pPr>
            <w:pStyle w:val="TOC2"/>
            <w:tabs>
              <w:tab w:val="right" w:leader="dot" w:pos="9019"/>
            </w:tabs>
            <w:spacing w:before="0" w:after="0"/>
            <w:rPr>
              <w:rFonts w:ascii="Arial" w:hAnsi="Arial" w:cs="Arial"/>
              <w:noProof/>
            </w:rPr>
          </w:pPr>
          <w:hyperlink w:anchor="_Toc227622070" w:history="1">
            <w:r w:rsidR="008E71D7" w:rsidRPr="008E71D7">
              <w:rPr>
                <w:rStyle w:val="Hyperlink"/>
                <w:rFonts w:ascii="Arial" w:hAnsi="Arial" w:cs="Arial"/>
                <w:noProof/>
              </w:rPr>
              <w:t>Appendix 2: Ratios and CCC Graphs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_Toc227622070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29</w:t>
            </w:r>
            <w:r w:rsidR="008E71D7" w:rsidRPr="008E71D7">
              <w:rPr>
                <w:rFonts w:ascii="Arial" w:hAnsi="Arial" w:cs="Arial"/>
                <w:noProof/>
                <w:webHidden/>
              </w:rPr>
              <w:fldChar w:fldCharType="end"/>
            </w:r>
          </w:hyperlink>
        </w:p>
        <w:p w14:paraId="6B971641" w14:textId="67EDE775" w:rsidR="008E71D7" w:rsidRPr="008E71D7" w:rsidRDefault="001A7620" w:rsidP="008E71D7">
          <w:pPr>
            <w:pStyle w:val="TOC2"/>
            <w:tabs>
              <w:tab w:val="right" w:leader="dot" w:pos="9019"/>
            </w:tabs>
            <w:spacing w:before="0" w:after="0"/>
            <w:rPr>
              <w:rFonts w:ascii="Arial" w:hAnsi="Arial" w:cs="Arial"/>
              <w:noProof/>
            </w:rPr>
          </w:pPr>
          <w:hyperlink w:anchor="_Toc227622071" w:history="1">
            <w:r w:rsidR="008E71D7" w:rsidRPr="008E71D7">
              <w:rPr>
                <w:rStyle w:val="Hyperlink"/>
                <w:rFonts w:ascii="Arial" w:hAnsi="Arial" w:cs="Arial"/>
                <w:noProof/>
              </w:rPr>
              <w:t>Appendix 3: Investment Appraisal Calculations</w:t>
            </w:r>
            <w:r w:rsidR="008E71D7" w:rsidRPr="008E71D7">
              <w:rPr>
                <w:rFonts w:ascii="Arial" w:hAnsi="Arial" w:cs="Arial"/>
                <w:noProof/>
                <w:webHidden/>
              </w:rPr>
              <w:tab/>
            </w:r>
            <w:r w:rsidR="008E71D7" w:rsidRPr="008E71D7">
              <w:rPr>
                <w:rFonts w:ascii="Arial" w:hAnsi="Arial" w:cs="Arial"/>
                <w:noProof/>
                <w:webHidden/>
              </w:rPr>
              <w:fldChar w:fldCharType="begin"/>
            </w:r>
            <w:r w:rsidR="008E71D7" w:rsidRPr="008E71D7">
              <w:rPr>
                <w:rFonts w:ascii="Arial" w:hAnsi="Arial" w:cs="Arial"/>
                <w:noProof/>
                <w:webHidden/>
              </w:rPr>
              <w:instrText xml:space="preserve"> PAGEREF _Toc227622071 \h </w:instrText>
            </w:r>
            <w:r w:rsidR="008E71D7" w:rsidRPr="008E71D7">
              <w:rPr>
                <w:rFonts w:ascii="Arial" w:hAnsi="Arial" w:cs="Arial"/>
                <w:noProof/>
                <w:webHidden/>
              </w:rPr>
            </w:r>
            <w:r w:rsidR="008E71D7" w:rsidRPr="008E71D7">
              <w:rPr>
                <w:rFonts w:ascii="Arial" w:hAnsi="Arial" w:cs="Arial"/>
                <w:noProof/>
                <w:webHidden/>
              </w:rPr>
              <w:fldChar w:fldCharType="separate"/>
            </w:r>
            <w:r w:rsidR="006E7E26">
              <w:rPr>
                <w:rFonts w:ascii="Arial" w:hAnsi="Arial" w:cs="Arial"/>
                <w:noProof/>
                <w:webHidden/>
              </w:rPr>
              <w:t>32</w:t>
            </w:r>
            <w:r w:rsidR="008E71D7" w:rsidRPr="008E71D7">
              <w:rPr>
                <w:rFonts w:ascii="Arial" w:hAnsi="Arial" w:cs="Arial"/>
                <w:noProof/>
                <w:webHidden/>
              </w:rPr>
              <w:fldChar w:fldCharType="end"/>
            </w:r>
          </w:hyperlink>
        </w:p>
        <w:p w14:paraId="3E641335" w14:textId="1E3DA2B8" w:rsidR="00B43BDF" w:rsidRDefault="001A7620">
          <w:pPr>
            <w:widowControl w:val="0"/>
            <w:tabs>
              <w:tab w:val="right" w:leader="dot" w:pos="12000"/>
            </w:tabs>
            <w:spacing w:before="60" w:after="0" w:line="240" w:lineRule="auto"/>
            <w:ind w:left="360"/>
            <w:jc w:val="left"/>
            <w:rPr>
              <w:rFonts w:ascii="Arial" w:eastAsia="Arial" w:hAnsi="Arial" w:cs="Arial"/>
              <w:color w:val="000000"/>
              <w:sz w:val="22"/>
              <w:szCs w:val="22"/>
            </w:rPr>
          </w:pPr>
          <w:r>
            <w:fldChar w:fldCharType="end"/>
          </w:r>
        </w:p>
      </w:sdtContent>
    </w:sdt>
    <w:p w14:paraId="2041AECC" w14:textId="77777777" w:rsidR="00B43BDF" w:rsidRDefault="001A7620">
      <w:pPr>
        <w:rPr>
          <w:rFonts w:ascii="Arial" w:eastAsia="Arial" w:hAnsi="Arial" w:cs="Arial"/>
        </w:rPr>
      </w:pPr>
      <w:r>
        <w:br w:type="page"/>
      </w:r>
    </w:p>
    <w:p w14:paraId="12DB9A16" w14:textId="77777777" w:rsidR="00B43BDF" w:rsidRDefault="001A7620">
      <w:pPr>
        <w:pStyle w:val="Heading1"/>
      </w:pPr>
      <w:bookmarkStart w:id="1" w:name="_Toc227622045"/>
      <w:r>
        <w:lastRenderedPageBreak/>
        <w:t>1. Introduction</w:t>
      </w:r>
      <w:bookmarkEnd w:id="1"/>
    </w:p>
    <w:p w14:paraId="0DB2E688" w14:textId="77777777" w:rsidR="00B43BDF" w:rsidRDefault="001A7620">
      <w:pPr>
        <w:rPr>
          <w:rFonts w:ascii="Arial" w:eastAsia="Arial" w:hAnsi="Arial" w:cs="Arial"/>
        </w:rPr>
      </w:pPr>
      <w:r>
        <w:rPr>
          <w:rFonts w:ascii="Arial" w:eastAsia="Arial" w:hAnsi="Arial" w:cs="Arial"/>
        </w:rPr>
        <w:t>This report discusses the financial stability and position of Tesla Inc. in the next five years (2020-2024). It evaluates the major financial statements, which are the income statement, balance sheet and cash flow statement, with the aid of ratio analysis to determine the profitability, liquidity, efficiency, gearing and cash flow performance. The report also analyses the working capital management, financial restructuring strategies and investment appraisal techniques to facilitate the decision-making. Combining financial and strategic analysis, the report will outline the performance of Tesla, highlight the main risks and opportunities, and suggest recommendations on how the company can promote shareholder value in the long term and achieve sustainable growth.</w:t>
      </w:r>
    </w:p>
    <w:p w14:paraId="2342AD26" w14:textId="77777777" w:rsidR="00B43BDF" w:rsidRDefault="001A7620">
      <w:pPr>
        <w:pStyle w:val="Heading1"/>
      </w:pPr>
      <w:bookmarkStart w:id="2" w:name="_Toc227622046"/>
      <w:r>
        <w:t>2. Financial Health Check</w:t>
      </w:r>
      <w:bookmarkEnd w:id="2"/>
    </w:p>
    <w:p w14:paraId="4FF9580E" w14:textId="77777777" w:rsidR="00B43BDF" w:rsidRDefault="001A7620">
      <w:pPr>
        <w:pStyle w:val="Heading2"/>
      </w:pPr>
      <w:bookmarkStart w:id="3" w:name="_Toc227622047"/>
      <w:r>
        <w:t>2.1 Tesla’s Past Five-Year Financial Statements</w:t>
      </w:r>
      <w:bookmarkEnd w:id="3"/>
    </w:p>
    <w:p w14:paraId="2BB3F557" w14:textId="77777777" w:rsidR="00B43BDF" w:rsidRDefault="001A7620">
      <w:pPr>
        <w:rPr>
          <w:rFonts w:ascii="Arial" w:eastAsia="Arial" w:hAnsi="Arial" w:cs="Arial"/>
          <w:b/>
          <w:bCs/>
          <w:i/>
          <w:iCs/>
          <w:u w:val="single"/>
        </w:rPr>
      </w:pPr>
      <w:r>
        <w:rPr>
          <w:rFonts w:ascii="Arial" w:eastAsia="Arial" w:hAnsi="Arial" w:cs="Arial"/>
          <w:b/>
          <w:bCs/>
          <w:i/>
          <w:iCs/>
          <w:u w:val="single"/>
        </w:rPr>
        <w:t xml:space="preserve">Income Statement: </w:t>
      </w:r>
    </w:p>
    <w:p w14:paraId="31D7E5CB" w14:textId="77777777" w:rsidR="00B43BDF" w:rsidRDefault="001A7620">
      <w:pPr>
        <w:jc w:val="center"/>
        <w:rPr>
          <w:rFonts w:ascii="Arial" w:eastAsia="Arial" w:hAnsi="Arial" w:cs="Arial"/>
        </w:rPr>
      </w:pPr>
      <w:r>
        <w:rPr>
          <w:rFonts w:ascii="Arial" w:eastAsia="Arial" w:hAnsi="Arial" w:cs="Arial"/>
          <w:noProof/>
          <w:lang w:val="en-IN"/>
        </w:rPr>
        <w:lastRenderedPageBreak/>
        <w:drawing>
          <wp:inline distT="114300" distB="114300" distL="114300" distR="114300" wp14:anchorId="0FD4766B" wp14:editId="64CF922D">
            <wp:extent cx="5731200" cy="52324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5232400"/>
                    </a:xfrm>
                    <a:prstGeom prst="rect">
                      <a:avLst/>
                    </a:prstGeom>
                    <a:ln/>
                  </pic:spPr>
                </pic:pic>
              </a:graphicData>
            </a:graphic>
          </wp:inline>
        </w:drawing>
      </w:r>
    </w:p>
    <w:p w14:paraId="429778C2" w14:textId="77777777" w:rsidR="00B43BDF" w:rsidRDefault="001A7620">
      <w:pPr>
        <w:jc w:val="center"/>
        <w:rPr>
          <w:rFonts w:ascii="Arial" w:eastAsia="Arial" w:hAnsi="Arial" w:cs="Arial"/>
          <w:b/>
          <w:bCs/>
        </w:rPr>
      </w:pPr>
      <w:r>
        <w:rPr>
          <w:rFonts w:ascii="Arial" w:eastAsia="Arial" w:hAnsi="Arial" w:cs="Arial"/>
          <w:b/>
          <w:bCs/>
        </w:rPr>
        <w:t>Figure 1: Statement of Income of Tesla</w:t>
      </w:r>
    </w:p>
    <w:p w14:paraId="4800866A" w14:textId="77777777" w:rsidR="00B43BDF" w:rsidRDefault="001A7620">
      <w:pPr>
        <w:jc w:val="center"/>
        <w:rPr>
          <w:rFonts w:ascii="Arial" w:eastAsia="Arial" w:hAnsi="Arial" w:cs="Arial"/>
        </w:rPr>
      </w:pPr>
      <w:r>
        <w:rPr>
          <w:rFonts w:ascii="Arial" w:eastAsia="Arial" w:hAnsi="Arial" w:cs="Arial"/>
        </w:rPr>
        <w:t>(Source: Ms-Excel)</w:t>
      </w:r>
    </w:p>
    <w:p w14:paraId="5731657A" w14:textId="77777777" w:rsidR="00B43BDF" w:rsidRDefault="001A7620">
      <w:pPr>
        <w:rPr>
          <w:rFonts w:ascii="Arial" w:eastAsia="Arial" w:hAnsi="Arial" w:cs="Arial"/>
        </w:rPr>
      </w:pPr>
      <w:r>
        <w:rPr>
          <w:rFonts w:ascii="Arial" w:eastAsia="Arial" w:hAnsi="Arial" w:cs="Arial"/>
        </w:rPr>
        <w:t>The income statement indicates that Tesla experienced good revenue growth of $31,536m (2020) to $97,690m (2024), as the world is fast adopting EVs and experiencing high demand. Profitability was highest in 2022 as net income stood at $12,587m and fell to $7,153m in 2024 owing to the drastic price reductions and increased operating expenses. Gross profit also fell from $20,853m (2022) to $17,450m (2024), indicating margin pressure (Tesla, 2024; Tesla, 2022; Tesla, 2020). The higher expenditure on R&amp;D emphasises its sustained focus on innovation, and changing tax benefits had a strong impact on the net income volatility, especially in 2023.</w:t>
      </w:r>
    </w:p>
    <w:p w14:paraId="1D0ED26A" w14:textId="77777777" w:rsidR="00B43BDF" w:rsidRDefault="001A7620">
      <w:pPr>
        <w:rPr>
          <w:rFonts w:ascii="Arial" w:eastAsia="Arial" w:hAnsi="Arial" w:cs="Arial"/>
          <w:b/>
          <w:bCs/>
          <w:i/>
          <w:iCs/>
          <w:u w:val="single"/>
        </w:rPr>
      </w:pPr>
      <w:r>
        <w:rPr>
          <w:rFonts w:ascii="Arial" w:eastAsia="Arial" w:hAnsi="Arial" w:cs="Arial"/>
          <w:b/>
          <w:bCs/>
          <w:i/>
          <w:iCs/>
          <w:u w:val="single"/>
        </w:rPr>
        <w:lastRenderedPageBreak/>
        <w:t xml:space="preserve">Balance Sheet: </w:t>
      </w:r>
    </w:p>
    <w:p w14:paraId="5CAADEDC" w14:textId="77777777" w:rsidR="00B43BDF" w:rsidRDefault="001A7620">
      <w:pPr>
        <w:jc w:val="center"/>
        <w:rPr>
          <w:rFonts w:ascii="Arial" w:eastAsia="Arial" w:hAnsi="Arial" w:cs="Arial"/>
        </w:rPr>
      </w:pPr>
      <w:r>
        <w:rPr>
          <w:rFonts w:ascii="Arial" w:eastAsia="Arial" w:hAnsi="Arial" w:cs="Arial"/>
          <w:noProof/>
          <w:lang w:val="en-IN"/>
        </w:rPr>
        <w:drawing>
          <wp:inline distT="114300" distB="114300" distL="114300" distR="114300" wp14:anchorId="0A27C81B" wp14:editId="33345BAC">
            <wp:extent cx="5731200" cy="49403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4940300"/>
                    </a:xfrm>
                    <a:prstGeom prst="rect">
                      <a:avLst/>
                    </a:prstGeom>
                    <a:ln/>
                  </pic:spPr>
                </pic:pic>
              </a:graphicData>
            </a:graphic>
          </wp:inline>
        </w:drawing>
      </w:r>
    </w:p>
    <w:p w14:paraId="22347A29" w14:textId="77777777" w:rsidR="00B43BDF" w:rsidRDefault="001A7620">
      <w:pPr>
        <w:jc w:val="center"/>
        <w:rPr>
          <w:rFonts w:ascii="Arial" w:eastAsia="Arial" w:hAnsi="Arial" w:cs="Arial"/>
          <w:b/>
          <w:bCs/>
        </w:rPr>
      </w:pPr>
      <w:r>
        <w:rPr>
          <w:rFonts w:ascii="Arial" w:eastAsia="Arial" w:hAnsi="Arial" w:cs="Arial"/>
          <w:b/>
          <w:bCs/>
        </w:rPr>
        <w:t>Figure 2: Financial Position of Tesla</w:t>
      </w:r>
    </w:p>
    <w:p w14:paraId="523F415F" w14:textId="77777777" w:rsidR="00B43BDF" w:rsidRDefault="001A7620">
      <w:pPr>
        <w:jc w:val="center"/>
        <w:rPr>
          <w:rFonts w:ascii="Arial" w:eastAsia="Arial" w:hAnsi="Arial" w:cs="Arial"/>
        </w:rPr>
      </w:pPr>
      <w:r>
        <w:rPr>
          <w:rFonts w:ascii="Arial" w:eastAsia="Arial" w:hAnsi="Arial" w:cs="Arial"/>
        </w:rPr>
        <w:t>(Source: Ms-Excel)</w:t>
      </w:r>
    </w:p>
    <w:p w14:paraId="5FBBC87B" w14:textId="77777777" w:rsidR="00B43BDF" w:rsidRDefault="001A7620">
      <w:pPr>
        <w:rPr>
          <w:rFonts w:ascii="Arial" w:eastAsia="Arial" w:hAnsi="Arial" w:cs="Arial"/>
        </w:rPr>
      </w:pPr>
      <w:r>
        <w:rPr>
          <w:rFonts w:ascii="Arial" w:eastAsia="Arial" w:hAnsi="Arial" w:cs="Arial"/>
        </w:rPr>
        <w:t>The Tesla balance sheet shows that the company has a good growth of assets with a total amount of assets increasing to $122,070m (2024) due to the growth of property, plant and equipment by $12,747m to $35,836m, indicating investments in global production capacity. Liquidity was enhanced by the increase in current assets to $58,360m (2024) due to increased investments in the short-term. There was also a growth in total equity to $72,913m, which is a sign of growth in retained earnings  (Tesla, 2024; Tesla, 2022; Tesla, 2020). There was an increase in liabilities to $48,390m, which indicates growing financial costs relating to growth and scale of operation.</w:t>
      </w:r>
    </w:p>
    <w:p w14:paraId="4206F0E6" w14:textId="77777777" w:rsidR="00B43BDF" w:rsidRDefault="001A7620">
      <w:pPr>
        <w:rPr>
          <w:rFonts w:ascii="Arial" w:eastAsia="Arial" w:hAnsi="Arial" w:cs="Arial"/>
          <w:b/>
          <w:bCs/>
          <w:i/>
          <w:iCs/>
          <w:u w:val="single"/>
        </w:rPr>
      </w:pPr>
      <w:r>
        <w:rPr>
          <w:rFonts w:ascii="Arial" w:eastAsia="Arial" w:hAnsi="Arial" w:cs="Arial"/>
          <w:b/>
          <w:bCs/>
          <w:i/>
          <w:iCs/>
          <w:u w:val="single"/>
        </w:rPr>
        <w:lastRenderedPageBreak/>
        <w:t>Cash Flow Statement:</w:t>
      </w:r>
    </w:p>
    <w:p w14:paraId="1F5475B5" w14:textId="77777777" w:rsidR="00B43BDF" w:rsidRDefault="001A7620">
      <w:pPr>
        <w:jc w:val="center"/>
        <w:rPr>
          <w:rFonts w:ascii="Arial" w:eastAsia="Arial" w:hAnsi="Arial" w:cs="Arial"/>
        </w:rPr>
      </w:pPr>
      <w:r>
        <w:rPr>
          <w:rFonts w:ascii="Arial" w:eastAsia="Arial" w:hAnsi="Arial" w:cs="Arial"/>
          <w:noProof/>
          <w:lang w:val="en-IN"/>
        </w:rPr>
        <w:drawing>
          <wp:inline distT="114300" distB="114300" distL="114300" distR="114300" wp14:anchorId="7AADA13C" wp14:editId="720F6D22">
            <wp:extent cx="5731200" cy="49657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4965700"/>
                    </a:xfrm>
                    <a:prstGeom prst="rect">
                      <a:avLst/>
                    </a:prstGeom>
                    <a:ln/>
                  </pic:spPr>
                </pic:pic>
              </a:graphicData>
            </a:graphic>
          </wp:inline>
        </w:drawing>
      </w:r>
    </w:p>
    <w:p w14:paraId="0634658B" w14:textId="77777777" w:rsidR="00B43BDF" w:rsidRDefault="001A7620">
      <w:pPr>
        <w:jc w:val="center"/>
        <w:rPr>
          <w:rFonts w:ascii="Arial" w:eastAsia="Arial" w:hAnsi="Arial" w:cs="Arial"/>
          <w:b/>
          <w:bCs/>
        </w:rPr>
      </w:pPr>
      <w:r>
        <w:rPr>
          <w:rFonts w:ascii="Arial" w:eastAsia="Arial" w:hAnsi="Arial" w:cs="Arial"/>
          <w:b/>
          <w:bCs/>
        </w:rPr>
        <w:t>Figure 3: Statement of Cash Flow of Tesla</w:t>
      </w:r>
    </w:p>
    <w:p w14:paraId="23282F3C" w14:textId="77777777" w:rsidR="00B43BDF" w:rsidRDefault="001A7620">
      <w:pPr>
        <w:jc w:val="center"/>
        <w:rPr>
          <w:rFonts w:ascii="Arial" w:eastAsia="Arial" w:hAnsi="Arial" w:cs="Arial"/>
        </w:rPr>
      </w:pPr>
      <w:r>
        <w:rPr>
          <w:rFonts w:ascii="Arial" w:eastAsia="Arial" w:hAnsi="Arial" w:cs="Arial"/>
        </w:rPr>
        <w:t>(Source: Ms-Excel)</w:t>
      </w:r>
    </w:p>
    <w:p w14:paraId="57A8CAF1" w14:textId="77777777" w:rsidR="00B43BDF" w:rsidRDefault="001A7620">
      <w:pPr>
        <w:rPr>
          <w:rFonts w:ascii="Arial" w:eastAsia="Arial" w:hAnsi="Arial" w:cs="Arial"/>
        </w:rPr>
      </w:pPr>
      <w:r>
        <w:rPr>
          <w:rFonts w:ascii="Arial" w:eastAsia="Arial" w:hAnsi="Arial" w:cs="Arial"/>
        </w:rPr>
        <w:t>The cash flow statement shows that Tesla experiences high operating cash flow, as it was growing from $5,943m (2020) to $14,923m (2024), which indicates better profitability and efficiency in its operations. Nevertheless, the large investment outflows, especially the investments of $35,955m (2024), reflect intensive growth and resource distribution. The cash flows have changed to negative ($9,973m in 2020) and then to positive ($3,853m in 2024), indicating that the capital is managed better  (Tesla, 2024; Tesla, 2022; Tesla, 2020). In spite of the changes, the presence of stable ending cash balances of around $17,000m shows that Tesla can maintain its liquidity as it finances expansion projects.</w:t>
      </w:r>
    </w:p>
    <w:p w14:paraId="017E5798" w14:textId="77777777" w:rsidR="00B43BDF" w:rsidRDefault="001A7620">
      <w:pPr>
        <w:pStyle w:val="Heading2"/>
      </w:pPr>
      <w:bookmarkStart w:id="4" w:name="_Toc227622048"/>
      <w:r>
        <w:lastRenderedPageBreak/>
        <w:t>2.2 Performance of Full Ratio Analysis</w:t>
      </w:r>
      <w:bookmarkEnd w:id="4"/>
    </w:p>
    <w:p w14:paraId="66F3261A" w14:textId="77777777" w:rsidR="00B43BDF" w:rsidRDefault="001A7620">
      <w:pPr>
        <w:rPr>
          <w:rFonts w:ascii="Arial" w:eastAsia="Arial" w:hAnsi="Arial" w:cs="Arial"/>
          <w:b/>
          <w:bCs/>
          <w:i/>
          <w:iCs/>
          <w:u w:val="single"/>
        </w:rPr>
      </w:pPr>
      <w:r>
        <w:rPr>
          <w:rFonts w:ascii="Arial" w:eastAsia="Arial" w:hAnsi="Arial" w:cs="Arial"/>
          <w:b/>
          <w:bCs/>
          <w:i/>
          <w:iCs/>
          <w:u w:val="single"/>
        </w:rPr>
        <w:t>“Profitability”:</w:t>
      </w:r>
    </w:p>
    <w:p w14:paraId="1909A304" w14:textId="77777777" w:rsidR="00B43BDF" w:rsidRDefault="001A7620">
      <w:pPr>
        <w:rPr>
          <w:rFonts w:ascii="Arial" w:eastAsia="Arial" w:hAnsi="Arial" w:cs="Arial"/>
        </w:rPr>
      </w:pPr>
      <w:r>
        <w:rPr>
          <w:rFonts w:ascii="Arial" w:eastAsia="Arial" w:hAnsi="Arial" w:cs="Arial"/>
        </w:rPr>
        <w:t>Profitability is the capacity of a firm to make profits in comparison to sales, assets or equity of a given period. It is significant since it forecasts performance, sustainability and value addition to stakeholders, managerial decision making, investment analysis and long-term growth by effective utilisation of resources and competitive advantage in the markets (Lei, 2025). In 2022, Tesla was most profitable (ROE 28%, ROA 17%), but in 2024, it dropped to ROE 10% and ROA 6% because of pricing pressure and increased costs. The net margin was reduced to 15% to 7%, and the gross margin was reduced to 18 per cent, indicating that its operations were less efficient.</w:t>
      </w:r>
    </w:p>
    <w:p w14:paraId="21BFA127" w14:textId="77777777" w:rsidR="00B43BDF" w:rsidRDefault="001A7620">
      <w:pPr>
        <w:rPr>
          <w:rFonts w:ascii="Arial" w:eastAsia="Arial" w:hAnsi="Arial" w:cs="Arial"/>
        </w:rPr>
      </w:pPr>
      <w:r>
        <w:rPr>
          <w:rFonts w:ascii="Arial" w:eastAsia="Arial" w:hAnsi="Arial" w:cs="Arial"/>
          <w:b/>
          <w:bCs/>
          <w:i/>
          <w:iCs/>
          <w:u w:val="single"/>
        </w:rPr>
        <w:t>“Liquidity”:</w:t>
      </w:r>
    </w:p>
    <w:p w14:paraId="4F9620B2" w14:textId="77777777" w:rsidR="00B43BDF" w:rsidRDefault="001A7620">
      <w:pPr>
        <w:rPr>
          <w:rFonts w:ascii="Arial" w:eastAsia="Arial" w:hAnsi="Arial" w:cs="Arial"/>
        </w:rPr>
      </w:pPr>
      <w:r>
        <w:rPr>
          <w:rFonts w:ascii="Arial" w:eastAsia="Arial" w:hAnsi="Arial" w:cs="Arial"/>
        </w:rPr>
        <w:t>Liquidity is the ability of the company to meet its short-term obligations using its current assets. Its importance is that it ensures the stability, avoids financial distress, creates creditor confidence and allows a seamless operation of the business by having enough cash or close cash flow to make the required payments and daily operations (Raj et al., 2025). The liquidity also rose slowly, with the current ratio rising to 2.02 (2024) against 1.38 (2021), and is a sign of better short-term solvency. The acid-test ratio also increased to 1.61, meaning that it is able to meet its obligations without necessarily having to rely on inventory that is supported by the increased cash and investments.</w:t>
      </w:r>
    </w:p>
    <w:p w14:paraId="4D712A19" w14:textId="77777777" w:rsidR="00B43BDF" w:rsidRDefault="001A7620">
      <w:pPr>
        <w:rPr>
          <w:rFonts w:ascii="Arial" w:eastAsia="Arial" w:hAnsi="Arial" w:cs="Arial"/>
          <w:b/>
          <w:bCs/>
          <w:i/>
          <w:iCs/>
          <w:u w:val="single"/>
        </w:rPr>
      </w:pPr>
      <w:r>
        <w:rPr>
          <w:rFonts w:ascii="Arial" w:eastAsia="Arial" w:hAnsi="Arial" w:cs="Arial"/>
          <w:b/>
          <w:bCs/>
          <w:i/>
          <w:iCs/>
          <w:u w:val="single"/>
        </w:rPr>
        <w:t>“Efficiency”:</w:t>
      </w:r>
    </w:p>
    <w:p w14:paraId="0968EE55" w14:textId="77777777" w:rsidR="00B43BDF" w:rsidRDefault="001A7620">
      <w:pPr>
        <w:rPr>
          <w:rFonts w:ascii="Arial" w:eastAsia="Arial" w:hAnsi="Arial" w:cs="Arial"/>
        </w:rPr>
      </w:pPr>
      <w:r>
        <w:rPr>
          <w:rFonts w:ascii="Arial" w:eastAsia="Arial" w:hAnsi="Arial" w:cs="Arial"/>
        </w:rPr>
        <w:t xml:space="preserve">The concept of efficiency is applied to explain how much a company can utilise its resources, in terms of assets and labour, to generate output or revenue. It is significant as it improves productivity, cost cutting, profitability and exposes the performance of the management by ensuring efficient use of resources, less wastage and more performance in a competitive business environment (Ma, 2025). Efficiency declined slightly because the receivables turnover was reduced to 22.11 (2024) in comparison to 28.14 (2021), implying slower collection. However, the inventory turnover went up to 8.13, thereby indicating an increase in inventory </w:t>
      </w:r>
      <w:r>
        <w:rPr>
          <w:rFonts w:ascii="Arial" w:eastAsia="Arial" w:hAnsi="Arial" w:cs="Arial"/>
        </w:rPr>
        <w:lastRenderedPageBreak/>
        <w:t>management compared to 2022, as the demand remained steady and the production processes also improved.</w:t>
      </w:r>
    </w:p>
    <w:p w14:paraId="198BDFEA" w14:textId="77777777" w:rsidR="00B43BDF" w:rsidRDefault="001A7620">
      <w:pPr>
        <w:jc w:val="center"/>
        <w:rPr>
          <w:rFonts w:ascii="Arial" w:eastAsia="Arial" w:hAnsi="Arial" w:cs="Arial"/>
        </w:rPr>
      </w:pPr>
      <w:r>
        <w:rPr>
          <w:rFonts w:ascii="Arial" w:eastAsia="Arial" w:hAnsi="Arial" w:cs="Arial"/>
          <w:noProof/>
          <w:lang w:val="en-IN"/>
        </w:rPr>
        <w:drawing>
          <wp:inline distT="114300" distB="114300" distL="114300" distR="114300" wp14:anchorId="54DAB8BF" wp14:editId="65EE59EA">
            <wp:extent cx="5731200" cy="6032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6032500"/>
                    </a:xfrm>
                    <a:prstGeom prst="rect">
                      <a:avLst/>
                    </a:prstGeom>
                    <a:ln/>
                  </pic:spPr>
                </pic:pic>
              </a:graphicData>
            </a:graphic>
          </wp:inline>
        </w:drawing>
      </w:r>
    </w:p>
    <w:p w14:paraId="2619CDDB" w14:textId="77777777" w:rsidR="00B43BDF" w:rsidRDefault="001A7620">
      <w:pPr>
        <w:jc w:val="center"/>
        <w:rPr>
          <w:rFonts w:ascii="Arial" w:eastAsia="Arial" w:hAnsi="Arial" w:cs="Arial"/>
          <w:b/>
          <w:bCs/>
        </w:rPr>
      </w:pPr>
      <w:r>
        <w:rPr>
          <w:rFonts w:ascii="Arial" w:eastAsia="Arial" w:hAnsi="Arial" w:cs="Arial"/>
          <w:b/>
          <w:bCs/>
        </w:rPr>
        <w:t>Figure 4: Ratio Analysis of Tesla</w:t>
      </w:r>
    </w:p>
    <w:p w14:paraId="46FB06BA" w14:textId="77777777" w:rsidR="00B43BDF" w:rsidRDefault="001A7620">
      <w:pPr>
        <w:jc w:val="center"/>
        <w:rPr>
          <w:rFonts w:ascii="Arial" w:eastAsia="Arial" w:hAnsi="Arial" w:cs="Arial"/>
        </w:rPr>
      </w:pPr>
      <w:r>
        <w:rPr>
          <w:rFonts w:ascii="Arial" w:eastAsia="Arial" w:hAnsi="Arial" w:cs="Arial"/>
        </w:rPr>
        <w:t>(Source: Excel)</w:t>
      </w:r>
    </w:p>
    <w:p w14:paraId="273DE1F1" w14:textId="77777777" w:rsidR="00B43BDF" w:rsidRDefault="001A7620">
      <w:pPr>
        <w:rPr>
          <w:rFonts w:ascii="Arial" w:eastAsia="Arial" w:hAnsi="Arial" w:cs="Arial"/>
        </w:rPr>
      </w:pPr>
      <w:r>
        <w:rPr>
          <w:rFonts w:ascii="Arial" w:eastAsia="Arial" w:hAnsi="Arial" w:cs="Arial"/>
          <w:b/>
          <w:bCs/>
          <w:i/>
          <w:iCs/>
          <w:u w:val="single"/>
        </w:rPr>
        <w:t>“Gearing”:</w:t>
      </w:r>
    </w:p>
    <w:p w14:paraId="0C11A243" w14:textId="77777777" w:rsidR="00B43BDF" w:rsidRDefault="001A7620">
      <w:pPr>
        <w:rPr>
          <w:rFonts w:ascii="Arial" w:eastAsia="Arial" w:hAnsi="Arial" w:cs="Arial"/>
        </w:rPr>
      </w:pPr>
      <w:r>
        <w:rPr>
          <w:rFonts w:ascii="Arial" w:eastAsia="Arial" w:hAnsi="Arial" w:cs="Arial"/>
        </w:rPr>
        <w:t xml:space="preserve">The ratio of debt to equity of a company is known as its gearing. It is important because it demonstrates financial risk, level of leverage, capability of the company to </w:t>
      </w:r>
      <w:r>
        <w:rPr>
          <w:rFonts w:ascii="Arial" w:eastAsia="Arial" w:hAnsi="Arial" w:cs="Arial"/>
        </w:rPr>
        <w:lastRenderedPageBreak/>
        <w:t>fulfil long-term liabilities, which affect returns to shareholders, cost of capital and stability in the economic fluctuations or unfavourable business environments (Geng, 2025). The financial risk of Tesla was reduced since debt-to-equity dropped to 0.66 (2024) (less dependence on debt) in comparison with 1.28 (2020). The high earnings capacity is reflected by a high interest coverage (25.69 in 2024), but the level dropped relative to 2022 due to a negative profitability.</w:t>
      </w:r>
    </w:p>
    <w:p w14:paraId="1B8A914D" w14:textId="77777777" w:rsidR="00B43BDF" w:rsidRDefault="001A7620">
      <w:pPr>
        <w:rPr>
          <w:rFonts w:ascii="Arial" w:eastAsia="Arial" w:hAnsi="Arial" w:cs="Arial"/>
        </w:rPr>
      </w:pPr>
      <w:r>
        <w:rPr>
          <w:rFonts w:ascii="Arial" w:eastAsia="Arial" w:hAnsi="Arial" w:cs="Arial"/>
          <w:b/>
          <w:bCs/>
          <w:i/>
          <w:iCs/>
          <w:u w:val="single"/>
        </w:rPr>
        <w:t>“Investment”:</w:t>
      </w:r>
    </w:p>
    <w:p w14:paraId="2DF4E9DA" w14:textId="77777777" w:rsidR="00B43BDF" w:rsidRDefault="001A7620">
      <w:pPr>
        <w:rPr>
          <w:rFonts w:ascii="Arial" w:eastAsia="Arial" w:hAnsi="Arial" w:cs="Arial"/>
        </w:rPr>
      </w:pPr>
      <w:r>
        <w:rPr>
          <w:rFonts w:ascii="Arial" w:eastAsia="Arial" w:hAnsi="Arial" w:cs="Arial"/>
        </w:rPr>
        <w:t>Investment may be referred to as the expenditure of funds in assets, projects or securities in the anticipation of receiving returns. It is important because it facilitates wealth creation, growth, and income generation, informs investors in decision-making, evaluates the risk and the return, and leads to economic growth by effectively allocating resources (Sawhney and Kaddatz, 2026). Investments are volatile, and the P/E ratio went up by a lot to 197.96 (2024), indicating high expectations in the market despite declining earnings. Dividend payout is low (0.02), and Tesla has been investing its profits in developing the company instead of paying dividends to its shareholders.</w:t>
      </w:r>
    </w:p>
    <w:p w14:paraId="27BC107C" w14:textId="77777777" w:rsidR="00B43BDF" w:rsidRDefault="001A7620">
      <w:pPr>
        <w:rPr>
          <w:rFonts w:ascii="Arial" w:eastAsia="Arial" w:hAnsi="Arial" w:cs="Arial"/>
          <w:b/>
          <w:bCs/>
          <w:i/>
          <w:iCs/>
          <w:u w:val="single"/>
        </w:rPr>
      </w:pPr>
      <w:r>
        <w:rPr>
          <w:rFonts w:ascii="Arial" w:eastAsia="Arial" w:hAnsi="Arial" w:cs="Arial"/>
          <w:b/>
          <w:bCs/>
          <w:i/>
          <w:iCs/>
          <w:u w:val="single"/>
        </w:rPr>
        <w:t>“Cash Flow”:</w:t>
      </w:r>
    </w:p>
    <w:p w14:paraId="74D1390A" w14:textId="16B37927" w:rsidR="00B43BDF" w:rsidRDefault="001A7620">
      <w:pPr>
        <w:rPr>
          <w:rFonts w:ascii="Arial" w:eastAsia="Arial" w:hAnsi="Arial" w:cs="Arial"/>
        </w:rPr>
      </w:pPr>
      <w:r>
        <w:rPr>
          <w:rFonts w:ascii="Arial" w:eastAsia="Arial" w:hAnsi="Arial" w:cs="Arial"/>
        </w:rPr>
        <w:t xml:space="preserve">The flow of cash is the entry or exit of cash in a business within </w:t>
      </w:r>
      <w:r w:rsidR="008E71D7">
        <w:rPr>
          <w:rFonts w:ascii="Arial" w:eastAsia="Arial" w:hAnsi="Arial" w:cs="Arial"/>
        </w:rPr>
        <w:t>a period</w:t>
      </w:r>
      <w:r>
        <w:rPr>
          <w:rFonts w:ascii="Arial" w:eastAsia="Arial" w:hAnsi="Arial" w:cs="Arial"/>
        </w:rPr>
        <w:t>. It is significant as it ensures the liquidity, ease of doing business, enables the company to pay debts on time, and is an indicator of financial health since it shows that the company possesses sufficient cash to cover its debts and invest in business opportunities (Xiao, 2025). The strength of the cash flow remained at the same value, and the operating cash flow ratio has increased to 0.52 (2024) in comparison with 0.42 (2020), and this indicates that there is the generation of liquidity in an appropriate manner. However, the debt to cash flow ratio dropped to 0.31 (2022) due to the increase in borrowing and investment.</w:t>
      </w:r>
    </w:p>
    <w:p w14:paraId="1986263A" w14:textId="77777777" w:rsidR="00B43BDF" w:rsidRDefault="001A7620">
      <w:pPr>
        <w:pStyle w:val="Heading2"/>
      </w:pPr>
      <w:bookmarkStart w:id="5" w:name="_Toc227622049"/>
      <w:r>
        <w:t>2.3 Identify Trends, Strengths, as well as Threats</w:t>
      </w:r>
      <w:bookmarkEnd w:id="5"/>
    </w:p>
    <w:p w14:paraId="4A7540A2" w14:textId="77777777" w:rsidR="00B43BDF" w:rsidRDefault="001A7620">
      <w:pPr>
        <w:rPr>
          <w:rFonts w:ascii="Arial" w:eastAsia="Arial" w:hAnsi="Arial" w:cs="Arial"/>
        </w:rPr>
      </w:pPr>
      <w:r>
        <w:rPr>
          <w:rFonts w:ascii="Arial" w:eastAsia="Arial" w:hAnsi="Arial" w:cs="Arial"/>
          <w:b/>
          <w:bCs/>
          <w:i/>
          <w:iCs/>
          <w:u w:val="single"/>
        </w:rPr>
        <w:t>Trends:</w:t>
      </w:r>
    </w:p>
    <w:p w14:paraId="0F3D5E39" w14:textId="77777777" w:rsidR="00B43BDF" w:rsidRDefault="001A7620">
      <w:pPr>
        <w:rPr>
          <w:rFonts w:ascii="Arial" w:eastAsia="Arial" w:hAnsi="Arial" w:cs="Arial"/>
        </w:rPr>
      </w:pPr>
      <w:r>
        <w:rPr>
          <w:rFonts w:ascii="Arial" w:eastAsia="Arial" w:hAnsi="Arial" w:cs="Arial"/>
        </w:rPr>
        <w:lastRenderedPageBreak/>
        <w:t>The trend has been positive, as Tesla increased its revenues in 31,536m (2020) to 97,690m (2024) with the rapid pace of EV uptake globally and the growth initiatives. However, the highest profitability was in 2022, and this was followed by a decline in that the net income to $7,153m in 2024 due to the inflation of prices and escalating expenses. Growth of assets, particularly in property, plant and equipment, indicates growth of capacity. The business operations were very strong in terms of cash flow, and it reinvested (Wang, 2023; Li, 25). The trends are an indication of the change towards a more competitive and efficiency-oriented stage instead of the high-growth profitability.</w:t>
      </w:r>
    </w:p>
    <w:p w14:paraId="40545C3E" w14:textId="77777777" w:rsidR="00B43BDF" w:rsidRDefault="001A7620">
      <w:pPr>
        <w:rPr>
          <w:rFonts w:ascii="Arial" w:eastAsia="Arial" w:hAnsi="Arial" w:cs="Arial"/>
        </w:rPr>
      </w:pPr>
      <w:r>
        <w:rPr>
          <w:rFonts w:ascii="Arial" w:eastAsia="Arial" w:hAnsi="Arial" w:cs="Arial"/>
          <w:b/>
          <w:bCs/>
          <w:i/>
          <w:iCs/>
          <w:u w:val="single"/>
        </w:rPr>
        <w:t>Strengths:</w:t>
      </w:r>
    </w:p>
    <w:p w14:paraId="7F637E73" w14:textId="09C82C06" w:rsidR="00B43BDF" w:rsidRDefault="001A7620">
      <w:pPr>
        <w:rPr>
          <w:rFonts w:ascii="Arial" w:eastAsia="Arial" w:hAnsi="Arial" w:cs="Arial"/>
        </w:rPr>
      </w:pPr>
      <w:r>
        <w:rPr>
          <w:rFonts w:ascii="Arial" w:eastAsia="Arial" w:hAnsi="Arial" w:cs="Arial"/>
        </w:rPr>
        <w:t>The key strength of Tesla is its strong revenue growth and dominance in the EV market because of its current innovation and incorporation of the most recent technology. The operating cash flows of the company are also high, with a maximum of up to 14,923m in 2024, which can help the company financially expand. Also, the debt-to-equity ratios are in the downwards, which means that a company is more financially stable and does not depend on external financing</w:t>
      </w:r>
      <w:r w:rsidR="008E71D7">
        <w:rPr>
          <w:rFonts w:ascii="Arial" w:eastAsia="Arial" w:hAnsi="Arial" w:cs="Arial"/>
        </w:rPr>
        <w:t xml:space="preserve"> (</w:t>
      </w:r>
      <w:r w:rsidR="008E71D7" w:rsidRPr="008E71D7">
        <w:rPr>
          <w:rFonts w:ascii="Arial" w:eastAsia="Arial" w:hAnsi="Arial" w:cs="Arial"/>
        </w:rPr>
        <w:t>Tesla</w:t>
      </w:r>
      <w:r w:rsidR="008E71D7">
        <w:rPr>
          <w:rFonts w:ascii="Arial" w:eastAsia="Arial" w:hAnsi="Arial" w:cs="Arial"/>
        </w:rPr>
        <w:t>, 2026)</w:t>
      </w:r>
      <w:r>
        <w:rPr>
          <w:rFonts w:ascii="Arial" w:eastAsia="Arial" w:hAnsi="Arial" w:cs="Arial"/>
        </w:rPr>
        <w:t>. The successful global scaling strategies are indicated by high growth in assets, especially in the areas of manufacturing and energy solutions (Akakpo et al., 2024; Purnawan, 2024). The fact that Tesla is able to reinvest its earnings instead of paying dividends also enhances its long-term growth prospects.</w:t>
      </w:r>
    </w:p>
    <w:p w14:paraId="26F7105E" w14:textId="77777777" w:rsidR="00B43BDF" w:rsidRDefault="001A7620">
      <w:pPr>
        <w:rPr>
          <w:rFonts w:ascii="Arial" w:eastAsia="Arial" w:hAnsi="Arial" w:cs="Arial"/>
        </w:rPr>
      </w:pPr>
      <w:r>
        <w:rPr>
          <w:rFonts w:ascii="Arial" w:eastAsia="Arial" w:hAnsi="Arial" w:cs="Arial"/>
          <w:b/>
          <w:bCs/>
          <w:i/>
          <w:iCs/>
          <w:u w:val="single"/>
        </w:rPr>
        <w:t>Threats:</w:t>
      </w:r>
    </w:p>
    <w:p w14:paraId="6F3BB319" w14:textId="77777777" w:rsidR="00B43BDF" w:rsidRDefault="001A7620">
      <w:pPr>
        <w:rPr>
          <w:rFonts w:ascii="Arial" w:eastAsia="Arial" w:hAnsi="Arial" w:cs="Arial"/>
        </w:rPr>
      </w:pPr>
      <w:r>
        <w:rPr>
          <w:rFonts w:ascii="Arial" w:eastAsia="Arial" w:hAnsi="Arial" w:cs="Arial"/>
        </w:rPr>
        <w:t>The declining profitability and narrowing of the margin are the principal weaknesses that Tesla can be identified with, since the net profit margin will decrease to 7% in 2024 due to the aggressive price cuts. Capital expenditure and investing cash outflow are high, which heightens the financial pressure and risk. Efficiency issues can be seen in the form of reduced turnover in receivables, implying reduced cash collection. Moreover, international supply chains contribute to the risk of operational risks for Tesla. Income volatility is also caused by changes in tax advantages (Thulin and Povlsen, 2024; Ma, 2025). These weaknesses emphasise the challenge of remaining profitable in the increasing competition in the EV market.</w:t>
      </w:r>
    </w:p>
    <w:p w14:paraId="6052B4D3" w14:textId="77777777" w:rsidR="00B43BDF" w:rsidRDefault="001A7620">
      <w:pPr>
        <w:pStyle w:val="Heading1"/>
      </w:pPr>
      <w:bookmarkStart w:id="6" w:name="_Toc227622050"/>
      <w:r>
        <w:lastRenderedPageBreak/>
        <w:t>3. Working Capital Management Analysis</w:t>
      </w:r>
      <w:bookmarkEnd w:id="6"/>
    </w:p>
    <w:p w14:paraId="5FEFEE79" w14:textId="77777777" w:rsidR="00B43BDF" w:rsidRDefault="001A7620">
      <w:pPr>
        <w:pStyle w:val="Heading2"/>
      </w:pPr>
      <w:bookmarkStart w:id="7" w:name="_Toc227622051"/>
      <w:r>
        <w:t>3.1 Assessment of Cash Operating Cycle</w:t>
      </w:r>
      <w:bookmarkEnd w:id="7"/>
    </w:p>
    <w:p w14:paraId="129C8069" w14:textId="77777777" w:rsidR="00B43BDF" w:rsidRDefault="001A7620">
      <w:pPr>
        <w:jc w:val="center"/>
        <w:rPr>
          <w:rFonts w:ascii="Arial" w:eastAsia="Arial" w:hAnsi="Arial" w:cs="Arial"/>
        </w:rPr>
      </w:pPr>
      <w:r>
        <w:rPr>
          <w:rFonts w:ascii="Arial" w:eastAsia="Arial" w:hAnsi="Arial" w:cs="Arial"/>
          <w:noProof/>
          <w:lang w:val="en-IN"/>
        </w:rPr>
        <w:drawing>
          <wp:inline distT="114300" distB="114300" distL="114300" distR="114300" wp14:anchorId="03FC60BF" wp14:editId="041820BC">
            <wp:extent cx="5731200" cy="16637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1663700"/>
                    </a:xfrm>
                    <a:prstGeom prst="rect">
                      <a:avLst/>
                    </a:prstGeom>
                    <a:ln/>
                  </pic:spPr>
                </pic:pic>
              </a:graphicData>
            </a:graphic>
          </wp:inline>
        </w:drawing>
      </w:r>
    </w:p>
    <w:p w14:paraId="18F6F791" w14:textId="77777777" w:rsidR="00B43BDF" w:rsidRDefault="001A7620">
      <w:pPr>
        <w:jc w:val="center"/>
        <w:rPr>
          <w:rFonts w:ascii="Arial" w:eastAsia="Arial" w:hAnsi="Arial" w:cs="Arial"/>
          <w:b/>
          <w:bCs/>
        </w:rPr>
      </w:pPr>
      <w:r>
        <w:rPr>
          <w:rFonts w:ascii="Arial" w:eastAsia="Arial" w:hAnsi="Arial" w:cs="Arial"/>
          <w:b/>
          <w:bCs/>
        </w:rPr>
        <w:t>Figure 5: Tesla’s Cash Operating Cycle (CCC)</w:t>
      </w:r>
    </w:p>
    <w:p w14:paraId="55842AB9" w14:textId="77777777" w:rsidR="00B43BDF" w:rsidRDefault="001A7620">
      <w:pPr>
        <w:jc w:val="center"/>
        <w:rPr>
          <w:rFonts w:ascii="Arial" w:eastAsia="Arial" w:hAnsi="Arial" w:cs="Arial"/>
        </w:rPr>
      </w:pPr>
      <w:r>
        <w:rPr>
          <w:rFonts w:ascii="Arial" w:eastAsia="Arial" w:hAnsi="Arial" w:cs="Arial"/>
        </w:rPr>
        <w:t>(Source: Ms-Excel)</w:t>
      </w:r>
    </w:p>
    <w:p w14:paraId="4A67EC20" w14:textId="77777777" w:rsidR="00B43BDF" w:rsidRDefault="001A7620">
      <w:pPr>
        <w:rPr>
          <w:rFonts w:ascii="Arial" w:eastAsia="Arial" w:hAnsi="Arial" w:cs="Arial"/>
        </w:rPr>
      </w:pPr>
      <w:r>
        <w:rPr>
          <w:rFonts w:ascii="Arial" w:eastAsia="Arial" w:hAnsi="Arial" w:cs="Arial"/>
        </w:rPr>
        <w:t>The cash operating cycle (CCC) of Tesla shows significant shifts in the five-year period, which can be traced to the changes in the efficiency of operations and working capital management. Tesla had a negative CCC in 2021 of -16 days, which means that Tesla was in a position to collect cash and pay suppliers, which is a very efficient liquidity position. This benefit, however, diminished over later years, CCC expanding to 2 days in 2022, 10 days in 2023, and 15 days in 2024. The rise is mainly caused by a decrease in the payable days from 70.03 days (2020) to 46.61 days (2024), implying that the company pays its suppliers faster, hence less liquidity gains. Meanwhile, the stock days have decreased to 44.90 days (2024) as compared to 57.53 days (2022), which shows improved inventory management. Receivable days were fairly constant with an average of 13-16 days, which is an indication of good credit management. The increasing CCC indicates a change in the highly effective working capital usage to a more traditional cycle, which is driven by the scale of operations and the relations between suppliers (Wang, 2023; Li, 2025). This trend indicates that the liquidity advantage of Tesla is decreasing, and it needs a more strategic management of working capital to maintain financial efficiency.</w:t>
      </w:r>
    </w:p>
    <w:p w14:paraId="0FDA5734" w14:textId="77777777" w:rsidR="00B43BDF" w:rsidRDefault="001A7620">
      <w:pPr>
        <w:pStyle w:val="Heading2"/>
      </w:pPr>
      <w:bookmarkStart w:id="8" w:name="_Toc227622052"/>
      <w:r>
        <w:lastRenderedPageBreak/>
        <w:t>3.2 Recommendations to Improve Liquidity</w:t>
      </w:r>
      <w:bookmarkEnd w:id="8"/>
    </w:p>
    <w:p w14:paraId="4650159F" w14:textId="4F4C82E0" w:rsidR="00B43BDF" w:rsidRDefault="001A7620">
      <w:pPr>
        <w:rPr>
          <w:rFonts w:ascii="Arial" w:eastAsia="Arial" w:hAnsi="Arial" w:cs="Arial"/>
        </w:rPr>
      </w:pPr>
      <w:r>
        <w:rPr>
          <w:rFonts w:ascii="Arial" w:eastAsia="Arial" w:hAnsi="Arial" w:cs="Arial"/>
        </w:rPr>
        <w:t xml:space="preserve">Tesla should implement certain liquidity reforms to inventory, receivables, and payables to improve liquidity. Firstly, inventory holding could be further reduced through further inventory optimisation through the latest demand forecasting and AI-based supply chain systems. The inventory days in 2024 had risen to 44.90 days, yet more optimisation is needed to reduce the value of capital invested in inventory. The technologies that are already used by Tesla (digital technologies and predictive analytics) can be used to synchronise production with real-time demand, cutting down on the unused inventory and related expenses (Geng, 2025). Second, Tesla needs to ensure that it has stringent receivables management policies to help it maintain its rather low collection period. Since the company still has a </w:t>
      </w:r>
      <w:r w:rsidR="008E71D7">
        <w:rPr>
          <w:rFonts w:ascii="Arial" w:eastAsia="Arial" w:hAnsi="Arial" w:cs="Arial"/>
        </w:rPr>
        <w:t>receivable day of around 13-16 days</w:t>
      </w:r>
      <w:r>
        <w:rPr>
          <w:rFonts w:ascii="Arial" w:eastAsia="Arial" w:hAnsi="Arial" w:cs="Arial"/>
        </w:rPr>
        <w:t>, the adoption of automated billing and advance payment is also another element that could accelerate cash flows. Efforts to strengthen the customer credit assessment mechanisms might also minimise possible delays and maximise cash conversion.</w:t>
      </w:r>
    </w:p>
    <w:p w14:paraId="095A434A" w14:textId="77777777" w:rsidR="00B43BDF" w:rsidRDefault="001A7620">
      <w:pPr>
        <w:rPr>
          <w:rFonts w:ascii="Arial" w:eastAsia="Arial" w:hAnsi="Arial" w:cs="Arial"/>
        </w:rPr>
      </w:pPr>
      <w:r>
        <w:rPr>
          <w:rFonts w:ascii="Arial" w:eastAsia="Arial" w:hAnsi="Arial" w:cs="Arial"/>
        </w:rPr>
        <w:t>Third, Tesla ought to plan to extend payment terms without ruining supplier relationships. The low supplier credit benefits are evidenced by the fact that the payable days decreased by 70.03 (2020) to 46.61 (2024). Tesla can renegotiate the terms of suppliers and leverage its good market position to maximise the payment terms, increasing the liquidity without breaking the supply chain (Thulin and Povlsen, 2024). Also, Tesla ought to embrace a balanced approach to working capital financing by incorporating short-term liquidity measures like trade credit and revolving credit facilities (Akakpo et al., 2024; Purnawan, 2024). This provides flexibility in operational cash flow management in times of expansion. These reforms would overall enhance the liquidity position of Tesla, enhance the efficiency of its cash flows, and enable it to expand in a more competitive EV market in the long run.</w:t>
      </w:r>
    </w:p>
    <w:p w14:paraId="66D42F25" w14:textId="77777777" w:rsidR="00B43BDF" w:rsidRDefault="001A7620">
      <w:pPr>
        <w:pStyle w:val="Heading2"/>
      </w:pPr>
      <w:bookmarkStart w:id="9" w:name="_Toc227622053"/>
      <w:r>
        <w:t>3.3 Comparison of Short-Term vs Long-Term Financing Options</w:t>
      </w:r>
      <w:bookmarkEnd w:id="9"/>
    </w:p>
    <w:p w14:paraId="7521804B" w14:textId="77777777" w:rsidR="00B43BDF" w:rsidRDefault="001A7620">
      <w:pPr>
        <w:rPr>
          <w:rFonts w:ascii="Arial" w:eastAsia="Arial" w:hAnsi="Arial" w:cs="Arial"/>
        </w:rPr>
      </w:pPr>
      <w:r>
        <w:rPr>
          <w:rFonts w:ascii="Arial" w:eastAsia="Arial" w:hAnsi="Arial" w:cs="Arial"/>
        </w:rPr>
        <w:t>Short-term and long-term financing are crucial to the working capital management and financial strategy of Tesla. Short-term liquidity support is provided to day-to-day operations in the short-term by financing using trade credit, bank overdraft, and revolving credit facilities. These are short-term plans which are flexible and cost-</w:t>
      </w:r>
      <w:r>
        <w:rPr>
          <w:rFonts w:ascii="Arial" w:eastAsia="Arial" w:hAnsi="Arial" w:cs="Arial"/>
        </w:rPr>
        <w:lastRenderedPageBreak/>
        <w:t>effective in the short run, enabling Tesla to handle the changes in the working capital requirements (Chari and Ferreira, 2025). However, excessive short-term financing may increase the refinancing risk and financial exposure in the face of cyclical market shocks.</w:t>
      </w:r>
    </w:p>
    <w:p w14:paraId="2143C5FE" w14:textId="77777777" w:rsidR="00B43BDF" w:rsidRDefault="001A7620">
      <w:pPr>
        <w:rPr>
          <w:rFonts w:ascii="Arial" w:eastAsia="Arial" w:hAnsi="Arial" w:cs="Arial"/>
        </w:rPr>
      </w:pPr>
      <w:r>
        <w:rPr>
          <w:rFonts w:ascii="Arial" w:eastAsia="Arial" w:hAnsi="Arial" w:cs="Arial"/>
        </w:rPr>
        <w:t>Long-term financing, such as equity financing and long-term debt instruments, helps in strategic investments, e.g. expansion of production facilities and technological development. The lower debt-to-equity ratio of Tesla indicates that it is more likely to rely on equity financing as an alternative source of capital, which minimises the chances of financial losses and enhances the stability of the capital structure. The growth-oriented strategy of Tesla that enables it to invest in innovation and infrastructure in the long term also aligns with the long-term funding (Chari and Ferreira, 2025). Operating requirements may be suitable with short-term financing; long-term financing is stable and is supportive of large-scale strategic initiatives (McKingsley, 2024; Hopkins and Lazonick, 2024). Therefore, there should be an ideal balance between the two. The efficiency of working capital that Tesla should apply is the use of short-term financing, whereas the use of long-term financing to fund growth and innovation should ensure financial flexibility and resilience.</w:t>
      </w:r>
    </w:p>
    <w:p w14:paraId="400F67C8" w14:textId="77777777" w:rsidR="00B43BDF" w:rsidRDefault="001A7620">
      <w:pPr>
        <w:pStyle w:val="Heading1"/>
      </w:pPr>
      <w:bookmarkStart w:id="10" w:name="_Toc227622054"/>
      <w:r>
        <w:t>4. Strategic Financial Restructuring Plan</w:t>
      </w:r>
      <w:bookmarkEnd w:id="10"/>
      <w:r>
        <w:t xml:space="preserve"> </w:t>
      </w:r>
    </w:p>
    <w:p w14:paraId="2A0D3A93" w14:textId="77777777" w:rsidR="00B43BDF" w:rsidRDefault="001A7620">
      <w:pPr>
        <w:pStyle w:val="Heading2"/>
      </w:pPr>
      <w:bookmarkStart w:id="11" w:name="_Toc227622055"/>
      <w:r>
        <w:t>4.1 Financial Restructuring Options</w:t>
      </w:r>
      <w:bookmarkEnd w:id="11"/>
    </w:p>
    <w:p w14:paraId="588CE7DA" w14:textId="77777777" w:rsidR="00B43BDF" w:rsidRDefault="001A7620">
      <w:pPr>
        <w:rPr>
          <w:rFonts w:ascii="Arial" w:eastAsia="Arial" w:hAnsi="Arial" w:cs="Arial"/>
        </w:rPr>
      </w:pPr>
      <w:r>
        <w:rPr>
          <w:rFonts w:ascii="Arial" w:eastAsia="Arial" w:hAnsi="Arial" w:cs="Arial"/>
        </w:rPr>
        <w:t xml:space="preserve">The financial restructuring plan that Tesla should adopt should be geared towards maximising profitability, enhancing the capital structure, and enhancing the flexibility of operations, as the company encounters a decline in the margin and competition. Optical restructuring based on cost is one of the main options since Tesla is able to minimise production processes and overhead costs. As the net profit margin decreased to 7% in 2024, as compared to 15% in 2023, it is feasible to restore profitability by encouraging cost-efficiency through automation and supply chain optimisation, and at the same time be competitive in terms of prices. The second alternative is strategic divestiture of poor or non-core assets, especially in those areas that create lower margins, like some service operations (Li, 2025). The sale would allow Tesla to invest in high-growth and high-margin opportunities like autonomous driving technologies and energy storage solutions (Xiao, 2025). This is </w:t>
      </w:r>
      <w:r>
        <w:rPr>
          <w:rFonts w:ascii="Arial" w:eastAsia="Arial" w:hAnsi="Arial" w:cs="Arial"/>
        </w:rPr>
        <w:lastRenderedPageBreak/>
        <w:t>in line with Tesla's value chain orientation of growth and resource efficiency on the basis of innovation.</w:t>
      </w:r>
    </w:p>
    <w:p w14:paraId="30A776DB" w14:textId="77777777" w:rsidR="00B43BDF" w:rsidRDefault="001A7620">
      <w:pPr>
        <w:rPr>
          <w:rFonts w:ascii="Arial" w:eastAsia="Arial" w:hAnsi="Arial" w:cs="Arial"/>
        </w:rPr>
      </w:pPr>
      <w:r>
        <w:rPr>
          <w:rFonts w:ascii="Arial" w:eastAsia="Arial" w:hAnsi="Arial" w:cs="Arial"/>
        </w:rPr>
        <w:t>Third, the equity injection will be an effective restructuring strategy because it will allow Tesla to raise funds without an increase in its financial leverage. Tesla can raise more equity to finance growth initiatives, including Gigafactories and AI development, without a significant shift in debt-to-equity ratio because of its large market valuation and high P/E ratio. This will lower financial risk and increase long-term sustainability (Akakpo et al., 2024). Also, Tesla might think about strategic alliances or mergers, especially in the area of battery technologies and software development, to increase technological capacity and minimise the expenses on research and development. Partnerships will help to expedite innovation and distribute financial risks in a fast-changing EV market (Chari and Ferreira, 2025). Comprehensively, cost optimisation, selective divestiture, equity financing and strategic partnerships would enhance Tesla's financial status, increase shareholder value, and enable global scalability in a competitive world over the long term.</w:t>
      </w:r>
    </w:p>
    <w:p w14:paraId="23876F2D" w14:textId="77777777" w:rsidR="00B43BDF" w:rsidRDefault="001A7620">
      <w:pPr>
        <w:pStyle w:val="Heading2"/>
      </w:pPr>
      <w:bookmarkStart w:id="12" w:name="_Toc227622056"/>
      <w:r>
        <w:t>4.2 Impact on Shareholder Value, Debt Structure, and Operational Flexibility</w:t>
      </w:r>
      <w:bookmarkEnd w:id="12"/>
    </w:p>
    <w:p w14:paraId="1DC0CCFE" w14:textId="77777777" w:rsidR="00B43BDF" w:rsidRDefault="001A7620">
      <w:pPr>
        <w:rPr>
          <w:rFonts w:ascii="Arial" w:eastAsia="Arial" w:hAnsi="Arial" w:cs="Arial"/>
        </w:rPr>
      </w:pPr>
      <w:r>
        <w:rPr>
          <w:rFonts w:ascii="Arial" w:eastAsia="Arial" w:hAnsi="Arial" w:cs="Arial"/>
        </w:rPr>
        <w:t>The financial restructuring options given above will significantly influence the shareholder value, debt structure and flexibility of the operations of Tesla. Simultaneously, shareholder value would increase, as the cost decreases and improved profitability would result in more stable earnings, which is imperative given that the net income has decreased from $14,974 m (2023) to 7,153m (2024). The high efficiency would also increase the return on equity and investor confidence that would aid in valuing in the long term. Secondly, equity financing could be potentially dilutive in the short run and can ultimately be employed to fund high-growth investments in AI, energy, and manufacturing, ultimately raising long-term shareholder wealth (Akakpo et al., 2024; Purnawan, 2024).</w:t>
      </w:r>
    </w:p>
    <w:p w14:paraId="0884F63B" w14:textId="77777777" w:rsidR="00B43BDF" w:rsidRDefault="001A7620">
      <w:pPr>
        <w:rPr>
          <w:rFonts w:ascii="Arial" w:eastAsia="Arial" w:hAnsi="Arial" w:cs="Arial"/>
        </w:rPr>
      </w:pPr>
      <w:r>
        <w:rPr>
          <w:rFonts w:ascii="Arial" w:eastAsia="Arial" w:hAnsi="Arial" w:cs="Arial"/>
        </w:rPr>
        <w:t xml:space="preserve">Tesla has quite a conservative stance in terms of leverage, as it is evident in its declining debt-to-equity ratio (1.28 in 2020 to 0.66 in 2024). Further financing of equity would reduce the interest profile and financial risk, and strengthen the balance sheet. Excess equity may dilute ownership and affect the earnings per share. Thus, </w:t>
      </w:r>
      <w:r>
        <w:rPr>
          <w:rFonts w:ascii="Arial" w:eastAsia="Arial" w:hAnsi="Arial" w:cs="Arial"/>
        </w:rPr>
        <w:lastRenderedPageBreak/>
        <w:t>it is crucial to have an optimal balance in capital structure to reduce the cost of capital without undermining financial stability (Chari and Ferreira, 2025). The restructuring plans also positively affect the flexibility in operations. The finances can be liberated through divestiture and cost optimisation, and this will enable Tesla to be more receptive to market changes and the pressure of competition. Strategic alliances and mergers can enhance technological capabilities and development costs and help Tesla to react rapidly in an ever-changing EV market. Moreover, the cash flow is high, enabling it to reinvest and innovate without overdepending on external capital (Thulin and Povlsen, 2024; Hopkins and Lazonick, 2024). The flexibility will be fundamental to maintaining the competitive advantage of Tesla and addressing uncertainties related to global expansion and regulatory issues.</w:t>
      </w:r>
    </w:p>
    <w:p w14:paraId="6FE6F39F" w14:textId="77777777" w:rsidR="00B43BDF" w:rsidRDefault="001A7620">
      <w:pPr>
        <w:pStyle w:val="Heading2"/>
      </w:pPr>
      <w:bookmarkStart w:id="13" w:name="_Toc227622057"/>
      <w:r>
        <w:t>4.3 International and Ethical Considerations</w:t>
      </w:r>
      <w:bookmarkEnd w:id="13"/>
    </w:p>
    <w:p w14:paraId="0A1D11D4" w14:textId="77777777" w:rsidR="00B43BDF" w:rsidRDefault="001A7620">
      <w:pPr>
        <w:rPr>
          <w:rFonts w:ascii="Arial" w:eastAsia="Arial" w:hAnsi="Arial" w:cs="Arial"/>
        </w:rPr>
      </w:pPr>
      <w:r>
        <w:rPr>
          <w:rFonts w:ascii="Arial" w:eastAsia="Arial" w:hAnsi="Arial" w:cs="Arial"/>
        </w:rPr>
        <w:t>As part of its worldwide strategy, Tesla must reorganise its finances with key global and ethical considerations, particularly taxation, currency, inflation, and corporate social responsibility (CSR). Tesla will face varying corporate tax policies and legislations taxation wise since it is operating in various jurisdictions. The tax benefit of 5,001m in 2023 is significant and demonstrates the potential of tax policy to impact profitability significantly. This will require good tax planning and compliance to maximise after-tax returns without undermining regulatory transparency (Li, 2025). The second important issue is currency risk, which is crucial since Tesla makes revenues and incurs expenses in various currencies (Wang, 2023). It may also have an influence on the reported earnings and cash flows, particularly in the international markets such as China and Europe, because of the exchange rates. In order to counter this risk, hedging and diversification of currencies will be necessary to balance the performance financially and counter the risk.</w:t>
      </w:r>
    </w:p>
    <w:p w14:paraId="18419742" w14:textId="77777777" w:rsidR="00B43BDF" w:rsidRDefault="001A7620">
      <w:pPr>
        <w:rPr>
          <w:rFonts w:ascii="Arial" w:eastAsia="Arial" w:hAnsi="Arial" w:cs="Arial"/>
        </w:rPr>
      </w:pPr>
      <w:r>
        <w:rPr>
          <w:rFonts w:ascii="Arial" w:eastAsia="Arial" w:hAnsi="Arial" w:cs="Arial"/>
        </w:rPr>
        <w:t xml:space="preserve">Inflation is another problem, particularly in terms of the rising prices of raw materials and labour, and disruptions in the supply chain. The increase in expenses may put a strain on the profit margins, and in the case of Tesla, this was observed as the company saw a decline in profitability in 2024. The pricing strategy, cost control, and operational effectiveness will have to be used to minimise the inflationary pressures without losing competitiveness in the EV market (Thulin and Povlsen, 2024). Tesla </w:t>
      </w:r>
      <w:r>
        <w:rPr>
          <w:rFonts w:ascii="Arial" w:eastAsia="Arial" w:hAnsi="Arial" w:cs="Arial"/>
        </w:rPr>
        <w:lastRenderedPageBreak/>
        <w:t>must ethically align the restructuring plans with the CSR principles like environmental sustainability, ethical sourcing and transparency of the stakeholders. As a leader in clean energy, Tesla is expected to uphold high environmental standards and responsible business practices. Ethical concerns such as product liability in autonomous driving technologies and fair labour practices also have to be addressed (Chen, 2025). These international and ethical aspects should be incorporated into financial restructuring as they will not only provide compliance and risk avoidance but will also enhance the long-term reputation, sustainability, and international competitiveness of Tesla.</w:t>
      </w:r>
    </w:p>
    <w:p w14:paraId="27547D05" w14:textId="77777777" w:rsidR="00B43BDF" w:rsidRDefault="001A7620">
      <w:pPr>
        <w:pStyle w:val="Heading1"/>
      </w:pPr>
      <w:bookmarkStart w:id="14" w:name="_Toc227622058"/>
      <w:r>
        <w:t>5. Investment Appraisal and Capital Budgeting</w:t>
      </w:r>
      <w:bookmarkEnd w:id="14"/>
    </w:p>
    <w:p w14:paraId="6F4CEB93" w14:textId="77777777" w:rsidR="00B43BDF" w:rsidRDefault="001A7620">
      <w:pPr>
        <w:pStyle w:val="Heading2"/>
      </w:pPr>
      <w:bookmarkStart w:id="15" w:name="_Toc227622059"/>
      <w:r>
        <w:t>5.1 Methodology</w:t>
      </w:r>
      <w:bookmarkEnd w:id="15"/>
    </w:p>
    <w:p w14:paraId="74F66088" w14:textId="77777777" w:rsidR="00B43BDF" w:rsidRDefault="001A7620">
      <w:pPr>
        <w:rPr>
          <w:rFonts w:ascii="Arial" w:eastAsia="Arial" w:hAnsi="Arial" w:cs="Arial"/>
        </w:rPr>
      </w:pPr>
      <w:r>
        <w:rPr>
          <w:rFonts w:ascii="Arial" w:eastAsia="Arial" w:hAnsi="Arial" w:cs="Arial"/>
        </w:rPr>
        <w:t>The investment appraisal methodology uses five major techniques, which include “Payback Period (PBP)”, “Accounting Rate of Return (ARR)”, “Net Present Value (NPV)”, “Profitability Index (PI)” and “Internal Rate of Return (IRR)”. PBP relies on the speed of initial investment recovery to calculate the liquidity, and the ARR relies on accounting profitability and investment. NPV and PI incorporate the time value of money, a more accurate means of quantifying wealth creation, and a positive NPV indicates wealth maximisation (Wang, 2023; Li, 2025). IRR calculates the discount rate, where NPV is zero, making it easier to compare two decisions. This is important because it ensures that the risk and the return considerations are taken into consideration and the investment decisions made align with the long term objectives of the shareholders in regard to shareholder value.</w:t>
      </w:r>
    </w:p>
    <w:p w14:paraId="2AE2449B" w14:textId="77777777" w:rsidR="00B43BDF" w:rsidRDefault="001A7620">
      <w:pPr>
        <w:pStyle w:val="Heading2"/>
      </w:pPr>
      <w:bookmarkStart w:id="16" w:name="_Toc227622060"/>
      <w:r>
        <w:t>5.2 Overview of Investment Projects</w:t>
      </w:r>
      <w:bookmarkEnd w:id="16"/>
    </w:p>
    <w:p w14:paraId="456ECA3F" w14:textId="77777777" w:rsidR="00B43BDF" w:rsidRDefault="001A7620">
      <w:pPr>
        <w:rPr>
          <w:rFonts w:ascii="Arial" w:eastAsia="Arial" w:hAnsi="Arial" w:cs="Arial"/>
        </w:rPr>
      </w:pPr>
      <w:r>
        <w:rPr>
          <w:rFonts w:ascii="Arial" w:eastAsia="Arial" w:hAnsi="Arial" w:cs="Arial"/>
        </w:rPr>
        <w:t>The investment appraisal will consider three projects where the investment needed is initially 50 million in different cash flow patterns over a span of five years. Project A has moderate and fluctuating returns, Project B has stable and consistent cash inflows, and Project C has higher but more volatile returns. These differences enable risk-return trade-offs to be evaluated, and thus, the best projects are selected, which would meet the financial performance of Tesla, its growth strategy and risk tolerance.</w:t>
      </w:r>
    </w:p>
    <w:p w14:paraId="4651A7DB" w14:textId="77777777" w:rsidR="00B43BDF" w:rsidRDefault="001A7620">
      <w:pPr>
        <w:pStyle w:val="Heading2"/>
      </w:pPr>
      <w:bookmarkStart w:id="17" w:name="_Toc227622061"/>
      <w:r>
        <w:lastRenderedPageBreak/>
        <w:t>5.3 Project Analysis</w:t>
      </w:r>
      <w:bookmarkEnd w:id="17"/>
    </w:p>
    <w:p w14:paraId="45A155A6" w14:textId="77777777" w:rsidR="00B43BDF" w:rsidRDefault="001A7620">
      <w:pPr>
        <w:jc w:val="center"/>
        <w:rPr>
          <w:rFonts w:ascii="Arial" w:eastAsia="Arial" w:hAnsi="Arial" w:cs="Arial"/>
          <w:u w:val="single"/>
        </w:rPr>
      </w:pPr>
      <w:r w:rsidRPr="008E71D7">
        <w:rPr>
          <w:rFonts w:ascii="Arial" w:eastAsia="Arial" w:hAnsi="Arial" w:cs="Arial"/>
          <w:noProof/>
          <w:lang w:val="en-IN"/>
        </w:rPr>
        <w:drawing>
          <wp:inline distT="114300" distB="114300" distL="114300" distR="114300" wp14:anchorId="2CAC7941" wp14:editId="6FB48BDA">
            <wp:extent cx="5581650" cy="16097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581650" cy="1609725"/>
                    </a:xfrm>
                    <a:prstGeom prst="rect">
                      <a:avLst/>
                    </a:prstGeom>
                    <a:ln/>
                  </pic:spPr>
                </pic:pic>
              </a:graphicData>
            </a:graphic>
          </wp:inline>
        </w:drawing>
      </w:r>
    </w:p>
    <w:p w14:paraId="595F9A05" w14:textId="77777777" w:rsidR="00B43BDF" w:rsidRDefault="001A7620">
      <w:pPr>
        <w:jc w:val="center"/>
        <w:rPr>
          <w:rFonts w:ascii="Arial" w:eastAsia="Arial" w:hAnsi="Arial" w:cs="Arial"/>
          <w:b/>
          <w:bCs/>
        </w:rPr>
      </w:pPr>
      <w:r>
        <w:rPr>
          <w:rFonts w:ascii="Arial" w:eastAsia="Arial" w:hAnsi="Arial" w:cs="Arial"/>
          <w:b/>
          <w:bCs/>
        </w:rPr>
        <w:t>Figure 6: Comparison of Projects</w:t>
      </w:r>
    </w:p>
    <w:p w14:paraId="43A48E0E" w14:textId="77777777" w:rsidR="00B43BDF" w:rsidRDefault="001A7620">
      <w:pPr>
        <w:jc w:val="center"/>
        <w:rPr>
          <w:rFonts w:ascii="Arial" w:eastAsia="Arial" w:hAnsi="Arial" w:cs="Arial"/>
        </w:rPr>
      </w:pPr>
      <w:r>
        <w:rPr>
          <w:rFonts w:ascii="Arial" w:eastAsia="Arial" w:hAnsi="Arial" w:cs="Arial"/>
        </w:rPr>
        <w:t>(Source: Ms-Excel)</w:t>
      </w:r>
    </w:p>
    <w:p w14:paraId="1AEA7991" w14:textId="77777777" w:rsidR="00B43BDF" w:rsidRDefault="001A7620">
      <w:pPr>
        <w:rPr>
          <w:rFonts w:ascii="Arial" w:eastAsia="Arial" w:hAnsi="Arial" w:cs="Arial"/>
        </w:rPr>
      </w:pPr>
      <w:r>
        <w:rPr>
          <w:rFonts w:ascii="Arial" w:eastAsia="Arial" w:hAnsi="Arial" w:cs="Arial"/>
          <w:b/>
          <w:bCs/>
          <w:i/>
          <w:iCs/>
          <w:u w:val="single"/>
        </w:rPr>
        <w:t>Project A:</w:t>
      </w:r>
    </w:p>
    <w:p w14:paraId="30467848" w14:textId="7BAE5375" w:rsidR="00B43BDF" w:rsidRDefault="001A7620">
      <w:pPr>
        <w:rPr>
          <w:rFonts w:ascii="Arial" w:eastAsia="Arial" w:hAnsi="Arial" w:cs="Arial"/>
        </w:rPr>
      </w:pPr>
      <w:r>
        <w:rPr>
          <w:rFonts w:ascii="Arial" w:eastAsia="Arial" w:hAnsi="Arial" w:cs="Arial"/>
        </w:rPr>
        <w:t xml:space="preserve">Project A has poor financial viability, as its NPV is negative (-£8.68m), which shows that it has destroyed its value, although the profitability index is 1.17. The cash recovery is slow, and the liquidity issue is that the payback period is not realised within five years. Also, the IRR of 2.72 and ARR of 1.60 are very low compared to the </w:t>
      </w:r>
      <w:r w:rsidR="000D73C2">
        <w:rPr>
          <w:rFonts w:ascii="Arial" w:eastAsia="Arial" w:hAnsi="Arial" w:cs="Arial"/>
        </w:rPr>
        <w:t>number</w:t>
      </w:r>
      <w:r>
        <w:rPr>
          <w:rFonts w:ascii="Arial" w:eastAsia="Arial" w:hAnsi="Arial" w:cs="Arial"/>
        </w:rPr>
        <w:t xml:space="preserve"> of required returns, and the project is not attractive. Even though it yields moderate returns, the overall financial performance indicates inefficiency and a lack of alignment with the shareholder value maximisation goals (Wang, 2023; Li, 2025).</w:t>
      </w:r>
    </w:p>
    <w:p w14:paraId="1A813C5F" w14:textId="77777777" w:rsidR="00B43BDF" w:rsidRDefault="001A7620">
      <w:pPr>
        <w:rPr>
          <w:rFonts w:ascii="Arial" w:eastAsia="Arial" w:hAnsi="Arial" w:cs="Arial"/>
        </w:rPr>
      </w:pPr>
      <w:r>
        <w:rPr>
          <w:rFonts w:ascii="Arial" w:eastAsia="Arial" w:hAnsi="Arial" w:cs="Arial"/>
          <w:b/>
          <w:bCs/>
          <w:i/>
          <w:iCs/>
          <w:u w:val="single"/>
        </w:rPr>
        <w:t>Project B:</w:t>
      </w:r>
    </w:p>
    <w:p w14:paraId="6AF5D6A9" w14:textId="77777777" w:rsidR="00B43BDF" w:rsidRDefault="001A7620">
      <w:pPr>
        <w:rPr>
          <w:rFonts w:ascii="Arial" w:eastAsia="Arial" w:hAnsi="Arial" w:cs="Arial"/>
        </w:rPr>
      </w:pPr>
      <w:r>
        <w:rPr>
          <w:rFonts w:ascii="Arial" w:eastAsia="Arial" w:hAnsi="Arial" w:cs="Arial"/>
        </w:rPr>
        <w:t>Project B also has a stable and consistent cash flow, which is indicated by a profitability index of 1.17, just like in Project A. Nonetheless, the negative NPV of -8.30m means that the project does not create enough value. Liquidity constraints are identified by the lack of payback in the project period. The IRR of 3.26 percent and ARR of 2.00 percent are not completely acceptable, but slightly higher than Project A. Comprehensively, Project B is stable with poor financial performance as a requirement of value creation.</w:t>
      </w:r>
    </w:p>
    <w:p w14:paraId="7438FC8A" w14:textId="77777777" w:rsidR="00B43BDF" w:rsidRDefault="001A7620">
      <w:pPr>
        <w:rPr>
          <w:rFonts w:ascii="Arial" w:eastAsia="Arial" w:hAnsi="Arial" w:cs="Arial"/>
        </w:rPr>
      </w:pPr>
      <w:r>
        <w:rPr>
          <w:rFonts w:ascii="Arial" w:eastAsia="Arial" w:hAnsi="Arial" w:cs="Arial"/>
          <w:b/>
          <w:bCs/>
          <w:i/>
          <w:iCs/>
          <w:u w:val="single"/>
        </w:rPr>
        <w:t>Project C:</w:t>
      </w:r>
    </w:p>
    <w:p w14:paraId="493D30BE" w14:textId="77777777" w:rsidR="00B43BDF" w:rsidRDefault="001A7620">
      <w:pPr>
        <w:rPr>
          <w:rFonts w:ascii="Arial" w:eastAsia="Arial" w:hAnsi="Arial" w:cs="Arial"/>
        </w:rPr>
      </w:pPr>
      <w:r>
        <w:rPr>
          <w:rFonts w:ascii="Arial" w:eastAsia="Arial" w:hAnsi="Arial" w:cs="Arial"/>
        </w:rPr>
        <w:t xml:space="preserve">Project C has a relatively higher performance than the other projects, with the least negative NPV of -£1.98m and a profitability index of 1.04. It has the highest IRR of </w:t>
      </w:r>
      <w:r>
        <w:rPr>
          <w:rFonts w:ascii="Arial" w:eastAsia="Arial" w:hAnsi="Arial" w:cs="Arial"/>
        </w:rPr>
        <w:lastRenderedPageBreak/>
        <w:t>8.59% and ARR of 6.00, which is better in terms of returns, although it does not give the payback period. Its cash flows are more volatile, which adds risk. Nevertheless, Project C is more aligned with growth-oriented goals and offers a relatively better value, which is why it is the most preferable choice between the three.</w:t>
      </w:r>
    </w:p>
    <w:p w14:paraId="4B83D78B" w14:textId="77777777" w:rsidR="00B43BDF" w:rsidRDefault="001A7620">
      <w:pPr>
        <w:pStyle w:val="Heading2"/>
      </w:pPr>
      <w:bookmarkStart w:id="18" w:name="_Toc227622062"/>
      <w:r>
        <w:t>5.4 Recommended Project</w:t>
      </w:r>
      <w:bookmarkEnd w:id="18"/>
    </w:p>
    <w:p w14:paraId="1BF0C644" w14:textId="77777777" w:rsidR="00B43BDF" w:rsidRDefault="001A7620">
      <w:pPr>
        <w:rPr>
          <w:rFonts w:ascii="Arial" w:eastAsia="Arial" w:hAnsi="Arial" w:cs="Arial"/>
        </w:rPr>
      </w:pPr>
      <w:r>
        <w:rPr>
          <w:rFonts w:ascii="Arial" w:eastAsia="Arial" w:hAnsi="Arial" w:cs="Arial"/>
        </w:rPr>
        <w:t>Project C is the best investment option that should be picked. Despite the negative NPV of all the projects and failure to recover the initial investment in five years, Project C is relatively better as it has the least negative NPV (-£1.98m) and the highest IRR (8.59) and ARR (6.00). This means that it has higher potential for returns than Projects A and B. Although this project is characterised by increased variability of cash flows, its better profitability ratios relate more to growth-based approaches. Project C is thus the most desirable balance of both potential returns and strategic alignment to Tesla.</w:t>
      </w:r>
    </w:p>
    <w:p w14:paraId="7EF2DF36" w14:textId="77777777" w:rsidR="00B43BDF" w:rsidRDefault="001A7620">
      <w:pPr>
        <w:pStyle w:val="Heading2"/>
      </w:pPr>
      <w:bookmarkStart w:id="19" w:name="_Toc227622063"/>
      <w:r>
        <w:t>5.5 Justification of Recommendation</w:t>
      </w:r>
      <w:bookmarkEnd w:id="19"/>
    </w:p>
    <w:p w14:paraId="466A29E1" w14:textId="77777777" w:rsidR="00B43BDF" w:rsidRDefault="001A7620">
      <w:pPr>
        <w:rPr>
          <w:rFonts w:ascii="Arial" w:eastAsia="Arial" w:hAnsi="Arial" w:cs="Arial"/>
        </w:rPr>
      </w:pPr>
      <w:r>
        <w:rPr>
          <w:rFonts w:ascii="Arial" w:eastAsia="Arial" w:hAnsi="Arial" w:cs="Arial"/>
        </w:rPr>
        <w:t>It is possible to recommend project C because of the financial performance of Tesla and the non-financial risks. Regarding profitability, Tesla has experienced a decrease in net profit margin to 7% in 2024, four times lower than the net profit margin of 15% in 2017, which implies that the company is increasingly under pressure in terms of earnings. In this scenario, it is necessary to choose a project with a greater potential for returns in order to enhance future profitability. Project C has the best IRR (8.59) and ARR (6.00), thus it will be most suitable in increasing returns as compared to Projects A and B, which have very low returns. Tesla has a good liquidity position, with a current ratio of 2.02, which implies that it has enough liquidity to absorb the risks of short-term investments. However, the increasing capital spending and an increasing working capital requirement are forcing a keen choice of projects. The success of Project C in the form of relatively better financial performance justifies the efficient use of capital despite the fact that the payback period is long.</w:t>
      </w:r>
    </w:p>
    <w:p w14:paraId="71D581F7" w14:textId="77777777" w:rsidR="00B43BDF" w:rsidRDefault="001A7620">
      <w:pPr>
        <w:rPr>
          <w:rFonts w:ascii="Arial" w:eastAsia="Arial" w:hAnsi="Arial" w:cs="Arial"/>
        </w:rPr>
      </w:pPr>
      <w:r>
        <w:rPr>
          <w:rFonts w:ascii="Arial" w:eastAsia="Arial" w:hAnsi="Arial" w:cs="Arial"/>
        </w:rPr>
        <w:t xml:space="preserve">Regarding non-financial risks, Tesla has a very competitive and regulated international EV market. Project outcomes can be influenced by political risks, </w:t>
      </w:r>
      <w:r>
        <w:rPr>
          <w:rFonts w:ascii="Arial" w:eastAsia="Arial" w:hAnsi="Arial" w:cs="Arial"/>
        </w:rPr>
        <w:lastRenderedPageBreak/>
        <w:t>including alterations in government policies on EV subsidies and environmental regulations. Also, brand perception and customer loyalty are very critical in demand maintenance. Project C, whose potential for higher returns is involved, invests in innovation and long-term competitiveness that are crucial in ensuring customer loyalty. Nevertheless, the unpredictable cash flows of Project C bring the risk, and it should be managed. Tesla is well placed to manage these risks due to its good operational cash flows and technological leadership status. Overall, Project C aligns with Tesla’s strategic focus on growth, innovation, and long-term value creation.</w:t>
      </w:r>
    </w:p>
    <w:p w14:paraId="26E7C9C8" w14:textId="77777777" w:rsidR="00B43BDF" w:rsidRDefault="001A7620">
      <w:pPr>
        <w:pStyle w:val="Heading2"/>
      </w:pPr>
      <w:bookmarkStart w:id="20" w:name="_Toc227622064"/>
      <w:r>
        <w:t>5.6 Best Combination under Capital Constraint</w:t>
      </w:r>
      <w:bookmarkEnd w:id="20"/>
      <w:r>
        <w:t xml:space="preserve"> </w:t>
      </w:r>
    </w:p>
    <w:p w14:paraId="2534CA9C" w14:textId="77777777" w:rsidR="00B43BDF" w:rsidRDefault="001A7620">
      <w:pPr>
        <w:rPr>
          <w:rFonts w:ascii="Arial" w:eastAsia="Arial" w:hAnsi="Arial" w:cs="Arial"/>
        </w:rPr>
      </w:pPr>
      <w:r>
        <w:rPr>
          <w:rFonts w:ascii="Arial" w:eastAsia="Arial" w:hAnsi="Arial" w:cs="Arial"/>
        </w:rPr>
        <w:t>The best combination is Project B and Project C, considering the maximum limit of investment to be 100 million. The projects would cost 50 million pounds each, which would enable Tesla to use all the capital available. Project C offers greater returns, but Project B offers stable and consistent cash flows, averaging risk. These projects will be combined to diversify the cash flow pattern and decrease the risk of investment. This mix will enable Tesla to be a stable and growing company, which is a more effective strategy to invest in than choosing any project.</w:t>
      </w:r>
    </w:p>
    <w:p w14:paraId="754D8B0D" w14:textId="77777777" w:rsidR="00B43BDF" w:rsidRDefault="001A7620">
      <w:pPr>
        <w:pStyle w:val="Heading2"/>
      </w:pPr>
      <w:bookmarkStart w:id="21" w:name="_Toc227622065"/>
      <w:r>
        <w:t>5.7 Justification Using Capital Rationing</w:t>
      </w:r>
      <w:bookmarkEnd w:id="21"/>
    </w:p>
    <w:p w14:paraId="3ADC5D65" w14:textId="77777777" w:rsidR="00B43BDF" w:rsidRDefault="001A7620">
      <w:pPr>
        <w:rPr>
          <w:rFonts w:ascii="Arial" w:eastAsia="Arial" w:hAnsi="Arial" w:cs="Arial"/>
        </w:rPr>
      </w:pPr>
      <w:r>
        <w:rPr>
          <w:rFonts w:ascii="Arial" w:eastAsia="Arial" w:hAnsi="Arial" w:cs="Arial"/>
        </w:rPr>
        <w:t>Capital rationing entails firms distributing scarce financial resources on projects that will maximise overall returns whilst risk is managed. In this instance, Tesla is constrained by £100 million, and this prevents it from investing more than two projects. Projects B and C are the most efficient choices to allocate capital, subject to this constraint. Project C is given priority because of its high profitability measures, such as the highest IRR (8.59%) and ARR (6.00%), although the NPV is not so good (negative). This implies that it has a relatively higher rate of return than the rest of the projects. Project B is less profitable but offers predictable and stable cash flows, as shown by its stable annual returns. This security lowers the risk of the portfolio as a whole and offsets the increased variability of Project C.</w:t>
      </w:r>
    </w:p>
    <w:p w14:paraId="32F7C648" w14:textId="14FA2388" w:rsidR="00B43BDF" w:rsidRDefault="001A7620">
      <w:pPr>
        <w:rPr>
          <w:rFonts w:ascii="Arial" w:eastAsia="Arial" w:hAnsi="Arial" w:cs="Arial"/>
        </w:rPr>
      </w:pPr>
      <w:r>
        <w:rPr>
          <w:rFonts w:ascii="Arial" w:eastAsia="Arial" w:hAnsi="Arial" w:cs="Arial"/>
        </w:rPr>
        <w:t xml:space="preserve">Compared to Project A, Project B is less appealing because it has a lower IRR (2.72%), ARR (1.60%), and thus, it is the weakest in the generation of returns. The addition of Project A would decrease the efficiency of capital allocation. Tesla makes </w:t>
      </w:r>
      <w:r>
        <w:rPr>
          <w:rFonts w:ascii="Arial" w:eastAsia="Arial" w:hAnsi="Arial" w:cs="Arial"/>
        </w:rPr>
        <w:lastRenderedPageBreak/>
        <w:t xml:space="preserve">a compromise between risk and </w:t>
      </w:r>
      <w:r w:rsidR="008E71D7">
        <w:rPr>
          <w:rFonts w:ascii="Arial" w:eastAsia="Arial" w:hAnsi="Arial" w:cs="Arial"/>
        </w:rPr>
        <w:t>returns</w:t>
      </w:r>
      <w:r>
        <w:rPr>
          <w:rFonts w:ascii="Arial" w:eastAsia="Arial" w:hAnsi="Arial" w:cs="Arial"/>
        </w:rPr>
        <w:t xml:space="preserve"> by choosing Projects B and C, which is one of the primary goals of capital rationing. Moreover, this mix is consistent with the Tesla financial strategy of remaining liquid and engaging in expansion. The cash flow diversification increases financial strength and contributes to long-term strategic goals (Daylan, 2023). Thus, Projects B and C are chosen under capital rationing to maximise the utility of available funds and have an acceptable risk profile.</w:t>
      </w:r>
    </w:p>
    <w:p w14:paraId="667E82C8" w14:textId="77777777" w:rsidR="00B43BDF" w:rsidRDefault="001A7620">
      <w:pPr>
        <w:pStyle w:val="Heading1"/>
      </w:pPr>
      <w:bookmarkStart w:id="22" w:name="_Toc227622066"/>
      <w:r>
        <w:t>6. Conclusion</w:t>
      </w:r>
      <w:bookmarkEnd w:id="22"/>
    </w:p>
    <w:p w14:paraId="1E6C2F90" w14:textId="77777777" w:rsidR="00B43BDF" w:rsidRDefault="001A7620">
      <w:pPr>
        <w:rPr>
          <w:rFonts w:ascii="Arial" w:eastAsia="Arial" w:hAnsi="Arial" w:cs="Arial"/>
        </w:rPr>
      </w:pPr>
      <w:r>
        <w:rPr>
          <w:rFonts w:ascii="Arial" w:eastAsia="Arial" w:hAnsi="Arial" w:cs="Arial"/>
        </w:rPr>
        <w:t>The report is a detailed assessment of the financial performance, operational efficiency, and strategic direction of Tesla Inc. from 2020 to 2024. The analysis shows that Tesla has achieved high revenue growth and asset expansion, which indicates the successful global expansion of Tesla and its leadership in the electric vehicle market. Nevertheless, decreased profitability and narrowing margins reflect mounting competition and escalating operational expenses, in need of a strategic response. The ratio analysis validates the fact that there was improvement in liquidity, and also the financial risk is lowered as shown by a decreasing debt-to-equity ratio and positive operating cash flows. However, the presence of efficiency issues and an increasing cash operating cycle also promotes the necessity to manage working capital more effectively. The reorganisation strategy focuses on cost optimisation, selective divestiture, equity financing and strategic alliance in order to enhance financial stability and flexibility to operate in the long run without compromising long-term growth. The outcomes of investment appraisal suggest that Project C has the highest potential in terms of returns, and Projects B and C will optimise the allocation of capital given financial limitations. On the whole, Tesla is still a financially sound company with a high growth potential, but profitability and risk management will become essential. The efficient use of resources and innovation will be necessary in order to boost shareholder value and make it competitive in the long run.</w:t>
      </w:r>
      <w:r>
        <w:br w:type="page"/>
      </w:r>
    </w:p>
    <w:p w14:paraId="37697949" w14:textId="77777777" w:rsidR="00B43BDF" w:rsidRDefault="001A7620">
      <w:pPr>
        <w:pStyle w:val="Heading1"/>
      </w:pPr>
      <w:bookmarkStart w:id="23" w:name="_Toc227622067"/>
      <w:r>
        <w:lastRenderedPageBreak/>
        <w:t>7. References</w:t>
      </w:r>
      <w:bookmarkEnd w:id="23"/>
    </w:p>
    <w:p w14:paraId="2CFEA614" w14:textId="77777777" w:rsidR="008E71D7" w:rsidRPr="008E71D7" w:rsidRDefault="008E71D7" w:rsidP="008E71D7">
      <w:pPr>
        <w:rPr>
          <w:rFonts w:ascii="Arial" w:hAnsi="Arial" w:cs="Arial"/>
          <w:lang w:val="en-IN"/>
        </w:rPr>
      </w:pPr>
      <w:r w:rsidRPr="008E71D7">
        <w:rPr>
          <w:rFonts w:ascii="Arial" w:hAnsi="Arial" w:cs="Arial"/>
          <w:lang w:val="en-IN"/>
        </w:rPr>
        <w:t xml:space="preserve">Akakpo, A., Gyasi, E.A., Oduro, B. and Akpabot, S., 2024. A study of tesla—twenty-first century organizational strategy as nexus between foresight and futures thinking. In </w:t>
      </w:r>
      <w:r w:rsidRPr="008E71D7">
        <w:rPr>
          <w:rFonts w:ascii="Arial" w:hAnsi="Arial" w:cs="Arial"/>
          <w:i/>
          <w:iCs/>
          <w:lang w:val="en-IN"/>
        </w:rPr>
        <w:t>Futures Thinking and Organizational Policy, Volume 2: Case Studies for Managing Rapid Change in Social Media, Shift in Wealth and Government Instability</w:t>
      </w:r>
      <w:r w:rsidRPr="008E71D7">
        <w:rPr>
          <w:rFonts w:ascii="Arial" w:hAnsi="Arial" w:cs="Arial"/>
          <w:lang w:val="en-IN"/>
        </w:rPr>
        <w:t xml:space="preserve"> (pp. 25-47). Cham: Springer Nature Switzerland. </w:t>
      </w:r>
      <w:hyperlink r:id="rId14" w:history="1">
        <w:r w:rsidRPr="008E71D7">
          <w:rPr>
            <w:rStyle w:val="Hyperlink"/>
            <w:rFonts w:ascii="Arial" w:hAnsi="Arial" w:cs="Arial"/>
            <w:lang w:val="en-IN"/>
          </w:rPr>
          <w:t>https://pure.northampton.ac.uk/ws/portalfiles/portal/71668258/Akakpo_et_al_2024_A_Study_of_Tesla_Twenty-First_Century_Organizational_Strategy_as_Nexus_Between_Foresight_and_Futures_Thinking.pdf</w:t>
        </w:r>
      </w:hyperlink>
      <w:r w:rsidRPr="008E71D7">
        <w:rPr>
          <w:rFonts w:ascii="Arial" w:hAnsi="Arial" w:cs="Arial"/>
          <w:lang w:val="en-IN"/>
        </w:rPr>
        <w:t> </w:t>
      </w:r>
    </w:p>
    <w:p w14:paraId="40362827" w14:textId="77777777" w:rsidR="008E71D7" w:rsidRPr="008E71D7" w:rsidRDefault="008E71D7" w:rsidP="008E71D7">
      <w:pPr>
        <w:rPr>
          <w:rFonts w:ascii="Arial" w:hAnsi="Arial" w:cs="Arial"/>
          <w:lang w:val="en-IN"/>
        </w:rPr>
      </w:pPr>
      <w:r w:rsidRPr="008E71D7">
        <w:rPr>
          <w:rFonts w:ascii="Arial" w:hAnsi="Arial" w:cs="Arial"/>
          <w:lang w:val="en-IN"/>
        </w:rPr>
        <w:t xml:space="preserve">Chari, M. and Ferreira, V.F.M., 2025. Strategy as What a Business Should Do Over Time to Succeed: A Case Study of Tesla, Inc. </w:t>
      </w:r>
      <w:r w:rsidRPr="008E71D7">
        <w:rPr>
          <w:rFonts w:ascii="Arial" w:hAnsi="Arial" w:cs="Arial"/>
          <w:i/>
          <w:iCs/>
          <w:lang w:val="en-IN"/>
        </w:rPr>
        <w:t>American Business Review</w:t>
      </w:r>
      <w:r w:rsidRPr="008E71D7">
        <w:rPr>
          <w:rFonts w:ascii="Arial" w:hAnsi="Arial" w:cs="Arial"/>
          <w:lang w:val="en-IN"/>
        </w:rPr>
        <w:t xml:space="preserve">, </w:t>
      </w:r>
      <w:r w:rsidRPr="008E71D7">
        <w:rPr>
          <w:rFonts w:ascii="Arial" w:hAnsi="Arial" w:cs="Arial"/>
          <w:i/>
          <w:iCs/>
          <w:lang w:val="en-IN"/>
        </w:rPr>
        <w:t>28</w:t>
      </w:r>
      <w:r w:rsidRPr="008E71D7">
        <w:rPr>
          <w:rFonts w:ascii="Arial" w:hAnsi="Arial" w:cs="Arial"/>
          <w:lang w:val="en-IN"/>
        </w:rPr>
        <w:t xml:space="preserve">(1), p.15. </w:t>
      </w:r>
      <w:hyperlink r:id="rId15" w:history="1">
        <w:r w:rsidRPr="008E71D7">
          <w:rPr>
            <w:rStyle w:val="Hyperlink"/>
            <w:rFonts w:ascii="Arial" w:hAnsi="Arial" w:cs="Arial"/>
            <w:lang w:val="en-IN"/>
          </w:rPr>
          <w:t>https://digitalcommons.newhaven.edu/cgi/viewcontent.cgi?article=3214&amp;context=americanbusinessreview</w:t>
        </w:r>
      </w:hyperlink>
      <w:r w:rsidRPr="008E71D7">
        <w:rPr>
          <w:rFonts w:ascii="Arial" w:hAnsi="Arial" w:cs="Arial"/>
          <w:lang w:val="en-IN"/>
        </w:rPr>
        <w:t> </w:t>
      </w:r>
    </w:p>
    <w:p w14:paraId="78AF46AB" w14:textId="77777777" w:rsidR="008E71D7" w:rsidRPr="008E71D7" w:rsidRDefault="008E71D7" w:rsidP="008E71D7">
      <w:pPr>
        <w:rPr>
          <w:rFonts w:ascii="Arial" w:hAnsi="Arial" w:cs="Arial"/>
          <w:lang w:val="en-IN"/>
        </w:rPr>
      </w:pPr>
      <w:r w:rsidRPr="008E71D7">
        <w:rPr>
          <w:rFonts w:ascii="Arial" w:hAnsi="Arial" w:cs="Arial"/>
          <w:lang w:val="en-IN"/>
        </w:rPr>
        <w:t xml:space="preserve">Chen, Y., 2025. Legal Regulation of Product Liability in Intelligent Driving: A Comparative Analysis of China and the USA through Benavides v. Tesla, Inc. </w:t>
      </w:r>
      <w:r w:rsidRPr="008E71D7">
        <w:rPr>
          <w:rFonts w:ascii="Arial" w:hAnsi="Arial" w:cs="Arial"/>
          <w:i/>
          <w:iCs/>
          <w:lang w:val="en-IN"/>
        </w:rPr>
        <w:t>Russ. Jurid. J.</w:t>
      </w:r>
      <w:r w:rsidRPr="008E71D7">
        <w:rPr>
          <w:rFonts w:ascii="Arial" w:hAnsi="Arial" w:cs="Arial"/>
          <w:lang w:val="en-IN"/>
        </w:rPr>
        <w:t xml:space="preserve">, p.7. </w:t>
      </w:r>
      <w:hyperlink r:id="rId16" w:history="1">
        <w:r w:rsidRPr="008E71D7">
          <w:rPr>
            <w:rStyle w:val="Hyperlink"/>
            <w:rFonts w:ascii="Arial" w:hAnsi="Arial" w:cs="Arial"/>
            <w:lang w:val="en-IN"/>
          </w:rPr>
          <w:t>https://heinonline.org/hol-cgi-bin/get_pdf.cgi?handle=hein.journals/rusjj2025&amp;section=60</w:t>
        </w:r>
      </w:hyperlink>
      <w:r w:rsidRPr="008E71D7">
        <w:rPr>
          <w:rFonts w:ascii="Arial" w:hAnsi="Arial" w:cs="Arial"/>
          <w:lang w:val="en-IN"/>
        </w:rPr>
        <w:t> </w:t>
      </w:r>
    </w:p>
    <w:p w14:paraId="7736FA8A" w14:textId="77777777" w:rsidR="008E71D7" w:rsidRPr="008E71D7" w:rsidRDefault="008E71D7" w:rsidP="008E71D7">
      <w:pPr>
        <w:rPr>
          <w:rFonts w:ascii="Arial" w:hAnsi="Arial" w:cs="Arial"/>
          <w:lang w:val="en-IN"/>
        </w:rPr>
      </w:pPr>
      <w:r w:rsidRPr="008E71D7">
        <w:rPr>
          <w:rFonts w:ascii="Arial" w:hAnsi="Arial" w:cs="Arial"/>
          <w:lang w:val="en-IN"/>
        </w:rPr>
        <w:t xml:space="preserve">Daylan, A., 2023. Examining the Disruptive Innovation Theory by Analysing Tesla, Inc. </w:t>
      </w:r>
      <w:hyperlink r:id="rId17" w:history="1">
        <w:r w:rsidRPr="008E71D7">
          <w:rPr>
            <w:rStyle w:val="Hyperlink"/>
            <w:rFonts w:ascii="Arial" w:hAnsi="Arial" w:cs="Arial"/>
            <w:lang w:val="en-IN"/>
          </w:rPr>
          <w:t>https://www.utupub.fi/bitstream/handle/10024/174431/Daylan_Arda_Thesis.pdf</w:t>
        </w:r>
      </w:hyperlink>
      <w:r w:rsidRPr="008E71D7">
        <w:rPr>
          <w:rFonts w:ascii="Arial" w:hAnsi="Arial" w:cs="Arial"/>
          <w:lang w:val="en-IN"/>
        </w:rPr>
        <w:t> </w:t>
      </w:r>
    </w:p>
    <w:p w14:paraId="13367A0B" w14:textId="77777777" w:rsidR="008E71D7" w:rsidRPr="008E71D7" w:rsidRDefault="008E71D7" w:rsidP="008E71D7">
      <w:pPr>
        <w:rPr>
          <w:rFonts w:ascii="Arial" w:hAnsi="Arial" w:cs="Arial"/>
          <w:lang w:val="en-IN"/>
        </w:rPr>
      </w:pPr>
      <w:r w:rsidRPr="008E71D7">
        <w:rPr>
          <w:rFonts w:ascii="Arial" w:hAnsi="Arial" w:cs="Arial"/>
          <w:lang w:val="en-IN"/>
        </w:rPr>
        <w:t xml:space="preserve">Geng, Z., 2025. Research on the influence of digital and intelligent technologies on user experience: a case study of Tesla, Inc. </w:t>
      </w:r>
      <w:r w:rsidRPr="008E71D7">
        <w:rPr>
          <w:rFonts w:ascii="Arial" w:hAnsi="Arial" w:cs="Arial"/>
          <w:i/>
          <w:iCs/>
          <w:lang w:val="en-IN"/>
        </w:rPr>
        <w:t>Finance &amp; Economics</w:t>
      </w:r>
      <w:r w:rsidRPr="008E71D7">
        <w:rPr>
          <w:rFonts w:ascii="Arial" w:hAnsi="Arial" w:cs="Arial"/>
          <w:lang w:val="en-IN"/>
        </w:rPr>
        <w:t xml:space="preserve">, </w:t>
      </w:r>
      <w:r w:rsidRPr="008E71D7">
        <w:rPr>
          <w:rFonts w:ascii="Arial" w:hAnsi="Arial" w:cs="Arial"/>
          <w:i/>
          <w:iCs/>
          <w:lang w:val="en-IN"/>
        </w:rPr>
        <w:t>1</w:t>
      </w:r>
      <w:r w:rsidRPr="008E71D7">
        <w:rPr>
          <w:rFonts w:ascii="Arial" w:hAnsi="Arial" w:cs="Arial"/>
          <w:lang w:val="en-IN"/>
        </w:rPr>
        <w:t xml:space="preserve">(3). </w:t>
      </w:r>
      <w:hyperlink r:id="rId18" w:history="1">
        <w:r w:rsidRPr="008E71D7">
          <w:rPr>
            <w:rStyle w:val="Hyperlink"/>
            <w:rFonts w:ascii="Arial" w:hAnsi="Arial" w:cs="Arial"/>
            <w:lang w:val="en-IN"/>
          </w:rPr>
          <w:t>https://lseee.net/index.php/fe/article/view/133</w:t>
        </w:r>
      </w:hyperlink>
      <w:r w:rsidRPr="008E71D7">
        <w:rPr>
          <w:rFonts w:ascii="Arial" w:hAnsi="Arial" w:cs="Arial"/>
          <w:lang w:val="en-IN"/>
        </w:rPr>
        <w:t> </w:t>
      </w:r>
    </w:p>
    <w:p w14:paraId="2BF4BFDB" w14:textId="77777777" w:rsidR="008E71D7" w:rsidRPr="008E71D7" w:rsidRDefault="008E71D7" w:rsidP="008E71D7">
      <w:pPr>
        <w:rPr>
          <w:rFonts w:ascii="Arial" w:hAnsi="Arial" w:cs="Arial"/>
          <w:lang w:val="en-IN"/>
        </w:rPr>
      </w:pPr>
      <w:r w:rsidRPr="008E71D7">
        <w:rPr>
          <w:rFonts w:ascii="Arial" w:hAnsi="Arial" w:cs="Arial"/>
          <w:lang w:val="en-IN"/>
        </w:rPr>
        <w:t xml:space="preserve">Hopkins, M. and Lazonick, W., 2024. Tesla as a Global Competitor: Strategic Control in the EV Transition. </w:t>
      </w:r>
      <w:r w:rsidRPr="008E71D7">
        <w:rPr>
          <w:rFonts w:ascii="Arial" w:hAnsi="Arial" w:cs="Arial"/>
          <w:i/>
          <w:iCs/>
          <w:lang w:val="en-IN"/>
        </w:rPr>
        <w:t>Institute for New Economic Thinking Working Paper Series</w:t>
      </w:r>
      <w:r w:rsidRPr="008E71D7">
        <w:rPr>
          <w:rFonts w:ascii="Arial" w:hAnsi="Arial" w:cs="Arial"/>
          <w:lang w:val="en-IN"/>
        </w:rPr>
        <w:t xml:space="preserve">, (225). </w:t>
      </w:r>
      <w:hyperlink r:id="rId19" w:history="1">
        <w:r w:rsidRPr="008E71D7">
          <w:rPr>
            <w:rStyle w:val="Hyperlink"/>
            <w:rFonts w:ascii="Arial" w:hAnsi="Arial" w:cs="Arial"/>
            <w:lang w:val="en-IN"/>
          </w:rPr>
          <w:t>https://papers.ssrn.com/sol3/Delivery.cfm?abstractid=4973602</w:t>
        </w:r>
      </w:hyperlink>
      <w:r w:rsidRPr="008E71D7">
        <w:rPr>
          <w:rFonts w:ascii="Arial" w:hAnsi="Arial" w:cs="Arial"/>
          <w:lang w:val="en-IN"/>
        </w:rPr>
        <w:t> </w:t>
      </w:r>
    </w:p>
    <w:p w14:paraId="6770EF73" w14:textId="77777777" w:rsidR="008E71D7" w:rsidRPr="008E71D7" w:rsidRDefault="008E71D7" w:rsidP="008E71D7">
      <w:pPr>
        <w:rPr>
          <w:rFonts w:ascii="Arial" w:hAnsi="Arial" w:cs="Arial"/>
          <w:lang w:val="en-IN"/>
        </w:rPr>
      </w:pPr>
      <w:r w:rsidRPr="008E71D7">
        <w:rPr>
          <w:rFonts w:ascii="Arial" w:hAnsi="Arial" w:cs="Arial"/>
          <w:lang w:val="en-IN"/>
        </w:rPr>
        <w:t xml:space="preserve">Lei, C., 2025. Analysis of Tesla International Strategies. In </w:t>
      </w:r>
      <w:r w:rsidRPr="008E71D7">
        <w:rPr>
          <w:rFonts w:ascii="Arial" w:hAnsi="Arial" w:cs="Arial"/>
          <w:i/>
          <w:iCs/>
          <w:lang w:val="en-IN"/>
        </w:rPr>
        <w:t xml:space="preserve">Sustainable Data Management: Navigating Big Data, Communication Technology, and Business </w:t>
      </w:r>
      <w:r w:rsidRPr="008E71D7">
        <w:rPr>
          <w:rFonts w:ascii="Arial" w:hAnsi="Arial" w:cs="Arial"/>
          <w:i/>
          <w:iCs/>
          <w:lang w:val="en-IN"/>
        </w:rPr>
        <w:lastRenderedPageBreak/>
        <w:t>Digital Leadership. Volume 1</w:t>
      </w:r>
      <w:r w:rsidRPr="008E71D7">
        <w:rPr>
          <w:rFonts w:ascii="Arial" w:hAnsi="Arial" w:cs="Arial"/>
          <w:lang w:val="en-IN"/>
        </w:rPr>
        <w:t xml:space="preserve"> (pp. 237-246). Cham: Springer Nature Switzerland. </w:t>
      </w:r>
      <w:hyperlink r:id="rId20" w:history="1">
        <w:r w:rsidRPr="008E71D7">
          <w:rPr>
            <w:rStyle w:val="Hyperlink"/>
            <w:rFonts w:ascii="Arial" w:hAnsi="Arial" w:cs="Arial"/>
            <w:lang w:val="en-IN"/>
          </w:rPr>
          <w:t>https://link.springer.com/chapter/10.1007/978-3-031-83911-5_21</w:t>
        </w:r>
      </w:hyperlink>
      <w:r w:rsidRPr="008E71D7">
        <w:rPr>
          <w:rFonts w:ascii="Arial" w:hAnsi="Arial" w:cs="Arial"/>
          <w:lang w:val="en-IN"/>
        </w:rPr>
        <w:t> </w:t>
      </w:r>
    </w:p>
    <w:p w14:paraId="729F0623" w14:textId="77777777" w:rsidR="008E71D7" w:rsidRPr="008E71D7" w:rsidRDefault="008E71D7" w:rsidP="008E71D7">
      <w:pPr>
        <w:rPr>
          <w:rFonts w:ascii="Arial" w:hAnsi="Arial" w:cs="Arial"/>
          <w:lang w:val="en-IN"/>
        </w:rPr>
      </w:pPr>
      <w:r w:rsidRPr="008E71D7">
        <w:rPr>
          <w:rFonts w:ascii="Arial" w:hAnsi="Arial" w:cs="Arial"/>
          <w:lang w:val="en-IN"/>
        </w:rPr>
        <w:t xml:space="preserve">Li, Y., 2025, February. Financial Analysis of the Company Tesla. In </w:t>
      </w:r>
      <w:r w:rsidRPr="008E71D7">
        <w:rPr>
          <w:rFonts w:ascii="Arial" w:hAnsi="Arial" w:cs="Arial"/>
          <w:i/>
          <w:iCs/>
          <w:lang w:val="en-IN"/>
        </w:rPr>
        <w:t>International Workshop on Navigating the Digital Business Frontier for Sustainable Financial Innovation (ICDEBA 2024)</w:t>
      </w:r>
      <w:r w:rsidRPr="008E71D7">
        <w:rPr>
          <w:rFonts w:ascii="Arial" w:hAnsi="Arial" w:cs="Arial"/>
          <w:lang w:val="en-IN"/>
        </w:rPr>
        <w:t xml:space="preserve"> (pp. 566-575). Atlantis Press. https://www.atlantis-press.com/article/126008536.pdf</w:t>
      </w:r>
    </w:p>
    <w:p w14:paraId="59BB541D" w14:textId="77777777" w:rsidR="008E71D7" w:rsidRPr="008E71D7" w:rsidRDefault="008E71D7" w:rsidP="008E71D7">
      <w:pPr>
        <w:rPr>
          <w:rFonts w:ascii="Arial" w:hAnsi="Arial" w:cs="Arial"/>
          <w:lang w:val="en-IN"/>
        </w:rPr>
      </w:pPr>
      <w:r w:rsidRPr="008E71D7">
        <w:rPr>
          <w:rFonts w:ascii="Arial" w:hAnsi="Arial" w:cs="Arial"/>
          <w:lang w:val="en-IN"/>
        </w:rPr>
        <w:t xml:space="preserve">Ma, Z., 2025, August. Analysing the Challenges and Opportunities of Tesla: a SWOT Approach. In </w:t>
      </w:r>
      <w:r w:rsidRPr="008E71D7">
        <w:rPr>
          <w:rFonts w:ascii="Arial" w:hAnsi="Arial" w:cs="Arial"/>
          <w:i/>
          <w:iCs/>
          <w:lang w:val="en-IN"/>
        </w:rPr>
        <w:t>2025 5th International Conference on Enterprise Management and Economic Development (ICEMED 2025)</w:t>
      </w:r>
      <w:r w:rsidRPr="008E71D7">
        <w:rPr>
          <w:rFonts w:ascii="Arial" w:hAnsi="Arial" w:cs="Arial"/>
          <w:lang w:val="en-IN"/>
        </w:rPr>
        <w:t xml:space="preserve"> (pp. 670-675). Atlantis Press. </w:t>
      </w:r>
      <w:hyperlink r:id="rId21" w:history="1">
        <w:r w:rsidRPr="008E71D7">
          <w:rPr>
            <w:rStyle w:val="Hyperlink"/>
            <w:rFonts w:ascii="Arial" w:hAnsi="Arial" w:cs="Arial"/>
            <w:lang w:val="en-IN"/>
          </w:rPr>
          <w:t>https://www.atlantis-press.com/proceedings/icemed-25/126014965</w:t>
        </w:r>
      </w:hyperlink>
      <w:r w:rsidRPr="008E71D7">
        <w:rPr>
          <w:rFonts w:ascii="Arial" w:hAnsi="Arial" w:cs="Arial"/>
          <w:lang w:val="en-IN"/>
        </w:rPr>
        <w:t> </w:t>
      </w:r>
    </w:p>
    <w:p w14:paraId="0296CFDB" w14:textId="77777777" w:rsidR="008E71D7" w:rsidRPr="008E71D7" w:rsidRDefault="008E71D7" w:rsidP="008E71D7">
      <w:pPr>
        <w:rPr>
          <w:rFonts w:ascii="Arial" w:hAnsi="Arial" w:cs="Arial"/>
          <w:lang w:val="en-IN"/>
        </w:rPr>
      </w:pPr>
      <w:r w:rsidRPr="008E71D7">
        <w:rPr>
          <w:rFonts w:ascii="Arial" w:hAnsi="Arial" w:cs="Arial"/>
          <w:lang w:val="en-IN"/>
        </w:rPr>
        <w:t xml:space="preserve">McKingsley, S., 2024. Analyzing CFO Leadership: Addressing Economic Challenges and Strategic Priorities. </w:t>
      </w:r>
      <w:r w:rsidRPr="008E71D7">
        <w:rPr>
          <w:rFonts w:ascii="Arial" w:hAnsi="Arial" w:cs="Arial"/>
          <w:i/>
          <w:iCs/>
          <w:lang w:val="en-IN"/>
        </w:rPr>
        <w:t>Open Access Cases</w:t>
      </w:r>
      <w:r w:rsidRPr="008E71D7">
        <w:rPr>
          <w:rFonts w:ascii="Arial" w:hAnsi="Arial" w:cs="Arial"/>
          <w:lang w:val="en-IN"/>
        </w:rPr>
        <w:t xml:space="preserve">, </w:t>
      </w:r>
      <w:r w:rsidRPr="008E71D7">
        <w:rPr>
          <w:rFonts w:ascii="Arial" w:hAnsi="Arial" w:cs="Arial"/>
          <w:i/>
          <w:iCs/>
          <w:lang w:val="en-IN"/>
        </w:rPr>
        <w:t>1</w:t>
      </w:r>
      <w:r w:rsidRPr="008E71D7">
        <w:rPr>
          <w:rFonts w:ascii="Arial" w:hAnsi="Arial" w:cs="Arial"/>
          <w:lang w:val="en-IN"/>
        </w:rPr>
        <w:t xml:space="preserve">(2). </w:t>
      </w:r>
      <w:hyperlink r:id="rId22" w:history="1">
        <w:r w:rsidRPr="008E71D7">
          <w:rPr>
            <w:rStyle w:val="Hyperlink"/>
            <w:rFonts w:ascii="Arial" w:hAnsi="Arial" w:cs="Arial"/>
            <w:lang w:val="en-IN"/>
          </w:rPr>
          <w:t>http://oacases.com/index.php/cases/article/download/3/16</w:t>
        </w:r>
      </w:hyperlink>
      <w:r w:rsidRPr="008E71D7">
        <w:rPr>
          <w:rFonts w:ascii="Arial" w:hAnsi="Arial" w:cs="Arial"/>
          <w:lang w:val="en-IN"/>
        </w:rPr>
        <w:t> </w:t>
      </w:r>
    </w:p>
    <w:p w14:paraId="6EB0A693" w14:textId="77777777" w:rsidR="008E71D7" w:rsidRPr="008E71D7" w:rsidRDefault="008E71D7" w:rsidP="008E71D7">
      <w:pPr>
        <w:rPr>
          <w:rFonts w:ascii="Arial" w:hAnsi="Arial" w:cs="Arial"/>
          <w:lang w:val="en-IN"/>
        </w:rPr>
      </w:pPr>
      <w:r w:rsidRPr="008E71D7">
        <w:rPr>
          <w:rFonts w:ascii="Arial" w:hAnsi="Arial" w:cs="Arial"/>
          <w:lang w:val="en-IN"/>
        </w:rPr>
        <w:t xml:space="preserve">Purnawan, B.G., 2024. Accelerating the Future Tesla Market Strategy and Growth Opportunities. </w:t>
      </w:r>
      <w:hyperlink r:id="rId23" w:history="1">
        <w:r w:rsidRPr="008E71D7">
          <w:rPr>
            <w:rStyle w:val="Hyperlink"/>
            <w:rFonts w:ascii="Arial" w:hAnsi="Arial" w:cs="Arial"/>
            <w:lang w:val="en-IN"/>
          </w:rPr>
          <w:t>https://www.academia.edu/download/124198295/Accelerating_the_Future_Tesla_Market_Strategy_and_Growth_Opportunities.pdf</w:t>
        </w:r>
      </w:hyperlink>
      <w:r w:rsidRPr="008E71D7">
        <w:rPr>
          <w:rFonts w:ascii="Arial" w:hAnsi="Arial" w:cs="Arial"/>
          <w:lang w:val="en-IN"/>
        </w:rPr>
        <w:t> </w:t>
      </w:r>
    </w:p>
    <w:p w14:paraId="09F34115" w14:textId="77777777" w:rsidR="008E71D7" w:rsidRPr="008E71D7" w:rsidRDefault="008E71D7" w:rsidP="008E71D7">
      <w:pPr>
        <w:rPr>
          <w:rFonts w:ascii="Arial" w:hAnsi="Arial" w:cs="Arial"/>
          <w:lang w:val="en-IN"/>
        </w:rPr>
      </w:pPr>
      <w:r w:rsidRPr="008E71D7">
        <w:rPr>
          <w:rFonts w:ascii="Arial" w:hAnsi="Arial" w:cs="Arial"/>
          <w:lang w:val="en-IN"/>
        </w:rPr>
        <w:t xml:space="preserve">Raj, R., Sonar, S.B., Tanya, S., Shreya, S., Giri, S.N., Alam, S. and Nagpal, P., 2025. Innovative the future: Application of design thinking in Tesla. </w:t>
      </w:r>
      <w:hyperlink r:id="rId24" w:history="1">
        <w:r w:rsidRPr="008E71D7">
          <w:rPr>
            <w:rStyle w:val="Hyperlink"/>
            <w:rFonts w:ascii="Arial" w:hAnsi="Arial" w:cs="Arial"/>
            <w:lang w:val="en-IN"/>
          </w:rPr>
          <w:t>https://www.irjweb.com/user_upload/Innovative%20The%20Future%20Application%20of%20Design%20Thinking%20in%20Tesla.pdf</w:t>
        </w:r>
      </w:hyperlink>
      <w:r w:rsidRPr="008E71D7">
        <w:rPr>
          <w:rFonts w:ascii="Arial" w:hAnsi="Arial" w:cs="Arial"/>
          <w:lang w:val="en-IN"/>
        </w:rPr>
        <w:t> </w:t>
      </w:r>
    </w:p>
    <w:p w14:paraId="5414676B" w14:textId="77777777" w:rsidR="008E71D7" w:rsidRPr="008E71D7" w:rsidRDefault="008E71D7" w:rsidP="008E71D7">
      <w:pPr>
        <w:rPr>
          <w:rFonts w:ascii="Arial" w:hAnsi="Arial" w:cs="Arial"/>
          <w:lang w:val="en-IN"/>
        </w:rPr>
      </w:pPr>
      <w:r w:rsidRPr="008E71D7">
        <w:rPr>
          <w:rFonts w:ascii="Arial" w:hAnsi="Arial" w:cs="Arial"/>
          <w:lang w:val="en-IN"/>
        </w:rPr>
        <w:t xml:space="preserve">Sawhney, M. and Kaddatz, N.V., 2026. Tesla: Branding Strategies for New Products. </w:t>
      </w:r>
      <w:hyperlink r:id="rId25" w:history="1">
        <w:r w:rsidRPr="008E71D7">
          <w:rPr>
            <w:rStyle w:val="Hyperlink"/>
            <w:rFonts w:ascii="Arial" w:hAnsi="Arial" w:cs="Arial"/>
            <w:lang w:val="en-IN"/>
          </w:rPr>
          <w:t>https://sk.sagepub.com/cases/tesla-branding-strategies-for-new-products</w:t>
        </w:r>
      </w:hyperlink>
      <w:r w:rsidRPr="008E71D7">
        <w:rPr>
          <w:rFonts w:ascii="Arial" w:hAnsi="Arial" w:cs="Arial"/>
          <w:lang w:val="en-IN"/>
        </w:rPr>
        <w:t> </w:t>
      </w:r>
    </w:p>
    <w:p w14:paraId="2DD054D4" w14:textId="77777777" w:rsidR="008E71D7" w:rsidRPr="008E71D7" w:rsidRDefault="008E71D7" w:rsidP="008E71D7">
      <w:pPr>
        <w:rPr>
          <w:rFonts w:ascii="Arial" w:hAnsi="Arial" w:cs="Arial"/>
          <w:lang w:val="en-IN"/>
        </w:rPr>
      </w:pPr>
      <w:r w:rsidRPr="008E71D7">
        <w:rPr>
          <w:rFonts w:ascii="Arial" w:hAnsi="Arial" w:cs="Arial"/>
          <w:lang w:val="en-IN"/>
        </w:rPr>
        <w:t xml:space="preserve">Tesla. 2020. </w:t>
      </w:r>
      <w:r w:rsidRPr="008E71D7">
        <w:rPr>
          <w:rFonts w:ascii="Arial" w:hAnsi="Arial" w:cs="Arial"/>
          <w:i/>
          <w:iCs/>
          <w:lang w:val="en-IN"/>
        </w:rPr>
        <w:t>Tesla Annual Report 2020</w:t>
      </w:r>
      <w:r w:rsidRPr="008E71D7">
        <w:rPr>
          <w:rFonts w:ascii="Arial" w:hAnsi="Arial" w:cs="Arial"/>
          <w:lang w:val="en-IN"/>
        </w:rPr>
        <w:t xml:space="preserve">. Available at: </w:t>
      </w:r>
      <w:hyperlink r:id="rId26" w:history="1">
        <w:r w:rsidRPr="008E71D7">
          <w:rPr>
            <w:rStyle w:val="Hyperlink"/>
            <w:rFonts w:ascii="Arial" w:hAnsi="Arial" w:cs="Arial"/>
            <w:lang w:val="en-IN"/>
          </w:rPr>
          <w:t>https://ir.tesla.com/_flysystem/s3/sec/000156459021004599/tsla-10k_20201231-gen.pdf</w:t>
        </w:r>
      </w:hyperlink>
      <w:r w:rsidRPr="008E71D7">
        <w:rPr>
          <w:rFonts w:ascii="Arial" w:hAnsi="Arial" w:cs="Arial"/>
          <w:lang w:val="en-IN"/>
        </w:rPr>
        <w:t xml:space="preserve"> [Accessed 20th April 2026] </w:t>
      </w:r>
    </w:p>
    <w:p w14:paraId="2C532481" w14:textId="77777777" w:rsidR="008E71D7" w:rsidRPr="008E71D7" w:rsidRDefault="008E71D7" w:rsidP="008E71D7">
      <w:pPr>
        <w:rPr>
          <w:rFonts w:ascii="Arial" w:hAnsi="Arial" w:cs="Arial"/>
          <w:lang w:val="en-IN"/>
        </w:rPr>
      </w:pPr>
      <w:r w:rsidRPr="008E71D7">
        <w:rPr>
          <w:rFonts w:ascii="Arial" w:hAnsi="Arial" w:cs="Arial"/>
          <w:lang w:val="en-IN"/>
        </w:rPr>
        <w:t xml:space="preserve">Tesla. 2021. </w:t>
      </w:r>
      <w:r w:rsidRPr="008E71D7">
        <w:rPr>
          <w:rFonts w:ascii="Arial" w:hAnsi="Arial" w:cs="Arial"/>
          <w:i/>
          <w:iCs/>
          <w:lang w:val="en-IN"/>
        </w:rPr>
        <w:t>Tesla Annual Report 2021</w:t>
      </w:r>
      <w:r w:rsidRPr="008E71D7">
        <w:rPr>
          <w:rFonts w:ascii="Arial" w:hAnsi="Arial" w:cs="Arial"/>
          <w:lang w:val="en-IN"/>
        </w:rPr>
        <w:t xml:space="preserve">. Available at: </w:t>
      </w:r>
      <w:hyperlink r:id="rId27" w:history="1">
        <w:r w:rsidRPr="008E71D7">
          <w:rPr>
            <w:rStyle w:val="Hyperlink"/>
            <w:rFonts w:ascii="Arial" w:hAnsi="Arial" w:cs="Arial"/>
            <w:lang w:val="en-IN"/>
          </w:rPr>
          <w:t>https://ir.tesla.com/_flysystem/s3/sec/000095017021002253/tsla-20210930-gen.pdf</w:t>
        </w:r>
      </w:hyperlink>
      <w:r w:rsidRPr="008E71D7">
        <w:rPr>
          <w:rFonts w:ascii="Arial" w:hAnsi="Arial" w:cs="Arial"/>
          <w:lang w:val="en-IN"/>
        </w:rPr>
        <w:t xml:space="preserve"> [Accessed 20th April 2026]</w:t>
      </w:r>
    </w:p>
    <w:p w14:paraId="0CAC3A64" w14:textId="77777777" w:rsidR="008E71D7" w:rsidRPr="008E71D7" w:rsidRDefault="008E71D7" w:rsidP="008E71D7">
      <w:pPr>
        <w:rPr>
          <w:rFonts w:ascii="Arial" w:hAnsi="Arial" w:cs="Arial"/>
          <w:lang w:val="en-IN"/>
        </w:rPr>
      </w:pPr>
      <w:r w:rsidRPr="008E71D7">
        <w:rPr>
          <w:rFonts w:ascii="Arial" w:hAnsi="Arial" w:cs="Arial"/>
          <w:lang w:val="en-IN"/>
        </w:rPr>
        <w:lastRenderedPageBreak/>
        <w:t xml:space="preserve">Tesla. 2022. </w:t>
      </w:r>
      <w:r w:rsidRPr="008E71D7">
        <w:rPr>
          <w:rFonts w:ascii="Arial" w:hAnsi="Arial" w:cs="Arial"/>
          <w:i/>
          <w:iCs/>
          <w:lang w:val="en-IN"/>
        </w:rPr>
        <w:t>Tesla Annual Report 2022</w:t>
      </w:r>
      <w:r w:rsidRPr="008E71D7">
        <w:rPr>
          <w:rFonts w:ascii="Arial" w:hAnsi="Arial" w:cs="Arial"/>
          <w:lang w:val="en-IN"/>
        </w:rPr>
        <w:t xml:space="preserve">.  Available at: </w:t>
      </w:r>
      <w:hyperlink r:id="rId28" w:history="1">
        <w:r w:rsidRPr="008E71D7">
          <w:rPr>
            <w:rStyle w:val="Hyperlink"/>
            <w:rFonts w:ascii="Arial" w:hAnsi="Arial" w:cs="Arial"/>
            <w:lang w:val="en-IN"/>
          </w:rPr>
          <w:t>https://ir.tesla.com/_flysystem/s3/sec/000095017023001409/tsla-20221231-gen.pdf</w:t>
        </w:r>
      </w:hyperlink>
      <w:r w:rsidRPr="008E71D7">
        <w:rPr>
          <w:rFonts w:ascii="Arial" w:hAnsi="Arial" w:cs="Arial"/>
          <w:lang w:val="en-IN"/>
        </w:rPr>
        <w:t xml:space="preserve"> [Accessed 20th April 2026]</w:t>
      </w:r>
    </w:p>
    <w:p w14:paraId="4648B36B" w14:textId="77777777" w:rsidR="008E71D7" w:rsidRPr="008E71D7" w:rsidRDefault="008E71D7" w:rsidP="008E71D7">
      <w:pPr>
        <w:rPr>
          <w:rFonts w:ascii="Arial" w:hAnsi="Arial" w:cs="Arial"/>
          <w:lang w:val="en-IN"/>
        </w:rPr>
      </w:pPr>
      <w:r w:rsidRPr="008E71D7">
        <w:rPr>
          <w:rFonts w:ascii="Arial" w:hAnsi="Arial" w:cs="Arial"/>
          <w:lang w:val="en-IN"/>
        </w:rPr>
        <w:t xml:space="preserve">Tesla. 2023. </w:t>
      </w:r>
      <w:r w:rsidRPr="008E71D7">
        <w:rPr>
          <w:rFonts w:ascii="Arial" w:hAnsi="Arial" w:cs="Arial"/>
          <w:i/>
          <w:iCs/>
          <w:lang w:val="en-IN"/>
        </w:rPr>
        <w:t>Tesla Annual Report 2023</w:t>
      </w:r>
      <w:r w:rsidRPr="008E71D7">
        <w:rPr>
          <w:rFonts w:ascii="Arial" w:hAnsi="Arial" w:cs="Arial"/>
          <w:lang w:val="en-IN"/>
        </w:rPr>
        <w:t xml:space="preserve">.  Available at: </w:t>
      </w:r>
      <w:hyperlink r:id="rId29" w:history="1">
        <w:r w:rsidRPr="008E71D7">
          <w:rPr>
            <w:rStyle w:val="Hyperlink"/>
            <w:rFonts w:ascii="Arial" w:hAnsi="Arial" w:cs="Arial"/>
            <w:lang w:val="en-IN"/>
          </w:rPr>
          <w:t>https://ir.tesla.com/_flysystem/s3/sec/000162828024002390/tsla-20231231-gen.pdf</w:t>
        </w:r>
      </w:hyperlink>
      <w:r w:rsidRPr="008E71D7">
        <w:rPr>
          <w:rFonts w:ascii="Arial" w:hAnsi="Arial" w:cs="Arial"/>
          <w:lang w:val="en-IN"/>
        </w:rPr>
        <w:t xml:space="preserve"> [Accessed 20th April 2026]</w:t>
      </w:r>
    </w:p>
    <w:p w14:paraId="6E17E656" w14:textId="77777777" w:rsidR="008E71D7" w:rsidRPr="008E71D7" w:rsidRDefault="008E71D7" w:rsidP="008E71D7">
      <w:pPr>
        <w:rPr>
          <w:rFonts w:ascii="Arial" w:hAnsi="Arial" w:cs="Arial"/>
          <w:lang w:val="en-IN"/>
        </w:rPr>
      </w:pPr>
      <w:r w:rsidRPr="008E71D7">
        <w:rPr>
          <w:rFonts w:ascii="Arial" w:hAnsi="Arial" w:cs="Arial"/>
          <w:lang w:val="en-IN"/>
        </w:rPr>
        <w:t xml:space="preserve">Tesla. 2024. </w:t>
      </w:r>
      <w:r w:rsidRPr="008E71D7">
        <w:rPr>
          <w:rFonts w:ascii="Arial" w:hAnsi="Arial" w:cs="Arial"/>
          <w:i/>
          <w:iCs/>
          <w:lang w:val="en-IN"/>
        </w:rPr>
        <w:t>Tesla Annual Report 2024</w:t>
      </w:r>
      <w:r w:rsidRPr="008E71D7">
        <w:rPr>
          <w:rFonts w:ascii="Arial" w:hAnsi="Arial" w:cs="Arial"/>
          <w:lang w:val="en-IN"/>
        </w:rPr>
        <w:t xml:space="preserve">.   Available at: </w:t>
      </w:r>
      <w:hyperlink r:id="rId30" w:history="1">
        <w:r w:rsidRPr="008E71D7">
          <w:rPr>
            <w:rStyle w:val="Hyperlink"/>
            <w:rFonts w:ascii="Arial" w:hAnsi="Arial" w:cs="Arial"/>
            <w:lang w:val="en-IN"/>
          </w:rPr>
          <w:t>https://ir.tesla.com/_flysystem/s3/sec/000162828025003063/tsla-20241231-gen.pdf</w:t>
        </w:r>
      </w:hyperlink>
      <w:r w:rsidRPr="008E71D7">
        <w:rPr>
          <w:rFonts w:ascii="Arial" w:hAnsi="Arial" w:cs="Arial"/>
          <w:lang w:val="en-IN"/>
        </w:rPr>
        <w:t xml:space="preserve"> [Accessed 20th April 2026]</w:t>
      </w:r>
    </w:p>
    <w:p w14:paraId="554CAB23" w14:textId="77777777" w:rsidR="008E71D7" w:rsidRDefault="008E71D7" w:rsidP="008E71D7">
      <w:r w:rsidRPr="008E71D7">
        <w:rPr>
          <w:rFonts w:ascii="Arial" w:hAnsi="Arial" w:cs="Arial"/>
          <w:lang w:val="en-IN"/>
        </w:rPr>
        <w:t xml:space="preserve">Tesla. 2026. </w:t>
      </w:r>
      <w:r w:rsidRPr="008E71D7">
        <w:rPr>
          <w:rFonts w:ascii="Arial" w:hAnsi="Arial" w:cs="Arial"/>
          <w:i/>
          <w:iCs/>
          <w:lang w:val="en-IN"/>
        </w:rPr>
        <w:t>Tesla: Electric Cars, Solar &amp; Clean Energy</w:t>
      </w:r>
      <w:r w:rsidRPr="008E71D7">
        <w:rPr>
          <w:rFonts w:ascii="Arial" w:hAnsi="Arial" w:cs="Arial"/>
          <w:lang w:val="en-IN"/>
        </w:rPr>
        <w:t xml:space="preserve">. Available at: </w:t>
      </w:r>
      <w:hyperlink r:id="rId31" w:history="1">
        <w:r w:rsidRPr="008E71D7">
          <w:rPr>
            <w:rStyle w:val="Hyperlink"/>
            <w:rFonts w:ascii="Arial" w:hAnsi="Arial" w:cs="Arial"/>
            <w:lang w:val="en-IN"/>
          </w:rPr>
          <w:t>https://www.tesla.com/</w:t>
        </w:r>
      </w:hyperlink>
      <w:r w:rsidRPr="008E71D7">
        <w:rPr>
          <w:rFonts w:ascii="Arial" w:hAnsi="Arial" w:cs="Arial"/>
          <w:lang w:val="en-IN"/>
        </w:rPr>
        <w:t xml:space="preserve"> [Accessed 20th April 2026]</w:t>
      </w:r>
    </w:p>
    <w:p w14:paraId="788FCDC4" w14:textId="5AAA60B3" w:rsidR="008E71D7" w:rsidRPr="008E71D7" w:rsidRDefault="008E71D7" w:rsidP="008E71D7">
      <w:pPr>
        <w:rPr>
          <w:rFonts w:ascii="Arial" w:eastAsia="Arial" w:hAnsi="Arial" w:cs="Arial"/>
        </w:rPr>
      </w:pPr>
      <w:r w:rsidRPr="008E71D7">
        <w:rPr>
          <w:rFonts w:ascii="Arial" w:hAnsi="Arial" w:cs="Arial"/>
          <w:lang w:val="en-IN"/>
        </w:rPr>
        <w:t xml:space="preserve">Thulin, C.K. and Povlsen, S.B., 2024. </w:t>
      </w:r>
      <w:r w:rsidRPr="008E71D7">
        <w:rPr>
          <w:rFonts w:ascii="Arial" w:hAnsi="Arial" w:cs="Arial"/>
          <w:i/>
          <w:iCs/>
          <w:lang w:val="en-IN"/>
        </w:rPr>
        <w:t>Navigating the road ahead: Tesla’s resilience in the face of emerging rivals</w:t>
      </w:r>
      <w:r w:rsidRPr="008E71D7">
        <w:rPr>
          <w:rFonts w:ascii="Arial" w:hAnsi="Arial" w:cs="Arial"/>
          <w:lang w:val="en-IN"/>
        </w:rPr>
        <w:t xml:space="preserve"> (Doctoral dissertation, Master’s thesis, Copenhagen Business School, MSc Economics &amp; Business Administration Program). </w:t>
      </w:r>
      <w:hyperlink r:id="rId32" w:history="1">
        <w:r w:rsidRPr="008E71D7">
          <w:rPr>
            <w:rStyle w:val="Hyperlink"/>
            <w:rFonts w:ascii="Arial" w:hAnsi="Arial" w:cs="Arial"/>
            <w:lang w:val="en-IN"/>
          </w:rPr>
          <w:t>https://research-api.cbs.dk/ws/portalfiles/portal/108049434/1850915_MASTERS_THESIS_FINAL_TESLA_.pdf</w:t>
        </w:r>
      </w:hyperlink>
      <w:r w:rsidRPr="008E71D7">
        <w:rPr>
          <w:rFonts w:ascii="Arial" w:hAnsi="Arial" w:cs="Arial"/>
          <w:lang w:val="en-IN"/>
        </w:rPr>
        <w:t> </w:t>
      </w:r>
    </w:p>
    <w:p w14:paraId="3FD5C2E7" w14:textId="77777777" w:rsidR="008E71D7" w:rsidRPr="008E71D7" w:rsidRDefault="008E71D7" w:rsidP="008E71D7">
      <w:pPr>
        <w:rPr>
          <w:rFonts w:ascii="Arial" w:hAnsi="Arial" w:cs="Arial"/>
          <w:lang w:val="en-IN"/>
        </w:rPr>
      </w:pPr>
      <w:r w:rsidRPr="008E71D7">
        <w:rPr>
          <w:rFonts w:ascii="Arial" w:hAnsi="Arial" w:cs="Arial"/>
          <w:lang w:val="en-IN"/>
        </w:rPr>
        <w:t xml:space="preserve">Wang, X., 2023, August. Financial Analysis and Strategic Forecast of Tesla, Inc. In </w:t>
      </w:r>
      <w:r w:rsidRPr="008E71D7">
        <w:rPr>
          <w:rFonts w:ascii="Arial" w:hAnsi="Arial" w:cs="Arial"/>
          <w:i/>
          <w:iCs/>
          <w:lang w:val="en-IN"/>
        </w:rPr>
        <w:t>International Conference on Economic Management and Green Development</w:t>
      </w:r>
      <w:r w:rsidRPr="008E71D7">
        <w:rPr>
          <w:rFonts w:ascii="Arial" w:hAnsi="Arial" w:cs="Arial"/>
          <w:lang w:val="en-IN"/>
        </w:rPr>
        <w:t xml:space="preserve"> (pp. 1831-1841). Singapore: Springer Nature Singapore. </w:t>
      </w:r>
      <w:hyperlink r:id="rId33" w:history="1">
        <w:r w:rsidRPr="008E71D7">
          <w:rPr>
            <w:rStyle w:val="Hyperlink"/>
            <w:rFonts w:ascii="Arial" w:hAnsi="Arial" w:cs="Arial"/>
            <w:lang w:val="en-IN"/>
          </w:rPr>
          <w:t>https://link.springer.com/chapter/10.1007/978-981-97-0523-8_163</w:t>
        </w:r>
      </w:hyperlink>
      <w:r w:rsidRPr="008E71D7">
        <w:rPr>
          <w:rFonts w:ascii="Arial" w:hAnsi="Arial" w:cs="Arial"/>
          <w:lang w:val="en-IN"/>
        </w:rPr>
        <w:t> </w:t>
      </w:r>
    </w:p>
    <w:p w14:paraId="06A2E493" w14:textId="77777777" w:rsidR="008E71D7" w:rsidRPr="008E71D7" w:rsidRDefault="008E71D7" w:rsidP="008E71D7">
      <w:pPr>
        <w:rPr>
          <w:rFonts w:ascii="Arial" w:hAnsi="Arial" w:cs="Arial"/>
          <w:lang w:val="en-IN"/>
        </w:rPr>
      </w:pPr>
      <w:r w:rsidRPr="008E71D7">
        <w:rPr>
          <w:rFonts w:ascii="Arial" w:hAnsi="Arial" w:cs="Arial"/>
          <w:lang w:val="en-IN"/>
        </w:rPr>
        <w:t xml:space="preserve">Xiao, Y., 2025. A Case-study on Tesla Inc. Based on the Value Chain Theory. </w:t>
      </w:r>
      <w:r w:rsidRPr="008E71D7">
        <w:rPr>
          <w:rFonts w:ascii="Arial" w:hAnsi="Arial" w:cs="Arial"/>
          <w:i/>
          <w:iCs/>
          <w:lang w:val="en-IN"/>
        </w:rPr>
        <w:t>Academic Journal of Business &amp; Management</w:t>
      </w:r>
      <w:r w:rsidRPr="008E71D7">
        <w:rPr>
          <w:rFonts w:ascii="Arial" w:hAnsi="Arial" w:cs="Arial"/>
          <w:lang w:val="en-IN"/>
        </w:rPr>
        <w:t xml:space="preserve">, </w:t>
      </w:r>
      <w:r w:rsidRPr="008E71D7">
        <w:rPr>
          <w:rFonts w:ascii="Arial" w:hAnsi="Arial" w:cs="Arial"/>
          <w:i/>
          <w:iCs/>
          <w:lang w:val="en-IN"/>
        </w:rPr>
        <w:t>7</w:t>
      </w:r>
      <w:r w:rsidRPr="008E71D7">
        <w:rPr>
          <w:rFonts w:ascii="Arial" w:hAnsi="Arial" w:cs="Arial"/>
          <w:lang w:val="en-IN"/>
        </w:rPr>
        <w:t xml:space="preserve">(10), pp.35-40. </w:t>
      </w:r>
      <w:hyperlink r:id="rId34" w:history="1">
        <w:r w:rsidRPr="008E71D7">
          <w:rPr>
            <w:rStyle w:val="Hyperlink"/>
            <w:rFonts w:ascii="Arial" w:hAnsi="Arial" w:cs="Arial"/>
            <w:lang w:val="en-IN"/>
          </w:rPr>
          <w:t>https://francis-press.com/uploads/papers/jGqe9rYXp8PFC9zZlXBttXIYFZ69IyQ6eZ2tgps2.pdf</w:t>
        </w:r>
      </w:hyperlink>
      <w:r w:rsidRPr="008E71D7">
        <w:rPr>
          <w:rFonts w:ascii="Arial" w:hAnsi="Arial" w:cs="Arial"/>
          <w:lang w:val="en-IN"/>
        </w:rPr>
        <w:t> </w:t>
      </w:r>
    </w:p>
    <w:p w14:paraId="49B02902" w14:textId="77777777" w:rsidR="008E71D7" w:rsidRDefault="008E71D7">
      <w:pPr>
        <w:rPr>
          <w:rFonts w:ascii="Arial" w:eastAsia="Arial" w:hAnsi="Arial" w:cs="Arial"/>
          <w:b/>
          <w:bCs/>
          <w:sz w:val="28"/>
          <w:szCs w:val="28"/>
        </w:rPr>
      </w:pPr>
      <w:bookmarkStart w:id="24" w:name="_Toc227622068"/>
      <w:r>
        <w:br w:type="page"/>
      </w:r>
    </w:p>
    <w:p w14:paraId="203C50FA" w14:textId="794E3E12" w:rsidR="00B43BDF" w:rsidRDefault="001A7620">
      <w:pPr>
        <w:pStyle w:val="Heading1"/>
      </w:pPr>
      <w:r>
        <w:lastRenderedPageBreak/>
        <w:t>8. Appendices</w:t>
      </w:r>
      <w:bookmarkEnd w:id="24"/>
    </w:p>
    <w:p w14:paraId="44FB5412" w14:textId="77777777" w:rsidR="00B43BDF" w:rsidRDefault="001A7620">
      <w:pPr>
        <w:pStyle w:val="Heading2"/>
      </w:pPr>
      <w:bookmarkStart w:id="25" w:name="_Toc227622069"/>
      <w:r>
        <w:t>Appendix 1: Ratio Tables and CCC</w:t>
      </w:r>
      <w:bookmarkEnd w:id="25"/>
    </w:p>
    <w:tbl>
      <w:tblPr>
        <w:tblW w:w="5000" w:type="pct"/>
        <w:jc w:val="center"/>
        <w:tblLook w:val="04A0" w:firstRow="1" w:lastRow="0" w:firstColumn="1" w:lastColumn="0" w:noHBand="0" w:noVBand="1"/>
      </w:tblPr>
      <w:tblGrid>
        <w:gridCol w:w="2340"/>
        <w:gridCol w:w="1740"/>
        <w:gridCol w:w="1133"/>
        <w:gridCol w:w="1008"/>
        <w:gridCol w:w="1008"/>
        <w:gridCol w:w="1008"/>
        <w:gridCol w:w="1008"/>
      </w:tblGrid>
      <w:tr w:rsidR="008E71D7" w:rsidRPr="008E71D7" w14:paraId="4E7F25F1" w14:textId="77777777" w:rsidTr="008E71D7">
        <w:trPr>
          <w:trHeight w:val="312"/>
          <w:jc w:val="center"/>
        </w:trPr>
        <w:tc>
          <w:tcPr>
            <w:tcW w:w="1056" w:type="pct"/>
            <w:tcBorders>
              <w:top w:val="single" w:sz="4" w:space="0" w:color="000000"/>
              <w:left w:val="single" w:sz="4" w:space="0" w:color="000000"/>
              <w:bottom w:val="nil"/>
              <w:right w:val="single" w:sz="4" w:space="0" w:color="000000"/>
            </w:tcBorders>
            <w:noWrap/>
            <w:vAlign w:val="bottom"/>
            <w:hideMark/>
          </w:tcPr>
          <w:p w14:paraId="586C2E02"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c>
          <w:tcPr>
            <w:tcW w:w="1677" w:type="pct"/>
            <w:tcBorders>
              <w:top w:val="single" w:sz="4" w:space="0" w:color="000000"/>
              <w:left w:val="nil"/>
              <w:bottom w:val="nil"/>
              <w:right w:val="single" w:sz="4" w:space="0" w:color="000000"/>
            </w:tcBorders>
            <w:noWrap/>
            <w:vAlign w:val="bottom"/>
            <w:hideMark/>
          </w:tcPr>
          <w:p w14:paraId="492DD66C"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c>
          <w:tcPr>
            <w:tcW w:w="501" w:type="pct"/>
            <w:tcBorders>
              <w:top w:val="single" w:sz="4" w:space="0" w:color="000000"/>
              <w:left w:val="nil"/>
              <w:bottom w:val="nil"/>
              <w:right w:val="single" w:sz="4" w:space="0" w:color="000000"/>
            </w:tcBorders>
            <w:noWrap/>
            <w:vAlign w:val="bottom"/>
            <w:hideMark/>
          </w:tcPr>
          <w:p w14:paraId="7E87C2F3"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c>
          <w:tcPr>
            <w:tcW w:w="442" w:type="pct"/>
            <w:tcBorders>
              <w:top w:val="single" w:sz="4" w:space="0" w:color="000000"/>
              <w:left w:val="nil"/>
              <w:bottom w:val="nil"/>
              <w:right w:val="single" w:sz="4" w:space="0" w:color="000000"/>
            </w:tcBorders>
            <w:noWrap/>
            <w:vAlign w:val="bottom"/>
            <w:hideMark/>
          </w:tcPr>
          <w:p w14:paraId="394EDCB0"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c>
          <w:tcPr>
            <w:tcW w:w="442" w:type="pct"/>
            <w:tcBorders>
              <w:top w:val="single" w:sz="4" w:space="0" w:color="000000"/>
              <w:left w:val="nil"/>
              <w:bottom w:val="nil"/>
              <w:right w:val="single" w:sz="4" w:space="0" w:color="000000"/>
            </w:tcBorders>
            <w:noWrap/>
            <w:vAlign w:val="bottom"/>
            <w:hideMark/>
          </w:tcPr>
          <w:p w14:paraId="217521E2"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c>
          <w:tcPr>
            <w:tcW w:w="442" w:type="pct"/>
            <w:tcBorders>
              <w:top w:val="single" w:sz="4" w:space="0" w:color="000000"/>
              <w:left w:val="nil"/>
              <w:bottom w:val="nil"/>
              <w:right w:val="single" w:sz="4" w:space="0" w:color="000000"/>
            </w:tcBorders>
            <w:noWrap/>
            <w:vAlign w:val="bottom"/>
            <w:hideMark/>
          </w:tcPr>
          <w:p w14:paraId="25A19BB1"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c>
          <w:tcPr>
            <w:tcW w:w="442" w:type="pct"/>
            <w:tcBorders>
              <w:top w:val="single" w:sz="4" w:space="0" w:color="000000"/>
              <w:left w:val="nil"/>
              <w:bottom w:val="nil"/>
              <w:right w:val="single" w:sz="4" w:space="0" w:color="000000"/>
            </w:tcBorders>
            <w:noWrap/>
            <w:vAlign w:val="bottom"/>
            <w:hideMark/>
          </w:tcPr>
          <w:p w14:paraId="43DE9ECE" w14:textId="77777777" w:rsidR="008E71D7" w:rsidRPr="008E71D7" w:rsidRDefault="008E71D7" w:rsidP="008E71D7">
            <w:pPr>
              <w:spacing w:before="0" w:after="0" w:line="240" w:lineRule="auto"/>
              <w:jc w:val="left"/>
              <w:rPr>
                <w:rFonts w:ascii="Aptos Narrow" w:hAnsi="Aptos Narrow"/>
                <w:color w:val="000000"/>
                <w:sz w:val="22"/>
                <w:szCs w:val="22"/>
                <w:lang w:val="en-IN"/>
              </w:rPr>
            </w:pPr>
            <w:r w:rsidRPr="008E71D7">
              <w:rPr>
                <w:rFonts w:ascii="Aptos Narrow" w:hAnsi="Aptos Narrow"/>
                <w:color w:val="000000"/>
                <w:sz w:val="22"/>
                <w:szCs w:val="22"/>
                <w:lang w:val="en-IN"/>
              </w:rPr>
              <w:t> </w:t>
            </w:r>
          </w:p>
        </w:tc>
      </w:tr>
      <w:tr w:rsidR="008E71D7" w:rsidRPr="008E71D7" w14:paraId="5E0A7B19"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7EDF77F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"Profitability Ratio"</w:t>
            </w:r>
          </w:p>
        </w:tc>
      </w:tr>
      <w:tr w:rsidR="008E71D7" w:rsidRPr="008E71D7" w14:paraId="428B4F78"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532160C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"Return on Equity"</w:t>
            </w:r>
          </w:p>
        </w:tc>
      </w:tr>
      <w:tr w:rsidR="008E71D7" w:rsidRPr="008E71D7" w14:paraId="0B8A2AA4"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757494D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1480068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0E8748E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77039F6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61080192"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0B312A5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7831049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086FDD8F"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4E928CF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"Net Income"</w:t>
            </w:r>
          </w:p>
        </w:tc>
        <w:tc>
          <w:tcPr>
            <w:tcW w:w="1677" w:type="pct"/>
            <w:vMerge w:val="restart"/>
            <w:tcBorders>
              <w:top w:val="nil"/>
              <w:left w:val="single" w:sz="4" w:space="0" w:color="FF0000"/>
              <w:bottom w:val="single" w:sz="4" w:space="0" w:color="FF0000"/>
              <w:right w:val="single" w:sz="4" w:space="0" w:color="FF0000"/>
            </w:tcBorders>
            <w:vAlign w:val="center"/>
            <w:hideMark/>
          </w:tcPr>
          <w:p w14:paraId="6736290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"(Net income/Shareholders equity)*100"</w:t>
            </w:r>
          </w:p>
        </w:tc>
        <w:tc>
          <w:tcPr>
            <w:tcW w:w="501" w:type="pct"/>
            <w:tcBorders>
              <w:top w:val="nil"/>
              <w:left w:val="nil"/>
              <w:bottom w:val="single" w:sz="4" w:space="0" w:color="FF0000"/>
              <w:right w:val="single" w:sz="4" w:space="0" w:color="FF0000"/>
            </w:tcBorders>
            <w:noWrap/>
            <w:vAlign w:val="bottom"/>
            <w:hideMark/>
          </w:tcPr>
          <w:p w14:paraId="23D1012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7,153.00 </w:t>
            </w:r>
          </w:p>
        </w:tc>
        <w:tc>
          <w:tcPr>
            <w:tcW w:w="442" w:type="pct"/>
            <w:tcBorders>
              <w:top w:val="nil"/>
              <w:left w:val="nil"/>
              <w:bottom w:val="single" w:sz="4" w:space="0" w:color="FF0000"/>
              <w:right w:val="single" w:sz="4" w:space="0" w:color="FF0000"/>
            </w:tcBorders>
            <w:noWrap/>
            <w:vAlign w:val="bottom"/>
            <w:hideMark/>
          </w:tcPr>
          <w:p w14:paraId="2427236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$14,974.00 </w:t>
            </w:r>
          </w:p>
        </w:tc>
        <w:tc>
          <w:tcPr>
            <w:tcW w:w="442" w:type="pct"/>
            <w:tcBorders>
              <w:top w:val="nil"/>
              <w:left w:val="nil"/>
              <w:bottom w:val="single" w:sz="4" w:space="0" w:color="FF0000"/>
              <w:right w:val="single" w:sz="4" w:space="0" w:color="FF0000"/>
            </w:tcBorders>
            <w:noWrap/>
            <w:vAlign w:val="bottom"/>
            <w:hideMark/>
          </w:tcPr>
          <w:p w14:paraId="0C86945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$12,587.00 </w:t>
            </w:r>
          </w:p>
        </w:tc>
        <w:tc>
          <w:tcPr>
            <w:tcW w:w="442" w:type="pct"/>
            <w:tcBorders>
              <w:top w:val="nil"/>
              <w:left w:val="nil"/>
              <w:bottom w:val="single" w:sz="4" w:space="0" w:color="FF0000"/>
              <w:right w:val="single" w:sz="4" w:space="0" w:color="FF0000"/>
            </w:tcBorders>
            <w:noWrap/>
            <w:vAlign w:val="bottom"/>
            <w:hideMark/>
          </w:tcPr>
          <w:p w14:paraId="21F4B61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5,644.00 </w:t>
            </w:r>
          </w:p>
        </w:tc>
        <w:tc>
          <w:tcPr>
            <w:tcW w:w="442" w:type="pct"/>
            <w:tcBorders>
              <w:top w:val="nil"/>
              <w:left w:val="nil"/>
              <w:bottom w:val="single" w:sz="4" w:space="0" w:color="FF0000"/>
              <w:right w:val="single" w:sz="4" w:space="0" w:color="FF0000"/>
            </w:tcBorders>
            <w:noWrap/>
            <w:vAlign w:val="bottom"/>
            <w:hideMark/>
          </w:tcPr>
          <w:p w14:paraId="43FAD2A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862.00 </w:t>
            </w:r>
          </w:p>
        </w:tc>
      </w:tr>
      <w:tr w:rsidR="008E71D7" w:rsidRPr="008E71D7" w14:paraId="28F75951"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469373B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Shareholders Equity"</w:t>
            </w:r>
          </w:p>
        </w:tc>
        <w:tc>
          <w:tcPr>
            <w:tcW w:w="1677" w:type="pct"/>
            <w:vMerge/>
            <w:tcBorders>
              <w:top w:val="nil"/>
              <w:left w:val="single" w:sz="4" w:space="0" w:color="FF0000"/>
              <w:bottom w:val="single" w:sz="4" w:space="0" w:color="FF0000"/>
              <w:right w:val="single" w:sz="4" w:space="0" w:color="FF0000"/>
            </w:tcBorders>
            <w:vAlign w:val="center"/>
            <w:hideMark/>
          </w:tcPr>
          <w:p w14:paraId="21CB193C"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793DFE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72,913.00 </w:t>
            </w:r>
          </w:p>
        </w:tc>
        <w:tc>
          <w:tcPr>
            <w:tcW w:w="442" w:type="pct"/>
            <w:tcBorders>
              <w:top w:val="nil"/>
              <w:left w:val="nil"/>
              <w:bottom w:val="single" w:sz="4" w:space="0" w:color="FF0000"/>
              <w:right w:val="single" w:sz="4" w:space="0" w:color="FF0000"/>
            </w:tcBorders>
            <w:noWrap/>
            <w:vAlign w:val="bottom"/>
            <w:hideMark/>
          </w:tcPr>
          <w:p w14:paraId="4F0150D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$62,634.00 </w:t>
            </w:r>
          </w:p>
        </w:tc>
        <w:tc>
          <w:tcPr>
            <w:tcW w:w="442" w:type="pct"/>
            <w:tcBorders>
              <w:top w:val="nil"/>
              <w:left w:val="nil"/>
              <w:bottom w:val="single" w:sz="4" w:space="0" w:color="FF0000"/>
              <w:right w:val="single" w:sz="4" w:space="0" w:color="FF0000"/>
            </w:tcBorders>
            <w:noWrap/>
            <w:vAlign w:val="bottom"/>
            <w:hideMark/>
          </w:tcPr>
          <w:p w14:paraId="00885E7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$44,704.00 </w:t>
            </w:r>
          </w:p>
        </w:tc>
        <w:tc>
          <w:tcPr>
            <w:tcW w:w="442" w:type="pct"/>
            <w:tcBorders>
              <w:top w:val="nil"/>
              <w:left w:val="nil"/>
              <w:bottom w:val="single" w:sz="4" w:space="0" w:color="FF0000"/>
              <w:right w:val="single" w:sz="4" w:space="0" w:color="FF0000"/>
            </w:tcBorders>
            <w:noWrap/>
            <w:vAlign w:val="bottom"/>
            <w:hideMark/>
          </w:tcPr>
          <w:p w14:paraId="0A9BF05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$30,189.00 </w:t>
            </w:r>
          </w:p>
        </w:tc>
        <w:tc>
          <w:tcPr>
            <w:tcW w:w="442" w:type="pct"/>
            <w:tcBorders>
              <w:top w:val="nil"/>
              <w:left w:val="nil"/>
              <w:bottom w:val="single" w:sz="4" w:space="0" w:color="FF0000"/>
              <w:right w:val="single" w:sz="4" w:space="0" w:color="FF0000"/>
            </w:tcBorders>
            <w:noWrap/>
            <w:vAlign w:val="bottom"/>
            <w:hideMark/>
          </w:tcPr>
          <w:p w14:paraId="1B5F100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$22,225.00 </w:t>
            </w:r>
          </w:p>
        </w:tc>
      </w:tr>
      <w:tr w:rsidR="008E71D7" w:rsidRPr="008E71D7" w14:paraId="158E831F"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42A360E"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"Return on Equity"</w:t>
            </w:r>
          </w:p>
        </w:tc>
        <w:tc>
          <w:tcPr>
            <w:tcW w:w="1677" w:type="pct"/>
            <w:vMerge/>
            <w:tcBorders>
              <w:top w:val="nil"/>
              <w:left w:val="single" w:sz="4" w:space="0" w:color="FF0000"/>
              <w:bottom w:val="single" w:sz="4" w:space="0" w:color="FF0000"/>
              <w:right w:val="single" w:sz="4" w:space="0" w:color="FF0000"/>
            </w:tcBorders>
            <w:vAlign w:val="center"/>
            <w:hideMark/>
          </w:tcPr>
          <w:p w14:paraId="52688D11"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FF89C6F"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9.81%</w:t>
            </w:r>
          </w:p>
        </w:tc>
        <w:tc>
          <w:tcPr>
            <w:tcW w:w="442" w:type="pct"/>
            <w:tcBorders>
              <w:top w:val="nil"/>
              <w:left w:val="nil"/>
              <w:bottom w:val="single" w:sz="4" w:space="0" w:color="FF0000"/>
              <w:right w:val="single" w:sz="4" w:space="0" w:color="FF0000"/>
            </w:tcBorders>
            <w:noWrap/>
            <w:vAlign w:val="bottom"/>
            <w:hideMark/>
          </w:tcPr>
          <w:p w14:paraId="4F9602A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23.91%</w:t>
            </w:r>
          </w:p>
        </w:tc>
        <w:tc>
          <w:tcPr>
            <w:tcW w:w="442" w:type="pct"/>
            <w:tcBorders>
              <w:top w:val="nil"/>
              <w:left w:val="nil"/>
              <w:bottom w:val="single" w:sz="4" w:space="0" w:color="FF0000"/>
              <w:right w:val="single" w:sz="4" w:space="0" w:color="FF0000"/>
            </w:tcBorders>
            <w:noWrap/>
            <w:vAlign w:val="bottom"/>
            <w:hideMark/>
          </w:tcPr>
          <w:p w14:paraId="48EF85B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28.16%</w:t>
            </w:r>
          </w:p>
        </w:tc>
        <w:tc>
          <w:tcPr>
            <w:tcW w:w="442" w:type="pct"/>
            <w:tcBorders>
              <w:top w:val="nil"/>
              <w:left w:val="nil"/>
              <w:bottom w:val="single" w:sz="4" w:space="0" w:color="FF0000"/>
              <w:right w:val="single" w:sz="4" w:space="0" w:color="FF0000"/>
            </w:tcBorders>
            <w:noWrap/>
            <w:vAlign w:val="bottom"/>
            <w:hideMark/>
          </w:tcPr>
          <w:p w14:paraId="27E9DCA1"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18.70%</w:t>
            </w:r>
          </w:p>
        </w:tc>
        <w:tc>
          <w:tcPr>
            <w:tcW w:w="442" w:type="pct"/>
            <w:tcBorders>
              <w:top w:val="nil"/>
              <w:left w:val="nil"/>
              <w:bottom w:val="single" w:sz="4" w:space="0" w:color="FF0000"/>
              <w:right w:val="single" w:sz="4" w:space="0" w:color="FF0000"/>
            </w:tcBorders>
            <w:noWrap/>
            <w:vAlign w:val="bottom"/>
            <w:hideMark/>
          </w:tcPr>
          <w:p w14:paraId="51C1DED5"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3.88%</w:t>
            </w:r>
          </w:p>
        </w:tc>
      </w:tr>
      <w:tr w:rsidR="008E71D7" w:rsidRPr="008E71D7" w14:paraId="685506F6"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17490BC3"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0C29BE21"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20F9046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"Net Profit Margin"</w:t>
            </w:r>
          </w:p>
        </w:tc>
      </w:tr>
      <w:tr w:rsidR="008E71D7" w:rsidRPr="008E71D7" w14:paraId="62F0FD6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86FB70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30CC71F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2E3DBB7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114DCC2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709DBAA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6E0F55C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5D5A0EA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17A5EAC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2361F0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"Net Income"</w:t>
            </w:r>
          </w:p>
        </w:tc>
        <w:tc>
          <w:tcPr>
            <w:tcW w:w="1677" w:type="pct"/>
            <w:vMerge w:val="restart"/>
            <w:tcBorders>
              <w:top w:val="nil"/>
              <w:left w:val="single" w:sz="4" w:space="0" w:color="FF0000"/>
              <w:bottom w:val="single" w:sz="4" w:space="0" w:color="FF0000"/>
              <w:right w:val="single" w:sz="4" w:space="0" w:color="FF0000"/>
            </w:tcBorders>
            <w:vAlign w:val="center"/>
            <w:hideMark/>
          </w:tcPr>
          <w:p w14:paraId="015020E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"(Net income/Sales)*100"</w:t>
            </w:r>
          </w:p>
        </w:tc>
        <w:tc>
          <w:tcPr>
            <w:tcW w:w="501" w:type="pct"/>
            <w:tcBorders>
              <w:top w:val="nil"/>
              <w:left w:val="nil"/>
              <w:bottom w:val="single" w:sz="4" w:space="0" w:color="FF0000"/>
              <w:right w:val="single" w:sz="4" w:space="0" w:color="FF0000"/>
            </w:tcBorders>
            <w:noWrap/>
            <w:vAlign w:val="bottom"/>
            <w:hideMark/>
          </w:tcPr>
          <w:p w14:paraId="7A0A6EC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7,153.00 </w:t>
            </w:r>
          </w:p>
        </w:tc>
        <w:tc>
          <w:tcPr>
            <w:tcW w:w="442" w:type="pct"/>
            <w:tcBorders>
              <w:top w:val="nil"/>
              <w:left w:val="nil"/>
              <w:bottom w:val="single" w:sz="4" w:space="0" w:color="FF0000"/>
              <w:right w:val="single" w:sz="4" w:space="0" w:color="FF0000"/>
            </w:tcBorders>
            <w:noWrap/>
            <w:vAlign w:val="bottom"/>
            <w:hideMark/>
          </w:tcPr>
          <w:p w14:paraId="7D4942C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$14,974.00 </w:t>
            </w:r>
          </w:p>
        </w:tc>
        <w:tc>
          <w:tcPr>
            <w:tcW w:w="442" w:type="pct"/>
            <w:tcBorders>
              <w:top w:val="nil"/>
              <w:left w:val="nil"/>
              <w:bottom w:val="single" w:sz="4" w:space="0" w:color="FF0000"/>
              <w:right w:val="single" w:sz="4" w:space="0" w:color="FF0000"/>
            </w:tcBorders>
            <w:noWrap/>
            <w:vAlign w:val="bottom"/>
            <w:hideMark/>
          </w:tcPr>
          <w:p w14:paraId="7E93BA5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$12,587.00 </w:t>
            </w:r>
          </w:p>
        </w:tc>
        <w:tc>
          <w:tcPr>
            <w:tcW w:w="442" w:type="pct"/>
            <w:tcBorders>
              <w:top w:val="nil"/>
              <w:left w:val="nil"/>
              <w:bottom w:val="single" w:sz="4" w:space="0" w:color="FF0000"/>
              <w:right w:val="single" w:sz="4" w:space="0" w:color="FF0000"/>
            </w:tcBorders>
            <w:noWrap/>
            <w:vAlign w:val="bottom"/>
            <w:hideMark/>
          </w:tcPr>
          <w:p w14:paraId="0461552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5,644.00 </w:t>
            </w:r>
          </w:p>
        </w:tc>
        <w:tc>
          <w:tcPr>
            <w:tcW w:w="442" w:type="pct"/>
            <w:tcBorders>
              <w:top w:val="nil"/>
              <w:left w:val="nil"/>
              <w:bottom w:val="single" w:sz="4" w:space="0" w:color="FF0000"/>
              <w:right w:val="single" w:sz="4" w:space="0" w:color="FF0000"/>
            </w:tcBorders>
            <w:noWrap/>
            <w:vAlign w:val="bottom"/>
            <w:hideMark/>
          </w:tcPr>
          <w:p w14:paraId="250DA5F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862.00 </w:t>
            </w:r>
          </w:p>
        </w:tc>
      </w:tr>
      <w:tr w:rsidR="008E71D7" w:rsidRPr="008E71D7" w14:paraId="58CA5CA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32C7E2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Sales"</w:t>
            </w:r>
          </w:p>
        </w:tc>
        <w:tc>
          <w:tcPr>
            <w:tcW w:w="1677" w:type="pct"/>
            <w:vMerge/>
            <w:tcBorders>
              <w:top w:val="nil"/>
              <w:left w:val="single" w:sz="4" w:space="0" w:color="FF0000"/>
              <w:bottom w:val="single" w:sz="4" w:space="0" w:color="FF0000"/>
              <w:right w:val="single" w:sz="4" w:space="0" w:color="FF0000"/>
            </w:tcBorders>
            <w:vAlign w:val="center"/>
            <w:hideMark/>
          </w:tcPr>
          <w:p w14:paraId="6CF172CA"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5CDA58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97,690.00 </w:t>
            </w:r>
          </w:p>
        </w:tc>
        <w:tc>
          <w:tcPr>
            <w:tcW w:w="442" w:type="pct"/>
            <w:tcBorders>
              <w:top w:val="nil"/>
              <w:left w:val="nil"/>
              <w:bottom w:val="single" w:sz="4" w:space="0" w:color="FF0000"/>
              <w:right w:val="single" w:sz="4" w:space="0" w:color="FF0000"/>
            </w:tcBorders>
            <w:noWrap/>
            <w:vAlign w:val="bottom"/>
            <w:hideMark/>
          </w:tcPr>
          <w:p w14:paraId="3D54B09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$96,773.00 </w:t>
            </w:r>
          </w:p>
        </w:tc>
        <w:tc>
          <w:tcPr>
            <w:tcW w:w="442" w:type="pct"/>
            <w:tcBorders>
              <w:top w:val="nil"/>
              <w:left w:val="nil"/>
              <w:bottom w:val="single" w:sz="4" w:space="0" w:color="FF0000"/>
              <w:right w:val="single" w:sz="4" w:space="0" w:color="FF0000"/>
            </w:tcBorders>
            <w:noWrap/>
            <w:vAlign w:val="bottom"/>
            <w:hideMark/>
          </w:tcPr>
          <w:p w14:paraId="75069A2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$81,462.00 </w:t>
            </w:r>
          </w:p>
        </w:tc>
        <w:tc>
          <w:tcPr>
            <w:tcW w:w="442" w:type="pct"/>
            <w:tcBorders>
              <w:top w:val="nil"/>
              <w:left w:val="nil"/>
              <w:bottom w:val="single" w:sz="4" w:space="0" w:color="FF0000"/>
              <w:right w:val="single" w:sz="4" w:space="0" w:color="FF0000"/>
            </w:tcBorders>
            <w:noWrap/>
            <w:vAlign w:val="bottom"/>
            <w:hideMark/>
          </w:tcPr>
          <w:p w14:paraId="1955484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$53,823.00 </w:t>
            </w:r>
          </w:p>
        </w:tc>
        <w:tc>
          <w:tcPr>
            <w:tcW w:w="442" w:type="pct"/>
            <w:tcBorders>
              <w:top w:val="nil"/>
              <w:left w:val="nil"/>
              <w:bottom w:val="single" w:sz="4" w:space="0" w:color="FF0000"/>
              <w:right w:val="single" w:sz="4" w:space="0" w:color="FF0000"/>
            </w:tcBorders>
            <w:noWrap/>
            <w:vAlign w:val="bottom"/>
            <w:hideMark/>
          </w:tcPr>
          <w:p w14:paraId="77C196F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$31,536.00 </w:t>
            </w:r>
          </w:p>
        </w:tc>
      </w:tr>
      <w:tr w:rsidR="008E71D7" w:rsidRPr="008E71D7" w14:paraId="48DDB971" w14:textId="77777777" w:rsidTr="008E71D7">
        <w:trPr>
          <w:trHeight w:val="312"/>
          <w:jc w:val="center"/>
        </w:trPr>
        <w:tc>
          <w:tcPr>
            <w:tcW w:w="1056" w:type="pct"/>
            <w:tcBorders>
              <w:top w:val="nil"/>
              <w:left w:val="single" w:sz="4" w:space="0" w:color="FF0000"/>
              <w:bottom w:val="nil"/>
              <w:right w:val="single" w:sz="4" w:space="0" w:color="FF0000"/>
            </w:tcBorders>
            <w:noWrap/>
            <w:vAlign w:val="bottom"/>
            <w:hideMark/>
          </w:tcPr>
          <w:p w14:paraId="66512624"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"Net Profit Margin"</w:t>
            </w:r>
          </w:p>
        </w:tc>
        <w:tc>
          <w:tcPr>
            <w:tcW w:w="1677" w:type="pct"/>
            <w:vMerge/>
            <w:tcBorders>
              <w:top w:val="nil"/>
              <w:left w:val="single" w:sz="4" w:space="0" w:color="FF0000"/>
              <w:bottom w:val="single" w:sz="4" w:space="0" w:color="FF0000"/>
              <w:right w:val="single" w:sz="4" w:space="0" w:color="FF0000"/>
            </w:tcBorders>
            <w:vAlign w:val="center"/>
            <w:hideMark/>
          </w:tcPr>
          <w:p w14:paraId="52312B1D"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nil"/>
              <w:right w:val="single" w:sz="4" w:space="0" w:color="FF0000"/>
            </w:tcBorders>
            <w:noWrap/>
            <w:vAlign w:val="bottom"/>
            <w:hideMark/>
          </w:tcPr>
          <w:p w14:paraId="434FD0ED"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7.32%</w:t>
            </w:r>
          </w:p>
        </w:tc>
        <w:tc>
          <w:tcPr>
            <w:tcW w:w="442" w:type="pct"/>
            <w:tcBorders>
              <w:top w:val="nil"/>
              <w:left w:val="nil"/>
              <w:bottom w:val="nil"/>
              <w:right w:val="single" w:sz="4" w:space="0" w:color="FF0000"/>
            </w:tcBorders>
            <w:noWrap/>
            <w:vAlign w:val="bottom"/>
            <w:hideMark/>
          </w:tcPr>
          <w:p w14:paraId="680EE252"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15.47%</w:t>
            </w:r>
          </w:p>
        </w:tc>
        <w:tc>
          <w:tcPr>
            <w:tcW w:w="442" w:type="pct"/>
            <w:tcBorders>
              <w:top w:val="nil"/>
              <w:left w:val="nil"/>
              <w:bottom w:val="nil"/>
              <w:right w:val="single" w:sz="4" w:space="0" w:color="FF0000"/>
            </w:tcBorders>
            <w:noWrap/>
            <w:vAlign w:val="bottom"/>
            <w:hideMark/>
          </w:tcPr>
          <w:p w14:paraId="1E0D55E8"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15.45%</w:t>
            </w:r>
          </w:p>
        </w:tc>
        <w:tc>
          <w:tcPr>
            <w:tcW w:w="442" w:type="pct"/>
            <w:tcBorders>
              <w:top w:val="nil"/>
              <w:left w:val="nil"/>
              <w:bottom w:val="nil"/>
              <w:right w:val="single" w:sz="4" w:space="0" w:color="FF0000"/>
            </w:tcBorders>
            <w:noWrap/>
            <w:vAlign w:val="bottom"/>
            <w:hideMark/>
          </w:tcPr>
          <w:p w14:paraId="00A57143"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10.49%</w:t>
            </w:r>
          </w:p>
        </w:tc>
        <w:tc>
          <w:tcPr>
            <w:tcW w:w="442" w:type="pct"/>
            <w:tcBorders>
              <w:top w:val="nil"/>
              <w:left w:val="nil"/>
              <w:bottom w:val="nil"/>
              <w:right w:val="single" w:sz="4" w:space="0" w:color="FF0000"/>
            </w:tcBorders>
            <w:noWrap/>
            <w:vAlign w:val="bottom"/>
            <w:hideMark/>
          </w:tcPr>
          <w:p w14:paraId="65F6D1D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2.73%</w:t>
            </w:r>
          </w:p>
        </w:tc>
      </w:tr>
      <w:tr w:rsidR="008E71D7" w:rsidRPr="008E71D7" w14:paraId="5072B8F4"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7D20052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"Return on Assets"</w:t>
            </w:r>
          </w:p>
        </w:tc>
      </w:tr>
      <w:tr w:rsidR="008E71D7" w:rsidRPr="008E71D7" w14:paraId="4541AB69"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C2E585B"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7900949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2651568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19711B4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233099B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1A868F7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3739F39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44E53870"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0359BBA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"Net Income"</w:t>
            </w:r>
          </w:p>
        </w:tc>
        <w:tc>
          <w:tcPr>
            <w:tcW w:w="1677" w:type="pct"/>
            <w:vMerge w:val="restart"/>
            <w:tcBorders>
              <w:top w:val="nil"/>
              <w:left w:val="single" w:sz="4" w:space="0" w:color="FF0000"/>
              <w:bottom w:val="single" w:sz="4" w:space="0" w:color="FF0000"/>
              <w:right w:val="single" w:sz="4" w:space="0" w:color="FF0000"/>
            </w:tcBorders>
            <w:vAlign w:val="center"/>
            <w:hideMark/>
          </w:tcPr>
          <w:p w14:paraId="2480CDB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"(Net income/Avarage of Total Assets)*100"</w:t>
            </w:r>
          </w:p>
        </w:tc>
        <w:tc>
          <w:tcPr>
            <w:tcW w:w="501" w:type="pct"/>
            <w:tcBorders>
              <w:top w:val="nil"/>
              <w:left w:val="nil"/>
              <w:bottom w:val="single" w:sz="4" w:space="0" w:color="FF0000"/>
              <w:right w:val="single" w:sz="4" w:space="0" w:color="FF0000"/>
            </w:tcBorders>
            <w:noWrap/>
            <w:vAlign w:val="bottom"/>
            <w:hideMark/>
          </w:tcPr>
          <w:p w14:paraId="7C60830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7,153.00 </w:t>
            </w:r>
          </w:p>
        </w:tc>
        <w:tc>
          <w:tcPr>
            <w:tcW w:w="442" w:type="pct"/>
            <w:tcBorders>
              <w:top w:val="nil"/>
              <w:left w:val="nil"/>
              <w:bottom w:val="single" w:sz="4" w:space="0" w:color="FF0000"/>
              <w:right w:val="single" w:sz="4" w:space="0" w:color="FF0000"/>
            </w:tcBorders>
            <w:noWrap/>
            <w:vAlign w:val="bottom"/>
            <w:hideMark/>
          </w:tcPr>
          <w:p w14:paraId="1D8E869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$14,974.00 </w:t>
            </w:r>
          </w:p>
        </w:tc>
        <w:tc>
          <w:tcPr>
            <w:tcW w:w="442" w:type="pct"/>
            <w:tcBorders>
              <w:top w:val="nil"/>
              <w:left w:val="nil"/>
              <w:bottom w:val="single" w:sz="4" w:space="0" w:color="FF0000"/>
              <w:right w:val="single" w:sz="4" w:space="0" w:color="FF0000"/>
            </w:tcBorders>
            <w:noWrap/>
            <w:vAlign w:val="bottom"/>
            <w:hideMark/>
          </w:tcPr>
          <w:p w14:paraId="7FCD545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$12,587.00 </w:t>
            </w:r>
          </w:p>
        </w:tc>
        <w:tc>
          <w:tcPr>
            <w:tcW w:w="442" w:type="pct"/>
            <w:tcBorders>
              <w:top w:val="nil"/>
              <w:left w:val="nil"/>
              <w:bottom w:val="single" w:sz="4" w:space="0" w:color="FF0000"/>
              <w:right w:val="single" w:sz="4" w:space="0" w:color="FF0000"/>
            </w:tcBorders>
            <w:noWrap/>
            <w:vAlign w:val="bottom"/>
            <w:hideMark/>
          </w:tcPr>
          <w:p w14:paraId="0329B4D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5,644.00 </w:t>
            </w:r>
          </w:p>
        </w:tc>
        <w:tc>
          <w:tcPr>
            <w:tcW w:w="442" w:type="pct"/>
            <w:tcBorders>
              <w:top w:val="nil"/>
              <w:left w:val="nil"/>
              <w:bottom w:val="single" w:sz="4" w:space="0" w:color="FF0000"/>
              <w:right w:val="single" w:sz="4" w:space="0" w:color="FF0000"/>
            </w:tcBorders>
            <w:noWrap/>
            <w:vAlign w:val="bottom"/>
            <w:hideMark/>
          </w:tcPr>
          <w:p w14:paraId="720BAC7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862.00 </w:t>
            </w:r>
          </w:p>
        </w:tc>
      </w:tr>
      <w:tr w:rsidR="008E71D7" w:rsidRPr="008E71D7" w14:paraId="632EF99F"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28B3095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Avarage of Total Assets"</w:t>
            </w:r>
          </w:p>
        </w:tc>
        <w:tc>
          <w:tcPr>
            <w:tcW w:w="1677" w:type="pct"/>
            <w:vMerge/>
            <w:tcBorders>
              <w:top w:val="nil"/>
              <w:left w:val="single" w:sz="4" w:space="0" w:color="FF0000"/>
              <w:bottom w:val="single" w:sz="4" w:space="0" w:color="FF0000"/>
              <w:right w:val="single" w:sz="4" w:space="0" w:color="FF0000"/>
            </w:tcBorders>
            <w:vAlign w:val="center"/>
            <w:hideMark/>
          </w:tcPr>
          <w:p w14:paraId="777B051B"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457FD23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$1,14,344.00 </w:t>
            </w:r>
          </w:p>
        </w:tc>
        <w:tc>
          <w:tcPr>
            <w:tcW w:w="442" w:type="pct"/>
            <w:tcBorders>
              <w:top w:val="nil"/>
              <w:left w:val="nil"/>
              <w:bottom w:val="single" w:sz="4" w:space="0" w:color="FF0000"/>
              <w:right w:val="single" w:sz="4" w:space="0" w:color="FF0000"/>
            </w:tcBorders>
            <w:noWrap/>
            <w:vAlign w:val="bottom"/>
            <w:hideMark/>
          </w:tcPr>
          <w:p w14:paraId="53B0A07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$94,478.00 </w:t>
            </w:r>
          </w:p>
        </w:tc>
        <w:tc>
          <w:tcPr>
            <w:tcW w:w="442" w:type="pct"/>
            <w:tcBorders>
              <w:top w:val="nil"/>
              <w:left w:val="nil"/>
              <w:bottom w:val="single" w:sz="4" w:space="0" w:color="FF0000"/>
              <w:right w:val="single" w:sz="4" w:space="0" w:color="FF0000"/>
            </w:tcBorders>
            <w:noWrap/>
            <w:vAlign w:val="bottom"/>
            <w:hideMark/>
          </w:tcPr>
          <w:p w14:paraId="3A089AD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$72,234.50 </w:t>
            </w:r>
          </w:p>
        </w:tc>
        <w:tc>
          <w:tcPr>
            <w:tcW w:w="442" w:type="pct"/>
            <w:tcBorders>
              <w:top w:val="nil"/>
              <w:left w:val="nil"/>
              <w:bottom w:val="single" w:sz="4" w:space="0" w:color="FF0000"/>
              <w:right w:val="single" w:sz="4" w:space="0" w:color="FF0000"/>
            </w:tcBorders>
            <w:noWrap/>
            <w:vAlign w:val="bottom"/>
            <w:hideMark/>
          </w:tcPr>
          <w:p w14:paraId="7729315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$57,139.50 </w:t>
            </w:r>
          </w:p>
        </w:tc>
        <w:tc>
          <w:tcPr>
            <w:tcW w:w="442" w:type="pct"/>
            <w:tcBorders>
              <w:top w:val="nil"/>
              <w:left w:val="nil"/>
              <w:bottom w:val="single" w:sz="4" w:space="0" w:color="FF0000"/>
              <w:right w:val="single" w:sz="4" w:space="0" w:color="FF0000"/>
            </w:tcBorders>
            <w:noWrap/>
            <w:vAlign w:val="bottom"/>
            <w:hideMark/>
          </w:tcPr>
          <w:p w14:paraId="02571E3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$26,074.00 </w:t>
            </w:r>
          </w:p>
        </w:tc>
      </w:tr>
      <w:tr w:rsidR="008E71D7" w:rsidRPr="008E71D7" w14:paraId="6653C03C"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C2B3A35" w14:textId="56D9F474"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 xml:space="preserve">"Return on </w:t>
            </w:r>
            <w:r>
              <w:rPr>
                <w:rFonts w:ascii="Arial" w:hAnsi="Arial" w:cs="Arial"/>
                <w:b/>
                <w:bCs/>
                <w:color w:val="000000"/>
                <w:lang w:val="en-IN"/>
              </w:rPr>
              <w:t>Assets</w:t>
            </w:r>
            <w:r w:rsidRPr="008E71D7">
              <w:rPr>
                <w:rFonts w:ascii="Arial" w:hAnsi="Arial" w:cs="Arial"/>
                <w:b/>
                <w:bCs/>
                <w:color w:val="000000"/>
                <w:lang w:val="en-IN"/>
              </w:rPr>
              <w:t>"</w:t>
            </w:r>
          </w:p>
        </w:tc>
        <w:tc>
          <w:tcPr>
            <w:tcW w:w="1677" w:type="pct"/>
            <w:vMerge/>
            <w:tcBorders>
              <w:top w:val="nil"/>
              <w:left w:val="single" w:sz="4" w:space="0" w:color="FF0000"/>
              <w:bottom w:val="single" w:sz="4" w:space="0" w:color="FF0000"/>
              <w:right w:val="single" w:sz="4" w:space="0" w:color="FF0000"/>
            </w:tcBorders>
            <w:vAlign w:val="center"/>
            <w:hideMark/>
          </w:tcPr>
          <w:p w14:paraId="4164CDE2"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533B2DA5"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6.26%</w:t>
            </w:r>
          </w:p>
        </w:tc>
        <w:tc>
          <w:tcPr>
            <w:tcW w:w="442" w:type="pct"/>
            <w:tcBorders>
              <w:top w:val="nil"/>
              <w:left w:val="nil"/>
              <w:bottom w:val="single" w:sz="4" w:space="0" w:color="FF0000"/>
              <w:right w:val="single" w:sz="4" w:space="0" w:color="FF0000"/>
            </w:tcBorders>
            <w:noWrap/>
            <w:vAlign w:val="bottom"/>
            <w:hideMark/>
          </w:tcPr>
          <w:p w14:paraId="2052E4E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15.85%</w:t>
            </w:r>
          </w:p>
        </w:tc>
        <w:tc>
          <w:tcPr>
            <w:tcW w:w="442" w:type="pct"/>
            <w:tcBorders>
              <w:top w:val="nil"/>
              <w:left w:val="nil"/>
              <w:bottom w:val="single" w:sz="4" w:space="0" w:color="FF0000"/>
              <w:right w:val="single" w:sz="4" w:space="0" w:color="FF0000"/>
            </w:tcBorders>
            <w:noWrap/>
            <w:vAlign w:val="bottom"/>
            <w:hideMark/>
          </w:tcPr>
          <w:p w14:paraId="2724B3E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17.43%</w:t>
            </w:r>
          </w:p>
        </w:tc>
        <w:tc>
          <w:tcPr>
            <w:tcW w:w="442" w:type="pct"/>
            <w:tcBorders>
              <w:top w:val="nil"/>
              <w:left w:val="nil"/>
              <w:bottom w:val="single" w:sz="4" w:space="0" w:color="FF0000"/>
              <w:right w:val="single" w:sz="4" w:space="0" w:color="FF0000"/>
            </w:tcBorders>
            <w:noWrap/>
            <w:vAlign w:val="bottom"/>
            <w:hideMark/>
          </w:tcPr>
          <w:p w14:paraId="4616AF63"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9.88%</w:t>
            </w:r>
          </w:p>
        </w:tc>
        <w:tc>
          <w:tcPr>
            <w:tcW w:w="442" w:type="pct"/>
            <w:tcBorders>
              <w:top w:val="nil"/>
              <w:left w:val="nil"/>
              <w:bottom w:val="single" w:sz="4" w:space="0" w:color="FF0000"/>
              <w:right w:val="single" w:sz="4" w:space="0" w:color="FF0000"/>
            </w:tcBorders>
            <w:noWrap/>
            <w:vAlign w:val="bottom"/>
            <w:hideMark/>
          </w:tcPr>
          <w:p w14:paraId="6F53363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3.31%</w:t>
            </w:r>
          </w:p>
        </w:tc>
      </w:tr>
      <w:tr w:rsidR="008E71D7" w:rsidRPr="008E71D7" w14:paraId="1CB9974D"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36029923"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4C00CDD7"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16EE38A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"Gross Profit Margin"</w:t>
            </w:r>
          </w:p>
        </w:tc>
      </w:tr>
      <w:tr w:rsidR="008E71D7" w:rsidRPr="008E71D7" w14:paraId="784CC111"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5E5832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60E5450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56964A4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5EAB6D3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718A9DE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6DD820C5"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176E29F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3C25DE99"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397AF4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"Net Income"</w:t>
            </w:r>
          </w:p>
        </w:tc>
        <w:tc>
          <w:tcPr>
            <w:tcW w:w="1677" w:type="pct"/>
            <w:vMerge w:val="restart"/>
            <w:tcBorders>
              <w:top w:val="nil"/>
              <w:left w:val="single" w:sz="4" w:space="0" w:color="FF0000"/>
              <w:bottom w:val="single" w:sz="4" w:space="0" w:color="FF0000"/>
              <w:right w:val="single" w:sz="4" w:space="0" w:color="FF0000"/>
            </w:tcBorders>
            <w:vAlign w:val="center"/>
            <w:hideMark/>
          </w:tcPr>
          <w:p w14:paraId="5D2CD5D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"(Sales-COGS)/Sales*100"</w:t>
            </w:r>
          </w:p>
        </w:tc>
        <w:tc>
          <w:tcPr>
            <w:tcW w:w="501" w:type="pct"/>
            <w:tcBorders>
              <w:top w:val="nil"/>
              <w:left w:val="nil"/>
              <w:bottom w:val="single" w:sz="4" w:space="0" w:color="FF0000"/>
              <w:right w:val="single" w:sz="4" w:space="0" w:color="FF0000"/>
            </w:tcBorders>
            <w:noWrap/>
            <w:vAlign w:val="bottom"/>
            <w:hideMark/>
          </w:tcPr>
          <w:p w14:paraId="1C14942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97,690.00 </w:t>
            </w:r>
          </w:p>
        </w:tc>
        <w:tc>
          <w:tcPr>
            <w:tcW w:w="442" w:type="pct"/>
            <w:tcBorders>
              <w:top w:val="nil"/>
              <w:left w:val="nil"/>
              <w:bottom w:val="single" w:sz="4" w:space="0" w:color="FF0000"/>
              <w:right w:val="single" w:sz="4" w:space="0" w:color="FF0000"/>
            </w:tcBorders>
            <w:noWrap/>
            <w:vAlign w:val="bottom"/>
            <w:hideMark/>
          </w:tcPr>
          <w:p w14:paraId="5C83E64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$96,773.00 </w:t>
            </w:r>
          </w:p>
        </w:tc>
        <w:tc>
          <w:tcPr>
            <w:tcW w:w="442" w:type="pct"/>
            <w:tcBorders>
              <w:top w:val="nil"/>
              <w:left w:val="nil"/>
              <w:bottom w:val="single" w:sz="4" w:space="0" w:color="FF0000"/>
              <w:right w:val="single" w:sz="4" w:space="0" w:color="FF0000"/>
            </w:tcBorders>
            <w:noWrap/>
            <w:vAlign w:val="bottom"/>
            <w:hideMark/>
          </w:tcPr>
          <w:p w14:paraId="4B26B47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$81,462.00 </w:t>
            </w:r>
          </w:p>
        </w:tc>
        <w:tc>
          <w:tcPr>
            <w:tcW w:w="442" w:type="pct"/>
            <w:tcBorders>
              <w:top w:val="nil"/>
              <w:left w:val="nil"/>
              <w:bottom w:val="single" w:sz="4" w:space="0" w:color="FF0000"/>
              <w:right w:val="single" w:sz="4" w:space="0" w:color="FF0000"/>
            </w:tcBorders>
            <w:noWrap/>
            <w:vAlign w:val="bottom"/>
            <w:hideMark/>
          </w:tcPr>
          <w:p w14:paraId="26E5542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$53,823.00 </w:t>
            </w:r>
          </w:p>
        </w:tc>
        <w:tc>
          <w:tcPr>
            <w:tcW w:w="442" w:type="pct"/>
            <w:tcBorders>
              <w:top w:val="nil"/>
              <w:left w:val="nil"/>
              <w:bottom w:val="single" w:sz="4" w:space="0" w:color="FF0000"/>
              <w:right w:val="single" w:sz="4" w:space="0" w:color="FF0000"/>
            </w:tcBorders>
            <w:noWrap/>
            <w:vAlign w:val="bottom"/>
            <w:hideMark/>
          </w:tcPr>
          <w:p w14:paraId="46DA34B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$31,536.00 </w:t>
            </w:r>
          </w:p>
        </w:tc>
      </w:tr>
      <w:tr w:rsidR="008E71D7" w:rsidRPr="008E71D7" w14:paraId="3AB94F92"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3D9664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"(-):COGS"</w:t>
            </w:r>
          </w:p>
        </w:tc>
        <w:tc>
          <w:tcPr>
            <w:tcW w:w="1677" w:type="pct"/>
            <w:vMerge/>
            <w:tcBorders>
              <w:top w:val="nil"/>
              <w:left w:val="single" w:sz="4" w:space="0" w:color="FF0000"/>
              <w:bottom w:val="single" w:sz="4" w:space="0" w:color="FF0000"/>
              <w:right w:val="single" w:sz="4" w:space="0" w:color="FF0000"/>
            </w:tcBorders>
            <w:vAlign w:val="center"/>
            <w:hideMark/>
          </w:tcPr>
          <w:p w14:paraId="16368632"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44C6E70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80,240.00 </w:t>
            </w:r>
          </w:p>
        </w:tc>
        <w:tc>
          <w:tcPr>
            <w:tcW w:w="442" w:type="pct"/>
            <w:tcBorders>
              <w:top w:val="nil"/>
              <w:left w:val="nil"/>
              <w:bottom w:val="single" w:sz="4" w:space="0" w:color="FF0000"/>
              <w:right w:val="single" w:sz="4" w:space="0" w:color="FF0000"/>
            </w:tcBorders>
            <w:noWrap/>
            <w:vAlign w:val="bottom"/>
            <w:hideMark/>
          </w:tcPr>
          <w:p w14:paraId="1D9AFB7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$79,113.00 </w:t>
            </w:r>
          </w:p>
        </w:tc>
        <w:tc>
          <w:tcPr>
            <w:tcW w:w="442" w:type="pct"/>
            <w:tcBorders>
              <w:top w:val="nil"/>
              <w:left w:val="nil"/>
              <w:bottom w:val="single" w:sz="4" w:space="0" w:color="FF0000"/>
              <w:right w:val="single" w:sz="4" w:space="0" w:color="FF0000"/>
            </w:tcBorders>
            <w:noWrap/>
            <w:vAlign w:val="bottom"/>
            <w:hideMark/>
          </w:tcPr>
          <w:p w14:paraId="5DAD2BD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$60,609.00 </w:t>
            </w:r>
          </w:p>
        </w:tc>
        <w:tc>
          <w:tcPr>
            <w:tcW w:w="442" w:type="pct"/>
            <w:tcBorders>
              <w:top w:val="nil"/>
              <w:left w:val="nil"/>
              <w:bottom w:val="single" w:sz="4" w:space="0" w:color="FF0000"/>
              <w:right w:val="single" w:sz="4" w:space="0" w:color="FF0000"/>
            </w:tcBorders>
            <w:noWrap/>
            <w:vAlign w:val="bottom"/>
            <w:hideMark/>
          </w:tcPr>
          <w:p w14:paraId="5776BDE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$40,217.00 </w:t>
            </w:r>
          </w:p>
        </w:tc>
        <w:tc>
          <w:tcPr>
            <w:tcW w:w="442" w:type="pct"/>
            <w:tcBorders>
              <w:top w:val="nil"/>
              <w:left w:val="nil"/>
              <w:bottom w:val="single" w:sz="4" w:space="0" w:color="FF0000"/>
              <w:right w:val="single" w:sz="4" w:space="0" w:color="FF0000"/>
            </w:tcBorders>
            <w:noWrap/>
            <w:vAlign w:val="bottom"/>
            <w:hideMark/>
          </w:tcPr>
          <w:p w14:paraId="015F292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$24,906.00 </w:t>
            </w:r>
          </w:p>
        </w:tc>
      </w:tr>
      <w:tr w:rsidR="008E71D7" w:rsidRPr="008E71D7" w14:paraId="1B4C16E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722E6E8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Sales"</w:t>
            </w:r>
          </w:p>
        </w:tc>
        <w:tc>
          <w:tcPr>
            <w:tcW w:w="1677" w:type="pct"/>
            <w:vMerge/>
            <w:tcBorders>
              <w:top w:val="nil"/>
              <w:left w:val="single" w:sz="4" w:space="0" w:color="FF0000"/>
              <w:bottom w:val="single" w:sz="4" w:space="0" w:color="FF0000"/>
              <w:right w:val="single" w:sz="4" w:space="0" w:color="FF0000"/>
            </w:tcBorders>
            <w:vAlign w:val="center"/>
            <w:hideMark/>
          </w:tcPr>
          <w:p w14:paraId="7A540CB5"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57874C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97,690.00 </w:t>
            </w:r>
          </w:p>
        </w:tc>
        <w:tc>
          <w:tcPr>
            <w:tcW w:w="442" w:type="pct"/>
            <w:tcBorders>
              <w:top w:val="nil"/>
              <w:left w:val="nil"/>
              <w:bottom w:val="single" w:sz="4" w:space="0" w:color="FF0000"/>
              <w:right w:val="single" w:sz="4" w:space="0" w:color="FF0000"/>
            </w:tcBorders>
            <w:noWrap/>
            <w:vAlign w:val="bottom"/>
            <w:hideMark/>
          </w:tcPr>
          <w:p w14:paraId="7924442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$96,773.00 </w:t>
            </w:r>
          </w:p>
        </w:tc>
        <w:tc>
          <w:tcPr>
            <w:tcW w:w="442" w:type="pct"/>
            <w:tcBorders>
              <w:top w:val="nil"/>
              <w:left w:val="nil"/>
              <w:bottom w:val="single" w:sz="4" w:space="0" w:color="FF0000"/>
              <w:right w:val="single" w:sz="4" w:space="0" w:color="FF0000"/>
            </w:tcBorders>
            <w:noWrap/>
            <w:vAlign w:val="bottom"/>
            <w:hideMark/>
          </w:tcPr>
          <w:p w14:paraId="7F57EB9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$81,462.00 </w:t>
            </w:r>
          </w:p>
        </w:tc>
        <w:tc>
          <w:tcPr>
            <w:tcW w:w="442" w:type="pct"/>
            <w:tcBorders>
              <w:top w:val="nil"/>
              <w:left w:val="nil"/>
              <w:bottom w:val="single" w:sz="4" w:space="0" w:color="FF0000"/>
              <w:right w:val="single" w:sz="4" w:space="0" w:color="FF0000"/>
            </w:tcBorders>
            <w:noWrap/>
            <w:vAlign w:val="bottom"/>
            <w:hideMark/>
          </w:tcPr>
          <w:p w14:paraId="6AF665F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$53,823.00 </w:t>
            </w:r>
          </w:p>
        </w:tc>
        <w:tc>
          <w:tcPr>
            <w:tcW w:w="442" w:type="pct"/>
            <w:tcBorders>
              <w:top w:val="nil"/>
              <w:left w:val="nil"/>
              <w:bottom w:val="single" w:sz="4" w:space="0" w:color="FF0000"/>
              <w:right w:val="single" w:sz="4" w:space="0" w:color="FF0000"/>
            </w:tcBorders>
            <w:noWrap/>
            <w:vAlign w:val="bottom"/>
            <w:hideMark/>
          </w:tcPr>
          <w:p w14:paraId="09B2615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$31,536.00 </w:t>
            </w:r>
          </w:p>
        </w:tc>
      </w:tr>
      <w:tr w:rsidR="008E71D7" w:rsidRPr="008E71D7" w14:paraId="7C83F87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117516B" w14:textId="3C88AF4E"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w:t>
            </w:r>
            <w:r>
              <w:t xml:space="preserve"> </w:t>
            </w:r>
            <w:r w:rsidRPr="008E71D7">
              <w:rPr>
                <w:rFonts w:ascii="Arial" w:hAnsi="Arial" w:cs="Arial"/>
                <w:b/>
                <w:bCs/>
                <w:color w:val="000000"/>
                <w:lang w:val="en-IN"/>
              </w:rPr>
              <w:t>Gross Profit Margin"</w:t>
            </w:r>
          </w:p>
        </w:tc>
        <w:tc>
          <w:tcPr>
            <w:tcW w:w="1677" w:type="pct"/>
            <w:vMerge/>
            <w:tcBorders>
              <w:top w:val="nil"/>
              <w:left w:val="single" w:sz="4" w:space="0" w:color="FF0000"/>
              <w:bottom w:val="single" w:sz="4" w:space="0" w:color="FF0000"/>
              <w:right w:val="single" w:sz="4" w:space="0" w:color="FF0000"/>
            </w:tcBorders>
            <w:vAlign w:val="center"/>
            <w:hideMark/>
          </w:tcPr>
          <w:p w14:paraId="069B43E0"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D879F3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17.86%</w:t>
            </w:r>
          </w:p>
        </w:tc>
        <w:tc>
          <w:tcPr>
            <w:tcW w:w="442" w:type="pct"/>
            <w:tcBorders>
              <w:top w:val="nil"/>
              <w:left w:val="nil"/>
              <w:bottom w:val="single" w:sz="4" w:space="0" w:color="FF0000"/>
              <w:right w:val="single" w:sz="4" w:space="0" w:color="FF0000"/>
            </w:tcBorders>
            <w:noWrap/>
            <w:vAlign w:val="bottom"/>
            <w:hideMark/>
          </w:tcPr>
          <w:p w14:paraId="26F4260D"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18.25%</w:t>
            </w:r>
          </w:p>
        </w:tc>
        <w:tc>
          <w:tcPr>
            <w:tcW w:w="442" w:type="pct"/>
            <w:tcBorders>
              <w:top w:val="nil"/>
              <w:left w:val="nil"/>
              <w:bottom w:val="single" w:sz="4" w:space="0" w:color="FF0000"/>
              <w:right w:val="single" w:sz="4" w:space="0" w:color="FF0000"/>
            </w:tcBorders>
            <w:noWrap/>
            <w:vAlign w:val="bottom"/>
            <w:hideMark/>
          </w:tcPr>
          <w:p w14:paraId="7F647A1D"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25.60%</w:t>
            </w:r>
          </w:p>
        </w:tc>
        <w:tc>
          <w:tcPr>
            <w:tcW w:w="442" w:type="pct"/>
            <w:tcBorders>
              <w:top w:val="nil"/>
              <w:left w:val="nil"/>
              <w:bottom w:val="single" w:sz="4" w:space="0" w:color="FF0000"/>
              <w:right w:val="single" w:sz="4" w:space="0" w:color="FF0000"/>
            </w:tcBorders>
            <w:noWrap/>
            <w:vAlign w:val="bottom"/>
            <w:hideMark/>
          </w:tcPr>
          <w:p w14:paraId="4CADAFF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25.28%</w:t>
            </w:r>
          </w:p>
        </w:tc>
        <w:tc>
          <w:tcPr>
            <w:tcW w:w="442" w:type="pct"/>
            <w:tcBorders>
              <w:top w:val="nil"/>
              <w:left w:val="nil"/>
              <w:bottom w:val="single" w:sz="4" w:space="0" w:color="FF0000"/>
              <w:right w:val="single" w:sz="4" w:space="0" w:color="FF0000"/>
            </w:tcBorders>
            <w:noWrap/>
            <w:vAlign w:val="bottom"/>
            <w:hideMark/>
          </w:tcPr>
          <w:p w14:paraId="3E451D5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21.02%</w:t>
            </w:r>
          </w:p>
        </w:tc>
      </w:tr>
      <w:tr w:rsidR="008E71D7" w:rsidRPr="008E71D7" w14:paraId="5B35F21B"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6DE09160"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720F5C2E"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3F95D4B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"Liquidity ratio"</w:t>
            </w:r>
          </w:p>
        </w:tc>
      </w:tr>
      <w:tr w:rsidR="008E71D7" w:rsidRPr="008E71D7" w14:paraId="6C6B47B4"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525044C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"Current ratio"</w:t>
            </w:r>
          </w:p>
        </w:tc>
      </w:tr>
      <w:tr w:rsidR="008E71D7" w:rsidRPr="008E71D7" w14:paraId="3D8097E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AAAB42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31CF493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78388A2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2C19362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5E3FB90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4DAB3915"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3CB9C32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0836395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0950E9A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"Current assets"</w:t>
            </w:r>
          </w:p>
        </w:tc>
        <w:tc>
          <w:tcPr>
            <w:tcW w:w="1677" w:type="pct"/>
            <w:vMerge w:val="restart"/>
            <w:tcBorders>
              <w:top w:val="nil"/>
              <w:left w:val="single" w:sz="4" w:space="0" w:color="FF0000"/>
              <w:bottom w:val="single" w:sz="4" w:space="0" w:color="FF0000"/>
              <w:right w:val="single" w:sz="4" w:space="0" w:color="FF0000"/>
            </w:tcBorders>
            <w:vAlign w:val="center"/>
            <w:hideMark/>
          </w:tcPr>
          <w:p w14:paraId="0020E9B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"Current assets/Current liabilities"</w:t>
            </w:r>
          </w:p>
        </w:tc>
        <w:tc>
          <w:tcPr>
            <w:tcW w:w="501" w:type="pct"/>
            <w:tcBorders>
              <w:top w:val="nil"/>
              <w:left w:val="nil"/>
              <w:bottom w:val="single" w:sz="4" w:space="0" w:color="FF0000"/>
              <w:right w:val="single" w:sz="4" w:space="0" w:color="FF0000"/>
            </w:tcBorders>
            <w:noWrap/>
            <w:vAlign w:val="bottom"/>
            <w:hideMark/>
          </w:tcPr>
          <w:p w14:paraId="09B1D0F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58,360.00 </w:t>
            </w:r>
          </w:p>
        </w:tc>
        <w:tc>
          <w:tcPr>
            <w:tcW w:w="442" w:type="pct"/>
            <w:tcBorders>
              <w:top w:val="nil"/>
              <w:left w:val="nil"/>
              <w:bottom w:val="single" w:sz="4" w:space="0" w:color="FF0000"/>
              <w:right w:val="single" w:sz="4" w:space="0" w:color="FF0000"/>
            </w:tcBorders>
            <w:noWrap/>
            <w:vAlign w:val="bottom"/>
            <w:hideMark/>
          </w:tcPr>
          <w:p w14:paraId="05AB61C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$49,616.00 </w:t>
            </w:r>
          </w:p>
        </w:tc>
        <w:tc>
          <w:tcPr>
            <w:tcW w:w="442" w:type="pct"/>
            <w:tcBorders>
              <w:top w:val="nil"/>
              <w:left w:val="nil"/>
              <w:bottom w:val="single" w:sz="4" w:space="0" w:color="FF0000"/>
              <w:right w:val="single" w:sz="4" w:space="0" w:color="FF0000"/>
            </w:tcBorders>
            <w:noWrap/>
            <w:vAlign w:val="bottom"/>
            <w:hideMark/>
          </w:tcPr>
          <w:p w14:paraId="1AD2549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$40,917.00 </w:t>
            </w:r>
          </w:p>
        </w:tc>
        <w:tc>
          <w:tcPr>
            <w:tcW w:w="442" w:type="pct"/>
            <w:tcBorders>
              <w:top w:val="nil"/>
              <w:left w:val="nil"/>
              <w:bottom w:val="single" w:sz="4" w:space="0" w:color="FF0000"/>
              <w:right w:val="single" w:sz="4" w:space="0" w:color="FF0000"/>
            </w:tcBorders>
            <w:noWrap/>
            <w:vAlign w:val="bottom"/>
            <w:hideMark/>
          </w:tcPr>
          <w:p w14:paraId="1204F35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$27,100.00 </w:t>
            </w:r>
          </w:p>
        </w:tc>
        <w:tc>
          <w:tcPr>
            <w:tcW w:w="442" w:type="pct"/>
            <w:tcBorders>
              <w:top w:val="nil"/>
              <w:left w:val="nil"/>
              <w:bottom w:val="single" w:sz="4" w:space="0" w:color="FF0000"/>
              <w:right w:val="single" w:sz="4" w:space="0" w:color="FF0000"/>
            </w:tcBorders>
            <w:noWrap/>
            <w:vAlign w:val="bottom"/>
            <w:hideMark/>
          </w:tcPr>
          <w:p w14:paraId="62F9120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$26,717.00 </w:t>
            </w:r>
          </w:p>
        </w:tc>
      </w:tr>
      <w:tr w:rsidR="008E71D7" w:rsidRPr="008E71D7" w14:paraId="5BCD7FB4"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2342966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Current Liabilities"</w:t>
            </w:r>
          </w:p>
        </w:tc>
        <w:tc>
          <w:tcPr>
            <w:tcW w:w="1677" w:type="pct"/>
            <w:vMerge/>
            <w:tcBorders>
              <w:top w:val="nil"/>
              <w:left w:val="single" w:sz="4" w:space="0" w:color="FF0000"/>
              <w:bottom w:val="single" w:sz="4" w:space="0" w:color="FF0000"/>
              <w:right w:val="single" w:sz="4" w:space="0" w:color="FF0000"/>
            </w:tcBorders>
            <w:vAlign w:val="center"/>
            <w:hideMark/>
          </w:tcPr>
          <w:p w14:paraId="4C918294"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54B3D5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28,821.00 </w:t>
            </w:r>
          </w:p>
        </w:tc>
        <w:tc>
          <w:tcPr>
            <w:tcW w:w="442" w:type="pct"/>
            <w:tcBorders>
              <w:top w:val="nil"/>
              <w:left w:val="nil"/>
              <w:bottom w:val="single" w:sz="4" w:space="0" w:color="FF0000"/>
              <w:right w:val="single" w:sz="4" w:space="0" w:color="FF0000"/>
            </w:tcBorders>
            <w:noWrap/>
            <w:vAlign w:val="bottom"/>
            <w:hideMark/>
          </w:tcPr>
          <w:p w14:paraId="327CD05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$28,748.00 </w:t>
            </w:r>
          </w:p>
        </w:tc>
        <w:tc>
          <w:tcPr>
            <w:tcW w:w="442" w:type="pct"/>
            <w:tcBorders>
              <w:top w:val="nil"/>
              <w:left w:val="nil"/>
              <w:bottom w:val="single" w:sz="4" w:space="0" w:color="FF0000"/>
              <w:right w:val="single" w:sz="4" w:space="0" w:color="FF0000"/>
            </w:tcBorders>
            <w:noWrap/>
            <w:vAlign w:val="bottom"/>
            <w:hideMark/>
          </w:tcPr>
          <w:p w14:paraId="7951EAC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$26,709.00 </w:t>
            </w:r>
          </w:p>
        </w:tc>
        <w:tc>
          <w:tcPr>
            <w:tcW w:w="442" w:type="pct"/>
            <w:tcBorders>
              <w:top w:val="nil"/>
              <w:left w:val="nil"/>
              <w:bottom w:val="single" w:sz="4" w:space="0" w:color="FF0000"/>
              <w:right w:val="single" w:sz="4" w:space="0" w:color="FF0000"/>
            </w:tcBorders>
            <w:noWrap/>
            <w:vAlign w:val="bottom"/>
            <w:hideMark/>
          </w:tcPr>
          <w:p w14:paraId="56A9C01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$19,705.00 </w:t>
            </w:r>
          </w:p>
        </w:tc>
        <w:tc>
          <w:tcPr>
            <w:tcW w:w="442" w:type="pct"/>
            <w:tcBorders>
              <w:top w:val="nil"/>
              <w:left w:val="nil"/>
              <w:bottom w:val="single" w:sz="4" w:space="0" w:color="FF0000"/>
              <w:right w:val="single" w:sz="4" w:space="0" w:color="FF0000"/>
            </w:tcBorders>
            <w:noWrap/>
            <w:vAlign w:val="bottom"/>
            <w:hideMark/>
          </w:tcPr>
          <w:p w14:paraId="493A474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$14,248.00 </w:t>
            </w:r>
          </w:p>
        </w:tc>
      </w:tr>
      <w:tr w:rsidR="008E71D7" w:rsidRPr="008E71D7" w14:paraId="3A6ACF0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75A90177"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"Current ratio"</w:t>
            </w:r>
          </w:p>
        </w:tc>
        <w:tc>
          <w:tcPr>
            <w:tcW w:w="1677" w:type="pct"/>
            <w:vMerge/>
            <w:tcBorders>
              <w:top w:val="nil"/>
              <w:left w:val="single" w:sz="4" w:space="0" w:color="FF0000"/>
              <w:bottom w:val="single" w:sz="4" w:space="0" w:color="FF0000"/>
              <w:right w:val="single" w:sz="4" w:space="0" w:color="FF0000"/>
            </w:tcBorders>
            <w:vAlign w:val="center"/>
            <w:hideMark/>
          </w:tcPr>
          <w:p w14:paraId="6FAA33B4"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6F8E7BCC"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2.02</w:t>
            </w:r>
          </w:p>
        </w:tc>
        <w:tc>
          <w:tcPr>
            <w:tcW w:w="442" w:type="pct"/>
            <w:tcBorders>
              <w:top w:val="nil"/>
              <w:left w:val="nil"/>
              <w:bottom w:val="single" w:sz="4" w:space="0" w:color="FF0000"/>
              <w:right w:val="single" w:sz="4" w:space="0" w:color="FF0000"/>
            </w:tcBorders>
            <w:noWrap/>
            <w:vAlign w:val="bottom"/>
            <w:hideMark/>
          </w:tcPr>
          <w:p w14:paraId="4830213E"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1.73</w:t>
            </w:r>
          </w:p>
        </w:tc>
        <w:tc>
          <w:tcPr>
            <w:tcW w:w="442" w:type="pct"/>
            <w:tcBorders>
              <w:top w:val="nil"/>
              <w:left w:val="nil"/>
              <w:bottom w:val="single" w:sz="4" w:space="0" w:color="FF0000"/>
              <w:right w:val="single" w:sz="4" w:space="0" w:color="FF0000"/>
            </w:tcBorders>
            <w:noWrap/>
            <w:vAlign w:val="bottom"/>
            <w:hideMark/>
          </w:tcPr>
          <w:p w14:paraId="79782328"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1.53</w:t>
            </w:r>
          </w:p>
        </w:tc>
        <w:tc>
          <w:tcPr>
            <w:tcW w:w="442" w:type="pct"/>
            <w:tcBorders>
              <w:top w:val="nil"/>
              <w:left w:val="nil"/>
              <w:bottom w:val="single" w:sz="4" w:space="0" w:color="FF0000"/>
              <w:right w:val="single" w:sz="4" w:space="0" w:color="FF0000"/>
            </w:tcBorders>
            <w:noWrap/>
            <w:vAlign w:val="bottom"/>
            <w:hideMark/>
          </w:tcPr>
          <w:p w14:paraId="10E9BB5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1.38</w:t>
            </w:r>
          </w:p>
        </w:tc>
        <w:tc>
          <w:tcPr>
            <w:tcW w:w="442" w:type="pct"/>
            <w:tcBorders>
              <w:top w:val="nil"/>
              <w:left w:val="nil"/>
              <w:bottom w:val="single" w:sz="4" w:space="0" w:color="FF0000"/>
              <w:right w:val="single" w:sz="4" w:space="0" w:color="FF0000"/>
            </w:tcBorders>
            <w:noWrap/>
            <w:vAlign w:val="bottom"/>
            <w:hideMark/>
          </w:tcPr>
          <w:p w14:paraId="71C5556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1.88</w:t>
            </w:r>
          </w:p>
        </w:tc>
      </w:tr>
      <w:tr w:rsidR="008E71D7" w:rsidRPr="008E71D7" w14:paraId="247DCA01"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2E94FB69"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1773F969"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08BB608F"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"Acid test ratio"</w:t>
            </w:r>
          </w:p>
        </w:tc>
      </w:tr>
      <w:tr w:rsidR="008E71D7" w:rsidRPr="008E71D7" w14:paraId="18E56CF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733F21B"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7EDBE22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547FE50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49824F4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27283BC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4D8AD54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6223F7C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17B703C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4928AF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"Current assets"</w:t>
            </w:r>
          </w:p>
        </w:tc>
        <w:tc>
          <w:tcPr>
            <w:tcW w:w="1677" w:type="pct"/>
            <w:vMerge w:val="restart"/>
            <w:tcBorders>
              <w:top w:val="nil"/>
              <w:left w:val="single" w:sz="4" w:space="0" w:color="FF0000"/>
              <w:bottom w:val="single" w:sz="4" w:space="0" w:color="FF0000"/>
              <w:right w:val="single" w:sz="4" w:space="0" w:color="FF0000"/>
            </w:tcBorders>
            <w:vAlign w:val="center"/>
            <w:hideMark/>
          </w:tcPr>
          <w:p w14:paraId="74E8E40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"(Current assets-Inventories)/Current liabilities"</w:t>
            </w:r>
          </w:p>
        </w:tc>
        <w:tc>
          <w:tcPr>
            <w:tcW w:w="501" w:type="pct"/>
            <w:tcBorders>
              <w:top w:val="nil"/>
              <w:left w:val="nil"/>
              <w:bottom w:val="single" w:sz="4" w:space="0" w:color="FF0000"/>
              <w:right w:val="single" w:sz="4" w:space="0" w:color="FF0000"/>
            </w:tcBorders>
            <w:noWrap/>
            <w:vAlign w:val="bottom"/>
            <w:hideMark/>
          </w:tcPr>
          <w:p w14:paraId="25813F1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58,360.00 </w:t>
            </w:r>
          </w:p>
        </w:tc>
        <w:tc>
          <w:tcPr>
            <w:tcW w:w="442" w:type="pct"/>
            <w:tcBorders>
              <w:top w:val="nil"/>
              <w:left w:val="nil"/>
              <w:bottom w:val="single" w:sz="4" w:space="0" w:color="FF0000"/>
              <w:right w:val="single" w:sz="4" w:space="0" w:color="FF0000"/>
            </w:tcBorders>
            <w:noWrap/>
            <w:vAlign w:val="bottom"/>
            <w:hideMark/>
          </w:tcPr>
          <w:p w14:paraId="6A5DCE6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$49,616.00 </w:t>
            </w:r>
          </w:p>
        </w:tc>
        <w:tc>
          <w:tcPr>
            <w:tcW w:w="442" w:type="pct"/>
            <w:tcBorders>
              <w:top w:val="nil"/>
              <w:left w:val="nil"/>
              <w:bottom w:val="single" w:sz="4" w:space="0" w:color="FF0000"/>
              <w:right w:val="single" w:sz="4" w:space="0" w:color="FF0000"/>
            </w:tcBorders>
            <w:noWrap/>
            <w:vAlign w:val="bottom"/>
            <w:hideMark/>
          </w:tcPr>
          <w:p w14:paraId="2BC389E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$40,917.00 </w:t>
            </w:r>
          </w:p>
        </w:tc>
        <w:tc>
          <w:tcPr>
            <w:tcW w:w="442" w:type="pct"/>
            <w:tcBorders>
              <w:top w:val="nil"/>
              <w:left w:val="nil"/>
              <w:bottom w:val="single" w:sz="4" w:space="0" w:color="FF0000"/>
              <w:right w:val="single" w:sz="4" w:space="0" w:color="FF0000"/>
            </w:tcBorders>
            <w:noWrap/>
            <w:vAlign w:val="bottom"/>
            <w:hideMark/>
          </w:tcPr>
          <w:p w14:paraId="078F1A6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$27,100.00 </w:t>
            </w:r>
          </w:p>
        </w:tc>
        <w:tc>
          <w:tcPr>
            <w:tcW w:w="442" w:type="pct"/>
            <w:tcBorders>
              <w:top w:val="nil"/>
              <w:left w:val="nil"/>
              <w:bottom w:val="single" w:sz="4" w:space="0" w:color="FF0000"/>
              <w:right w:val="single" w:sz="4" w:space="0" w:color="FF0000"/>
            </w:tcBorders>
            <w:noWrap/>
            <w:vAlign w:val="bottom"/>
            <w:hideMark/>
          </w:tcPr>
          <w:p w14:paraId="17F4719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$26,717.00 </w:t>
            </w:r>
          </w:p>
        </w:tc>
      </w:tr>
      <w:tr w:rsidR="008E71D7" w:rsidRPr="008E71D7" w14:paraId="31711CC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318B32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Inventories"</w:t>
            </w:r>
          </w:p>
        </w:tc>
        <w:tc>
          <w:tcPr>
            <w:tcW w:w="1677" w:type="pct"/>
            <w:vMerge/>
            <w:tcBorders>
              <w:top w:val="nil"/>
              <w:left w:val="single" w:sz="4" w:space="0" w:color="FF0000"/>
              <w:bottom w:val="single" w:sz="4" w:space="0" w:color="FF0000"/>
              <w:right w:val="single" w:sz="4" w:space="0" w:color="FF0000"/>
            </w:tcBorders>
            <w:vAlign w:val="center"/>
            <w:hideMark/>
          </w:tcPr>
          <w:p w14:paraId="459E7C92"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6C1DC1D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12,017.00 </w:t>
            </w:r>
          </w:p>
        </w:tc>
        <w:tc>
          <w:tcPr>
            <w:tcW w:w="442" w:type="pct"/>
            <w:tcBorders>
              <w:top w:val="nil"/>
              <w:left w:val="nil"/>
              <w:bottom w:val="single" w:sz="4" w:space="0" w:color="FF0000"/>
              <w:right w:val="single" w:sz="4" w:space="0" w:color="FF0000"/>
            </w:tcBorders>
            <w:noWrap/>
            <w:vAlign w:val="bottom"/>
            <w:hideMark/>
          </w:tcPr>
          <w:p w14:paraId="4CA2E01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$13,626.00 </w:t>
            </w:r>
          </w:p>
        </w:tc>
        <w:tc>
          <w:tcPr>
            <w:tcW w:w="442" w:type="pct"/>
            <w:tcBorders>
              <w:top w:val="nil"/>
              <w:left w:val="nil"/>
              <w:bottom w:val="single" w:sz="4" w:space="0" w:color="FF0000"/>
              <w:right w:val="single" w:sz="4" w:space="0" w:color="FF0000"/>
            </w:tcBorders>
            <w:noWrap/>
            <w:vAlign w:val="bottom"/>
            <w:hideMark/>
          </w:tcPr>
          <w:p w14:paraId="1F7B19F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$12,839.00 </w:t>
            </w:r>
          </w:p>
        </w:tc>
        <w:tc>
          <w:tcPr>
            <w:tcW w:w="442" w:type="pct"/>
            <w:tcBorders>
              <w:top w:val="nil"/>
              <w:left w:val="nil"/>
              <w:bottom w:val="single" w:sz="4" w:space="0" w:color="FF0000"/>
              <w:right w:val="single" w:sz="4" w:space="0" w:color="FF0000"/>
            </w:tcBorders>
            <w:noWrap/>
            <w:vAlign w:val="bottom"/>
            <w:hideMark/>
          </w:tcPr>
          <w:p w14:paraId="509EC84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5,757.00 </w:t>
            </w:r>
          </w:p>
        </w:tc>
        <w:tc>
          <w:tcPr>
            <w:tcW w:w="442" w:type="pct"/>
            <w:tcBorders>
              <w:top w:val="nil"/>
              <w:left w:val="nil"/>
              <w:bottom w:val="single" w:sz="4" w:space="0" w:color="FF0000"/>
              <w:right w:val="single" w:sz="4" w:space="0" w:color="FF0000"/>
            </w:tcBorders>
            <w:noWrap/>
            <w:vAlign w:val="bottom"/>
            <w:hideMark/>
          </w:tcPr>
          <w:p w14:paraId="76763F8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4,101.00 </w:t>
            </w:r>
          </w:p>
        </w:tc>
      </w:tr>
      <w:tr w:rsidR="008E71D7" w:rsidRPr="008E71D7" w14:paraId="0CAF414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B69D13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"Difference"</w:t>
            </w:r>
          </w:p>
        </w:tc>
        <w:tc>
          <w:tcPr>
            <w:tcW w:w="1677" w:type="pct"/>
            <w:vMerge/>
            <w:tcBorders>
              <w:top w:val="nil"/>
              <w:left w:val="single" w:sz="4" w:space="0" w:color="FF0000"/>
              <w:bottom w:val="single" w:sz="4" w:space="0" w:color="FF0000"/>
              <w:right w:val="single" w:sz="4" w:space="0" w:color="FF0000"/>
            </w:tcBorders>
            <w:vAlign w:val="center"/>
            <w:hideMark/>
          </w:tcPr>
          <w:p w14:paraId="058CEDED"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A904BA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46,343.00 </w:t>
            </w:r>
          </w:p>
        </w:tc>
        <w:tc>
          <w:tcPr>
            <w:tcW w:w="442" w:type="pct"/>
            <w:tcBorders>
              <w:top w:val="nil"/>
              <w:left w:val="nil"/>
              <w:bottom w:val="single" w:sz="4" w:space="0" w:color="FF0000"/>
              <w:right w:val="single" w:sz="4" w:space="0" w:color="FF0000"/>
            </w:tcBorders>
            <w:noWrap/>
            <w:vAlign w:val="bottom"/>
            <w:hideMark/>
          </w:tcPr>
          <w:p w14:paraId="5CB2319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$35,990.00 </w:t>
            </w:r>
          </w:p>
        </w:tc>
        <w:tc>
          <w:tcPr>
            <w:tcW w:w="442" w:type="pct"/>
            <w:tcBorders>
              <w:top w:val="nil"/>
              <w:left w:val="nil"/>
              <w:bottom w:val="single" w:sz="4" w:space="0" w:color="FF0000"/>
              <w:right w:val="single" w:sz="4" w:space="0" w:color="FF0000"/>
            </w:tcBorders>
            <w:noWrap/>
            <w:vAlign w:val="bottom"/>
            <w:hideMark/>
          </w:tcPr>
          <w:p w14:paraId="3B260A8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$28,078.00 </w:t>
            </w:r>
          </w:p>
        </w:tc>
        <w:tc>
          <w:tcPr>
            <w:tcW w:w="442" w:type="pct"/>
            <w:tcBorders>
              <w:top w:val="nil"/>
              <w:left w:val="nil"/>
              <w:bottom w:val="single" w:sz="4" w:space="0" w:color="FF0000"/>
              <w:right w:val="single" w:sz="4" w:space="0" w:color="FF0000"/>
            </w:tcBorders>
            <w:noWrap/>
            <w:vAlign w:val="bottom"/>
            <w:hideMark/>
          </w:tcPr>
          <w:p w14:paraId="3D6DF91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$21,343.00 </w:t>
            </w:r>
          </w:p>
        </w:tc>
        <w:tc>
          <w:tcPr>
            <w:tcW w:w="442" w:type="pct"/>
            <w:tcBorders>
              <w:top w:val="nil"/>
              <w:left w:val="nil"/>
              <w:bottom w:val="single" w:sz="4" w:space="0" w:color="FF0000"/>
              <w:right w:val="single" w:sz="4" w:space="0" w:color="FF0000"/>
            </w:tcBorders>
            <w:noWrap/>
            <w:vAlign w:val="bottom"/>
            <w:hideMark/>
          </w:tcPr>
          <w:p w14:paraId="3EF9B55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$22,616.00 </w:t>
            </w:r>
          </w:p>
        </w:tc>
      </w:tr>
      <w:tr w:rsidR="008E71D7" w:rsidRPr="008E71D7" w14:paraId="6BCAE6B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A67CC6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Current Liabilities"</w:t>
            </w:r>
          </w:p>
        </w:tc>
        <w:tc>
          <w:tcPr>
            <w:tcW w:w="1677" w:type="pct"/>
            <w:vMerge/>
            <w:tcBorders>
              <w:top w:val="nil"/>
              <w:left w:val="single" w:sz="4" w:space="0" w:color="FF0000"/>
              <w:bottom w:val="single" w:sz="4" w:space="0" w:color="FF0000"/>
              <w:right w:val="single" w:sz="4" w:space="0" w:color="FF0000"/>
            </w:tcBorders>
            <w:vAlign w:val="center"/>
            <w:hideMark/>
          </w:tcPr>
          <w:p w14:paraId="3B19918A"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5EF13A3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28,821.00 </w:t>
            </w:r>
          </w:p>
        </w:tc>
        <w:tc>
          <w:tcPr>
            <w:tcW w:w="442" w:type="pct"/>
            <w:tcBorders>
              <w:top w:val="nil"/>
              <w:left w:val="nil"/>
              <w:bottom w:val="single" w:sz="4" w:space="0" w:color="FF0000"/>
              <w:right w:val="single" w:sz="4" w:space="0" w:color="FF0000"/>
            </w:tcBorders>
            <w:noWrap/>
            <w:vAlign w:val="bottom"/>
            <w:hideMark/>
          </w:tcPr>
          <w:p w14:paraId="67533D1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$28,748.00 </w:t>
            </w:r>
          </w:p>
        </w:tc>
        <w:tc>
          <w:tcPr>
            <w:tcW w:w="442" w:type="pct"/>
            <w:tcBorders>
              <w:top w:val="nil"/>
              <w:left w:val="nil"/>
              <w:bottom w:val="single" w:sz="4" w:space="0" w:color="FF0000"/>
              <w:right w:val="single" w:sz="4" w:space="0" w:color="FF0000"/>
            </w:tcBorders>
            <w:noWrap/>
            <w:vAlign w:val="bottom"/>
            <w:hideMark/>
          </w:tcPr>
          <w:p w14:paraId="7F5AEDB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$26,709.00 </w:t>
            </w:r>
          </w:p>
        </w:tc>
        <w:tc>
          <w:tcPr>
            <w:tcW w:w="442" w:type="pct"/>
            <w:tcBorders>
              <w:top w:val="nil"/>
              <w:left w:val="nil"/>
              <w:bottom w:val="single" w:sz="4" w:space="0" w:color="FF0000"/>
              <w:right w:val="single" w:sz="4" w:space="0" w:color="FF0000"/>
            </w:tcBorders>
            <w:noWrap/>
            <w:vAlign w:val="bottom"/>
            <w:hideMark/>
          </w:tcPr>
          <w:p w14:paraId="5E5EBAA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$19,705.00 </w:t>
            </w:r>
          </w:p>
        </w:tc>
        <w:tc>
          <w:tcPr>
            <w:tcW w:w="442" w:type="pct"/>
            <w:tcBorders>
              <w:top w:val="nil"/>
              <w:left w:val="nil"/>
              <w:bottom w:val="single" w:sz="4" w:space="0" w:color="FF0000"/>
              <w:right w:val="single" w:sz="4" w:space="0" w:color="FF0000"/>
            </w:tcBorders>
            <w:noWrap/>
            <w:vAlign w:val="bottom"/>
            <w:hideMark/>
          </w:tcPr>
          <w:p w14:paraId="732BA0F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$14,248.00 </w:t>
            </w:r>
          </w:p>
        </w:tc>
      </w:tr>
      <w:tr w:rsidR="008E71D7" w:rsidRPr="008E71D7" w14:paraId="6C344D84"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201E34E"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"Acid test ratio"</w:t>
            </w:r>
          </w:p>
        </w:tc>
        <w:tc>
          <w:tcPr>
            <w:tcW w:w="1677" w:type="pct"/>
            <w:vMerge/>
            <w:tcBorders>
              <w:top w:val="nil"/>
              <w:left w:val="single" w:sz="4" w:space="0" w:color="FF0000"/>
              <w:bottom w:val="single" w:sz="4" w:space="0" w:color="FF0000"/>
              <w:right w:val="single" w:sz="4" w:space="0" w:color="FF0000"/>
            </w:tcBorders>
            <w:vAlign w:val="center"/>
            <w:hideMark/>
          </w:tcPr>
          <w:p w14:paraId="7D7A05AB"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4D386542"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1.61</w:t>
            </w:r>
          </w:p>
        </w:tc>
        <w:tc>
          <w:tcPr>
            <w:tcW w:w="442" w:type="pct"/>
            <w:tcBorders>
              <w:top w:val="nil"/>
              <w:left w:val="nil"/>
              <w:bottom w:val="single" w:sz="4" w:space="0" w:color="FF0000"/>
              <w:right w:val="single" w:sz="4" w:space="0" w:color="FF0000"/>
            </w:tcBorders>
            <w:noWrap/>
            <w:vAlign w:val="bottom"/>
            <w:hideMark/>
          </w:tcPr>
          <w:p w14:paraId="079183CD"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1.25</w:t>
            </w:r>
          </w:p>
        </w:tc>
        <w:tc>
          <w:tcPr>
            <w:tcW w:w="442" w:type="pct"/>
            <w:tcBorders>
              <w:top w:val="nil"/>
              <w:left w:val="nil"/>
              <w:bottom w:val="single" w:sz="4" w:space="0" w:color="FF0000"/>
              <w:right w:val="single" w:sz="4" w:space="0" w:color="FF0000"/>
            </w:tcBorders>
            <w:noWrap/>
            <w:vAlign w:val="bottom"/>
            <w:hideMark/>
          </w:tcPr>
          <w:p w14:paraId="7479F562"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1.05</w:t>
            </w:r>
          </w:p>
        </w:tc>
        <w:tc>
          <w:tcPr>
            <w:tcW w:w="442" w:type="pct"/>
            <w:tcBorders>
              <w:top w:val="nil"/>
              <w:left w:val="nil"/>
              <w:bottom w:val="single" w:sz="4" w:space="0" w:color="FF0000"/>
              <w:right w:val="single" w:sz="4" w:space="0" w:color="FF0000"/>
            </w:tcBorders>
            <w:noWrap/>
            <w:vAlign w:val="bottom"/>
            <w:hideMark/>
          </w:tcPr>
          <w:p w14:paraId="05C7AD5C"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1.08</w:t>
            </w:r>
          </w:p>
        </w:tc>
        <w:tc>
          <w:tcPr>
            <w:tcW w:w="442" w:type="pct"/>
            <w:tcBorders>
              <w:top w:val="nil"/>
              <w:left w:val="nil"/>
              <w:bottom w:val="single" w:sz="4" w:space="0" w:color="FF0000"/>
              <w:right w:val="single" w:sz="4" w:space="0" w:color="FF0000"/>
            </w:tcBorders>
            <w:noWrap/>
            <w:vAlign w:val="bottom"/>
            <w:hideMark/>
          </w:tcPr>
          <w:p w14:paraId="58526688"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1.59</w:t>
            </w:r>
          </w:p>
        </w:tc>
      </w:tr>
      <w:tr w:rsidR="008E71D7" w:rsidRPr="008E71D7" w14:paraId="53A4262E"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2D8EA030"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17F2D20F"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5B599D42"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"Efficiency ratio"</w:t>
            </w:r>
          </w:p>
        </w:tc>
      </w:tr>
      <w:tr w:rsidR="008E71D7" w:rsidRPr="008E71D7" w14:paraId="686BFF92"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59713E3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"Receivables Turnover ratio"</w:t>
            </w:r>
          </w:p>
        </w:tc>
      </w:tr>
      <w:tr w:rsidR="008E71D7" w:rsidRPr="008E71D7" w14:paraId="1069B0B0"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238641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1864E7A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7218B475"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38CFD9D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18E44E1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0994AB6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2780B9E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488BE29E"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41ABFF8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"Sales"</w:t>
            </w:r>
          </w:p>
        </w:tc>
        <w:tc>
          <w:tcPr>
            <w:tcW w:w="1677" w:type="pct"/>
            <w:vMerge w:val="restart"/>
            <w:tcBorders>
              <w:top w:val="nil"/>
              <w:left w:val="single" w:sz="4" w:space="0" w:color="FF0000"/>
              <w:bottom w:val="single" w:sz="4" w:space="0" w:color="FF0000"/>
              <w:right w:val="single" w:sz="4" w:space="0" w:color="FF0000"/>
            </w:tcBorders>
            <w:vAlign w:val="center"/>
            <w:hideMark/>
          </w:tcPr>
          <w:p w14:paraId="7E7651E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"(Sales/Account Receivables)"</w:t>
            </w:r>
          </w:p>
        </w:tc>
        <w:tc>
          <w:tcPr>
            <w:tcW w:w="501" w:type="pct"/>
            <w:tcBorders>
              <w:top w:val="nil"/>
              <w:left w:val="nil"/>
              <w:bottom w:val="single" w:sz="4" w:space="0" w:color="FF0000"/>
              <w:right w:val="single" w:sz="4" w:space="0" w:color="FF0000"/>
            </w:tcBorders>
            <w:noWrap/>
            <w:vAlign w:val="bottom"/>
            <w:hideMark/>
          </w:tcPr>
          <w:p w14:paraId="1C30FAC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97,690.00 </w:t>
            </w:r>
          </w:p>
        </w:tc>
        <w:tc>
          <w:tcPr>
            <w:tcW w:w="442" w:type="pct"/>
            <w:tcBorders>
              <w:top w:val="nil"/>
              <w:left w:val="nil"/>
              <w:bottom w:val="single" w:sz="4" w:space="0" w:color="FF0000"/>
              <w:right w:val="single" w:sz="4" w:space="0" w:color="FF0000"/>
            </w:tcBorders>
            <w:noWrap/>
            <w:vAlign w:val="bottom"/>
            <w:hideMark/>
          </w:tcPr>
          <w:p w14:paraId="1E11D23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$96,773.00 </w:t>
            </w:r>
          </w:p>
        </w:tc>
        <w:tc>
          <w:tcPr>
            <w:tcW w:w="442" w:type="pct"/>
            <w:tcBorders>
              <w:top w:val="nil"/>
              <w:left w:val="nil"/>
              <w:bottom w:val="single" w:sz="4" w:space="0" w:color="FF0000"/>
              <w:right w:val="single" w:sz="4" w:space="0" w:color="FF0000"/>
            </w:tcBorders>
            <w:noWrap/>
            <w:vAlign w:val="bottom"/>
            <w:hideMark/>
          </w:tcPr>
          <w:p w14:paraId="2CB9DEE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$81,462.00 </w:t>
            </w:r>
          </w:p>
        </w:tc>
        <w:tc>
          <w:tcPr>
            <w:tcW w:w="442" w:type="pct"/>
            <w:tcBorders>
              <w:top w:val="nil"/>
              <w:left w:val="nil"/>
              <w:bottom w:val="single" w:sz="4" w:space="0" w:color="FF0000"/>
              <w:right w:val="single" w:sz="4" w:space="0" w:color="FF0000"/>
            </w:tcBorders>
            <w:noWrap/>
            <w:vAlign w:val="bottom"/>
            <w:hideMark/>
          </w:tcPr>
          <w:p w14:paraId="71A9C8E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$53,823.00 </w:t>
            </w:r>
          </w:p>
        </w:tc>
        <w:tc>
          <w:tcPr>
            <w:tcW w:w="442" w:type="pct"/>
            <w:tcBorders>
              <w:top w:val="nil"/>
              <w:left w:val="nil"/>
              <w:bottom w:val="single" w:sz="4" w:space="0" w:color="FF0000"/>
              <w:right w:val="single" w:sz="4" w:space="0" w:color="FF0000"/>
            </w:tcBorders>
            <w:noWrap/>
            <w:vAlign w:val="bottom"/>
            <w:hideMark/>
          </w:tcPr>
          <w:p w14:paraId="198CC5C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$31,536.00 </w:t>
            </w:r>
          </w:p>
        </w:tc>
      </w:tr>
      <w:tr w:rsidR="008E71D7" w:rsidRPr="008E71D7" w14:paraId="4A478B0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981AF4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Accounts Receivable"</w:t>
            </w:r>
          </w:p>
        </w:tc>
        <w:tc>
          <w:tcPr>
            <w:tcW w:w="1677" w:type="pct"/>
            <w:vMerge/>
            <w:tcBorders>
              <w:top w:val="nil"/>
              <w:left w:val="single" w:sz="4" w:space="0" w:color="FF0000"/>
              <w:bottom w:val="single" w:sz="4" w:space="0" w:color="FF0000"/>
              <w:right w:val="single" w:sz="4" w:space="0" w:color="FF0000"/>
            </w:tcBorders>
            <w:vAlign w:val="center"/>
            <w:hideMark/>
          </w:tcPr>
          <w:p w14:paraId="3F2CFAA6"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3B98885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4,418.00 </w:t>
            </w:r>
          </w:p>
        </w:tc>
        <w:tc>
          <w:tcPr>
            <w:tcW w:w="442" w:type="pct"/>
            <w:tcBorders>
              <w:top w:val="nil"/>
              <w:left w:val="nil"/>
              <w:bottom w:val="single" w:sz="4" w:space="0" w:color="FF0000"/>
              <w:right w:val="single" w:sz="4" w:space="0" w:color="FF0000"/>
            </w:tcBorders>
            <w:noWrap/>
            <w:vAlign w:val="bottom"/>
            <w:hideMark/>
          </w:tcPr>
          <w:p w14:paraId="65B29FB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3,508.00 </w:t>
            </w:r>
          </w:p>
        </w:tc>
        <w:tc>
          <w:tcPr>
            <w:tcW w:w="442" w:type="pct"/>
            <w:tcBorders>
              <w:top w:val="nil"/>
              <w:left w:val="nil"/>
              <w:bottom w:val="single" w:sz="4" w:space="0" w:color="FF0000"/>
              <w:right w:val="single" w:sz="4" w:space="0" w:color="FF0000"/>
            </w:tcBorders>
            <w:noWrap/>
            <w:vAlign w:val="bottom"/>
            <w:hideMark/>
          </w:tcPr>
          <w:p w14:paraId="10A5CE8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2,952.00 </w:t>
            </w:r>
          </w:p>
        </w:tc>
        <w:tc>
          <w:tcPr>
            <w:tcW w:w="442" w:type="pct"/>
            <w:tcBorders>
              <w:top w:val="nil"/>
              <w:left w:val="nil"/>
              <w:bottom w:val="single" w:sz="4" w:space="0" w:color="FF0000"/>
              <w:right w:val="single" w:sz="4" w:space="0" w:color="FF0000"/>
            </w:tcBorders>
            <w:noWrap/>
            <w:vAlign w:val="bottom"/>
            <w:hideMark/>
          </w:tcPr>
          <w:p w14:paraId="43EFE5F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1,913.00 </w:t>
            </w:r>
          </w:p>
        </w:tc>
        <w:tc>
          <w:tcPr>
            <w:tcW w:w="442" w:type="pct"/>
            <w:tcBorders>
              <w:top w:val="nil"/>
              <w:left w:val="nil"/>
              <w:bottom w:val="single" w:sz="4" w:space="0" w:color="FF0000"/>
              <w:right w:val="single" w:sz="4" w:space="0" w:color="FF0000"/>
            </w:tcBorders>
            <w:noWrap/>
            <w:vAlign w:val="bottom"/>
            <w:hideMark/>
          </w:tcPr>
          <w:p w14:paraId="6556B41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1,886.00 </w:t>
            </w:r>
          </w:p>
        </w:tc>
      </w:tr>
      <w:tr w:rsidR="008E71D7" w:rsidRPr="008E71D7" w14:paraId="4081981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5AD7FFC"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lastRenderedPageBreak/>
              <w:t>"Receivables Turnover ratio"</w:t>
            </w:r>
          </w:p>
        </w:tc>
        <w:tc>
          <w:tcPr>
            <w:tcW w:w="1677" w:type="pct"/>
            <w:vMerge/>
            <w:tcBorders>
              <w:top w:val="nil"/>
              <w:left w:val="single" w:sz="4" w:space="0" w:color="FF0000"/>
              <w:bottom w:val="single" w:sz="4" w:space="0" w:color="FF0000"/>
              <w:right w:val="single" w:sz="4" w:space="0" w:color="FF0000"/>
            </w:tcBorders>
            <w:vAlign w:val="center"/>
            <w:hideMark/>
          </w:tcPr>
          <w:p w14:paraId="5C13A45D"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7895580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22.11</w:t>
            </w:r>
          </w:p>
        </w:tc>
        <w:tc>
          <w:tcPr>
            <w:tcW w:w="442" w:type="pct"/>
            <w:tcBorders>
              <w:top w:val="nil"/>
              <w:left w:val="nil"/>
              <w:bottom w:val="single" w:sz="4" w:space="0" w:color="FF0000"/>
              <w:right w:val="single" w:sz="4" w:space="0" w:color="FF0000"/>
            </w:tcBorders>
            <w:noWrap/>
            <w:vAlign w:val="bottom"/>
            <w:hideMark/>
          </w:tcPr>
          <w:p w14:paraId="145DFE8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27.59</w:t>
            </w:r>
          </w:p>
        </w:tc>
        <w:tc>
          <w:tcPr>
            <w:tcW w:w="442" w:type="pct"/>
            <w:tcBorders>
              <w:top w:val="nil"/>
              <w:left w:val="nil"/>
              <w:bottom w:val="single" w:sz="4" w:space="0" w:color="FF0000"/>
              <w:right w:val="single" w:sz="4" w:space="0" w:color="FF0000"/>
            </w:tcBorders>
            <w:noWrap/>
            <w:vAlign w:val="bottom"/>
            <w:hideMark/>
          </w:tcPr>
          <w:p w14:paraId="74F929C5"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27.60</w:t>
            </w:r>
          </w:p>
        </w:tc>
        <w:tc>
          <w:tcPr>
            <w:tcW w:w="442" w:type="pct"/>
            <w:tcBorders>
              <w:top w:val="nil"/>
              <w:left w:val="nil"/>
              <w:bottom w:val="single" w:sz="4" w:space="0" w:color="FF0000"/>
              <w:right w:val="single" w:sz="4" w:space="0" w:color="FF0000"/>
            </w:tcBorders>
            <w:noWrap/>
            <w:vAlign w:val="bottom"/>
            <w:hideMark/>
          </w:tcPr>
          <w:p w14:paraId="15C47064"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28.14</w:t>
            </w:r>
          </w:p>
        </w:tc>
        <w:tc>
          <w:tcPr>
            <w:tcW w:w="442" w:type="pct"/>
            <w:tcBorders>
              <w:top w:val="nil"/>
              <w:left w:val="nil"/>
              <w:bottom w:val="single" w:sz="4" w:space="0" w:color="FF0000"/>
              <w:right w:val="single" w:sz="4" w:space="0" w:color="FF0000"/>
            </w:tcBorders>
            <w:noWrap/>
            <w:vAlign w:val="bottom"/>
            <w:hideMark/>
          </w:tcPr>
          <w:p w14:paraId="2C186FB1"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16.72</w:t>
            </w:r>
          </w:p>
        </w:tc>
      </w:tr>
      <w:tr w:rsidR="008E71D7" w:rsidRPr="008E71D7" w14:paraId="258D2AF1" w14:textId="77777777" w:rsidTr="008E71D7">
        <w:trPr>
          <w:trHeight w:val="312"/>
          <w:jc w:val="center"/>
        </w:trPr>
        <w:tc>
          <w:tcPr>
            <w:tcW w:w="1056" w:type="pct"/>
            <w:tcBorders>
              <w:top w:val="nil"/>
              <w:left w:val="single" w:sz="4" w:space="0" w:color="FF0000"/>
              <w:bottom w:val="nil"/>
              <w:right w:val="single" w:sz="4" w:space="0" w:color="FF0000"/>
            </w:tcBorders>
            <w:noWrap/>
            <w:vAlign w:val="bottom"/>
            <w:hideMark/>
          </w:tcPr>
          <w:p w14:paraId="46B48C7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c>
          <w:tcPr>
            <w:tcW w:w="1677" w:type="pct"/>
            <w:tcBorders>
              <w:top w:val="nil"/>
              <w:left w:val="nil"/>
              <w:bottom w:val="nil"/>
              <w:right w:val="single" w:sz="4" w:space="0" w:color="FF0000"/>
            </w:tcBorders>
            <w:noWrap/>
            <w:vAlign w:val="bottom"/>
            <w:hideMark/>
          </w:tcPr>
          <w:p w14:paraId="177C759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c>
          <w:tcPr>
            <w:tcW w:w="501" w:type="pct"/>
            <w:tcBorders>
              <w:top w:val="nil"/>
              <w:left w:val="nil"/>
              <w:bottom w:val="nil"/>
              <w:right w:val="single" w:sz="4" w:space="0" w:color="FF0000"/>
            </w:tcBorders>
            <w:noWrap/>
            <w:vAlign w:val="bottom"/>
            <w:hideMark/>
          </w:tcPr>
          <w:p w14:paraId="1CB8C21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c>
          <w:tcPr>
            <w:tcW w:w="442" w:type="pct"/>
            <w:tcBorders>
              <w:top w:val="nil"/>
              <w:left w:val="nil"/>
              <w:bottom w:val="nil"/>
              <w:right w:val="single" w:sz="4" w:space="0" w:color="FF0000"/>
            </w:tcBorders>
            <w:noWrap/>
            <w:vAlign w:val="bottom"/>
            <w:hideMark/>
          </w:tcPr>
          <w:p w14:paraId="76FB56E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c>
          <w:tcPr>
            <w:tcW w:w="442" w:type="pct"/>
            <w:tcBorders>
              <w:top w:val="nil"/>
              <w:left w:val="nil"/>
              <w:bottom w:val="nil"/>
              <w:right w:val="single" w:sz="4" w:space="0" w:color="FF0000"/>
            </w:tcBorders>
            <w:noWrap/>
            <w:vAlign w:val="bottom"/>
            <w:hideMark/>
          </w:tcPr>
          <w:p w14:paraId="2340E41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c>
          <w:tcPr>
            <w:tcW w:w="442" w:type="pct"/>
            <w:tcBorders>
              <w:top w:val="nil"/>
              <w:left w:val="nil"/>
              <w:bottom w:val="nil"/>
              <w:right w:val="single" w:sz="4" w:space="0" w:color="FF0000"/>
            </w:tcBorders>
            <w:noWrap/>
            <w:vAlign w:val="bottom"/>
            <w:hideMark/>
          </w:tcPr>
          <w:p w14:paraId="0B7BCF1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c>
          <w:tcPr>
            <w:tcW w:w="442" w:type="pct"/>
            <w:tcBorders>
              <w:top w:val="nil"/>
              <w:left w:val="nil"/>
              <w:bottom w:val="nil"/>
              <w:right w:val="single" w:sz="4" w:space="0" w:color="FF0000"/>
            </w:tcBorders>
            <w:noWrap/>
            <w:vAlign w:val="bottom"/>
            <w:hideMark/>
          </w:tcPr>
          <w:p w14:paraId="27C401F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w:t>
            </w:r>
          </w:p>
        </w:tc>
      </w:tr>
      <w:tr w:rsidR="008E71D7" w:rsidRPr="008E71D7" w14:paraId="477944C1"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33B525D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"Inventory Turnover ratio"</w:t>
            </w:r>
          </w:p>
        </w:tc>
      </w:tr>
      <w:tr w:rsidR="008E71D7" w:rsidRPr="008E71D7" w14:paraId="3EE6224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24F7AE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0E2BB5A2"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3DE3D20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67FD500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7BF2FAB2"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338871A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147DF32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466AA949"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DBE6C2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"Sales"</w:t>
            </w:r>
          </w:p>
        </w:tc>
        <w:tc>
          <w:tcPr>
            <w:tcW w:w="1677" w:type="pct"/>
            <w:vMerge w:val="restart"/>
            <w:tcBorders>
              <w:top w:val="nil"/>
              <w:left w:val="single" w:sz="4" w:space="0" w:color="FF0000"/>
              <w:bottom w:val="single" w:sz="4" w:space="0" w:color="FF0000"/>
              <w:right w:val="single" w:sz="4" w:space="0" w:color="FF0000"/>
            </w:tcBorders>
            <w:vAlign w:val="center"/>
            <w:hideMark/>
          </w:tcPr>
          <w:p w14:paraId="2D47733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"(Sales/Inventories)"</w:t>
            </w:r>
          </w:p>
        </w:tc>
        <w:tc>
          <w:tcPr>
            <w:tcW w:w="501" w:type="pct"/>
            <w:tcBorders>
              <w:top w:val="nil"/>
              <w:left w:val="nil"/>
              <w:bottom w:val="single" w:sz="4" w:space="0" w:color="FF0000"/>
              <w:right w:val="single" w:sz="4" w:space="0" w:color="FF0000"/>
            </w:tcBorders>
            <w:noWrap/>
            <w:vAlign w:val="bottom"/>
            <w:hideMark/>
          </w:tcPr>
          <w:p w14:paraId="291B485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97,690.00 </w:t>
            </w:r>
          </w:p>
        </w:tc>
        <w:tc>
          <w:tcPr>
            <w:tcW w:w="442" w:type="pct"/>
            <w:tcBorders>
              <w:top w:val="nil"/>
              <w:left w:val="nil"/>
              <w:bottom w:val="single" w:sz="4" w:space="0" w:color="FF0000"/>
              <w:right w:val="single" w:sz="4" w:space="0" w:color="FF0000"/>
            </w:tcBorders>
            <w:noWrap/>
            <w:vAlign w:val="bottom"/>
            <w:hideMark/>
          </w:tcPr>
          <w:p w14:paraId="16B3F3A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$96,773.00 </w:t>
            </w:r>
          </w:p>
        </w:tc>
        <w:tc>
          <w:tcPr>
            <w:tcW w:w="442" w:type="pct"/>
            <w:tcBorders>
              <w:top w:val="nil"/>
              <w:left w:val="nil"/>
              <w:bottom w:val="single" w:sz="4" w:space="0" w:color="FF0000"/>
              <w:right w:val="single" w:sz="4" w:space="0" w:color="FF0000"/>
            </w:tcBorders>
            <w:noWrap/>
            <w:vAlign w:val="bottom"/>
            <w:hideMark/>
          </w:tcPr>
          <w:p w14:paraId="1096F54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$81,462.00 </w:t>
            </w:r>
          </w:p>
        </w:tc>
        <w:tc>
          <w:tcPr>
            <w:tcW w:w="442" w:type="pct"/>
            <w:tcBorders>
              <w:top w:val="nil"/>
              <w:left w:val="nil"/>
              <w:bottom w:val="single" w:sz="4" w:space="0" w:color="FF0000"/>
              <w:right w:val="single" w:sz="4" w:space="0" w:color="FF0000"/>
            </w:tcBorders>
            <w:noWrap/>
            <w:vAlign w:val="bottom"/>
            <w:hideMark/>
          </w:tcPr>
          <w:p w14:paraId="0A4D8E8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$53,823.00 </w:t>
            </w:r>
          </w:p>
        </w:tc>
        <w:tc>
          <w:tcPr>
            <w:tcW w:w="442" w:type="pct"/>
            <w:tcBorders>
              <w:top w:val="nil"/>
              <w:left w:val="nil"/>
              <w:bottom w:val="single" w:sz="4" w:space="0" w:color="FF0000"/>
              <w:right w:val="single" w:sz="4" w:space="0" w:color="FF0000"/>
            </w:tcBorders>
            <w:noWrap/>
            <w:vAlign w:val="bottom"/>
            <w:hideMark/>
          </w:tcPr>
          <w:p w14:paraId="5C62693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$31,536.00 </w:t>
            </w:r>
          </w:p>
        </w:tc>
      </w:tr>
      <w:tr w:rsidR="008E71D7" w:rsidRPr="008E71D7" w14:paraId="5192267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04ED349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Inventories"</w:t>
            </w:r>
          </w:p>
        </w:tc>
        <w:tc>
          <w:tcPr>
            <w:tcW w:w="1677" w:type="pct"/>
            <w:vMerge/>
            <w:tcBorders>
              <w:top w:val="nil"/>
              <w:left w:val="single" w:sz="4" w:space="0" w:color="FF0000"/>
              <w:bottom w:val="single" w:sz="4" w:space="0" w:color="FF0000"/>
              <w:right w:val="single" w:sz="4" w:space="0" w:color="FF0000"/>
            </w:tcBorders>
            <w:vAlign w:val="center"/>
            <w:hideMark/>
          </w:tcPr>
          <w:p w14:paraId="1B07E50B"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18EA9C7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12,017.00 </w:t>
            </w:r>
          </w:p>
        </w:tc>
        <w:tc>
          <w:tcPr>
            <w:tcW w:w="442" w:type="pct"/>
            <w:tcBorders>
              <w:top w:val="nil"/>
              <w:left w:val="nil"/>
              <w:bottom w:val="single" w:sz="4" w:space="0" w:color="FF0000"/>
              <w:right w:val="single" w:sz="4" w:space="0" w:color="FF0000"/>
            </w:tcBorders>
            <w:noWrap/>
            <w:vAlign w:val="bottom"/>
            <w:hideMark/>
          </w:tcPr>
          <w:p w14:paraId="7B80F69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$13,626.00 </w:t>
            </w:r>
          </w:p>
        </w:tc>
        <w:tc>
          <w:tcPr>
            <w:tcW w:w="442" w:type="pct"/>
            <w:tcBorders>
              <w:top w:val="nil"/>
              <w:left w:val="nil"/>
              <w:bottom w:val="single" w:sz="4" w:space="0" w:color="FF0000"/>
              <w:right w:val="single" w:sz="4" w:space="0" w:color="FF0000"/>
            </w:tcBorders>
            <w:noWrap/>
            <w:vAlign w:val="bottom"/>
            <w:hideMark/>
          </w:tcPr>
          <w:p w14:paraId="1D80E0A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$12,839.00 </w:t>
            </w:r>
          </w:p>
        </w:tc>
        <w:tc>
          <w:tcPr>
            <w:tcW w:w="442" w:type="pct"/>
            <w:tcBorders>
              <w:top w:val="nil"/>
              <w:left w:val="nil"/>
              <w:bottom w:val="single" w:sz="4" w:space="0" w:color="FF0000"/>
              <w:right w:val="single" w:sz="4" w:space="0" w:color="FF0000"/>
            </w:tcBorders>
            <w:noWrap/>
            <w:vAlign w:val="bottom"/>
            <w:hideMark/>
          </w:tcPr>
          <w:p w14:paraId="7436A8B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5,757.00 </w:t>
            </w:r>
          </w:p>
        </w:tc>
        <w:tc>
          <w:tcPr>
            <w:tcW w:w="442" w:type="pct"/>
            <w:tcBorders>
              <w:top w:val="nil"/>
              <w:left w:val="nil"/>
              <w:bottom w:val="single" w:sz="4" w:space="0" w:color="FF0000"/>
              <w:right w:val="single" w:sz="4" w:space="0" w:color="FF0000"/>
            </w:tcBorders>
            <w:noWrap/>
            <w:vAlign w:val="bottom"/>
            <w:hideMark/>
          </w:tcPr>
          <w:p w14:paraId="6FF2D2E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4,101.00 </w:t>
            </w:r>
          </w:p>
        </w:tc>
      </w:tr>
      <w:tr w:rsidR="008E71D7" w:rsidRPr="008E71D7" w14:paraId="427C5C5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EDA5368"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"Inventory Turnover ratio"</w:t>
            </w:r>
          </w:p>
        </w:tc>
        <w:tc>
          <w:tcPr>
            <w:tcW w:w="1677" w:type="pct"/>
            <w:vMerge/>
            <w:tcBorders>
              <w:top w:val="nil"/>
              <w:left w:val="single" w:sz="4" w:space="0" w:color="FF0000"/>
              <w:bottom w:val="single" w:sz="4" w:space="0" w:color="FF0000"/>
              <w:right w:val="single" w:sz="4" w:space="0" w:color="FF0000"/>
            </w:tcBorders>
            <w:vAlign w:val="center"/>
            <w:hideMark/>
          </w:tcPr>
          <w:p w14:paraId="48BEB51E"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57370EF2"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8.13</w:t>
            </w:r>
          </w:p>
        </w:tc>
        <w:tc>
          <w:tcPr>
            <w:tcW w:w="442" w:type="pct"/>
            <w:tcBorders>
              <w:top w:val="nil"/>
              <w:left w:val="nil"/>
              <w:bottom w:val="single" w:sz="4" w:space="0" w:color="FF0000"/>
              <w:right w:val="single" w:sz="4" w:space="0" w:color="FF0000"/>
            </w:tcBorders>
            <w:noWrap/>
            <w:vAlign w:val="bottom"/>
            <w:hideMark/>
          </w:tcPr>
          <w:p w14:paraId="76454BF4"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7.10</w:t>
            </w:r>
          </w:p>
        </w:tc>
        <w:tc>
          <w:tcPr>
            <w:tcW w:w="442" w:type="pct"/>
            <w:tcBorders>
              <w:top w:val="nil"/>
              <w:left w:val="nil"/>
              <w:bottom w:val="single" w:sz="4" w:space="0" w:color="FF0000"/>
              <w:right w:val="single" w:sz="4" w:space="0" w:color="FF0000"/>
            </w:tcBorders>
            <w:noWrap/>
            <w:vAlign w:val="bottom"/>
            <w:hideMark/>
          </w:tcPr>
          <w:p w14:paraId="5B7FBB03"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6.34</w:t>
            </w:r>
          </w:p>
        </w:tc>
        <w:tc>
          <w:tcPr>
            <w:tcW w:w="442" w:type="pct"/>
            <w:tcBorders>
              <w:top w:val="nil"/>
              <w:left w:val="nil"/>
              <w:bottom w:val="single" w:sz="4" w:space="0" w:color="FF0000"/>
              <w:right w:val="single" w:sz="4" w:space="0" w:color="FF0000"/>
            </w:tcBorders>
            <w:noWrap/>
            <w:vAlign w:val="bottom"/>
            <w:hideMark/>
          </w:tcPr>
          <w:p w14:paraId="4E36472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9.35</w:t>
            </w:r>
          </w:p>
        </w:tc>
        <w:tc>
          <w:tcPr>
            <w:tcW w:w="442" w:type="pct"/>
            <w:tcBorders>
              <w:top w:val="nil"/>
              <w:left w:val="nil"/>
              <w:bottom w:val="single" w:sz="4" w:space="0" w:color="FF0000"/>
              <w:right w:val="single" w:sz="4" w:space="0" w:color="FF0000"/>
            </w:tcBorders>
            <w:noWrap/>
            <w:vAlign w:val="bottom"/>
            <w:hideMark/>
          </w:tcPr>
          <w:p w14:paraId="135517BD"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7.69</w:t>
            </w:r>
          </w:p>
        </w:tc>
      </w:tr>
      <w:tr w:rsidR="008E71D7" w:rsidRPr="008E71D7" w14:paraId="73B62F59"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37EF55AA" w14:textId="77777777" w:rsidR="008E71D7" w:rsidRPr="008E71D7" w:rsidRDefault="008E71D7" w:rsidP="008E71D7">
            <w:pPr>
              <w:spacing w:before="0" w:after="0" w:line="240" w:lineRule="auto"/>
              <w:jc w:val="center"/>
              <w:rPr>
                <w:rFonts w:ascii="Aptos Narrow" w:hAnsi="Aptos Narrow"/>
                <w:color w:val="000000"/>
                <w:sz w:val="22"/>
                <w:szCs w:val="22"/>
                <w:lang w:val="en-IN"/>
              </w:rPr>
            </w:pPr>
            <w:r w:rsidRPr="008E71D7">
              <w:rPr>
                <w:rFonts w:ascii="Aptos Narrow" w:hAnsi="Aptos Narrow"/>
                <w:color w:val="000000"/>
                <w:sz w:val="22"/>
                <w:szCs w:val="22"/>
                <w:lang w:val="en-IN"/>
              </w:rPr>
              <w:t> </w:t>
            </w:r>
          </w:p>
        </w:tc>
      </w:tr>
      <w:tr w:rsidR="008E71D7" w:rsidRPr="008E71D7" w14:paraId="489ED9A8"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2F436C4F"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"Gearing Ratio"</w:t>
            </w:r>
          </w:p>
        </w:tc>
      </w:tr>
      <w:tr w:rsidR="008E71D7" w:rsidRPr="008E71D7" w14:paraId="4EE3EAC7"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1110DC6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"Debt to Equity Ratio"</w:t>
            </w:r>
          </w:p>
        </w:tc>
      </w:tr>
      <w:tr w:rsidR="008E71D7" w:rsidRPr="008E71D7" w14:paraId="01BDAFE5"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8B2B73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1B2AF06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59546C5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16CD1AC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5589F21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2819C22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7F3A7C4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5EBD21C2"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511956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"Total Debt"</w:t>
            </w:r>
          </w:p>
        </w:tc>
        <w:tc>
          <w:tcPr>
            <w:tcW w:w="1677" w:type="pct"/>
            <w:vMerge w:val="restart"/>
            <w:tcBorders>
              <w:top w:val="nil"/>
              <w:left w:val="single" w:sz="4" w:space="0" w:color="FF0000"/>
              <w:bottom w:val="single" w:sz="4" w:space="0" w:color="FF0000"/>
              <w:right w:val="single" w:sz="4" w:space="0" w:color="FF0000"/>
            </w:tcBorders>
            <w:vAlign w:val="center"/>
            <w:hideMark/>
          </w:tcPr>
          <w:p w14:paraId="6E9E10A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"(Total debt/Total equity)"</w:t>
            </w:r>
          </w:p>
        </w:tc>
        <w:tc>
          <w:tcPr>
            <w:tcW w:w="501" w:type="pct"/>
            <w:tcBorders>
              <w:top w:val="nil"/>
              <w:left w:val="nil"/>
              <w:bottom w:val="single" w:sz="4" w:space="0" w:color="FF0000"/>
              <w:right w:val="single" w:sz="4" w:space="0" w:color="FF0000"/>
            </w:tcBorders>
            <w:noWrap/>
            <w:vAlign w:val="bottom"/>
            <w:hideMark/>
          </w:tcPr>
          <w:p w14:paraId="40F28F6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48,390.00 </w:t>
            </w:r>
          </w:p>
        </w:tc>
        <w:tc>
          <w:tcPr>
            <w:tcW w:w="442" w:type="pct"/>
            <w:tcBorders>
              <w:top w:val="nil"/>
              <w:left w:val="nil"/>
              <w:bottom w:val="single" w:sz="4" w:space="0" w:color="FF0000"/>
              <w:right w:val="single" w:sz="4" w:space="0" w:color="FF0000"/>
            </w:tcBorders>
            <w:noWrap/>
            <w:vAlign w:val="bottom"/>
            <w:hideMark/>
          </w:tcPr>
          <w:p w14:paraId="3474DC4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$43,009.00 </w:t>
            </w:r>
          </w:p>
        </w:tc>
        <w:tc>
          <w:tcPr>
            <w:tcW w:w="442" w:type="pct"/>
            <w:tcBorders>
              <w:top w:val="nil"/>
              <w:left w:val="nil"/>
              <w:bottom w:val="single" w:sz="4" w:space="0" w:color="FF0000"/>
              <w:right w:val="single" w:sz="4" w:space="0" w:color="FF0000"/>
            </w:tcBorders>
            <w:noWrap/>
            <w:vAlign w:val="bottom"/>
            <w:hideMark/>
          </w:tcPr>
          <w:p w14:paraId="02346D6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$36,440.00 </w:t>
            </w:r>
          </w:p>
        </w:tc>
        <w:tc>
          <w:tcPr>
            <w:tcW w:w="442" w:type="pct"/>
            <w:tcBorders>
              <w:top w:val="nil"/>
              <w:left w:val="nil"/>
              <w:bottom w:val="single" w:sz="4" w:space="0" w:color="FF0000"/>
              <w:right w:val="single" w:sz="4" w:space="0" w:color="FF0000"/>
            </w:tcBorders>
            <w:noWrap/>
            <w:vAlign w:val="bottom"/>
            <w:hideMark/>
          </w:tcPr>
          <w:p w14:paraId="30561D2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$30,548.00 </w:t>
            </w:r>
          </w:p>
        </w:tc>
        <w:tc>
          <w:tcPr>
            <w:tcW w:w="442" w:type="pct"/>
            <w:tcBorders>
              <w:top w:val="nil"/>
              <w:left w:val="nil"/>
              <w:bottom w:val="single" w:sz="4" w:space="0" w:color="FF0000"/>
              <w:right w:val="single" w:sz="4" w:space="0" w:color="FF0000"/>
            </w:tcBorders>
            <w:noWrap/>
            <w:vAlign w:val="bottom"/>
            <w:hideMark/>
          </w:tcPr>
          <w:p w14:paraId="72A929F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$28,418.00 </w:t>
            </w:r>
          </w:p>
        </w:tc>
      </w:tr>
      <w:tr w:rsidR="008E71D7" w:rsidRPr="008E71D7" w14:paraId="63FFF283"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18C4EEB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Total Equity"</w:t>
            </w:r>
          </w:p>
        </w:tc>
        <w:tc>
          <w:tcPr>
            <w:tcW w:w="1677" w:type="pct"/>
            <w:vMerge/>
            <w:tcBorders>
              <w:top w:val="nil"/>
              <w:left w:val="single" w:sz="4" w:space="0" w:color="FF0000"/>
              <w:bottom w:val="single" w:sz="4" w:space="0" w:color="FF0000"/>
              <w:right w:val="single" w:sz="4" w:space="0" w:color="FF0000"/>
            </w:tcBorders>
            <w:vAlign w:val="center"/>
            <w:hideMark/>
          </w:tcPr>
          <w:p w14:paraId="560690C9"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54ED529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72,913.00 </w:t>
            </w:r>
          </w:p>
        </w:tc>
        <w:tc>
          <w:tcPr>
            <w:tcW w:w="442" w:type="pct"/>
            <w:tcBorders>
              <w:top w:val="nil"/>
              <w:left w:val="nil"/>
              <w:bottom w:val="single" w:sz="4" w:space="0" w:color="FF0000"/>
              <w:right w:val="single" w:sz="4" w:space="0" w:color="FF0000"/>
            </w:tcBorders>
            <w:noWrap/>
            <w:vAlign w:val="bottom"/>
            <w:hideMark/>
          </w:tcPr>
          <w:p w14:paraId="2F86A0C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$62,634.00 </w:t>
            </w:r>
          </w:p>
        </w:tc>
        <w:tc>
          <w:tcPr>
            <w:tcW w:w="442" w:type="pct"/>
            <w:tcBorders>
              <w:top w:val="nil"/>
              <w:left w:val="nil"/>
              <w:bottom w:val="single" w:sz="4" w:space="0" w:color="FF0000"/>
              <w:right w:val="single" w:sz="4" w:space="0" w:color="FF0000"/>
            </w:tcBorders>
            <w:noWrap/>
            <w:vAlign w:val="bottom"/>
            <w:hideMark/>
          </w:tcPr>
          <w:p w14:paraId="5AD2F36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$44,704.00 </w:t>
            </w:r>
          </w:p>
        </w:tc>
        <w:tc>
          <w:tcPr>
            <w:tcW w:w="442" w:type="pct"/>
            <w:tcBorders>
              <w:top w:val="nil"/>
              <w:left w:val="nil"/>
              <w:bottom w:val="single" w:sz="4" w:space="0" w:color="FF0000"/>
              <w:right w:val="single" w:sz="4" w:space="0" w:color="FF0000"/>
            </w:tcBorders>
            <w:noWrap/>
            <w:vAlign w:val="bottom"/>
            <w:hideMark/>
          </w:tcPr>
          <w:p w14:paraId="69D0424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$30,189.00 </w:t>
            </w:r>
          </w:p>
        </w:tc>
        <w:tc>
          <w:tcPr>
            <w:tcW w:w="442" w:type="pct"/>
            <w:tcBorders>
              <w:top w:val="nil"/>
              <w:left w:val="nil"/>
              <w:bottom w:val="single" w:sz="4" w:space="0" w:color="FF0000"/>
              <w:right w:val="single" w:sz="4" w:space="0" w:color="FF0000"/>
            </w:tcBorders>
            <w:noWrap/>
            <w:vAlign w:val="bottom"/>
            <w:hideMark/>
          </w:tcPr>
          <w:p w14:paraId="758AAC4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$22,225.00 </w:t>
            </w:r>
          </w:p>
        </w:tc>
      </w:tr>
      <w:tr w:rsidR="008E71D7" w:rsidRPr="008E71D7" w14:paraId="3C047E8A"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D0779CF"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"Debt to Equity Ratio"</w:t>
            </w:r>
          </w:p>
        </w:tc>
        <w:tc>
          <w:tcPr>
            <w:tcW w:w="1677" w:type="pct"/>
            <w:vMerge/>
            <w:tcBorders>
              <w:top w:val="nil"/>
              <w:left w:val="single" w:sz="4" w:space="0" w:color="FF0000"/>
              <w:bottom w:val="single" w:sz="4" w:space="0" w:color="FF0000"/>
              <w:right w:val="single" w:sz="4" w:space="0" w:color="FF0000"/>
            </w:tcBorders>
            <w:vAlign w:val="center"/>
            <w:hideMark/>
          </w:tcPr>
          <w:p w14:paraId="52D8DB75"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6467E8A6"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0.66</w:t>
            </w:r>
          </w:p>
        </w:tc>
        <w:tc>
          <w:tcPr>
            <w:tcW w:w="442" w:type="pct"/>
            <w:tcBorders>
              <w:top w:val="nil"/>
              <w:left w:val="nil"/>
              <w:bottom w:val="single" w:sz="4" w:space="0" w:color="FF0000"/>
              <w:right w:val="single" w:sz="4" w:space="0" w:color="FF0000"/>
            </w:tcBorders>
            <w:noWrap/>
            <w:vAlign w:val="bottom"/>
            <w:hideMark/>
          </w:tcPr>
          <w:p w14:paraId="01551DA6"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0.69</w:t>
            </w:r>
          </w:p>
        </w:tc>
        <w:tc>
          <w:tcPr>
            <w:tcW w:w="442" w:type="pct"/>
            <w:tcBorders>
              <w:top w:val="nil"/>
              <w:left w:val="nil"/>
              <w:bottom w:val="single" w:sz="4" w:space="0" w:color="FF0000"/>
              <w:right w:val="single" w:sz="4" w:space="0" w:color="FF0000"/>
            </w:tcBorders>
            <w:noWrap/>
            <w:vAlign w:val="bottom"/>
            <w:hideMark/>
          </w:tcPr>
          <w:p w14:paraId="395F07A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0.82</w:t>
            </w:r>
          </w:p>
        </w:tc>
        <w:tc>
          <w:tcPr>
            <w:tcW w:w="442" w:type="pct"/>
            <w:tcBorders>
              <w:top w:val="nil"/>
              <w:left w:val="nil"/>
              <w:bottom w:val="single" w:sz="4" w:space="0" w:color="FF0000"/>
              <w:right w:val="single" w:sz="4" w:space="0" w:color="FF0000"/>
            </w:tcBorders>
            <w:noWrap/>
            <w:vAlign w:val="bottom"/>
            <w:hideMark/>
          </w:tcPr>
          <w:p w14:paraId="0DB55ACD"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1.01</w:t>
            </w:r>
          </w:p>
        </w:tc>
        <w:tc>
          <w:tcPr>
            <w:tcW w:w="442" w:type="pct"/>
            <w:tcBorders>
              <w:top w:val="nil"/>
              <w:left w:val="nil"/>
              <w:bottom w:val="single" w:sz="4" w:space="0" w:color="FF0000"/>
              <w:right w:val="single" w:sz="4" w:space="0" w:color="FF0000"/>
            </w:tcBorders>
            <w:noWrap/>
            <w:vAlign w:val="bottom"/>
            <w:hideMark/>
          </w:tcPr>
          <w:p w14:paraId="01693435"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1.28</w:t>
            </w:r>
          </w:p>
        </w:tc>
      </w:tr>
      <w:tr w:rsidR="008E71D7" w:rsidRPr="008E71D7" w14:paraId="6372C108"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13775133"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528E0B74"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44642FE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"Times Interest Earned Ratio"</w:t>
            </w:r>
          </w:p>
        </w:tc>
      </w:tr>
      <w:tr w:rsidR="008E71D7" w:rsidRPr="008E71D7" w14:paraId="29AC9DEC"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2E5A41E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579DF4F5"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61CB38E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4C524D2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0C66D89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608EEEC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666AC8F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469088E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E3339A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"EBIT"</w:t>
            </w:r>
          </w:p>
        </w:tc>
        <w:tc>
          <w:tcPr>
            <w:tcW w:w="1677" w:type="pct"/>
            <w:vMerge w:val="restart"/>
            <w:tcBorders>
              <w:top w:val="nil"/>
              <w:left w:val="single" w:sz="4" w:space="0" w:color="FF0000"/>
              <w:bottom w:val="single" w:sz="4" w:space="0" w:color="FF0000"/>
              <w:right w:val="single" w:sz="4" w:space="0" w:color="FF0000"/>
            </w:tcBorders>
            <w:vAlign w:val="center"/>
            <w:hideMark/>
          </w:tcPr>
          <w:p w14:paraId="6E38A4F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"(EBIT/Interest payable)"</w:t>
            </w:r>
          </w:p>
        </w:tc>
        <w:tc>
          <w:tcPr>
            <w:tcW w:w="501" w:type="pct"/>
            <w:tcBorders>
              <w:top w:val="nil"/>
              <w:left w:val="nil"/>
              <w:bottom w:val="single" w:sz="4" w:space="0" w:color="FF0000"/>
              <w:right w:val="single" w:sz="4" w:space="0" w:color="FF0000"/>
            </w:tcBorders>
            <w:noWrap/>
            <w:vAlign w:val="bottom"/>
            <w:hideMark/>
          </w:tcPr>
          <w:p w14:paraId="0E1DB95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8,990.00 </w:t>
            </w:r>
          </w:p>
        </w:tc>
        <w:tc>
          <w:tcPr>
            <w:tcW w:w="442" w:type="pct"/>
            <w:tcBorders>
              <w:top w:val="nil"/>
              <w:left w:val="nil"/>
              <w:bottom w:val="single" w:sz="4" w:space="0" w:color="FF0000"/>
              <w:right w:val="single" w:sz="4" w:space="0" w:color="FF0000"/>
            </w:tcBorders>
            <w:noWrap/>
            <w:vAlign w:val="bottom"/>
            <w:hideMark/>
          </w:tcPr>
          <w:p w14:paraId="255C83E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9,973.00 </w:t>
            </w:r>
          </w:p>
        </w:tc>
        <w:tc>
          <w:tcPr>
            <w:tcW w:w="442" w:type="pct"/>
            <w:tcBorders>
              <w:top w:val="nil"/>
              <w:left w:val="nil"/>
              <w:bottom w:val="single" w:sz="4" w:space="0" w:color="FF0000"/>
              <w:right w:val="single" w:sz="4" w:space="0" w:color="FF0000"/>
            </w:tcBorders>
            <w:noWrap/>
            <w:vAlign w:val="bottom"/>
            <w:hideMark/>
          </w:tcPr>
          <w:p w14:paraId="693CA5A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$13,719.00 </w:t>
            </w:r>
          </w:p>
        </w:tc>
        <w:tc>
          <w:tcPr>
            <w:tcW w:w="442" w:type="pct"/>
            <w:tcBorders>
              <w:top w:val="nil"/>
              <w:left w:val="nil"/>
              <w:bottom w:val="single" w:sz="4" w:space="0" w:color="FF0000"/>
              <w:right w:val="single" w:sz="4" w:space="0" w:color="FF0000"/>
            </w:tcBorders>
            <w:noWrap/>
            <w:vAlign w:val="bottom"/>
            <w:hideMark/>
          </w:tcPr>
          <w:p w14:paraId="56AB0F9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6,343.00 </w:t>
            </w:r>
          </w:p>
        </w:tc>
        <w:tc>
          <w:tcPr>
            <w:tcW w:w="442" w:type="pct"/>
            <w:tcBorders>
              <w:top w:val="nil"/>
              <w:left w:val="nil"/>
              <w:bottom w:val="single" w:sz="4" w:space="0" w:color="FF0000"/>
              <w:right w:val="single" w:sz="4" w:space="0" w:color="FF0000"/>
            </w:tcBorders>
            <w:noWrap/>
            <w:vAlign w:val="bottom"/>
            <w:hideMark/>
          </w:tcPr>
          <w:p w14:paraId="7B82089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1,154.00 </w:t>
            </w:r>
          </w:p>
        </w:tc>
      </w:tr>
      <w:tr w:rsidR="008E71D7" w:rsidRPr="008E71D7" w14:paraId="4268EA13"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1E1167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Interest Payable"</w:t>
            </w:r>
          </w:p>
        </w:tc>
        <w:tc>
          <w:tcPr>
            <w:tcW w:w="1677" w:type="pct"/>
            <w:vMerge/>
            <w:tcBorders>
              <w:top w:val="nil"/>
              <w:left w:val="single" w:sz="4" w:space="0" w:color="FF0000"/>
              <w:bottom w:val="single" w:sz="4" w:space="0" w:color="FF0000"/>
              <w:right w:val="single" w:sz="4" w:space="0" w:color="FF0000"/>
            </w:tcBorders>
            <w:vAlign w:val="center"/>
            <w:hideMark/>
          </w:tcPr>
          <w:p w14:paraId="232748BE"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351E6A6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350.00 </w:t>
            </w:r>
          </w:p>
        </w:tc>
        <w:tc>
          <w:tcPr>
            <w:tcW w:w="442" w:type="pct"/>
            <w:tcBorders>
              <w:top w:val="nil"/>
              <w:left w:val="nil"/>
              <w:bottom w:val="single" w:sz="4" w:space="0" w:color="FF0000"/>
              <w:right w:val="single" w:sz="4" w:space="0" w:color="FF0000"/>
            </w:tcBorders>
            <w:noWrap/>
            <w:vAlign w:val="bottom"/>
            <w:hideMark/>
          </w:tcPr>
          <w:p w14:paraId="6AE3DE6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156.00 </w:t>
            </w:r>
          </w:p>
        </w:tc>
        <w:tc>
          <w:tcPr>
            <w:tcW w:w="442" w:type="pct"/>
            <w:tcBorders>
              <w:top w:val="nil"/>
              <w:left w:val="nil"/>
              <w:bottom w:val="single" w:sz="4" w:space="0" w:color="FF0000"/>
              <w:right w:val="single" w:sz="4" w:space="0" w:color="FF0000"/>
            </w:tcBorders>
            <w:noWrap/>
            <w:vAlign w:val="bottom"/>
            <w:hideMark/>
          </w:tcPr>
          <w:p w14:paraId="42D82D7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191.00 </w:t>
            </w:r>
          </w:p>
        </w:tc>
        <w:tc>
          <w:tcPr>
            <w:tcW w:w="442" w:type="pct"/>
            <w:tcBorders>
              <w:top w:val="nil"/>
              <w:left w:val="nil"/>
              <w:bottom w:val="single" w:sz="4" w:space="0" w:color="FF0000"/>
              <w:right w:val="single" w:sz="4" w:space="0" w:color="FF0000"/>
            </w:tcBorders>
            <w:noWrap/>
            <w:vAlign w:val="bottom"/>
            <w:hideMark/>
          </w:tcPr>
          <w:p w14:paraId="7A545D6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371.00 </w:t>
            </w:r>
          </w:p>
        </w:tc>
        <w:tc>
          <w:tcPr>
            <w:tcW w:w="442" w:type="pct"/>
            <w:tcBorders>
              <w:top w:val="nil"/>
              <w:left w:val="nil"/>
              <w:bottom w:val="single" w:sz="4" w:space="0" w:color="FF0000"/>
              <w:right w:val="single" w:sz="4" w:space="0" w:color="FF0000"/>
            </w:tcBorders>
            <w:noWrap/>
            <w:vAlign w:val="bottom"/>
            <w:hideMark/>
          </w:tcPr>
          <w:p w14:paraId="118F52D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748.00 </w:t>
            </w:r>
          </w:p>
        </w:tc>
      </w:tr>
      <w:tr w:rsidR="008E71D7" w:rsidRPr="008E71D7" w14:paraId="15F2AC3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4DE8C60D"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"Times Interest Earned Ratio"</w:t>
            </w:r>
          </w:p>
        </w:tc>
        <w:tc>
          <w:tcPr>
            <w:tcW w:w="1677" w:type="pct"/>
            <w:vMerge/>
            <w:tcBorders>
              <w:top w:val="nil"/>
              <w:left w:val="single" w:sz="4" w:space="0" w:color="FF0000"/>
              <w:bottom w:val="single" w:sz="4" w:space="0" w:color="FF0000"/>
              <w:right w:val="single" w:sz="4" w:space="0" w:color="FF0000"/>
            </w:tcBorders>
            <w:vAlign w:val="center"/>
            <w:hideMark/>
          </w:tcPr>
          <w:p w14:paraId="7602B0D1"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604648CC"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25.69</w:t>
            </w:r>
          </w:p>
        </w:tc>
        <w:tc>
          <w:tcPr>
            <w:tcW w:w="442" w:type="pct"/>
            <w:tcBorders>
              <w:top w:val="nil"/>
              <w:left w:val="nil"/>
              <w:bottom w:val="single" w:sz="4" w:space="0" w:color="FF0000"/>
              <w:right w:val="single" w:sz="4" w:space="0" w:color="FF0000"/>
            </w:tcBorders>
            <w:noWrap/>
            <w:vAlign w:val="bottom"/>
            <w:hideMark/>
          </w:tcPr>
          <w:p w14:paraId="0363922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63.93</w:t>
            </w:r>
          </w:p>
        </w:tc>
        <w:tc>
          <w:tcPr>
            <w:tcW w:w="442" w:type="pct"/>
            <w:tcBorders>
              <w:top w:val="nil"/>
              <w:left w:val="nil"/>
              <w:bottom w:val="single" w:sz="4" w:space="0" w:color="FF0000"/>
              <w:right w:val="single" w:sz="4" w:space="0" w:color="FF0000"/>
            </w:tcBorders>
            <w:noWrap/>
            <w:vAlign w:val="bottom"/>
            <w:hideMark/>
          </w:tcPr>
          <w:p w14:paraId="1DEAA60E"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71.83</w:t>
            </w:r>
          </w:p>
        </w:tc>
        <w:tc>
          <w:tcPr>
            <w:tcW w:w="442" w:type="pct"/>
            <w:tcBorders>
              <w:top w:val="nil"/>
              <w:left w:val="nil"/>
              <w:bottom w:val="single" w:sz="4" w:space="0" w:color="FF0000"/>
              <w:right w:val="single" w:sz="4" w:space="0" w:color="FF0000"/>
            </w:tcBorders>
            <w:noWrap/>
            <w:vAlign w:val="bottom"/>
            <w:hideMark/>
          </w:tcPr>
          <w:p w14:paraId="4DF1304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17.10</w:t>
            </w:r>
          </w:p>
        </w:tc>
        <w:tc>
          <w:tcPr>
            <w:tcW w:w="442" w:type="pct"/>
            <w:tcBorders>
              <w:top w:val="nil"/>
              <w:left w:val="nil"/>
              <w:bottom w:val="single" w:sz="4" w:space="0" w:color="FF0000"/>
              <w:right w:val="single" w:sz="4" w:space="0" w:color="FF0000"/>
            </w:tcBorders>
            <w:noWrap/>
            <w:vAlign w:val="bottom"/>
            <w:hideMark/>
          </w:tcPr>
          <w:p w14:paraId="38D6727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1.54</w:t>
            </w:r>
          </w:p>
        </w:tc>
      </w:tr>
      <w:tr w:rsidR="008E71D7" w:rsidRPr="008E71D7" w14:paraId="600EE744"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19C61B38"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28454D1A"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36CB173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"Investment ratio"</w:t>
            </w:r>
          </w:p>
        </w:tc>
      </w:tr>
      <w:tr w:rsidR="008E71D7" w:rsidRPr="008E71D7" w14:paraId="26624A5C"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05ABAEE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"Dividend Payout"</w:t>
            </w:r>
          </w:p>
        </w:tc>
      </w:tr>
      <w:tr w:rsidR="008E71D7" w:rsidRPr="008E71D7" w14:paraId="48F2D10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23CB6ED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4E68B3A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21C1F82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295A814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101E8412"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7DBD630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658C0D9B"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7C8020D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264A75C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"Dividend"</w:t>
            </w:r>
          </w:p>
        </w:tc>
        <w:tc>
          <w:tcPr>
            <w:tcW w:w="1677" w:type="pct"/>
            <w:vMerge w:val="restart"/>
            <w:tcBorders>
              <w:top w:val="nil"/>
              <w:left w:val="single" w:sz="4" w:space="0" w:color="FF0000"/>
              <w:bottom w:val="single" w:sz="4" w:space="0" w:color="FF0000"/>
              <w:right w:val="single" w:sz="4" w:space="0" w:color="FF0000"/>
            </w:tcBorders>
            <w:vAlign w:val="center"/>
            <w:hideMark/>
          </w:tcPr>
          <w:p w14:paraId="1194300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"(Net income/Outstanding shares)"</w:t>
            </w:r>
          </w:p>
        </w:tc>
        <w:tc>
          <w:tcPr>
            <w:tcW w:w="501" w:type="pct"/>
            <w:tcBorders>
              <w:top w:val="nil"/>
              <w:left w:val="nil"/>
              <w:bottom w:val="single" w:sz="4" w:space="0" w:color="FF0000"/>
              <w:right w:val="single" w:sz="4" w:space="0" w:color="FF0000"/>
            </w:tcBorders>
            <w:noWrap/>
            <w:vAlign w:val="bottom"/>
            <w:hideMark/>
          </w:tcPr>
          <w:p w14:paraId="7D0337E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114.29 </w:t>
            </w:r>
          </w:p>
        </w:tc>
        <w:tc>
          <w:tcPr>
            <w:tcW w:w="442" w:type="pct"/>
            <w:tcBorders>
              <w:top w:val="nil"/>
              <w:left w:val="nil"/>
              <w:bottom w:val="single" w:sz="4" w:space="0" w:color="FF0000"/>
              <w:right w:val="single" w:sz="4" w:space="0" w:color="FF0000"/>
            </w:tcBorders>
            <w:noWrap/>
            <w:vAlign w:val="bottom"/>
            <w:hideMark/>
          </w:tcPr>
          <w:p w14:paraId="7F83D3E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121.62 </w:t>
            </w:r>
          </w:p>
        </w:tc>
        <w:tc>
          <w:tcPr>
            <w:tcW w:w="442" w:type="pct"/>
            <w:tcBorders>
              <w:top w:val="nil"/>
              <w:left w:val="nil"/>
              <w:bottom w:val="single" w:sz="4" w:space="0" w:color="FF0000"/>
              <w:right w:val="single" w:sz="4" w:space="0" w:color="FF0000"/>
            </w:tcBorders>
            <w:noWrap/>
            <w:vAlign w:val="bottom"/>
            <w:hideMark/>
          </w:tcPr>
          <w:p w14:paraId="7F65606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114.51 </w:t>
            </w:r>
          </w:p>
        </w:tc>
        <w:tc>
          <w:tcPr>
            <w:tcW w:w="442" w:type="pct"/>
            <w:tcBorders>
              <w:top w:val="nil"/>
              <w:left w:val="nil"/>
              <w:bottom w:val="single" w:sz="4" w:space="0" w:color="FF0000"/>
              <w:right w:val="single" w:sz="4" w:space="0" w:color="FF0000"/>
            </w:tcBorders>
            <w:noWrap/>
            <w:vAlign w:val="bottom"/>
            <w:hideMark/>
          </w:tcPr>
          <w:p w14:paraId="6F2FD8E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128.02 </w:t>
            </w:r>
          </w:p>
        </w:tc>
        <w:tc>
          <w:tcPr>
            <w:tcW w:w="442" w:type="pct"/>
            <w:tcBorders>
              <w:top w:val="nil"/>
              <w:left w:val="nil"/>
              <w:bottom w:val="single" w:sz="4" w:space="0" w:color="FF0000"/>
              <w:right w:val="single" w:sz="4" w:space="0" w:color="FF0000"/>
            </w:tcBorders>
            <w:noWrap/>
            <w:vAlign w:val="bottom"/>
            <w:hideMark/>
          </w:tcPr>
          <w:p w14:paraId="19A2255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72.05 </w:t>
            </w:r>
          </w:p>
        </w:tc>
      </w:tr>
      <w:tr w:rsidR="008E71D7" w:rsidRPr="008E71D7" w14:paraId="50E9E6F6"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A790A4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"Net Income"</w:t>
            </w:r>
          </w:p>
        </w:tc>
        <w:tc>
          <w:tcPr>
            <w:tcW w:w="1677" w:type="pct"/>
            <w:vMerge/>
            <w:tcBorders>
              <w:top w:val="nil"/>
              <w:left w:val="single" w:sz="4" w:space="0" w:color="FF0000"/>
              <w:bottom w:val="single" w:sz="4" w:space="0" w:color="FF0000"/>
              <w:right w:val="single" w:sz="4" w:space="0" w:color="FF0000"/>
            </w:tcBorders>
            <w:vAlign w:val="center"/>
            <w:hideMark/>
          </w:tcPr>
          <w:p w14:paraId="708C6A42"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55D55AB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7,153.0</w:t>
            </w:r>
            <w:r w:rsidRPr="008E71D7">
              <w:rPr>
                <w:rFonts w:ascii="Arial" w:hAnsi="Arial" w:cs="Arial"/>
                <w:color w:val="000000"/>
                <w:lang w:val="en-IN"/>
              </w:rPr>
              <w:lastRenderedPageBreak/>
              <w:t xml:space="preserve">0 </w:t>
            </w:r>
          </w:p>
        </w:tc>
        <w:tc>
          <w:tcPr>
            <w:tcW w:w="442" w:type="pct"/>
            <w:tcBorders>
              <w:top w:val="nil"/>
              <w:left w:val="nil"/>
              <w:bottom w:val="single" w:sz="4" w:space="0" w:color="FF0000"/>
              <w:right w:val="single" w:sz="4" w:space="0" w:color="FF0000"/>
            </w:tcBorders>
            <w:noWrap/>
            <w:vAlign w:val="bottom"/>
            <w:hideMark/>
          </w:tcPr>
          <w:p w14:paraId="7505F85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$14,97</w:t>
            </w:r>
            <w:r w:rsidRPr="008E71D7">
              <w:rPr>
                <w:rFonts w:ascii="Arial" w:hAnsi="Arial" w:cs="Arial"/>
                <w:color w:val="000000"/>
                <w:lang w:val="en-IN"/>
              </w:rPr>
              <w:lastRenderedPageBreak/>
              <w:t xml:space="preserve">4.00 </w:t>
            </w:r>
          </w:p>
        </w:tc>
        <w:tc>
          <w:tcPr>
            <w:tcW w:w="442" w:type="pct"/>
            <w:tcBorders>
              <w:top w:val="nil"/>
              <w:left w:val="nil"/>
              <w:bottom w:val="single" w:sz="4" w:space="0" w:color="FF0000"/>
              <w:right w:val="single" w:sz="4" w:space="0" w:color="FF0000"/>
            </w:tcBorders>
            <w:noWrap/>
            <w:vAlign w:val="bottom"/>
            <w:hideMark/>
          </w:tcPr>
          <w:p w14:paraId="0114337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$12,58</w:t>
            </w:r>
            <w:r w:rsidRPr="008E71D7">
              <w:rPr>
                <w:rFonts w:ascii="Arial" w:hAnsi="Arial" w:cs="Arial"/>
                <w:color w:val="000000"/>
                <w:lang w:val="en-IN"/>
              </w:rPr>
              <w:lastRenderedPageBreak/>
              <w:t xml:space="preserve">7.00 </w:t>
            </w:r>
          </w:p>
        </w:tc>
        <w:tc>
          <w:tcPr>
            <w:tcW w:w="442" w:type="pct"/>
            <w:tcBorders>
              <w:top w:val="nil"/>
              <w:left w:val="nil"/>
              <w:bottom w:val="single" w:sz="4" w:space="0" w:color="FF0000"/>
              <w:right w:val="single" w:sz="4" w:space="0" w:color="FF0000"/>
            </w:tcBorders>
            <w:noWrap/>
            <w:vAlign w:val="bottom"/>
            <w:hideMark/>
          </w:tcPr>
          <w:p w14:paraId="7F070F6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  5,644.</w:t>
            </w:r>
            <w:r w:rsidRPr="008E71D7">
              <w:rPr>
                <w:rFonts w:ascii="Arial" w:hAnsi="Arial" w:cs="Arial"/>
                <w:color w:val="000000"/>
                <w:lang w:val="en-IN"/>
              </w:rPr>
              <w:lastRenderedPageBreak/>
              <w:t xml:space="preserve">00 </w:t>
            </w:r>
          </w:p>
        </w:tc>
        <w:tc>
          <w:tcPr>
            <w:tcW w:w="442" w:type="pct"/>
            <w:tcBorders>
              <w:top w:val="nil"/>
              <w:left w:val="nil"/>
              <w:bottom w:val="single" w:sz="4" w:space="0" w:color="FF0000"/>
              <w:right w:val="single" w:sz="4" w:space="0" w:color="FF0000"/>
            </w:tcBorders>
            <w:noWrap/>
            <w:vAlign w:val="bottom"/>
            <w:hideMark/>
          </w:tcPr>
          <w:p w14:paraId="4CE6E4F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     862.00 </w:t>
            </w:r>
          </w:p>
        </w:tc>
      </w:tr>
      <w:tr w:rsidR="008E71D7" w:rsidRPr="008E71D7" w14:paraId="6BFE63EA"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384E5D69"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lastRenderedPageBreak/>
              <w:t>"Dividend Payout"</w:t>
            </w:r>
          </w:p>
        </w:tc>
        <w:tc>
          <w:tcPr>
            <w:tcW w:w="1677" w:type="pct"/>
            <w:vMerge/>
            <w:tcBorders>
              <w:top w:val="nil"/>
              <w:left w:val="single" w:sz="4" w:space="0" w:color="FF0000"/>
              <w:bottom w:val="single" w:sz="4" w:space="0" w:color="FF0000"/>
              <w:right w:val="single" w:sz="4" w:space="0" w:color="FF0000"/>
            </w:tcBorders>
            <w:vAlign w:val="center"/>
            <w:hideMark/>
          </w:tcPr>
          <w:p w14:paraId="31624A28"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22C39F2C"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0.02</w:t>
            </w:r>
          </w:p>
        </w:tc>
        <w:tc>
          <w:tcPr>
            <w:tcW w:w="442" w:type="pct"/>
            <w:tcBorders>
              <w:top w:val="nil"/>
              <w:left w:val="nil"/>
              <w:bottom w:val="single" w:sz="4" w:space="0" w:color="FF0000"/>
              <w:right w:val="single" w:sz="4" w:space="0" w:color="FF0000"/>
            </w:tcBorders>
            <w:noWrap/>
            <w:vAlign w:val="bottom"/>
            <w:hideMark/>
          </w:tcPr>
          <w:p w14:paraId="45BE2F21"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0.01</w:t>
            </w:r>
          </w:p>
        </w:tc>
        <w:tc>
          <w:tcPr>
            <w:tcW w:w="442" w:type="pct"/>
            <w:tcBorders>
              <w:top w:val="nil"/>
              <w:left w:val="nil"/>
              <w:bottom w:val="single" w:sz="4" w:space="0" w:color="FF0000"/>
              <w:right w:val="single" w:sz="4" w:space="0" w:color="FF0000"/>
            </w:tcBorders>
            <w:noWrap/>
            <w:vAlign w:val="bottom"/>
            <w:hideMark/>
          </w:tcPr>
          <w:p w14:paraId="2C22DE28"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0.01</w:t>
            </w:r>
          </w:p>
        </w:tc>
        <w:tc>
          <w:tcPr>
            <w:tcW w:w="442" w:type="pct"/>
            <w:tcBorders>
              <w:top w:val="nil"/>
              <w:left w:val="nil"/>
              <w:bottom w:val="single" w:sz="4" w:space="0" w:color="FF0000"/>
              <w:right w:val="single" w:sz="4" w:space="0" w:color="FF0000"/>
            </w:tcBorders>
            <w:noWrap/>
            <w:vAlign w:val="bottom"/>
            <w:hideMark/>
          </w:tcPr>
          <w:p w14:paraId="50B15DD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0.02</w:t>
            </w:r>
          </w:p>
        </w:tc>
        <w:tc>
          <w:tcPr>
            <w:tcW w:w="442" w:type="pct"/>
            <w:tcBorders>
              <w:top w:val="nil"/>
              <w:left w:val="nil"/>
              <w:bottom w:val="single" w:sz="4" w:space="0" w:color="FF0000"/>
              <w:right w:val="single" w:sz="4" w:space="0" w:color="FF0000"/>
            </w:tcBorders>
            <w:noWrap/>
            <w:vAlign w:val="bottom"/>
            <w:hideMark/>
          </w:tcPr>
          <w:p w14:paraId="3F6A4C5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0.08</w:t>
            </w:r>
          </w:p>
        </w:tc>
      </w:tr>
      <w:tr w:rsidR="008E71D7" w:rsidRPr="008E71D7" w14:paraId="11C79544"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194BF375"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528FA045"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30B6094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"P/E Ratio"</w:t>
            </w:r>
          </w:p>
        </w:tc>
      </w:tr>
      <w:tr w:rsidR="008E71D7" w:rsidRPr="008E71D7" w14:paraId="602B5D30"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B0453F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201680A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1A5250A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62EBC85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0A709C2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1D224328"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46770C9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1363417A"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7AA2F43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"Market Price of Share"</w:t>
            </w:r>
          </w:p>
        </w:tc>
        <w:tc>
          <w:tcPr>
            <w:tcW w:w="1677" w:type="pct"/>
            <w:vMerge w:val="restart"/>
            <w:tcBorders>
              <w:top w:val="nil"/>
              <w:left w:val="single" w:sz="4" w:space="0" w:color="FF0000"/>
              <w:bottom w:val="single" w:sz="4" w:space="0" w:color="FF0000"/>
              <w:right w:val="single" w:sz="4" w:space="0" w:color="FF0000"/>
            </w:tcBorders>
            <w:vAlign w:val="center"/>
            <w:hideMark/>
          </w:tcPr>
          <w:p w14:paraId="587F025F"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"(Market price of share/EPS)"</w:t>
            </w:r>
          </w:p>
        </w:tc>
        <w:tc>
          <w:tcPr>
            <w:tcW w:w="501" w:type="pct"/>
            <w:tcBorders>
              <w:top w:val="nil"/>
              <w:left w:val="nil"/>
              <w:bottom w:val="single" w:sz="4" w:space="0" w:color="FF0000"/>
              <w:right w:val="single" w:sz="4" w:space="0" w:color="FF0000"/>
            </w:tcBorders>
            <w:noWrap/>
            <w:vAlign w:val="bottom"/>
            <w:hideMark/>
          </w:tcPr>
          <w:p w14:paraId="1B8AD90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403.84 </w:t>
            </w:r>
          </w:p>
        </w:tc>
        <w:tc>
          <w:tcPr>
            <w:tcW w:w="442" w:type="pct"/>
            <w:tcBorders>
              <w:top w:val="nil"/>
              <w:left w:val="nil"/>
              <w:bottom w:val="single" w:sz="4" w:space="0" w:color="FF0000"/>
              <w:right w:val="single" w:sz="4" w:space="0" w:color="FF0000"/>
            </w:tcBorders>
            <w:noWrap/>
            <w:vAlign w:val="bottom"/>
            <w:hideMark/>
          </w:tcPr>
          <w:p w14:paraId="38B54F5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248.48 </w:t>
            </w:r>
          </w:p>
        </w:tc>
        <w:tc>
          <w:tcPr>
            <w:tcW w:w="442" w:type="pct"/>
            <w:tcBorders>
              <w:top w:val="nil"/>
              <w:left w:val="nil"/>
              <w:bottom w:val="single" w:sz="4" w:space="0" w:color="FF0000"/>
              <w:right w:val="single" w:sz="4" w:space="0" w:color="FF0000"/>
            </w:tcBorders>
            <w:noWrap/>
            <w:vAlign w:val="bottom"/>
            <w:hideMark/>
          </w:tcPr>
          <w:p w14:paraId="1EB290D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123.18 </w:t>
            </w:r>
          </w:p>
        </w:tc>
        <w:tc>
          <w:tcPr>
            <w:tcW w:w="442" w:type="pct"/>
            <w:tcBorders>
              <w:top w:val="nil"/>
              <w:left w:val="nil"/>
              <w:bottom w:val="single" w:sz="4" w:space="0" w:color="FF0000"/>
              <w:right w:val="single" w:sz="4" w:space="0" w:color="FF0000"/>
            </w:tcBorders>
            <w:noWrap/>
            <w:vAlign w:val="bottom"/>
            <w:hideMark/>
          </w:tcPr>
          <w:p w14:paraId="436BF4E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1,056.78 </w:t>
            </w:r>
          </w:p>
        </w:tc>
        <w:tc>
          <w:tcPr>
            <w:tcW w:w="442" w:type="pct"/>
            <w:tcBorders>
              <w:top w:val="nil"/>
              <w:left w:val="nil"/>
              <w:bottom w:val="single" w:sz="4" w:space="0" w:color="FF0000"/>
              <w:right w:val="single" w:sz="4" w:space="0" w:color="FF0000"/>
            </w:tcBorders>
            <w:noWrap/>
            <w:vAlign w:val="bottom"/>
            <w:hideMark/>
          </w:tcPr>
          <w:p w14:paraId="1F9E34F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705.67 </w:t>
            </w:r>
          </w:p>
        </w:tc>
      </w:tr>
      <w:tr w:rsidR="008E71D7" w:rsidRPr="008E71D7" w14:paraId="5FABFA23"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1D392F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EPS"</w:t>
            </w:r>
          </w:p>
        </w:tc>
        <w:tc>
          <w:tcPr>
            <w:tcW w:w="1677" w:type="pct"/>
            <w:vMerge/>
            <w:tcBorders>
              <w:top w:val="nil"/>
              <w:left w:val="single" w:sz="4" w:space="0" w:color="FF0000"/>
              <w:bottom w:val="single" w:sz="4" w:space="0" w:color="FF0000"/>
              <w:right w:val="single" w:sz="4" w:space="0" w:color="FF0000"/>
            </w:tcBorders>
            <w:vAlign w:val="center"/>
            <w:hideMark/>
          </w:tcPr>
          <w:p w14:paraId="0CB965DF"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3F85DD9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2.04 </w:t>
            </w:r>
          </w:p>
        </w:tc>
        <w:tc>
          <w:tcPr>
            <w:tcW w:w="442" w:type="pct"/>
            <w:tcBorders>
              <w:top w:val="nil"/>
              <w:left w:val="nil"/>
              <w:bottom w:val="single" w:sz="4" w:space="0" w:color="FF0000"/>
              <w:right w:val="single" w:sz="4" w:space="0" w:color="FF0000"/>
            </w:tcBorders>
            <w:noWrap/>
            <w:vAlign w:val="bottom"/>
            <w:hideMark/>
          </w:tcPr>
          <w:p w14:paraId="0D9227C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4.30 </w:t>
            </w:r>
          </w:p>
        </w:tc>
        <w:tc>
          <w:tcPr>
            <w:tcW w:w="442" w:type="pct"/>
            <w:tcBorders>
              <w:top w:val="nil"/>
              <w:left w:val="nil"/>
              <w:bottom w:val="single" w:sz="4" w:space="0" w:color="FF0000"/>
              <w:right w:val="single" w:sz="4" w:space="0" w:color="FF0000"/>
            </w:tcBorders>
            <w:noWrap/>
            <w:vAlign w:val="bottom"/>
            <w:hideMark/>
          </w:tcPr>
          <w:p w14:paraId="3B0C827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3.62 </w:t>
            </w:r>
          </w:p>
        </w:tc>
        <w:tc>
          <w:tcPr>
            <w:tcW w:w="442" w:type="pct"/>
            <w:tcBorders>
              <w:top w:val="nil"/>
              <w:left w:val="nil"/>
              <w:bottom w:val="single" w:sz="4" w:space="0" w:color="FF0000"/>
              <w:right w:val="single" w:sz="4" w:space="0" w:color="FF0000"/>
            </w:tcBorders>
            <w:noWrap/>
            <w:vAlign w:val="bottom"/>
            <w:hideMark/>
          </w:tcPr>
          <w:p w14:paraId="69F5D72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1.63 </w:t>
            </w:r>
          </w:p>
        </w:tc>
        <w:tc>
          <w:tcPr>
            <w:tcW w:w="442" w:type="pct"/>
            <w:tcBorders>
              <w:top w:val="nil"/>
              <w:left w:val="nil"/>
              <w:bottom w:val="single" w:sz="4" w:space="0" w:color="FF0000"/>
              <w:right w:val="single" w:sz="4" w:space="0" w:color="FF0000"/>
            </w:tcBorders>
            <w:noWrap/>
            <w:vAlign w:val="bottom"/>
            <w:hideMark/>
          </w:tcPr>
          <w:p w14:paraId="174C281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0.21 </w:t>
            </w:r>
          </w:p>
        </w:tc>
      </w:tr>
      <w:tr w:rsidR="008E71D7" w:rsidRPr="008E71D7" w14:paraId="6D14812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3A7F87D"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"P/E Ratio"</w:t>
            </w:r>
          </w:p>
        </w:tc>
        <w:tc>
          <w:tcPr>
            <w:tcW w:w="1677" w:type="pct"/>
            <w:vMerge/>
            <w:tcBorders>
              <w:top w:val="nil"/>
              <w:left w:val="single" w:sz="4" w:space="0" w:color="FF0000"/>
              <w:bottom w:val="single" w:sz="4" w:space="0" w:color="FF0000"/>
              <w:right w:val="single" w:sz="4" w:space="0" w:color="FF0000"/>
            </w:tcBorders>
            <w:vAlign w:val="center"/>
            <w:hideMark/>
          </w:tcPr>
          <w:p w14:paraId="3DF4C334"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71F17C0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197.96</w:t>
            </w:r>
          </w:p>
        </w:tc>
        <w:tc>
          <w:tcPr>
            <w:tcW w:w="442" w:type="pct"/>
            <w:tcBorders>
              <w:top w:val="nil"/>
              <w:left w:val="nil"/>
              <w:bottom w:val="single" w:sz="4" w:space="0" w:color="FF0000"/>
              <w:right w:val="single" w:sz="4" w:space="0" w:color="FF0000"/>
            </w:tcBorders>
            <w:noWrap/>
            <w:vAlign w:val="bottom"/>
            <w:hideMark/>
          </w:tcPr>
          <w:p w14:paraId="58300616"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57.79</w:t>
            </w:r>
          </w:p>
        </w:tc>
        <w:tc>
          <w:tcPr>
            <w:tcW w:w="442" w:type="pct"/>
            <w:tcBorders>
              <w:top w:val="nil"/>
              <w:left w:val="nil"/>
              <w:bottom w:val="single" w:sz="4" w:space="0" w:color="FF0000"/>
              <w:right w:val="single" w:sz="4" w:space="0" w:color="FF0000"/>
            </w:tcBorders>
            <w:noWrap/>
            <w:vAlign w:val="bottom"/>
            <w:hideMark/>
          </w:tcPr>
          <w:p w14:paraId="4566696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34.03</w:t>
            </w:r>
          </w:p>
        </w:tc>
        <w:tc>
          <w:tcPr>
            <w:tcW w:w="442" w:type="pct"/>
            <w:tcBorders>
              <w:top w:val="nil"/>
              <w:left w:val="nil"/>
              <w:bottom w:val="single" w:sz="4" w:space="0" w:color="FF0000"/>
              <w:right w:val="single" w:sz="4" w:space="0" w:color="FF0000"/>
            </w:tcBorders>
            <w:noWrap/>
            <w:vAlign w:val="bottom"/>
            <w:hideMark/>
          </w:tcPr>
          <w:p w14:paraId="04E6BECF"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648.33</w:t>
            </w:r>
          </w:p>
        </w:tc>
        <w:tc>
          <w:tcPr>
            <w:tcW w:w="442" w:type="pct"/>
            <w:tcBorders>
              <w:top w:val="nil"/>
              <w:left w:val="nil"/>
              <w:bottom w:val="single" w:sz="4" w:space="0" w:color="FF0000"/>
              <w:right w:val="single" w:sz="4" w:space="0" w:color="FF0000"/>
            </w:tcBorders>
            <w:noWrap/>
            <w:vAlign w:val="bottom"/>
            <w:hideMark/>
          </w:tcPr>
          <w:p w14:paraId="2332C0A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3360.33</w:t>
            </w:r>
          </w:p>
        </w:tc>
      </w:tr>
      <w:tr w:rsidR="008E71D7" w:rsidRPr="008E71D7" w14:paraId="45794253"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46ABBCDD"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069CBCA0"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57F2546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"Cash Flow Ratios"</w:t>
            </w:r>
          </w:p>
        </w:tc>
      </w:tr>
      <w:tr w:rsidR="008E71D7" w:rsidRPr="008E71D7" w14:paraId="17A99BF8"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45FD0B5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"Operating Cash Flow Ratio"</w:t>
            </w:r>
          </w:p>
        </w:tc>
      </w:tr>
      <w:tr w:rsidR="008E71D7" w:rsidRPr="008E71D7" w14:paraId="7871F18A"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0D140E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56B2ABA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1F706DE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3734116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638C6CE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1D3A43D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5F486C5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3C963B7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464C3F75"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"Operating Cash Flow"</w:t>
            </w:r>
          </w:p>
        </w:tc>
        <w:tc>
          <w:tcPr>
            <w:tcW w:w="1677" w:type="pct"/>
            <w:vMerge w:val="restart"/>
            <w:tcBorders>
              <w:top w:val="nil"/>
              <w:left w:val="single" w:sz="4" w:space="0" w:color="FF0000"/>
              <w:bottom w:val="single" w:sz="4" w:space="0" w:color="FF0000"/>
              <w:right w:val="single" w:sz="4" w:space="0" w:color="FF0000"/>
            </w:tcBorders>
            <w:vAlign w:val="center"/>
            <w:hideMark/>
          </w:tcPr>
          <w:p w14:paraId="762B3CF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"(Operating Cash Flow/Current Liabilities)"</w:t>
            </w:r>
          </w:p>
        </w:tc>
        <w:tc>
          <w:tcPr>
            <w:tcW w:w="501" w:type="pct"/>
            <w:tcBorders>
              <w:top w:val="nil"/>
              <w:left w:val="nil"/>
              <w:bottom w:val="single" w:sz="4" w:space="0" w:color="FF0000"/>
              <w:right w:val="single" w:sz="4" w:space="0" w:color="FF0000"/>
            </w:tcBorders>
            <w:noWrap/>
            <w:vAlign w:val="bottom"/>
            <w:hideMark/>
          </w:tcPr>
          <w:p w14:paraId="73CE211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14,923.00 </w:t>
            </w:r>
          </w:p>
        </w:tc>
        <w:tc>
          <w:tcPr>
            <w:tcW w:w="442" w:type="pct"/>
            <w:tcBorders>
              <w:top w:val="nil"/>
              <w:left w:val="nil"/>
              <w:bottom w:val="single" w:sz="4" w:space="0" w:color="FF0000"/>
              <w:right w:val="single" w:sz="4" w:space="0" w:color="FF0000"/>
            </w:tcBorders>
            <w:noWrap/>
            <w:vAlign w:val="bottom"/>
            <w:hideMark/>
          </w:tcPr>
          <w:p w14:paraId="45D9A35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$13,256.00 </w:t>
            </w:r>
          </w:p>
        </w:tc>
        <w:tc>
          <w:tcPr>
            <w:tcW w:w="442" w:type="pct"/>
            <w:tcBorders>
              <w:top w:val="nil"/>
              <w:left w:val="nil"/>
              <w:bottom w:val="single" w:sz="4" w:space="0" w:color="FF0000"/>
              <w:right w:val="single" w:sz="4" w:space="0" w:color="FF0000"/>
            </w:tcBorders>
            <w:noWrap/>
            <w:vAlign w:val="bottom"/>
            <w:hideMark/>
          </w:tcPr>
          <w:p w14:paraId="495CFF6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$14,724.00 </w:t>
            </w:r>
          </w:p>
        </w:tc>
        <w:tc>
          <w:tcPr>
            <w:tcW w:w="442" w:type="pct"/>
            <w:tcBorders>
              <w:top w:val="nil"/>
              <w:left w:val="nil"/>
              <w:bottom w:val="single" w:sz="4" w:space="0" w:color="FF0000"/>
              <w:right w:val="single" w:sz="4" w:space="0" w:color="FF0000"/>
            </w:tcBorders>
            <w:noWrap/>
            <w:vAlign w:val="bottom"/>
            <w:hideMark/>
          </w:tcPr>
          <w:p w14:paraId="0FBFCDD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$11,497.00 </w:t>
            </w:r>
          </w:p>
        </w:tc>
        <w:tc>
          <w:tcPr>
            <w:tcW w:w="442" w:type="pct"/>
            <w:tcBorders>
              <w:top w:val="nil"/>
              <w:left w:val="nil"/>
              <w:bottom w:val="single" w:sz="4" w:space="0" w:color="FF0000"/>
              <w:right w:val="single" w:sz="4" w:space="0" w:color="FF0000"/>
            </w:tcBorders>
            <w:noWrap/>
            <w:vAlign w:val="bottom"/>
            <w:hideMark/>
          </w:tcPr>
          <w:p w14:paraId="4C498C3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5,943.00 </w:t>
            </w:r>
          </w:p>
        </w:tc>
      </w:tr>
      <w:tr w:rsidR="008E71D7" w:rsidRPr="008E71D7" w14:paraId="1254B567"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6A74BB6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Current Liabilities"</w:t>
            </w:r>
          </w:p>
        </w:tc>
        <w:tc>
          <w:tcPr>
            <w:tcW w:w="1677" w:type="pct"/>
            <w:vMerge/>
            <w:tcBorders>
              <w:top w:val="nil"/>
              <w:left w:val="single" w:sz="4" w:space="0" w:color="FF0000"/>
              <w:bottom w:val="single" w:sz="4" w:space="0" w:color="FF0000"/>
              <w:right w:val="single" w:sz="4" w:space="0" w:color="FF0000"/>
            </w:tcBorders>
            <w:vAlign w:val="center"/>
            <w:hideMark/>
          </w:tcPr>
          <w:p w14:paraId="1B46DAA1"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83E156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28,821.00 </w:t>
            </w:r>
          </w:p>
        </w:tc>
        <w:tc>
          <w:tcPr>
            <w:tcW w:w="442" w:type="pct"/>
            <w:tcBorders>
              <w:top w:val="nil"/>
              <w:left w:val="nil"/>
              <w:bottom w:val="single" w:sz="4" w:space="0" w:color="FF0000"/>
              <w:right w:val="single" w:sz="4" w:space="0" w:color="FF0000"/>
            </w:tcBorders>
            <w:noWrap/>
            <w:vAlign w:val="bottom"/>
            <w:hideMark/>
          </w:tcPr>
          <w:p w14:paraId="50C7CBC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$28,748.00 </w:t>
            </w:r>
          </w:p>
        </w:tc>
        <w:tc>
          <w:tcPr>
            <w:tcW w:w="442" w:type="pct"/>
            <w:tcBorders>
              <w:top w:val="nil"/>
              <w:left w:val="nil"/>
              <w:bottom w:val="single" w:sz="4" w:space="0" w:color="FF0000"/>
              <w:right w:val="single" w:sz="4" w:space="0" w:color="FF0000"/>
            </w:tcBorders>
            <w:noWrap/>
            <w:vAlign w:val="bottom"/>
            <w:hideMark/>
          </w:tcPr>
          <w:p w14:paraId="1BE0CC4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$26,709.00 </w:t>
            </w:r>
          </w:p>
        </w:tc>
        <w:tc>
          <w:tcPr>
            <w:tcW w:w="442" w:type="pct"/>
            <w:tcBorders>
              <w:top w:val="nil"/>
              <w:left w:val="nil"/>
              <w:bottom w:val="single" w:sz="4" w:space="0" w:color="FF0000"/>
              <w:right w:val="single" w:sz="4" w:space="0" w:color="FF0000"/>
            </w:tcBorders>
            <w:noWrap/>
            <w:vAlign w:val="bottom"/>
            <w:hideMark/>
          </w:tcPr>
          <w:p w14:paraId="1A09DB3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$19,705.00 </w:t>
            </w:r>
          </w:p>
        </w:tc>
        <w:tc>
          <w:tcPr>
            <w:tcW w:w="442" w:type="pct"/>
            <w:tcBorders>
              <w:top w:val="nil"/>
              <w:left w:val="nil"/>
              <w:bottom w:val="single" w:sz="4" w:space="0" w:color="FF0000"/>
              <w:right w:val="single" w:sz="4" w:space="0" w:color="FF0000"/>
            </w:tcBorders>
            <w:noWrap/>
            <w:vAlign w:val="bottom"/>
            <w:hideMark/>
          </w:tcPr>
          <w:p w14:paraId="072ADC5E"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$14,248.00 </w:t>
            </w:r>
          </w:p>
        </w:tc>
      </w:tr>
      <w:tr w:rsidR="008E71D7" w:rsidRPr="008E71D7" w14:paraId="2A194CA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6BFED2F"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"Operating Cash Flow Ratio"</w:t>
            </w:r>
          </w:p>
        </w:tc>
        <w:tc>
          <w:tcPr>
            <w:tcW w:w="1677" w:type="pct"/>
            <w:vMerge/>
            <w:tcBorders>
              <w:top w:val="nil"/>
              <w:left w:val="single" w:sz="4" w:space="0" w:color="FF0000"/>
              <w:bottom w:val="single" w:sz="4" w:space="0" w:color="FF0000"/>
              <w:right w:val="single" w:sz="4" w:space="0" w:color="FF0000"/>
            </w:tcBorders>
            <w:vAlign w:val="center"/>
            <w:hideMark/>
          </w:tcPr>
          <w:p w14:paraId="1BFB09D4"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08B4D71F"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0.52</w:t>
            </w:r>
          </w:p>
        </w:tc>
        <w:tc>
          <w:tcPr>
            <w:tcW w:w="442" w:type="pct"/>
            <w:tcBorders>
              <w:top w:val="nil"/>
              <w:left w:val="nil"/>
              <w:bottom w:val="single" w:sz="4" w:space="0" w:color="FF0000"/>
              <w:right w:val="single" w:sz="4" w:space="0" w:color="FF0000"/>
            </w:tcBorders>
            <w:noWrap/>
            <w:vAlign w:val="bottom"/>
            <w:hideMark/>
          </w:tcPr>
          <w:p w14:paraId="1CAD7038"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0.46</w:t>
            </w:r>
          </w:p>
        </w:tc>
        <w:tc>
          <w:tcPr>
            <w:tcW w:w="442" w:type="pct"/>
            <w:tcBorders>
              <w:top w:val="nil"/>
              <w:left w:val="nil"/>
              <w:bottom w:val="single" w:sz="4" w:space="0" w:color="FF0000"/>
              <w:right w:val="single" w:sz="4" w:space="0" w:color="FF0000"/>
            </w:tcBorders>
            <w:noWrap/>
            <w:vAlign w:val="bottom"/>
            <w:hideMark/>
          </w:tcPr>
          <w:p w14:paraId="44B6D16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0.55</w:t>
            </w:r>
          </w:p>
        </w:tc>
        <w:tc>
          <w:tcPr>
            <w:tcW w:w="442" w:type="pct"/>
            <w:tcBorders>
              <w:top w:val="nil"/>
              <w:left w:val="nil"/>
              <w:bottom w:val="single" w:sz="4" w:space="0" w:color="FF0000"/>
              <w:right w:val="single" w:sz="4" w:space="0" w:color="FF0000"/>
            </w:tcBorders>
            <w:noWrap/>
            <w:vAlign w:val="bottom"/>
            <w:hideMark/>
          </w:tcPr>
          <w:p w14:paraId="348C846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0.58</w:t>
            </w:r>
          </w:p>
        </w:tc>
        <w:tc>
          <w:tcPr>
            <w:tcW w:w="442" w:type="pct"/>
            <w:tcBorders>
              <w:top w:val="nil"/>
              <w:left w:val="nil"/>
              <w:bottom w:val="single" w:sz="4" w:space="0" w:color="FF0000"/>
              <w:right w:val="single" w:sz="4" w:space="0" w:color="FF0000"/>
            </w:tcBorders>
            <w:noWrap/>
            <w:vAlign w:val="bottom"/>
            <w:hideMark/>
          </w:tcPr>
          <w:p w14:paraId="0DC06CC4"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0.42</w:t>
            </w:r>
          </w:p>
        </w:tc>
      </w:tr>
      <w:tr w:rsidR="008E71D7" w:rsidRPr="008E71D7" w14:paraId="0B2E9E72" w14:textId="77777777" w:rsidTr="008E71D7">
        <w:trPr>
          <w:trHeight w:val="312"/>
          <w:jc w:val="center"/>
        </w:trPr>
        <w:tc>
          <w:tcPr>
            <w:tcW w:w="5000" w:type="pct"/>
            <w:gridSpan w:val="7"/>
            <w:tcBorders>
              <w:top w:val="single" w:sz="4" w:space="0" w:color="FF0000"/>
              <w:left w:val="single" w:sz="4" w:space="0" w:color="FF0000"/>
              <w:bottom w:val="nil"/>
              <w:right w:val="single" w:sz="4" w:space="0" w:color="FF0000"/>
            </w:tcBorders>
            <w:noWrap/>
            <w:vAlign w:val="bottom"/>
            <w:hideMark/>
          </w:tcPr>
          <w:p w14:paraId="279E9E60"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776ED5C9" w14:textId="77777777" w:rsidTr="008E71D7">
        <w:trPr>
          <w:trHeight w:val="312"/>
          <w:jc w:val="center"/>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0000"/>
            <w:noWrap/>
            <w:vAlign w:val="bottom"/>
            <w:hideMark/>
          </w:tcPr>
          <w:p w14:paraId="16813F8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"Cash Flow to Debt Ratio"</w:t>
            </w:r>
          </w:p>
        </w:tc>
      </w:tr>
      <w:tr w:rsidR="008E71D7" w:rsidRPr="008E71D7" w14:paraId="2DEBEE9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720C859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677" w:type="pct"/>
            <w:tcBorders>
              <w:top w:val="nil"/>
              <w:left w:val="nil"/>
              <w:bottom w:val="single" w:sz="4" w:space="0" w:color="FF0000"/>
              <w:right w:val="single" w:sz="4" w:space="0" w:color="FF0000"/>
            </w:tcBorders>
            <w:noWrap/>
            <w:vAlign w:val="bottom"/>
            <w:hideMark/>
          </w:tcPr>
          <w:p w14:paraId="656ED32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501" w:type="pct"/>
            <w:tcBorders>
              <w:top w:val="nil"/>
              <w:left w:val="nil"/>
              <w:bottom w:val="single" w:sz="4" w:space="0" w:color="FF0000"/>
              <w:right w:val="single" w:sz="4" w:space="0" w:color="FF0000"/>
            </w:tcBorders>
            <w:noWrap/>
            <w:vAlign w:val="bottom"/>
            <w:hideMark/>
          </w:tcPr>
          <w:p w14:paraId="67A6F6B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42" w:type="pct"/>
            <w:tcBorders>
              <w:top w:val="nil"/>
              <w:left w:val="nil"/>
              <w:bottom w:val="single" w:sz="4" w:space="0" w:color="FF0000"/>
              <w:right w:val="single" w:sz="4" w:space="0" w:color="FF0000"/>
            </w:tcBorders>
            <w:noWrap/>
            <w:vAlign w:val="bottom"/>
            <w:hideMark/>
          </w:tcPr>
          <w:p w14:paraId="0B531D1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442" w:type="pct"/>
            <w:tcBorders>
              <w:top w:val="nil"/>
              <w:left w:val="nil"/>
              <w:bottom w:val="single" w:sz="4" w:space="0" w:color="FF0000"/>
              <w:right w:val="single" w:sz="4" w:space="0" w:color="FF0000"/>
            </w:tcBorders>
            <w:noWrap/>
            <w:vAlign w:val="bottom"/>
            <w:hideMark/>
          </w:tcPr>
          <w:p w14:paraId="0E8F38E6"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442" w:type="pct"/>
            <w:tcBorders>
              <w:top w:val="nil"/>
              <w:left w:val="nil"/>
              <w:bottom w:val="single" w:sz="4" w:space="0" w:color="FF0000"/>
              <w:right w:val="single" w:sz="4" w:space="0" w:color="FF0000"/>
            </w:tcBorders>
            <w:noWrap/>
            <w:vAlign w:val="bottom"/>
            <w:hideMark/>
          </w:tcPr>
          <w:p w14:paraId="27867E9D"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442" w:type="pct"/>
            <w:tcBorders>
              <w:top w:val="nil"/>
              <w:left w:val="nil"/>
              <w:bottom w:val="single" w:sz="4" w:space="0" w:color="FF0000"/>
              <w:right w:val="single" w:sz="4" w:space="0" w:color="FF0000"/>
            </w:tcBorders>
            <w:noWrap/>
            <w:vAlign w:val="bottom"/>
            <w:hideMark/>
          </w:tcPr>
          <w:p w14:paraId="6DB40335"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17DB94A8"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4F2D8EF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"Operating Cash Flow"</w:t>
            </w:r>
          </w:p>
        </w:tc>
        <w:tc>
          <w:tcPr>
            <w:tcW w:w="1677" w:type="pct"/>
            <w:vMerge w:val="restart"/>
            <w:tcBorders>
              <w:top w:val="nil"/>
              <w:left w:val="single" w:sz="4" w:space="0" w:color="FF0000"/>
              <w:bottom w:val="single" w:sz="4" w:space="0" w:color="FF0000"/>
              <w:right w:val="single" w:sz="4" w:space="0" w:color="FF0000"/>
            </w:tcBorders>
            <w:vAlign w:val="center"/>
            <w:hideMark/>
          </w:tcPr>
          <w:p w14:paraId="21D19D3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"(Operating Cash Flow/Total Debt)"</w:t>
            </w:r>
          </w:p>
        </w:tc>
        <w:tc>
          <w:tcPr>
            <w:tcW w:w="501" w:type="pct"/>
            <w:tcBorders>
              <w:top w:val="nil"/>
              <w:left w:val="nil"/>
              <w:bottom w:val="single" w:sz="4" w:space="0" w:color="FF0000"/>
              <w:right w:val="single" w:sz="4" w:space="0" w:color="FF0000"/>
            </w:tcBorders>
            <w:noWrap/>
            <w:vAlign w:val="bottom"/>
            <w:hideMark/>
          </w:tcPr>
          <w:p w14:paraId="01888BB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14,923.00 </w:t>
            </w:r>
          </w:p>
        </w:tc>
        <w:tc>
          <w:tcPr>
            <w:tcW w:w="442" w:type="pct"/>
            <w:tcBorders>
              <w:top w:val="nil"/>
              <w:left w:val="nil"/>
              <w:bottom w:val="single" w:sz="4" w:space="0" w:color="FF0000"/>
              <w:right w:val="single" w:sz="4" w:space="0" w:color="FF0000"/>
            </w:tcBorders>
            <w:noWrap/>
            <w:vAlign w:val="bottom"/>
            <w:hideMark/>
          </w:tcPr>
          <w:p w14:paraId="6E64AB5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$13,256.00 </w:t>
            </w:r>
          </w:p>
        </w:tc>
        <w:tc>
          <w:tcPr>
            <w:tcW w:w="442" w:type="pct"/>
            <w:tcBorders>
              <w:top w:val="nil"/>
              <w:left w:val="nil"/>
              <w:bottom w:val="single" w:sz="4" w:space="0" w:color="FF0000"/>
              <w:right w:val="single" w:sz="4" w:space="0" w:color="FF0000"/>
            </w:tcBorders>
            <w:noWrap/>
            <w:vAlign w:val="bottom"/>
            <w:hideMark/>
          </w:tcPr>
          <w:p w14:paraId="270D395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$14,724.00 </w:t>
            </w:r>
          </w:p>
        </w:tc>
        <w:tc>
          <w:tcPr>
            <w:tcW w:w="442" w:type="pct"/>
            <w:tcBorders>
              <w:top w:val="nil"/>
              <w:left w:val="nil"/>
              <w:bottom w:val="single" w:sz="4" w:space="0" w:color="FF0000"/>
              <w:right w:val="single" w:sz="4" w:space="0" w:color="FF0000"/>
            </w:tcBorders>
            <w:noWrap/>
            <w:vAlign w:val="bottom"/>
            <w:hideMark/>
          </w:tcPr>
          <w:p w14:paraId="415D87D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$11,497.00 </w:t>
            </w:r>
          </w:p>
        </w:tc>
        <w:tc>
          <w:tcPr>
            <w:tcW w:w="442" w:type="pct"/>
            <w:tcBorders>
              <w:top w:val="nil"/>
              <w:left w:val="nil"/>
              <w:bottom w:val="single" w:sz="4" w:space="0" w:color="FF0000"/>
              <w:right w:val="single" w:sz="4" w:space="0" w:color="FF0000"/>
            </w:tcBorders>
            <w:noWrap/>
            <w:vAlign w:val="bottom"/>
            <w:hideMark/>
          </w:tcPr>
          <w:p w14:paraId="3C2FFBC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5,943.00 </w:t>
            </w:r>
          </w:p>
        </w:tc>
      </w:tr>
      <w:tr w:rsidR="008E71D7" w:rsidRPr="008E71D7" w14:paraId="06E6B81B"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DE2B8D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Total Debt"</w:t>
            </w:r>
          </w:p>
        </w:tc>
        <w:tc>
          <w:tcPr>
            <w:tcW w:w="1677" w:type="pct"/>
            <w:vMerge/>
            <w:tcBorders>
              <w:top w:val="nil"/>
              <w:left w:val="single" w:sz="4" w:space="0" w:color="FF0000"/>
              <w:bottom w:val="single" w:sz="4" w:space="0" w:color="FF0000"/>
              <w:right w:val="single" w:sz="4" w:space="0" w:color="FF0000"/>
            </w:tcBorders>
            <w:vAlign w:val="center"/>
            <w:hideMark/>
          </w:tcPr>
          <w:p w14:paraId="5DD8DDD9"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63C3C950"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48,390.00 </w:t>
            </w:r>
          </w:p>
        </w:tc>
        <w:tc>
          <w:tcPr>
            <w:tcW w:w="442" w:type="pct"/>
            <w:tcBorders>
              <w:top w:val="nil"/>
              <w:left w:val="nil"/>
              <w:bottom w:val="single" w:sz="4" w:space="0" w:color="FF0000"/>
              <w:right w:val="single" w:sz="4" w:space="0" w:color="FF0000"/>
            </w:tcBorders>
            <w:noWrap/>
            <w:vAlign w:val="bottom"/>
            <w:hideMark/>
          </w:tcPr>
          <w:p w14:paraId="690EE916"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$43,009.00 </w:t>
            </w:r>
          </w:p>
        </w:tc>
        <w:tc>
          <w:tcPr>
            <w:tcW w:w="442" w:type="pct"/>
            <w:tcBorders>
              <w:top w:val="nil"/>
              <w:left w:val="nil"/>
              <w:bottom w:val="single" w:sz="4" w:space="0" w:color="FF0000"/>
              <w:right w:val="single" w:sz="4" w:space="0" w:color="FF0000"/>
            </w:tcBorders>
            <w:noWrap/>
            <w:vAlign w:val="bottom"/>
            <w:hideMark/>
          </w:tcPr>
          <w:p w14:paraId="7C10E7D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$36,440.00 </w:t>
            </w:r>
          </w:p>
        </w:tc>
        <w:tc>
          <w:tcPr>
            <w:tcW w:w="442" w:type="pct"/>
            <w:tcBorders>
              <w:top w:val="nil"/>
              <w:left w:val="nil"/>
              <w:bottom w:val="single" w:sz="4" w:space="0" w:color="FF0000"/>
              <w:right w:val="single" w:sz="4" w:space="0" w:color="FF0000"/>
            </w:tcBorders>
            <w:noWrap/>
            <w:vAlign w:val="bottom"/>
            <w:hideMark/>
          </w:tcPr>
          <w:p w14:paraId="2F9A8D0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$30,548.00 </w:t>
            </w:r>
          </w:p>
        </w:tc>
        <w:tc>
          <w:tcPr>
            <w:tcW w:w="442" w:type="pct"/>
            <w:tcBorders>
              <w:top w:val="nil"/>
              <w:left w:val="nil"/>
              <w:bottom w:val="single" w:sz="4" w:space="0" w:color="FF0000"/>
              <w:right w:val="single" w:sz="4" w:space="0" w:color="FF0000"/>
            </w:tcBorders>
            <w:noWrap/>
            <w:vAlign w:val="bottom"/>
            <w:hideMark/>
          </w:tcPr>
          <w:p w14:paraId="572022D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$28,418.00 </w:t>
            </w:r>
          </w:p>
        </w:tc>
      </w:tr>
      <w:tr w:rsidR="008E71D7" w:rsidRPr="008E71D7" w14:paraId="13D1F4EA" w14:textId="77777777" w:rsidTr="008E71D7">
        <w:trPr>
          <w:trHeight w:val="312"/>
          <w:jc w:val="center"/>
        </w:trPr>
        <w:tc>
          <w:tcPr>
            <w:tcW w:w="1056" w:type="pct"/>
            <w:tcBorders>
              <w:top w:val="nil"/>
              <w:left w:val="single" w:sz="4" w:space="0" w:color="FF0000"/>
              <w:bottom w:val="single" w:sz="4" w:space="0" w:color="FF0000"/>
              <w:right w:val="single" w:sz="4" w:space="0" w:color="FF0000"/>
            </w:tcBorders>
            <w:noWrap/>
            <w:vAlign w:val="bottom"/>
            <w:hideMark/>
          </w:tcPr>
          <w:p w14:paraId="5C319748"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"Cash Flow to Debt Ratio"</w:t>
            </w:r>
          </w:p>
        </w:tc>
        <w:tc>
          <w:tcPr>
            <w:tcW w:w="1677" w:type="pct"/>
            <w:vMerge/>
            <w:tcBorders>
              <w:top w:val="nil"/>
              <w:left w:val="single" w:sz="4" w:space="0" w:color="FF0000"/>
              <w:bottom w:val="single" w:sz="4" w:space="0" w:color="FF0000"/>
              <w:right w:val="single" w:sz="4" w:space="0" w:color="FF0000"/>
            </w:tcBorders>
            <w:vAlign w:val="center"/>
            <w:hideMark/>
          </w:tcPr>
          <w:p w14:paraId="75859D30" w14:textId="77777777" w:rsidR="008E71D7" w:rsidRPr="008E71D7" w:rsidRDefault="008E71D7" w:rsidP="008E71D7">
            <w:pPr>
              <w:spacing w:before="0" w:after="0" w:line="240" w:lineRule="auto"/>
              <w:jc w:val="left"/>
              <w:rPr>
                <w:rFonts w:ascii="Arial" w:hAnsi="Arial" w:cs="Arial"/>
                <w:b/>
                <w:bCs/>
                <w:color w:val="000000"/>
                <w:lang w:val="en-IN"/>
              </w:rPr>
            </w:pPr>
          </w:p>
        </w:tc>
        <w:tc>
          <w:tcPr>
            <w:tcW w:w="501" w:type="pct"/>
            <w:tcBorders>
              <w:top w:val="nil"/>
              <w:left w:val="nil"/>
              <w:bottom w:val="single" w:sz="4" w:space="0" w:color="FF0000"/>
              <w:right w:val="single" w:sz="4" w:space="0" w:color="FF0000"/>
            </w:tcBorders>
            <w:noWrap/>
            <w:vAlign w:val="bottom"/>
            <w:hideMark/>
          </w:tcPr>
          <w:p w14:paraId="21EC3A31"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0.31</w:t>
            </w:r>
          </w:p>
        </w:tc>
        <w:tc>
          <w:tcPr>
            <w:tcW w:w="442" w:type="pct"/>
            <w:tcBorders>
              <w:top w:val="nil"/>
              <w:left w:val="nil"/>
              <w:bottom w:val="single" w:sz="4" w:space="0" w:color="FF0000"/>
              <w:right w:val="single" w:sz="4" w:space="0" w:color="FF0000"/>
            </w:tcBorders>
            <w:noWrap/>
            <w:vAlign w:val="bottom"/>
            <w:hideMark/>
          </w:tcPr>
          <w:p w14:paraId="7E81381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0.31</w:t>
            </w:r>
          </w:p>
        </w:tc>
        <w:tc>
          <w:tcPr>
            <w:tcW w:w="442" w:type="pct"/>
            <w:tcBorders>
              <w:top w:val="nil"/>
              <w:left w:val="nil"/>
              <w:bottom w:val="single" w:sz="4" w:space="0" w:color="FF0000"/>
              <w:right w:val="single" w:sz="4" w:space="0" w:color="FF0000"/>
            </w:tcBorders>
            <w:noWrap/>
            <w:vAlign w:val="bottom"/>
            <w:hideMark/>
          </w:tcPr>
          <w:p w14:paraId="3E52102B"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0.40</w:t>
            </w:r>
          </w:p>
        </w:tc>
        <w:tc>
          <w:tcPr>
            <w:tcW w:w="442" w:type="pct"/>
            <w:tcBorders>
              <w:top w:val="nil"/>
              <w:left w:val="nil"/>
              <w:bottom w:val="single" w:sz="4" w:space="0" w:color="FF0000"/>
              <w:right w:val="single" w:sz="4" w:space="0" w:color="FF0000"/>
            </w:tcBorders>
            <w:noWrap/>
            <w:vAlign w:val="bottom"/>
            <w:hideMark/>
          </w:tcPr>
          <w:p w14:paraId="6D43097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0.38</w:t>
            </w:r>
          </w:p>
        </w:tc>
        <w:tc>
          <w:tcPr>
            <w:tcW w:w="442" w:type="pct"/>
            <w:tcBorders>
              <w:top w:val="nil"/>
              <w:left w:val="nil"/>
              <w:bottom w:val="single" w:sz="4" w:space="0" w:color="FF0000"/>
              <w:right w:val="single" w:sz="4" w:space="0" w:color="FF0000"/>
            </w:tcBorders>
            <w:noWrap/>
            <w:vAlign w:val="bottom"/>
            <w:hideMark/>
          </w:tcPr>
          <w:p w14:paraId="3FCF6E94"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0.21</w:t>
            </w:r>
          </w:p>
        </w:tc>
      </w:tr>
    </w:tbl>
    <w:p w14:paraId="2271B8F0" w14:textId="77777777" w:rsidR="00B43BDF" w:rsidRDefault="001A7620" w:rsidP="008E71D7">
      <w:pPr>
        <w:jc w:val="center"/>
        <w:rPr>
          <w:rFonts w:ascii="Arial" w:eastAsia="Arial" w:hAnsi="Arial" w:cs="Arial"/>
        </w:rPr>
      </w:pPr>
      <w:r>
        <w:rPr>
          <w:rFonts w:ascii="Arial" w:eastAsia="Arial" w:hAnsi="Arial" w:cs="Arial"/>
        </w:rPr>
        <w:t>(Source: MS-Excel)</w:t>
      </w:r>
    </w:p>
    <w:tbl>
      <w:tblPr>
        <w:tblW w:w="5000" w:type="pct"/>
        <w:tblLook w:val="04A0" w:firstRow="1" w:lastRow="0" w:firstColumn="1" w:lastColumn="0" w:noHBand="0" w:noVBand="1"/>
      </w:tblPr>
      <w:tblGrid>
        <w:gridCol w:w="2776"/>
        <w:gridCol w:w="1811"/>
        <w:gridCol w:w="774"/>
        <w:gridCol w:w="873"/>
        <w:gridCol w:w="774"/>
        <w:gridCol w:w="1135"/>
        <w:gridCol w:w="1102"/>
      </w:tblGrid>
      <w:tr w:rsidR="008E71D7" w:rsidRPr="008E71D7" w14:paraId="4C8F4744" w14:textId="77777777" w:rsidTr="008E71D7">
        <w:trPr>
          <w:trHeight w:val="312"/>
        </w:trPr>
        <w:tc>
          <w:tcPr>
            <w:tcW w:w="5000" w:type="pct"/>
            <w:gridSpan w:val="7"/>
            <w:tcBorders>
              <w:top w:val="single" w:sz="4" w:space="0" w:color="FFFFFF"/>
              <w:left w:val="single" w:sz="4" w:space="0" w:color="FFFFFF"/>
              <w:bottom w:val="single" w:sz="4" w:space="0" w:color="FFFFFF"/>
              <w:right w:val="single" w:sz="4" w:space="0" w:color="FFFFFF"/>
            </w:tcBorders>
            <w:shd w:val="clear" w:color="000000" w:fill="FF9999"/>
            <w:noWrap/>
            <w:vAlign w:val="bottom"/>
            <w:hideMark/>
          </w:tcPr>
          <w:p w14:paraId="59632BA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"Cash Operating Cycle (CCC)"</w:t>
            </w:r>
          </w:p>
        </w:tc>
      </w:tr>
      <w:tr w:rsidR="008E71D7" w:rsidRPr="008E71D7" w14:paraId="18E1C632"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9999"/>
            <w:noWrap/>
            <w:vAlign w:val="bottom"/>
            <w:hideMark/>
          </w:tcPr>
          <w:p w14:paraId="2FADD71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"Financial aspects"</w:t>
            </w:r>
          </w:p>
        </w:tc>
        <w:tc>
          <w:tcPr>
            <w:tcW w:w="1077" w:type="pct"/>
            <w:tcBorders>
              <w:top w:val="nil"/>
              <w:left w:val="nil"/>
              <w:bottom w:val="single" w:sz="4" w:space="0" w:color="FFFFFF"/>
              <w:right w:val="single" w:sz="4" w:space="0" w:color="FFFFFF"/>
            </w:tcBorders>
            <w:shd w:val="clear" w:color="000000" w:fill="FF9999"/>
            <w:noWrap/>
            <w:vAlign w:val="bottom"/>
            <w:hideMark/>
          </w:tcPr>
          <w:p w14:paraId="3B226474"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"Formula"</w:t>
            </w:r>
          </w:p>
        </w:tc>
        <w:tc>
          <w:tcPr>
            <w:tcW w:w="361" w:type="pct"/>
            <w:tcBorders>
              <w:top w:val="nil"/>
              <w:left w:val="nil"/>
              <w:bottom w:val="single" w:sz="4" w:space="0" w:color="FFFFFF"/>
              <w:right w:val="single" w:sz="4" w:space="0" w:color="FFFFFF"/>
            </w:tcBorders>
            <w:shd w:val="clear" w:color="000000" w:fill="FF9999"/>
            <w:noWrap/>
            <w:vAlign w:val="bottom"/>
            <w:hideMark/>
          </w:tcPr>
          <w:p w14:paraId="317485B7"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2024</w:t>
            </w:r>
          </w:p>
        </w:tc>
        <w:tc>
          <w:tcPr>
            <w:tcW w:w="423" w:type="pct"/>
            <w:tcBorders>
              <w:top w:val="nil"/>
              <w:left w:val="nil"/>
              <w:bottom w:val="single" w:sz="4" w:space="0" w:color="FFFFFF"/>
              <w:right w:val="single" w:sz="4" w:space="0" w:color="FFFFFF"/>
            </w:tcBorders>
            <w:shd w:val="clear" w:color="000000" w:fill="FF9999"/>
            <w:noWrap/>
            <w:vAlign w:val="bottom"/>
            <w:hideMark/>
          </w:tcPr>
          <w:p w14:paraId="5E3A9392"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2023</w:t>
            </w:r>
          </w:p>
        </w:tc>
        <w:tc>
          <w:tcPr>
            <w:tcW w:w="361" w:type="pct"/>
            <w:tcBorders>
              <w:top w:val="nil"/>
              <w:left w:val="nil"/>
              <w:bottom w:val="single" w:sz="4" w:space="0" w:color="FFFFFF"/>
              <w:right w:val="single" w:sz="4" w:space="0" w:color="FFFFFF"/>
            </w:tcBorders>
            <w:shd w:val="clear" w:color="000000" w:fill="FF9999"/>
            <w:noWrap/>
            <w:vAlign w:val="bottom"/>
            <w:hideMark/>
          </w:tcPr>
          <w:p w14:paraId="083C3CEE"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2022</w:t>
            </w:r>
          </w:p>
        </w:tc>
        <w:tc>
          <w:tcPr>
            <w:tcW w:w="588" w:type="pct"/>
            <w:tcBorders>
              <w:top w:val="nil"/>
              <w:left w:val="nil"/>
              <w:bottom w:val="single" w:sz="4" w:space="0" w:color="FFFFFF"/>
              <w:right w:val="single" w:sz="4" w:space="0" w:color="FFFFFF"/>
            </w:tcBorders>
            <w:shd w:val="clear" w:color="000000" w:fill="FF9999"/>
            <w:noWrap/>
            <w:vAlign w:val="bottom"/>
            <w:hideMark/>
          </w:tcPr>
          <w:p w14:paraId="09FA37BA"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2021</w:t>
            </w:r>
          </w:p>
        </w:tc>
        <w:tc>
          <w:tcPr>
            <w:tcW w:w="568" w:type="pct"/>
            <w:tcBorders>
              <w:top w:val="nil"/>
              <w:left w:val="nil"/>
              <w:bottom w:val="single" w:sz="4" w:space="0" w:color="FFFFFF"/>
              <w:right w:val="single" w:sz="4" w:space="0" w:color="FFFFFF"/>
            </w:tcBorders>
            <w:shd w:val="clear" w:color="000000" w:fill="FF9999"/>
            <w:noWrap/>
            <w:vAlign w:val="bottom"/>
            <w:hideMark/>
          </w:tcPr>
          <w:p w14:paraId="5F389610"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2020</w:t>
            </w:r>
          </w:p>
        </w:tc>
      </w:tr>
      <w:tr w:rsidR="008E71D7" w:rsidRPr="008E71D7" w14:paraId="67EE3D1A"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287D3299"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1. Inventory Days (Inventory Holding Period)</w:t>
            </w:r>
          </w:p>
        </w:tc>
        <w:tc>
          <w:tcPr>
            <w:tcW w:w="1077" w:type="pct"/>
            <w:vMerge w:val="restart"/>
            <w:tcBorders>
              <w:top w:val="nil"/>
              <w:left w:val="single" w:sz="4" w:space="0" w:color="FFFFFF"/>
              <w:bottom w:val="single" w:sz="4" w:space="0" w:color="FFFFFF"/>
              <w:right w:val="single" w:sz="4" w:space="0" w:color="FFFFFF"/>
            </w:tcBorders>
            <w:shd w:val="clear" w:color="000000" w:fill="FF9999"/>
            <w:vAlign w:val="center"/>
            <w:hideMark/>
          </w:tcPr>
          <w:p w14:paraId="660AE787"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(Inventory/Sales)*365</w:t>
            </w:r>
          </w:p>
        </w:tc>
        <w:tc>
          <w:tcPr>
            <w:tcW w:w="2301" w:type="pct"/>
            <w:gridSpan w:val="5"/>
            <w:tcBorders>
              <w:top w:val="single" w:sz="4" w:space="0" w:color="FFFFFF"/>
              <w:left w:val="nil"/>
              <w:bottom w:val="single" w:sz="4" w:space="0" w:color="FFFFFF"/>
              <w:right w:val="single" w:sz="4" w:space="0" w:color="FFFFFF"/>
            </w:tcBorders>
            <w:shd w:val="clear" w:color="000000" w:fill="FFFFFF"/>
            <w:noWrap/>
            <w:vAlign w:val="bottom"/>
            <w:hideMark/>
          </w:tcPr>
          <w:p w14:paraId="4B611EFA"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7D319E0F"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39AAF7F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Inventory</w:t>
            </w:r>
          </w:p>
        </w:tc>
        <w:tc>
          <w:tcPr>
            <w:tcW w:w="1077" w:type="pct"/>
            <w:vMerge/>
            <w:tcBorders>
              <w:top w:val="nil"/>
              <w:left w:val="single" w:sz="4" w:space="0" w:color="FFFFFF"/>
              <w:bottom w:val="single" w:sz="4" w:space="0" w:color="FFFFFF"/>
              <w:right w:val="single" w:sz="4" w:space="0" w:color="FFFFFF"/>
            </w:tcBorders>
            <w:vAlign w:val="center"/>
            <w:hideMark/>
          </w:tcPr>
          <w:p w14:paraId="6EF6CF29"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0D76465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w:t>
            </w:r>
            <w:r w:rsidRPr="008E71D7">
              <w:rPr>
                <w:rFonts w:ascii="Arial" w:hAnsi="Arial" w:cs="Arial"/>
                <w:color w:val="000000"/>
                <w:lang w:val="en-IN"/>
              </w:rPr>
              <w:lastRenderedPageBreak/>
              <w:t xml:space="preserve">12,017 </w:t>
            </w:r>
          </w:p>
        </w:tc>
        <w:tc>
          <w:tcPr>
            <w:tcW w:w="423" w:type="pct"/>
            <w:tcBorders>
              <w:top w:val="nil"/>
              <w:left w:val="nil"/>
              <w:bottom w:val="single" w:sz="4" w:space="0" w:color="FFFFFF"/>
              <w:right w:val="single" w:sz="4" w:space="0" w:color="FFFFFF"/>
            </w:tcBorders>
            <w:shd w:val="clear" w:color="000000" w:fill="FFFFFF"/>
            <w:noWrap/>
            <w:vAlign w:val="bottom"/>
            <w:hideMark/>
          </w:tcPr>
          <w:p w14:paraId="0D75478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      </w:t>
            </w:r>
            <w:r w:rsidRPr="008E71D7">
              <w:rPr>
                <w:rFonts w:ascii="Arial" w:hAnsi="Arial" w:cs="Arial"/>
                <w:color w:val="000000"/>
                <w:lang w:val="en-IN"/>
              </w:rPr>
              <w:lastRenderedPageBreak/>
              <w:t xml:space="preserve">13,626 </w:t>
            </w:r>
          </w:p>
        </w:tc>
        <w:tc>
          <w:tcPr>
            <w:tcW w:w="361" w:type="pct"/>
            <w:tcBorders>
              <w:top w:val="nil"/>
              <w:left w:val="nil"/>
              <w:bottom w:val="single" w:sz="4" w:space="0" w:color="FFFFFF"/>
              <w:right w:val="single" w:sz="4" w:space="0" w:color="FFFFFF"/>
            </w:tcBorders>
            <w:shd w:val="clear" w:color="000000" w:fill="FFFFFF"/>
            <w:noWrap/>
            <w:vAlign w:val="bottom"/>
            <w:hideMark/>
          </w:tcPr>
          <w:p w14:paraId="6746E52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   </w:t>
            </w:r>
            <w:r w:rsidRPr="008E71D7">
              <w:rPr>
                <w:rFonts w:ascii="Arial" w:hAnsi="Arial" w:cs="Arial"/>
                <w:color w:val="000000"/>
                <w:lang w:val="en-IN"/>
              </w:rPr>
              <w:lastRenderedPageBreak/>
              <w:t xml:space="preserve">12,839 </w:t>
            </w:r>
          </w:p>
        </w:tc>
        <w:tc>
          <w:tcPr>
            <w:tcW w:w="588" w:type="pct"/>
            <w:tcBorders>
              <w:top w:val="nil"/>
              <w:left w:val="nil"/>
              <w:bottom w:val="single" w:sz="4" w:space="0" w:color="FFFFFF"/>
              <w:right w:val="single" w:sz="4" w:space="0" w:color="FFFFFF"/>
            </w:tcBorders>
            <w:shd w:val="clear" w:color="000000" w:fill="FFFFFF"/>
            <w:noWrap/>
            <w:vAlign w:val="bottom"/>
            <w:hideMark/>
          </w:tcPr>
          <w:p w14:paraId="25D20FD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                </w:t>
            </w:r>
            <w:r w:rsidRPr="008E71D7">
              <w:rPr>
                <w:rFonts w:ascii="Arial" w:hAnsi="Arial" w:cs="Arial"/>
                <w:color w:val="000000"/>
                <w:lang w:val="en-IN"/>
              </w:rPr>
              <w:lastRenderedPageBreak/>
              <w:t xml:space="preserve">5,757 </w:t>
            </w:r>
          </w:p>
        </w:tc>
        <w:tc>
          <w:tcPr>
            <w:tcW w:w="568" w:type="pct"/>
            <w:tcBorders>
              <w:top w:val="nil"/>
              <w:left w:val="nil"/>
              <w:bottom w:val="single" w:sz="4" w:space="0" w:color="FFFFFF"/>
              <w:right w:val="single" w:sz="4" w:space="0" w:color="FFFFFF"/>
            </w:tcBorders>
            <w:shd w:val="clear" w:color="000000" w:fill="FFFFFF"/>
            <w:noWrap/>
            <w:vAlign w:val="bottom"/>
            <w:hideMark/>
          </w:tcPr>
          <w:p w14:paraId="06B5881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xml:space="preserve"> $               </w:t>
            </w:r>
            <w:r w:rsidRPr="008E71D7">
              <w:rPr>
                <w:rFonts w:ascii="Arial" w:hAnsi="Arial" w:cs="Arial"/>
                <w:color w:val="000000"/>
                <w:lang w:val="en-IN"/>
              </w:rPr>
              <w:lastRenderedPageBreak/>
              <w:t xml:space="preserve">4,101 </w:t>
            </w:r>
          </w:p>
        </w:tc>
      </w:tr>
      <w:tr w:rsidR="008E71D7" w:rsidRPr="008E71D7" w14:paraId="2BD3211E"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738993E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lastRenderedPageBreak/>
              <w:t>(/): Sales</w:t>
            </w:r>
          </w:p>
        </w:tc>
        <w:tc>
          <w:tcPr>
            <w:tcW w:w="1077" w:type="pct"/>
            <w:vMerge/>
            <w:tcBorders>
              <w:top w:val="nil"/>
              <w:left w:val="single" w:sz="4" w:space="0" w:color="FFFFFF"/>
              <w:bottom w:val="single" w:sz="4" w:space="0" w:color="FFFFFF"/>
              <w:right w:val="single" w:sz="4" w:space="0" w:color="FFFFFF"/>
            </w:tcBorders>
            <w:vAlign w:val="center"/>
            <w:hideMark/>
          </w:tcPr>
          <w:p w14:paraId="7FFB8823"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6FA29FB9"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 </w:t>
            </w:r>
          </w:p>
        </w:tc>
        <w:tc>
          <w:tcPr>
            <w:tcW w:w="423" w:type="pct"/>
            <w:tcBorders>
              <w:top w:val="nil"/>
              <w:left w:val="nil"/>
              <w:bottom w:val="single" w:sz="4" w:space="0" w:color="FFFFFF"/>
              <w:right w:val="single" w:sz="4" w:space="0" w:color="FFFFFF"/>
            </w:tcBorders>
            <w:shd w:val="clear" w:color="000000" w:fill="FFFFFF"/>
            <w:noWrap/>
            <w:vAlign w:val="bottom"/>
            <w:hideMark/>
          </w:tcPr>
          <w:p w14:paraId="4CD6638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96,773 </w:t>
            </w:r>
          </w:p>
        </w:tc>
        <w:tc>
          <w:tcPr>
            <w:tcW w:w="361" w:type="pct"/>
            <w:tcBorders>
              <w:top w:val="nil"/>
              <w:left w:val="nil"/>
              <w:bottom w:val="single" w:sz="4" w:space="0" w:color="FFFFFF"/>
              <w:right w:val="single" w:sz="4" w:space="0" w:color="FFFFFF"/>
            </w:tcBorders>
            <w:shd w:val="clear" w:color="000000" w:fill="FFFFFF"/>
            <w:noWrap/>
            <w:vAlign w:val="bottom"/>
            <w:hideMark/>
          </w:tcPr>
          <w:p w14:paraId="57B544D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81,462 </w:t>
            </w:r>
          </w:p>
        </w:tc>
        <w:tc>
          <w:tcPr>
            <w:tcW w:w="588" w:type="pct"/>
            <w:tcBorders>
              <w:top w:val="nil"/>
              <w:left w:val="nil"/>
              <w:bottom w:val="single" w:sz="4" w:space="0" w:color="FFFFFF"/>
              <w:right w:val="single" w:sz="4" w:space="0" w:color="FFFFFF"/>
            </w:tcBorders>
            <w:shd w:val="clear" w:color="000000" w:fill="FFFFFF"/>
            <w:noWrap/>
            <w:vAlign w:val="bottom"/>
            <w:hideMark/>
          </w:tcPr>
          <w:p w14:paraId="601E4C7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53,823 </w:t>
            </w:r>
          </w:p>
        </w:tc>
        <w:tc>
          <w:tcPr>
            <w:tcW w:w="568" w:type="pct"/>
            <w:tcBorders>
              <w:top w:val="nil"/>
              <w:left w:val="nil"/>
              <w:bottom w:val="single" w:sz="4" w:space="0" w:color="FFFFFF"/>
              <w:right w:val="single" w:sz="4" w:space="0" w:color="FFFFFF"/>
            </w:tcBorders>
            <w:shd w:val="clear" w:color="000000" w:fill="FFFFFF"/>
            <w:noWrap/>
            <w:vAlign w:val="bottom"/>
            <w:hideMark/>
          </w:tcPr>
          <w:p w14:paraId="0569183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31,536 </w:t>
            </w:r>
          </w:p>
        </w:tc>
      </w:tr>
      <w:tr w:rsidR="008E71D7" w:rsidRPr="008E71D7" w14:paraId="01840526"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5DAA50A4"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Inventory Days</w:t>
            </w:r>
          </w:p>
        </w:tc>
        <w:tc>
          <w:tcPr>
            <w:tcW w:w="1077" w:type="pct"/>
            <w:vMerge/>
            <w:tcBorders>
              <w:top w:val="nil"/>
              <w:left w:val="single" w:sz="4" w:space="0" w:color="FFFFFF"/>
              <w:bottom w:val="single" w:sz="4" w:space="0" w:color="FFFFFF"/>
              <w:right w:val="single" w:sz="4" w:space="0" w:color="FFFFFF"/>
            </w:tcBorders>
            <w:vAlign w:val="center"/>
            <w:hideMark/>
          </w:tcPr>
          <w:p w14:paraId="69E48E20"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002D46B5"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44.90</w:t>
            </w:r>
          </w:p>
        </w:tc>
        <w:tc>
          <w:tcPr>
            <w:tcW w:w="423" w:type="pct"/>
            <w:tcBorders>
              <w:top w:val="nil"/>
              <w:left w:val="nil"/>
              <w:bottom w:val="single" w:sz="4" w:space="0" w:color="FFFFFF"/>
              <w:right w:val="single" w:sz="4" w:space="0" w:color="FFFFFF"/>
            </w:tcBorders>
            <w:shd w:val="clear" w:color="000000" w:fill="FFFFFF"/>
            <w:noWrap/>
            <w:vAlign w:val="bottom"/>
            <w:hideMark/>
          </w:tcPr>
          <w:p w14:paraId="63FE428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51.39</w:t>
            </w:r>
          </w:p>
        </w:tc>
        <w:tc>
          <w:tcPr>
            <w:tcW w:w="361" w:type="pct"/>
            <w:tcBorders>
              <w:top w:val="nil"/>
              <w:left w:val="nil"/>
              <w:bottom w:val="single" w:sz="4" w:space="0" w:color="FFFFFF"/>
              <w:right w:val="single" w:sz="4" w:space="0" w:color="FFFFFF"/>
            </w:tcBorders>
            <w:shd w:val="clear" w:color="000000" w:fill="FFFFFF"/>
            <w:noWrap/>
            <w:vAlign w:val="bottom"/>
            <w:hideMark/>
          </w:tcPr>
          <w:p w14:paraId="2C4A23E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57.53</w:t>
            </w:r>
          </w:p>
        </w:tc>
        <w:tc>
          <w:tcPr>
            <w:tcW w:w="588" w:type="pct"/>
            <w:tcBorders>
              <w:top w:val="nil"/>
              <w:left w:val="nil"/>
              <w:bottom w:val="single" w:sz="4" w:space="0" w:color="FFFFFF"/>
              <w:right w:val="single" w:sz="4" w:space="0" w:color="FFFFFF"/>
            </w:tcBorders>
            <w:shd w:val="clear" w:color="000000" w:fill="FFFFFF"/>
            <w:noWrap/>
            <w:vAlign w:val="bottom"/>
            <w:hideMark/>
          </w:tcPr>
          <w:p w14:paraId="335069B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39.04</w:t>
            </w:r>
          </w:p>
        </w:tc>
        <w:tc>
          <w:tcPr>
            <w:tcW w:w="568" w:type="pct"/>
            <w:tcBorders>
              <w:top w:val="nil"/>
              <w:left w:val="nil"/>
              <w:bottom w:val="single" w:sz="4" w:space="0" w:color="FFFFFF"/>
              <w:right w:val="single" w:sz="4" w:space="0" w:color="FFFFFF"/>
            </w:tcBorders>
            <w:shd w:val="clear" w:color="000000" w:fill="FFFFFF"/>
            <w:noWrap/>
            <w:vAlign w:val="bottom"/>
            <w:hideMark/>
          </w:tcPr>
          <w:p w14:paraId="2EF4D45F"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47.47</w:t>
            </w:r>
          </w:p>
        </w:tc>
      </w:tr>
      <w:tr w:rsidR="008E71D7" w:rsidRPr="008E71D7" w14:paraId="19F1BEF7"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40C644F7"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2. Receivable Days (Debtor Collection Period)</w:t>
            </w:r>
          </w:p>
        </w:tc>
        <w:tc>
          <w:tcPr>
            <w:tcW w:w="1077" w:type="pct"/>
            <w:vMerge w:val="restart"/>
            <w:tcBorders>
              <w:top w:val="nil"/>
              <w:left w:val="single" w:sz="4" w:space="0" w:color="FFFFFF"/>
              <w:bottom w:val="single" w:sz="4" w:space="0" w:color="FFFFFF"/>
              <w:right w:val="single" w:sz="4" w:space="0" w:color="FFFFFF"/>
            </w:tcBorders>
            <w:shd w:val="clear" w:color="000000" w:fill="FF9999"/>
            <w:vAlign w:val="center"/>
            <w:hideMark/>
          </w:tcPr>
          <w:p w14:paraId="1150A07C"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(Accounts Receivable​/Sales)*365</w:t>
            </w:r>
          </w:p>
        </w:tc>
        <w:tc>
          <w:tcPr>
            <w:tcW w:w="2301" w:type="pct"/>
            <w:gridSpan w:val="5"/>
            <w:tcBorders>
              <w:top w:val="single" w:sz="4" w:space="0" w:color="FFFFFF"/>
              <w:left w:val="nil"/>
              <w:bottom w:val="single" w:sz="4" w:space="0" w:color="FFFFFF"/>
              <w:right w:val="single" w:sz="4" w:space="0" w:color="FFFFFF"/>
            </w:tcBorders>
            <w:shd w:val="clear" w:color="000000" w:fill="FFFFFF"/>
            <w:noWrap/>
            <w:vAlign w:val="bottom"/>
            <w:hideMark/>
          </w:tcPr>
          <w:p w14:paraId="5D297170"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3215A96B"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6A37C51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Accounts Receivable​</w:t>
            </w:r>
          </w:p>
        </w:tc>
        <w:tc>
          <w:tcPr>
            <w:tcW w:w="1077" w:type="pct"/>
            <w:vMerge/>
            <w:tcBorders>
              <w:top w:val="nil"/>
              <w:left w:val="single" w:sz="4" w:space="0" w:color="FFFFFF"/>
              <w:bottom w:val="single" w:sz="4" w:space="0" w:color="FFFFFF"/>
              <w:right w:val="single" w:sz="4" w:space="0" w:color="FFFFFF"/>
            </w:tcBorders>
            <w:vAlign w:val="center"/>
            <w:hideMark/>
          </w:tcPr>
          <w:p w14:paraId="78903E58"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50B4AB02"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4,418 </w:t>
            </w:r>
          </w:p>
        </w:tc>
        <w:tc>
          <w:tcPr>
            <w:tcW w:w="423" w:type="pct"/>
            <w:tcBorders>
              <w:top w:val="nil"/>
              <w:left w:val="nil"/>
              <w:bottom w:val="single" w:sz="4" w:space="0" w:color="FFFFFF"/>
              <w:right w:val="single" w:sz="4" w:space="0" w:color="FFFFFF"/>
            </w:tcBorders>
            <w:shd w:val="clear" w:color="000000" w:fill="FFFFFF"/>
            <w:noWrap/>
            <w:vAlign w:val="bottom"/>
            <w:hideMark/>
          </w:tcPr>
          <w:p w14:paraId="3E113B1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3,508 </w:t>
            </w:r>
          </w:p>
        </w:tc>
        <w:tc>
          <w:tcPr>
            <w:tcW w:w="361" w:type="pct"/>
            <w:tcBorders>
              <w:top w:val="nil"/>
              <w:left w:val="nil"/>
              <w:bottom w:val="single" w:sz="4" w:space="0" w:color="FFFFFF"/>
              <w:right w:val="single" w:sz="4" w:space="0" w:color="FFFFFF"/>
            </w:tcBorders>
            <w:shd w:val="clear" w:color="000000" w:fill="FFFFFF"/>
            <w:noWrap/>
            <w:vAlign w:val="bottom"/>
            <w:hideMark/>
          </w:tcPr>
          <w:p w14:paraId="36142F74"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2,952 </w:t>
            </w:r>
          </w:p>
        </w:tc>
        <w:tc>
          <w:tcPr>
            <w:tcW w:w="588" w:type="pct"/>
            <w:tcBorders>
              <w:top w:val="nil"/>
              <w:left w:val="nil"/>
              <w:bottom w:val="single" w:sz="4" w:space="0" w:color="FFFFFF"/>
              <w:right w:val="single" w:sz="4" w:space="0" w:color="FFFFFF"/>
            </w:tcBorders>
            <w:shd w:val="clear" w:color="000000" w:fill="FFFFFF"/>
            <w:noWrap/>
            <w:vAlign w:val="bottom"/>
            <w:hideMark/>
          </w:tcPr>
          <w:p w14:paraId="3F6D5007"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1,913 </w:t>
            </w:r>
          </w:p>
        </w:tc>
        <w:tc>
          <w:tcPr>
            <w:tcW w:w="568" w:type="pct"/>
            <w:tcBorders>
              <w:top w:val="nil"/>
              <w:left w:val="nil"/>
              <w:bottom w:val="single" w:sz="4" w:space="0" w:color="FFFFFF"/>
              <w:right w:val="single" w:sz="4" w:space="0" w:color="FFFFFF"/>
            </w:tcBorders>
            <w:shd w:val="clear" w:color="000000" w:fill="FFFFFF"/>
            <w:noWrap/>
            <w:vAlign w:val="bottom"/>
            <w:hideMark/>
          </w:tcPr>
          <w:p w14:paraId="5FA4030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1,886 </w:t>
            </w:r>
          </w:p>
        </w:tc>
      </w:tr>
      <w:tr w:rsidR="008E71D7" w:rsidRPr="008E71D7" w14:paraId="75D4A2A6"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0411415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Sales</w:t>
            </w:r>
          </w:p>
        </w:tc>
        <w:tc>
          <w:tcPr>
            <w:tcW w:w="1077" w:type="pct"/>
            <w:vMerge/>
            <w:tcBorders>
              <w:top w:val="nil"/>
              <w:left w:val="single" w:sz="4" w:space="0" w:color="FFFFFF"/>
              <w:bottom w:val="single" w:sz="4" w:space="0" w:color="FFFFFF"/>
              <w:right w:val="single" w:sz="4" w:space="0" w:color="FFFFFF"/>
            </w:tcBorders>
            <w:vAlign w:val="center"/>
            <w:hideMark/>
          </w:tcPr>
          <w:p w14:paraId="25048DC9"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3AC01011"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 </w:t>
            </w:r>
          </w:p>
        </w:tc>
        <w:tc>
          <w:tcPr>
            <w:tcW w:w="423" w:type="pct"/>
            <w:tcBorders>
              <w:top w:val="nil"/>
              <w:left w:val="nil"/>
              <w:bottom w:val="single" w:sz="4" w:space="0" w:color="FFFFFF"/>
              <w:right w:val="single" w:sz="4" w:space="0" w:color="FFFFFF"/>
            </w:tcBorders>
            <w:shd w:val="clear" w:color="000000" w:fill="FFFFFF"/>
            <w:noWrap/>
            <w:vAlign w:val="bottom"/>
            <w:hideMark/>
          </w:tcPr>
          <w:p w14:paraId="753530E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96,773 </w:t>
            </w:r>
          </w:p>
        </w:tc>
        <w:tc>
          <w:tcPr>
            <w:tcW w:w="361" w:type="pct"/>
            <w:tcBorders>
              <w:top w:val="nil"/>
              <w:left w:val="nil"/>
              <w:bottom w:val="single" w:sz="4" w:space="0" w:color="FFFFFF"/>
              <w:right w:val="single" w:sz="4" w:space="0" w:color="FFFFFF"/>
            </w:tcBorders>
            <w:shd w:val="clear" w:color="000000" w:fill="FFFFFF"/>
            <w:noWrap/>
            <w:vAlign w:val="bottom"/>
            <w:hideMark/>
          </w:tcPr>
          <w:p w14:paraId="14A291E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81,462 </w:t>
            </w:r>
          </w:p>
        </w:tc>
        <w:tc>
          <w:tcPr>
            <w:tcW w:w="588" w:type="pct"/>
            <w:tcBorders>
              <w:top w:val="nil"/>
              <w:left w:val="nil"/>
              <w:bottom w:val="single" w:sz="4" w:space="0" w:color="FFFFFF"/>
              <w:right w:val="single" w:sz="4" w:space="0" w:color="FFFFFF"/>
            </w:tcBorders>
            <w:shd w:val="clear" w:color="000000" w:fill="FFFFFF"/>
            <w:noWrap/>
            <w:vAlign w:val="bottom"/>
            <w:hideMark/>
          </w:tcPr>
          <w:p w14:paraId="3BC4C99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53,823 </w:t>
            </w:r>
          </w:p>
        </w:tc>
        <w:tc>
          <w:tcPr>
            <w:tcW w:w="568" w:type="pct"/>
            <w:tcBorders>
              <w:top w:val="nil"/>
              <w:left w:val="nil"/>
              <w:bottom w:val="single" w:sz="4" w:space="0" w:color="FFFFFF"/>
              <w:right w:val="single" w:sz="4" w:space="0" w:color="FFFFFF"/>
            </w:tcBorders>
            <w:shd w:val="clear" w:color="000000" w:fill="FFFFFF"/>
            <w:noWrap/>
            <w:vAlign w:val="bottom"/>
            <w:hideMark/>
          </w:tcPr>
          <w:p w14:paraId="0776DBA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31,536 </w:t>
            </w:r>
          </w:p>
        </w:tc>
      </w:tr>
      <w:tr w:rsidR="008E71D7" w:rsidRPr="008E71D7" w14:paraId="40768432"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7970C179"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Receivable Days</w:t>
            </w:r>
          </w:p>
        </w:tc>
        <w:tc>
          <w:tcPr>
            <w:tcW w:w="1077" w:type="pct"/>
            <w:vMerge/>
            <w:tcBorders>
              <w:top w:val="nil"/>
              <w:left w:val="single" w:sz="4" w:space="0" w:color="FFFFFF"/>
              <w:bottom w:val="single" w:sz="4" w:space="0" w:color="FFFFFF"/>
              <w:right w:val="single" w:sz="4" w:space="0" w:color="FFFFFF"/>
            </w:tcBorders>
            <w:vAlign w:val="center"/>
            <w:hideMark/>
          </w:tcPr>
          <w:p w14:paraId="75BB32DE"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299B6ED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16.51</w:t>
            </w:r>
          </w:p>
        </w:tc>
        <w:tc>
          <w:tcPr>
            <w:tcW w:w="423" w:type="pct"/>
            <w:tcBorders>
              <w:top w:val="nil"/>
              <w:left w:val="nil"/>
              <w:bottom w:val="single" w:sz="4" w:space="0" w:color="FFFFFF"/>
              <w:right w:val="single" w:sz="4" w:space="0" w:color="FFFFFF"/>
            </w:tcBorders>
            <w:shd w:val="clear" w:color="000000" w:fill="FFFFFF"/>
            <w:noWrap/>
            <w:vAlign w:val="bottom"/>
            <w:hideMark/>
          </w:tcPr>
          <w:p w14:paraId="4AF872F1"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13.23</w:t>
            </w:r>
          </w:p>
        </w:tc>
        <w:tc>
          <w:tcPr>
            <w:tcW w:w="361" w:type="pct"/>
            <w:tcBorders>
              <w:top w:val="nil"/>
              <w:left w:val="nil"/>
              <w:bottom w:val="single" w:sz="4" w:space="0" w:color="FFFFFF"/>
              <w:right w:val="single" w:sz="4" w:space="0" w:color="FFFFFF"/>
            </w:tcBorders>
            <w:shd w:val="clear" w:color="000000" w:fill="FFFFFF"/>
            <w:noWrap/>
            <w:vAlign w:val="bottom"/>
            <w:hideMark/>
          </w:tcPr>
          <w:p w14:paraId="385E67E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13.23</w:t>
            </w:r>
          </w:p>
        </w:tc>
        <w:tc>
          <w:tcPr>
            <w:tcW w:w="588" w:type="pct"/>
            <w:tcBorders>
              <w:top w:val="nil"/>
              <w:left w:val="nil"/>
              <w:bottom w:val="single" w:sz="4" w:space="0" w:color="FFFFFF"/>
              <w:right w:val="single" w:sz="4" w:space="0" w:color="FFFFFF"/>
            </w:tcBorders>
            <w:shd w:val="clear" w:color="000000" w:fill="FFFFFF"/>
            <w:noWrap/>
            <w:vAlign w:val="bottom"/>
            <w:hideMark/>
          </w:tcPr>
          <w:p w14:paraId="18C51FC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12.97</w:t>
            </w:r>
          </w:p>
        </w:tc>
        <w:tc>
          <w:tcPr>
            <w:tcW w:w="568" w:type="pct"/>
            <w:tcBorders>
              <w:top w:val="nil"/>
              <w:left w:val="nil"/>
              <w:bottom w:val="single" w:sz="4" w:space="0" w:color="FFFFFF"/>
              <w:right w:val="single" w:sz="4" w:space="0" w:color="FFFFFF"/>
            </w:tcBorders>
            <w:shd w:val="clear" w:color="000000" w:fill="FFFFFF"/>
            <w:noWrap/>
            <w:vAlign w:val="bottom"/>
            <w:hideMark/>
          </w:tcPr>
          <w:p w14:paraId="5D5FD4E0"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21.83</w:t>
            </w:r>
          </w:p>
        </w:tc>
      </w:tr>
      <w:tr w:rsidR="008E71D7" w:rsidRPr="008E71D7" w14:paraId="520FCAEB"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1DBA3E72"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3. Payable Days (Creditor Payment Period)</w:t>
            </w:r>
          </w:p>
        </w:tc>
        <w:tc>
          <w:tcPr>
            <w:tcW w:w="1077" w:type="pct"/>
            <w:vMerge w:val="restart"/>
            <w:tcBorders>
              <w:top w:val="nil"/>
              <w:left w:val="single" w:sz="4" w:space="0" w:color="FFFFFF"/>
              <w:bottom w:val="single" w:sz="4" w:space="0" w:color="FFFFFF"/>
              <w:right w:val="single" w:sz="4" w:space="0" w:color="FFFFFF"/>
            </w:tcBorders>
            <w:shd w:val="clear" w:color="000000" w:fill="FF9999"/>
            <w:noWrap/>
            <w:vAlign w:val="center"/>
            <w:hideMark/>
          </w:tcPr>
          <w:p w14:paraId="0CFA4B72"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(Accounts Payable​/Sales)*365</w:t>
            </w:r>
          </w:p>
        </w:tc>
        <w:tc>
          <w:tcPr>
            <w:tcW w:w="2301" w:type="pct"/>
            <w:gridSpan w:val="5"/>
            <w:tcBorders>
              <w:top w:val="single" w:sz="4" w:space="0" w:color="FFFFFF"/>
              <w:left w:val="nil"/>
              <w:bottom w:val="single" w:sz="4" w:space="0" w:color="FFFFFF"/>
              <w:right w:val="single" w:sz="4" w:space="0" w:color="FFFFFF"/>
            </w:tcBorders>
            <w:shd w:val="clear" w:color="000000" w:fill="FFFFFF"/>
            <w:noWrap/>
            <w:vAlign w:val="bottom"/>
            <w:hideMark/>
          </w:tcPr>
          <w:p w14:paraId="792D1872"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w:t>
            </w:r>
          </w:p>
        </w:tc>
      </w:tr>
      <w:tr w:rsidR="008E71D7" w:rsidRPr="008E71D7" w14:paraId="6206985C"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42E87CC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Accounts Payable​</w:t>
            </w:r>
          </w:p>
        </w:tc>
        <w:tc>
          <w:tcPr>
            <w:tcW w:w="1077" w:type="pct"/>
            <w:vMerge/>
            <w:tcBorders>
              <w:top w:val="nil"/>
              <w:left w:val="single" w:sz="4" w:space="0" w:color="FFFFFF"/>
              <w:bottom w:val="single" w:sz="4" w:space="0" w:color="FFFFFF"/>
              <w:right w:val="single" w:sz="4" w:space="0" w:color="FFFFFF"/>
            </w:tcBorders>
            <w:vAlign w:val="center"/>
            <w:hideMark/>
          </w:tcPr>
          <w:p w14:paraId="6C089FBC"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21E4D24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12,474 </w:t>
            </w:r>
          </w:p>
        </w:tc>
        <w:tc>
          <w:tcPr>
            <w:tcW w:w="423" w:type="pct"/>
            <w:tcBorders>
              <w:top w:val="nil"/>
              <w:left w:val="nil"/>
              <w:bottom w:val="single" w:sz="4" w:space="0" w:color="FFFFFF"/>
              <w:right w:val="single" w:sz="4" w:space="0" w:color="FFFFFF"/>
            </w:tcBorders>
            <w:shd w:val="clear" w:color="000000" w:fill="FFFFFF"/>
            <w:noWrap/>
            <w:vAlign w:val="bottom"/>
            <w:hideMark/>
          </w:tcPr>
          <w:p w14:paraId="6263C5A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14,431 </w:t>
            </w:r>
          </w:p>
        </w:tc>
        <w:tc>
          <w:tcPr>
            <w:tcW w:w="361" w:type="pct"/>
            <w:tcBorders>
              <w:top w:val="nil"/>
              <w:left w:val="nil"/>
              <w:bottom w:val="single" w:sz="4" w:space="0" w:color="FFFFFF"/>
              <w:right w:val="single" w:sz="4" w:space="0" w:color="FFFFFF"/>
            </w:tcBorders>
            <w:shd w:val="clear" w:color="000000" w:fill="FFFFFF"/>
            <w:noWrap/>
            <w:vAlign w:val="bottom"/>
            <w:hideMark/>
          </w:tcPr>
          <w:p w14:paraId="28A3A6E3"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15,255 </w:t>
            </w:r>
          </w:p>
        </w:tc>
        <w:tc>
          <w:tcPr>
            <w:tcW w:w="588" w:type="pct"/>
            <w:tcBorders>
              <w:top w:val="nil"/>
              <w:left w:val="nil"/>
              <w:bottom w:val="single" w:sz="4" w:space="0" w:color="FFFFFF"/>
              <w:right w:val="single" w:sz="4" w:space="0" w:color="FFFFFF"/>
            </w:tcBorders>
            <w:shd w:val="clear" w:color="000000" w:fill="FFFFFF"/>
            <w:noWrap/>
            <w:vAlign w:val="bottom"/>
            <w:hideMark/>
          </w:tcPr>
          <w:p w14:paraId="294623EA"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10,025 </w:t>
            </w:r>
          </w:p>
        </w:tc>
        <w:tc>
          <w:tcPr>
            <w:tcW w:w="568" w:type="pct"/>
            <w:tcBorders>
              <w:top w:val="nil"/>
              <w:left w:val="nil"/>
              <w:bottom w:val="single" w:sz="4" w:space="0" w:color="FFFFFF"/>
              <w:right w:val="single" w:sz="4" w:space="0" w:color="FFFFFF"/>
            </w:tcBorders>
            <w:shd w:val="clear" w:color="000000" w:fill="FFFFFF"/>
            <w:noWrap/>
            <w:vAlign w:val="bottom"/>
            <w:hideMark/>
          </w:tcPr>
          <w:p w14:paraId="02DC8C7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6,051 </w:t>
            </w:r>
          </w:p>
        </w:tc>
      </w:tr>
      <w:tr w:rsidR="008E71D7" w:rsidRPr="008E71D7" w14:paraId="6A34FF8F"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320FF26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Sales</w:t>
            </w:r>
          </w:p>
        </w:tc>
        <w:tc>
          <w:tcPr>
            <w:tcW w:w="1077" w:type="pct"/>
            <w:vMerge/>
            <w:tcBorders>
              <w:top w:val="nil"/>
              <w:left w:val="single" w:sz="4" w:space="0" w:color="FFFFFF"/>
              <w:bottom w:val="single" w:sz="4" w:space="0" w:color="FFFFFF"/>
              <w:right w:val="single" w:sz="4" w:space="0" w:color="FFFFFF"/>
            </w:tcBorders>
            <w:vAlign w:val="center"/>
            <w:hideMark/>
          </w:tcPr>
          <w:p w14:paraId="28D3BA0E"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5D9573FD"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97,690 </w:t>
            </w:r>
          </w:p>
        </w:tc>
        <w:tc>
          <w:tcPr>
            <w:tcW w:w="423" w:type="pct"/>
            <w:tcBorders>
              <w:top w:val="nil"/>
              <w:left w:val="nil"/>
              <w:bottom w:val="single" w:sz="4" w:space="0" w:color="FFFFFF"/>
              <w:right w:val="single" w:sz="4" w:space="0" w:color="FFFFFF"/>
            </w:tcBorders>
            <w:shd w:val="clear" w:color="000000" w:fill="FFFFFF"/>
            <w:noWrap/>
            <w:vAlign w:val="bottom"/>
            <w:hideMark/>
          </w:tcPr>
          <w:p w14:paraId="498FA6FF"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96,773 </w:t>
            </w:r>
          </w:p>
        </w:tc>
        <w:tc>
          <w:tcPr>
            <w:tcW w:w="361" w:type="pct"/>
            <w:tcBorders>
              <w:top w:val="nil"/>
              <w:left w:val="nil"/>
              <w:bottom w:val="single" w:sz="4" w:space="0" w:color="FFFFFF"/>
              <w:right w:val="single" w:sz="4" w:space="0" w:color="FFFFFF"/>
            </w:tcBorders>
            <w:shd w:val="clear" w:color="000000" w:fill="FFFFFF"/>
            <w:noWrap/>
            <w:vAlign w:val="bottom"/>
            <w:hideMark/>
          </w:tcPr>
          <w:p w14:paraId="270668AB"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81,462 </w:t>
            </w:r>
          </w:p>
        </w:tc>
        <w:tc>
          <w:tcPr>
            <w:tcW w:w="588" w:type="pct"/>
            <w:tcBorders>
              <w:top w:val="nil"/>
              <w:left w:val="nil"/>
              <w:bottom w:val="single" w:sz="4" w:space="0" w:color="FFFFFF"/>
              <w:right w:val="single" w:sz="4" w:space="0" w:color="FFFFFF"/>
            </w:tcBorders>
            <w:shd w:val="clear" w:color="000000" w:fill="FFFFFF"/>
            <w:noWrap/>
            <w:vAlign w:val="bottom"/>
            <w:hideMark/>
          </w:tcPr>
          <w:p w14:paraId="3BEA2E68"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53,823 </w:t>
            </w:r>
          </w:p>
        </w:tc>
        <w:tc>
          <w:tcPr>
            <w:tcW w:w="568" w:type="pct"/>
            <w:tcBorders>
              <w:top w:val="nil"/>
              <w:left w:val="nil"/>
              <w:bottom w:val="single" w:sz="4" w:space="0" w:color="FFFFFF"/>
              <w:right w:val="single" w:sz="4" w:space="0" w:color="FFFFFF"/>
            </w:tcBorders>
            <w:shd w:val="clear" w:color="000000" w:fill="FFFFFF"/>
            <w:noWrap/>
            <w:vAlign w:val="bottom"/>
            <w:hideMark/>
          </w:tcPr>
          <w:p w14:paraId="22030DCC" w14:textId="77777777" w:rsidR="008E71D7" w:rsidRPr="008E71D7" w:rsidRDefault="008E71D7" w:rsidP="008E71D7">
            <w:pPr>
              <w:spacing w:before="0" w:after="0" w:line="240" w:lineRule="auto"/>
              <w:jc w:val="left"/>
              <w:rPr>
                <w:rFonts w:ascii="Arial" w:hAnsi="Arial" w:cs="Arial"/>
                <w:color w:val="000000"/>
                <w:lang w:val="en-IN"/>
              </w:rPr>
            </w:pPr>
            <w:r w:rsidRPr="008E71D7">
              <w:rPr>
                <w:rFonts w:ascii="Arial" w:hAnsi="Arial" w:cs="Arial"/>
                <w:color w:val="000000"/>
                <w:lang w:val="en-IN"/>
              </w:rPr>
              <w:t xml:space="preserve"> $             31,536 </w:t>
            </w:r>
          </w:p>
        </w:tc>
      </w:tr>
      <w:tr w:rsidR="008E71D7" w:rsidRPr="008E71D7" w14:paraId="590B1C21" w14:textId="77777777" w:rsidTr="008E71D7">
        <w:trPr>
          <w:trHeight w:val="312"/>
        </w:trPr>
        <w:tc>
          <w:tcPr>
            <w:tcW w:w="1622" w:type="pct"/>
            <w:tcBorders>
              <w:top w:val="nil"/>
              <w:left w:val="single" w:sz="4" w:space="0" w:color="FFFFFF"/>
              <w:bottom w:val="single" w:sz="4" w:space="0" w:color="FFFFFF"/>
              <w:right w:val="single" w:sz="4" w:space="0" w:color="FFFFFF"/>
            </w:tcBorders>
            <w:shd w:val="clear" w:color="000000" w:fill="FFFFFF"/>
            <w:noWrap/>
            <w:vAlign w:val="bottom"/>
            <w:hideMark/>
          </w:tcPr>
          <w:p w14:paraId="0E3CF07C"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Payable Days</w:t>
            </w:r>
          </w:p>
        </w:tc>
        <w:tc>
          <w:tcPr>
            <w:tcW w:w="1077" w:type="pct"/>
            <w:vMerge/>
            <w:tcBorders>
              <w:top w:val="nil"/>
              <w:left w:val="single" w:sz="4" w:space="0" w:color="FFFFFF"/>
              <w:bottom w:val="single" w:sz="4" w:space="0" w:color="FFFFFF"/>
              <w:right w:val="single" w:sz="4" w:space="0" w:color="FFFFFF"/>
            </w:tcBorders>
            <w:vAlign w:val="center"/>
            <w:hideMark/>
          </w:tcPr>
          <w:p w14:paraId="52E28F3A" w14:textId="77777777" w:rsidR="008E71D7" w:rsidRPr="008E71D7" w:rsidRDefault="008E71D7" w:rsidP="008E71D7">
            <w:pPr>
              <w:spacing w:before="0" w:after="0" w:line="240" w:lineRule="auto"/>
              <w:jc w:val="left"/>
              <w:rPr>
                <w:rFonts w:ascii="Arial" w:hAnsi="Arial" w:cs="Arial"/>
                <w:color w:val="000000"/>
                <w:lang w:val="en-IN"/>
              </w:rPr>
            </w:pPr>
          </w:p>
        </w:tc>
        <w:tc>
          <w:tcPr>
            <w:tcW w:w="361" w:type="pct"/>
            <w:tcBorders>
              <w:top w:val="nil"/>
              <w:left w:val="nil"/>
              <w:bottom w:val="single" w:sz="4" w:space="0" w:color="FFFFFF"/>
              <w:right w:val="single" w:sz="4" w:space="0" w:color="FFFFFF"/>
            </w:tcBorders>
            <w:shd w:val="clear" w:color="000000" w:fill="FFFFFF"/>
            <w:noWrap/>
            <w:vAlign w:val="bottom"/>
            <w:hideMark/>
          </w:tcPr>
          <w:p w14:paraId="589D772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46.61</w:t>
            </w:r>
          </w:p>
        </w:tc>
        <w:tc>
          <w:tcPr>
            <w:tcW w:w="423" w:type="pct"/>
            <w:tcBorders>
              <w:top w:val="nil"/>
              <w:left w:val="nil"/>
              <w:bottom w:val="single" w:sz="4" w:space="0" w:color="FFFFFF"/>
              <w:right w:val="single" w:sz="4" w:space="0" w:color="FFFFFF"/>
            </w:tcBorders>
            <w:shd w:val="clear" w:color="000000" w:fill="FFFFFF"/>
            <w:noWrap/>
            <w:vAlign w:val="bottom"/>
            <w:hideMark/>
          </w:tcPr>
          <w:p w14:paraId="2BF170F5"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54.43</w:t>
            </w:r>
          </w:p>
        </w:tc>
        <w:tc>
          <w:tcPr>
            <w:tcW w:w="361" w:type="pct"/>
            <w:tcBorders>
              <w:top w:val="nil"/>
              <w:left w:val="nil"/>
              <w:bottom w:val="single" w:sz="4" w:space="0" w:color="FFFFFF"/>
              <w:right w:val="single" w:sz="4" w:space="0" w:color="FFFFFF"/>
            </w:tcBorders>
            <w:shd w:val="clear" w:color="000000" w:fill="FFFFFF"/>
            <w:noWrap/>
            <w:vAlign w:val="bottom"/>
            <w:hideMark/>
          </w:tcPr>
          <w:p w14:paraId="688733A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68.35</w:t>
            </w:r>
          </w:p>
        </w:tc>
        <w:tc>
          <w:tcPr>
            <w:tcW w:w="588" w:type="pct"/>
            <w:tcBorders>
              <w:top w:val="nil"/>
              <w:left w:val="nil"/>
              <w:bottom w:val="single" w:sz="4" w:space="0" w:color="FFFFFF"/>
              <w:right w:val="single" w:sz="4" w:space="0" w:color="FFFFFF"/>
            </w:tcBorders>
            <w:shd w:val="clear" w:color="000000" w:fill="FFFFFF"/>
            <w:noWrap/>
            <w:vAlign w:val="bottom"/>
            <w:hideMark/>
          </w:tcPr>
          <w:p w14:paraId="25D586E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67.98</w:t>
            </w:r>
          </w:p>
        </w:tc>
        <w:tc>
          <w:tcPr>
            <w:tcW w:w="568" w:type="pct"/>
            <w:tcBorders>
              <w:top w:val="nil"/>
              <w:left w:val="nil"/>
              <w:bottom w:val="single" w:sz="4" w:space="0" w:color="FFFFFF"/>
              <w:right w:val="single" w:sz="4" w:space="0" w:color="FFFFFF"/>
            </w:tcBorders>
            <w:shd w:val="clear" w:color="000000" w:fill="FFFFFF"/>
            <w:noWrap/>
            <w:vAlign w:val="bottom"/>
            <w:hideMark/>
          </w:tcPr>
          <w:p w14:paraId="0BA521B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70.03</w:t>
            </w:r>
          </w:p>
        </w:tc>
      </w:tr>
      <w:tr w:rsidR="008E71D7" w:rsidRPr="008E71D7" w14:paraId="7EA5D2BA" w14:textId="77777777" w:rsidTr="008E71D7">
        <w:trPr>
          <w:trHeight w:val="600"/>
        </w:trPr>
        <w:tc>
          <w:tcPr>
            <w:tcW w:w="1622" w:type="pct"/>
            <w:tcBorders>
              <w:top w:val="nil"/>
              <w:left w:val="single" w:sz="4" w:space="0" w:color="FFFFFF"/>
              <w:bottom w:val="single" w:sz="4" w:space="0" w:color="FFFFFF"/>
              <w:right w:val="single" w:sz="4" w:space="0" w:color="FFFFFF"/>
            </w:tcBorders>
            <w:shd w:val="clear" w:color="000000" w:fill="FF9999"/>
            <w:noWrap/>
            <w:vAlign w:val="center"/>
            <w:hideMark/>
          </w:tcPr>
          <w:p w14:paraId="1A43161A" w14:textId="77777777" w:rsidR="008E71D7" w:rsidRPr="008E71D7" w:rsidRDefault="008E71D7" w:rsidP="008E71D7">
            <w:pPr>
              <w:spacing w:before="0" w:after="0" w:line="240" w:lineRule="auto"/>
              <w:jc w:val="left"/>
              <w:rPr>
                <w:rFonts w:ascii="Arial" w:hAnsi="Arial" w:cs="Arial"/>
                <w:b/>
                <w:bCs/>
                <w:color w:val="000000"/>
                <w:lang w:val="en-IN"/>
              </w:rPr>
            </w:pPr>
            <w:r w:rsidRPr="008E71D7">
              <w:rPr>
                <w:rFonts w:ascii="Arial" w:hAnsi="Arial" w:cs="Arial"/>
                <w:b/>
                <w:bCs/>
                <w:color w:val="000000"/>
                <w:lang w:val="en-IN"/>
              </w:rPr>
              <w:t>Calculate Cash Operating Cycle (CCC)</w:t>
            </w:r>
          </w:p>
        </w:tc>
        <w:tc>
          <w:tcPr>
            <w:tcW w:w="1077" w:type="pct"/>
            <w:tcBorders>
              <w:top w:val="nil"/>
              <w:left w:val="nil"/>
              <w:bottom w:val="single" w:sz="4" w:space="0" w:color="FFFFFF"/>
              <w:right w:val="single" w:sz="4" w:space="0" w:color="FFFFFF"/>
            </w:tcBorders>
            <w:shd w:val="clear" w:color="000000" w:fill="FF9999"/>
            <w:vAlign w:val="center"/>
            <w:hideMark/>
          </w:tcPr>
          <w:p w14:paraId="1AB39D71"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Inventory Days+Receivable Days−Payable Days</w:t>
            </w:r>
          </w:p>
        </w:tc>
        <w:tc>
          <w:tcPr>
            <w:tcW w:w="361" w:type="pct"/>
            <w:tcBorders>
              <w:top w:val="nil"/>
              <w:left w:val="nil"/>
              <w:bottom w:val="single" w:sz="4" w:space="0" w:color="FFFFFF"/>
              <w:right w:val="single" w:sz="4" w:space="0" w:color="FFFFFF"/>
            </w:tcBorders>
            <w:shd w:val="clear" w:color="000000" w:fill="FF9999"/>
            <w:noWrap/>
            <w:vAlign w:val="center"/>
            <w:hideMark/>
          </w:tcPr>
          <w:p w14:paraId="77ABC227"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15</w:t>
            </w:r>
          </w:p>
        </w:tc>
        <w:tc>
          <w:tcPr>
            <w:tcW w:w="423" w:type="pct"/>
            <w:tcBorders>
              <w:top w:val="nil"/>
              <w:left w:val="nil"/>
              <w:bottom w:val="single" w:sz="4" w:space="0" w:color="FFFFFF"/>
              <w:right w:val="single" w:sz="4" w:space="0" w:color="FFFFFF"/>
            </w:tcBorders>
            <w:shd w:val="clear" w:color="000000" w:fill="FF9999"/>
            <w:noWrap/>
            <w:vAlign w:val="center"/>
            <w:hideMark/>
          </w:tcPr>
          <w:p w14:paraId="134444A9"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10</w:t>
            </w:r>
          </w:p>
        </w:tc>
        <w:tc>
          <w:tcPr>
            <w:tcW w:w="361" w:type="pct"/>
            <w:tcBorders>
              <w:top w:val="nil"/>
              <w:left w:val="nil"/>
              <w:bottom w:val="single" w:sz="4" w:space="0" w:color="FFFFFF"/>
              <w:right w:val="single" w:sz="4" w:space="0" w:color="FFFFFF"/>
            </w:tcBorders>
            <w:shd w:val="clear" w:color="000000" w:fill="FF9999"/>
            <w:noWrap/>
            <w:vAlign w:val="center"/>
            <w:hideMark/>
          </w:tcPr>
          <w:p w14:paraId="3D0ACFD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2</w:t>
            </w:r>
          </w:p>
        </w:tc>
        <w:tc>
          <w:tcPr>
            <w:tcW w:w="588" w:type="pct"/>
            <w:tcBorders>
              <w:top w:val="nil"/>
              <w:left w:val="nil"/>
              <w:bottom w:val="single" w:sz="4" w:space="0" w:color="FFFFFF"/>
              <w:right w:val="single" w:sz="4" w:space="0" w:color="FFFFFF"/>
            </w:tcBorders>
            <w:shd w:val="clear" w:color="000000" w:fill="FF9999"/>
            <w:noWrap/>
            <w:vAlign w:val="center"/>
            <w:hideMark/>
          </w:tcPr>
          <w:p w14:paraId="62D4AA78"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-16</w:t>
            </w:r>
          </w:p>
        </w:tc>
        <w:tc>
          <w:tcPr>
            <w:tcW w:w="568" w:type="pct"/>
            <w:tcBorders>
              <w:top w:val="nil"/>
              <w:left w:val="nil"/>
              <w:bottom w:val="single" w:sz="4" w:space="0" w:color="FFFFFF"/>
              <w:right w:val="single" w:sz="4" w:space="0" w:color="FFFFFF"/>
            </w:tcBorders>
            <w:shd w:val="clear" w:color="000000" w:fill="FF9999"/>
            <w:noWrap/>
            <w:vAlign w:val="center"/>
            <w:hideMark/>
          </w:tcPr>
          <w:p w14:paraId="139CBA5A" w14:textId="77777777" w:rsidR="008E71D7" w:rsidRPr="008E71D7" w:rsidRDefault="008E71D7" w:rsidP="008E71D7">
            <w:pPr>
              <w:spacing w:before="0" w:after="0" w:line="240" w:lineRule="auto"/>
              <w:jc w:val="right"/>
              <w:rPr>
                <w:rFonts w:ascii="Arial" w:hAnsi="Arial" w:cs="Arial"/>
                <w:b/>
                <w:bCs/>
                <w:color w:val="000000"/>
                <w:lang w:val="en-IN"/>
              </w:rPr>
            </w:pPr>
            <w:r w:rsidRPr="008E71D7">
              <w:rPr>
                <w:rFonts w:ascii="Arial" w:hAnsi="Arial" w:cs="Arial"/>
                <w:b/>
                <w:bCs/>
                <w:color w:val="000000"/>
                <w:lang w:val="en-IN"/>
              </w:rPr>
              <w:t>-1</w:t>
            </w:r>
          </w:p>
        </w:tc>
      </w:tr>
    </w:tbl>
    <w:p w14:paraId="435B691D" w14:textId="77777777" w:rsidR="008E71D7" w:rsidRDefault="008E71D7" w:rsidP="008E71D7">
      <w:pPr>
        <w:jc w:val="center"/>
        <w:rPr>
          <w:rFonts w:ascii="Arial" w:eastAsia="Arial" w:hAnsi="Arial" w:cs="Arial"/>
        </w:rPr>
      </w:pPr>
      <w:r>
        <w:rPr>
          <w:rFonts w:ascii="Arial" w:eastAsia="Arial" w:hAnsi="Arial" w:cs="Arial"/>
        </w:rPr>
        <w:t>(Source: MS-Excel)</w:t>
      </w:r>
    </w:p>
    <w:p w14:paraId="7FD084E8" w14:textId="77777777" w:rsidR="00B43BDF" w:rsidRDefault="001A7620">
      <w:pPr>
        <w:pStyle w:val="Heading2"/>
      </w:pPr>
      <w:bookmarkStart w:id="26" w:name="_Toc227622070"/>
      <w:r>
        <w:lastRenderedPageBreak/>
        <w:t>Appendix 2: Ratios and CCC Graphs</w:t>
      </w:r>
      <w:bookmarkEnd w:id="26"/>
    </w:p>
    <w:p w14:paraId="7D87C18C" w14:textId="55106BF6" w:rsidR="00B43BDF" w:rsidRDefault="008E71D7" w:rsidP="008E71D7">
      <w:pPr>
        <w:jc w:val="center"/>
        <w:rPr>
          <w:rFonts w:ascii="Arial" w:eastAsia="Arial" w:hAnsi="Arial" w:cs="Arial"/>
        </w:rPr>
      </w:pPr>
      <w:r>
        <w:rPr>
          <w:noProof/>
          <w:lang w:val="en-IN"/>
        </w:rPr>
        <w:drawing>
          <wp:inline distT="0" distB="0" distL="0" distR="0" wp14:anchorId="51CB4137" wp14:editId="31E6D3FE">
            <wp:extent cx="5733415" cy="3034030"/>
            <wp:effectExtent l="0" t="0" r="635" b="0"/>
            <wp:docPr id="8" name="Picture 7">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B4C351C-81C8-6BD2-1FBF-5FC6FE60B7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B4C351C-81C8-6BD2-1FBF-5FC6FE60B707}"/>
                        </a:ext>
                      </a:extLst>
                    </pic:cNvPr>
                    <pic:cNvPicPr>
                      <a:picLocks noChangeAspect="1"/>
                    </pic:cNvPicPr>
                  </pic:nvPicPr>
                  <pic:blipFill>
                    <a:blip r:embed="rId35"/>
                    <a:stretch>
                      <a:fillRect/>
                    </a:stretch>
                  </pic:blipFill>
                  <pic:spPr>
                    <a:xfrm>
                      <a:off x="0" y="0"/>
                      <a:ext cx="5733415" cy="3034030"/>
                    </a:xfrm>
                    <a:prstGeom prst="rect">
                      <a:avLst/>
                    </a:prstGeom>
                  </pic:spPr>
                </pic:pic>
              </a:graphicData>
            </a:graphic>
          </wp:inline>
        </w:drawing>
      </w:r>
      <w:r>
        <w:rPr>
          <w:noProof/>
          <w:lang w:val="en-IN"/>
        </w:rPr>
        <w:drawing>
          <wp:inline distT="0" distB="0" distL="0" distR="0" wp14:anchorId="076B8BFD" wp14:editId="175783C4">
            <wp:extent cx="5733415" cy="3001010"/>
            <wp:effectExtent l="0" t="0" r="635" b="8890"/>
            <wp:docPr id="9" name="Picture 8">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D3C72D3-9C44-CBAF-A1AF-B347B28228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D3C72D3-9C44-CBAF-A1AF-B347B28228A8}"/>
                        </a:ext>
                      </a:extLst>
                    </pic:cNvPr>
                    <pic:cNvPicPr>
                      <a:picLocks noChangeAspect="1"/>
                    </pic:cNvPicPr>
                  </pic:nvPicPr>
                  <pic:blipFill>
                    <a:blip r:embed="rId36"/>
                    <a:stretch>
                      <a:fillRect/>
                    </a:stretch>
                  </pic:blipFill>
                  <pic:spPr>
                    <a:xfrm>
                      <a:off x="0" y="0"/>
                      <a:ext cx="5733415" cy="3001010"/>
                    </a:xfrm>
                    <a:prstGeom prst="rect">
                      <a:avLst/>
                    </a:prstGeom>
                  </pic:spPr>
                </pic:pic>
              </a:graphicData>
            </a:graphic>
          </wp:inline>
        </w:drawing>
      </w:r>
      <w:r>
        <w:rPr>
          <w:noProof/>
          <w:lang w:val="en-IN"/>
        </w:rPr>
        <w:lastRenderedPageBreak/>
        <w:drawing>
          <wp:inline distT="0" distB="0" distL="0" distR="0" wp14:anchorId="5BFE2377" wp14:editId="189AF0EF">
            <wp:extent cx="5733415" cy="2962275"/>
            <wp:effectExtent l="0" t="0" r="635" b="9525"/>
            <wp:docPr id="10" name="Picture 9">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D9DC1EA-D934-2530-9AB4-AEF8B4F2A8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D9DC1EA-D934-2530-9AB4-AEF8B4F2A81C}"/>
                        </a:ext>
                      </a:extLst>
                    </pic:cNvPr>
                    <pic:cNvPicPr>
                      <a:picLocks noChangeAspect="1"/>
                    </pic:cNvPicPr>
                  </pic:nvPicPr>
                  <pic:blipFill>
                    <a:blip r:embed="rId37"/>
                    <a:stretch>
                      <a:fillRect/>
                    </a:stretch>
                  </pic:blipFill>
                  <pic:spPr>
                    <a:xfrm>
                      <a:off x="0" y="0"/>
                      <a:ext cx="5733415" cy="2962275"/>
                    </a:xfrm>
                    <a:prstGeom prst="rect">
                      <a:avLst/>
                    </a:prstGeom>
                  </pic:spPr>
                </pic:pic>
              </a:graphicData>
            </a:graphic>
          </wp:inline>
        </w:drawing>
      </w:r>
      <w:r>
        <w:rPr>
          <w:noProof/>
          <w:lang w:val="en-IN"/>
        </w:rPr>
        <w:drawing>
          <wp:inline distT="0" distB="0" distL="0" distR="0" wp14:anchorId="5356DF5A" wp14:editId="25000810">
            <wp:extent cx="5733415" cy="2821940"/>
            <wp:effectExtent l="0" t="0" r="635" b="0"/>
            <wp:docPr id="11" name="Picture 10">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7D37A37-FD14-48AF-2BCD-3017314018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7D37A37-FD14-48AF-2BCD-301731401801}"/>
                        </a:ext>
                      </a:extLst>
                    </pic:cNvPr>
                    <pic:cNvPicPr>
                      <a:picLocks noChangeAspect="1"/>
                    </pic:cNvPicPr>
                  </pic:nvPicPr>
                  <pic:blipFill>
                    <a:blip r:embed="rId38"/>
                    <a:stretch>
                      <a:fillRect/>
                    </a:stretch>
                  </pic:blipFill>
                  <pic:spPr>
                    <a:xfrm>
                      <a:off x="0" y="0"/>
                      <a:ext cx="5733415" cy="2821940"/>
                    </a:xfrm>
                    <a:prstGeom prst="rect">
                      <a:avLst/>
                    </a:prstGeom>
                  </pic:spPr>
                </pic:pic>
              </a:graphicData>
            </a:graphic>
          </wp:inline>
        </w:drawing>
      </w:r>
      <w:r>
        <w:rPr>
          <w:noProof/>
          <w:lang w:val="en-IN"/>
        </w:rPr>
        <w:lastRenderedPageBreak/>
        <w:drawing>
          <wp:inline distT="0" distB="0" distL="0" distR="0" wp14:anchorId="751EE7CF" wp14:editId="3DAFD760">
            <wp:extent cx="5041829" cy="3609145"/>
            <wp:effectExtent l="0" t="0" r="6985" b="0"/>
            <wp:docPr id="12" name="Picture 1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957B613-E6BC-6EE2-C400-E7DF088E51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957B613-E6BC-6EE2-C400-E7DF088E5162}"/>
                        </a:ext>
                      </a:extLst>
                    </pic:cNvPr>
                    <pic:cNvPicPr>
                      <a:picLocks noChangeAspect="1"/>
                    </pic:cNvPicPr>
                  </pic:nvPicPr>
                  <pic:blipFill>
                    <a:blip r:embed="rId39"/>
                    <a:stretch>
                      <a:fillRect/>
                    </a:stretch>
                  </pic:blipFill>
                  <pic:spPr>
                    <a:xfrm>
                      <a:off x="0" y="0"/>
                      <a:ext cx="5041829" cy="3609145"/>
                    </a:xfrm>
                    <a:prstGeom prst="rect">
                      <a:avLst/>
                    </a:prstGeom>
                  </pic:spPr>
                </pic:pic>
              </a:graphicData>
            </a:graphic>
          </wp:inline>
        </w:drawing>
      </w:r>
      <w:r>
        <w:rPr>
          <w:noProof/>
          <w:lang w:val="en-IN"/>
        </w:rPr>
        <w:drawing>
          <wp:inline distT="0" distB="0" distL="0" distR="0" wp14:anchorId="704C77E0" wp14:editId="409FB0B4">
            <wp:extent cx="5054022" cy="2975106"/>
            <wp:effectExtent l="0" t="0" r="0" b="0"/>
            <wp:docPr id="13" name="Picture 12">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CB7E000-1E4C-8149-23E4-153AC33E45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CB7E000-1E4C-8149-23E4-153AC33E45D4}"/>
                        </a:ext>
                      </a:extLst>
                    </pic:cNvPr>
                    <pic:cNvPicPr>
                      <a:picLocks noChangeAspect="1"/>
                    </pic:cNvPicPr>
                  </pic:nvPicPr>
                  <pic:blipFill>
                    <a:blip r:embed="rId40"/>
                    <a:stretch>
                      <a:fillRect/>
                    </a:stretch>
                  </pic:blipFill>
                  <pic:spPr>
                    <a:xfrm>
                      <a:off x="0" y="0"/>
                      <a:ext cx="5054022" cy="2975106"/>
                    </a:xfrm>
                    <a:prstGeom prst="rect">
                      <a:avLst/>
                    </a:prstGeom>
                  </pic:spPr>
                </pic:pic>
              </a:graphicData>
            </a:graphic>
          </wp:inline>
        </w:drawing>
      </w:r>
      <w:r>
        <w:rPr>
          <w:noProof/>
          <w:lang w:val="en-IN"/>
        </w:rPr>
        <w:lastRenderedPageBreak/>
        <w:drawing>
          <wp:inline distT="0" distB="0" distL="0" distR="0" wp14:anchorId="720A9D8C" wp14:editId="19138536">
            <wp:extent cx="5733415" cy="4284345"/>
            <wp:effectExtent l="57150" t="57150" r="38735" b="40005"/>
            <wp:docPr id="1923478872"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6159328-41B5-2E78-DE3F-4427F0C09C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C190F12" w14:textId="77777777" w:rsidR="00B43BDF" w:rsidRDefault="001A7620" w:rsidP="008E71D7">
      <w:pPr>
        <w:jc w:val="center"/>
        <w:rPr>
          <w:rFonts w:ascii="Arial" w:eastAsia="Arial" w:hAnsi="Arial" w:cs="Arial"/>
        </w:rPr>
      </w:pPr>
      <w:r>
        <w:rPr>
          <w:rFonts w:ascii="Arial" w:eastAsia="Arial" w:hAnsi="Arial" w:cs="Arial"/>
        </w:rPr>
        <w:t>(Source: MS-Excel)</w:t>
      </w:r>
    </w:p>
    <w:p w14:paraId="4863FF14" w14:textId="77777777" w:rsidR="00B43BDF" w:rsidRDefault="001A7620">
      <w:pPr>
        <w:pStyle w:val="Heading2"/>
      </w:pPr>
      <w:bookmarkStart w:id="27" w:name="_Toc227622071"/>
      <w:r>
        <w:t>Appendix 3: Investment Appraisal Calculations</w:t>
      </w:r>
      <w:bookmarkEnd w:id="27"/>
    </w:p>
    <w:tbl>
      <w:tblPr>
        <w:tblW w:w="5000" w:type="pct"/>
        <w:jc w:val="center"/>
        <w:tblLook w:val="04A0" w:firstRow="1" w:lastRow="0" w:firstColumn="1" w:lastColumn="0" w:noHBand="0" w:noVBand="1"/>
      </w:tblPr>
      <w:tblGrid>
        <w:gridCol w:w="1461"/>
        <w:gridCol w:w="1451"/>
        <w:gridCol w:w="1143"/>
        <w:gridCol w:w="2411"/>
        <w:gridCol w:w="1418"/>
        <w:gridCol w:w="1361"/>
      </w:tblGrid>
      <w:tr w:rsidR="008E71D7" w:rsidRPr="008E71D7" w14:paraId="3262B99E" w14:textId="77777777" w:rsidTr="008E71D7">
        <w:trPr>
          <w:trHeight w:val="312"/>
          <w:jc w:val="center"/>
        </w:trPr>
        <w:tc>
          <w:tcPr>
            <w:tcW w:w="790" w:type="pct"/>
            <w:tcBorders>
              <w:top w:val="single" w:sz="4" w:space="0" w:color="FFFFFF"/>
              <w:left w:val="single" w:sz="4" w:space="0" w:color="FFFFFF"/>
              <w:bottom w:val="single" w:sz="4" w:space="0" w:color="FFFFFF"/>
              <w:right w:val="single" w:sz="4" w:space="0" w:color="FFFFFF"/>
            </w:tcBorders>
            <w:shd w:val="clear" w:color="000000" w:fill="FF9999"/>
            <w:vAlign w:val="bottom"/>
            <w:hideMark/>
          </w:tcPr>
          <w:p w14:paraId="707F807C"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Project</w:t>
            </w:r>
          </w:p>
        </w:tc>
        <w:tc>
          <w:tcPr>
            <w:tcW w:w="785" w:type="pct"/>
            <w:tcBorders>
              <w:top w:val="single" w:sz="4" w:space="0" w:color="FFFFFF"/>
              <w:left w:val="nil"/>
              <w:bottom w:val="single" w:sz="4" w:space="0" w:color="FFFFFF"/>
              <w:right w:val="single" w:sz="4" w:space="0" w:color="FFFFFF"/>
            </w:tcBorders>
            <w:shd w:val="clear" w:color="000000" w:fill="FF9999"/>
            <w:vAlign w:val="bottom"/>
            <w:hideMark/>
          </w:tcPr>
          <w:p w14:paraId="6670F939" w14:textId="5942C1F8" w:rsidR="008E71D7" w:rsidRPr="008E71D7" w:rsidRDefault="000D73C2" w:rsidP="008E71D7">
            <w:pPr>
              <w:spacing w:before="0" w:after="0" w:line="240" w:lineRule="auto"/>
              <w:jc w:val="center"/>
              <w:rPr>
                <w:rFonts w:ascii="Arial" w:hAnsi="Arial" w:cs="Arial"/>
                <w:b/>
                <w:bCs/>
                <w:color w:val="000000"/>
                <w:lang w:val="en-IN"/>
              </w:rPr>
            </w:pPr>
            <w:r>
              <w:rPr>
                <w:rFonts w:ascii="Arial" w:hAnsi="Arial" w:cs="Arial"/>
                <w:b/>
                <w:bCs/>
                <w:color w:val="000000"/>
                <w:lang w:val="en-IN"/>
              </w:rPr>
              <w:t>“</w:t>
            </w:r>
            <w:r w:rsidR="008E71D7" w:rsidRPr="008E71D7">
              <w:rPr>
                <w:rFonts w:ascii="Arial" w:hAnsi="Arial" w:cs="Arial"/>
                <w:b/>
                <w:bCs/>
                <w:color w:val="000000"/>
                <w:lang w:val="en-IN"/>
              </w:rPr>
              <w:t>NPV</w:t>
            </w:r>
            <w:r>
              <w:rPr>
                <w:rFonts w:ascii="Arial" w:hAnsi="Arial" w:cs="Arial"/>
                <w:b/>
                <w:bCs/>
                <w:color w:val="000000"/>
                <w:lang w:val="en-IN"/>
              </w:rPr>
              <w:t>”</w:t>
            </w:r>
          </w:p>
        </w:tc>
        <w:tc>
          <w:tcPr>
            <w:tcW w:w="618" w:type="pct"/>
            <w:tcBorders>
              <w:top w:val="single" w:sz="4" w:space="0" w:color="FFFFFF"/>
              <w:left w:val="nil"/>
              <w:bottom w:val="single" w:sz="4" w:space="0" w:color="FFFFFF"/>
              <w:right w:val="single" w:sz="4" w:space="0" w:color="FFFFFF"/>
            </w:tcBorders>
            <w:shd w:val="clear" w:color="000000" w:fill="FF9999"/>
            <w:vAlign w:val="bottom"/>
            <w:hideMark/>
          </w:tcPr>
          <w:p w14:paraId="1715FA5E" w14:textId="328B2E0B" w:rsidR="008E71D7" w:rsidRPr="008E71D7" w:rsidRDefault="000D73C2" w:rsidP="008E71D7">
            <w:pPr>
              <w:spacing w:before="0" w:after="0" w:line="240" w:lineRule="auto"/>
              <w:jc w:val="center"/>
              <w:rPr>
                <w:rFonts w:ascii="Arial" w:hAnsi="Arial" w:cs="Arial"/>
                <w:b/>
                <w:bCs/>
                <w:color w:val="000000"/>
                <w:lang w:val="en-IN"/>
              </w:rPr>
            </w:pPr>
            <w:r>
              <w:rPr>
                <w:rFonts w:ascii="Arial" w:hAnsi="Arial" w:cs="Arial"/>
                <w:b/>
                <w:bCs/>
                <w:color w:val="000000"/>
                <w:lang w:val="en-IN"/>
              </w:rPr>
              <w:t>“</w:t>
            </w:r>
            <w:r w:rsidR="008E71D7" w:rsidRPr="008E71D7">
              <w:rPr>
                <w:rFonts w:ascii="Arial" w:hAnsi="Arial" w:cs="Arial"/>
                <w:b/>
                <w:bCs/>
                <w:color w:val="000000"/>
                <w:lang w:val="en-IN"/>
              </w:rPr>
              <w:t>PI</w:t>
            </w:r>
            <w:r>
              <w:rPr>
                <w:rFonts w:ascii="Arial" w:hAnsi="Arial" w:cs="Arial"/>
                <w:b/>
                <w:bCs/>
                <w:color w:val="000000"/>
                <w:lang w:val="en-IN"/>
              </w:rPr>
              <w:t>”</w:t>
            </w:r>
          </w:p>
        </w:tc>
        <w:tc>
          <w:tcPr>
            <w:tcW w:w="1304" w:type="pct"/>
            <w:tcBorders>
              <w:top w:val="single" w:sz="4" w:space="0" w:color="FFFFFF"/>
              <w:left w:val="nil"/>
              <w:bottom w:val="single" w:sz="4" w:space="0" w:color="FFFFFF"/>
              <w:right w:val="single" w:sz="4" w:space="0" w:color="FFFFFF"/>
            </w:tcBorders>
            <w:shd w:val="clear" w:color="000000" w:fill="FF9999"/>
            <w:vAlign w:val="bottom"/>
            <w:hideMark/>
          </w:tcPr>
          <w:p w14:paraId="4132A8E3" w14:textId="79178C6B" w:rsidR="008E71D7" w:rsidRPr="008E71D7" w:rsidRDefault="000D73C2" w:rsidP="008E71D7">
            <w:pPr>
              <w:spacing w:before="0" w:after="0" w:line="240" w:lineRule="auto"/>
              <w:jc w:val="center"/>
              <w:rPr>
                <w:rFonts w:ascii="Arial" w:hAnsi="Arial" w:cs="Arial"/>
                <w:b/>
                <w:bCs/>
                <w:color w:val="000000"/>
                <w:lang w:val="en-IN"/>
              </w:rPr>
            </w:pPr>
            <w:r>
              <w:rPr>
                <w:rFonts w:ascii="Arial" w:hAnsi="Arial" w:cs="Arial"/>
                <w:b/>
                <w:bCs/>
                <w:color w:val="000000"/>
                <w:lang w:val="en-IN"/>
              </w:rPr>
              <w:t>“</w:t>
            </w:r>
            <w:r w:rsidR="008E71D7" w:rsidRPr="008E71D7">
              <w:rPr>
                <w:rFonts w:ascii="Arial" w:hAnsi="Arial" w:cs="Arial"/>
                <w:b/>
                <w:bCs/>
                <w:color w:val="000000"/>
                <w:lang w:val="en-IN"/>
              </w:rPr>
              <w:t>PBP</w:t>
            </w:r>
            <w:r>
              <w:rPr>
                <w:rFonts w:ascii="Arial" w:hAnsi="Arial" w:cs="Arial"/>
                <w:b/>
                <w:bCs/>
                <w:color w:val="000000"/>
                <w:lang w:val="en-IN"/>
              </w:rPr>
              <w:t>”</w:t>
            </w:r>
          </w:p>
        </w:tc>
        <w:tc>
          <w:tcPr>
            <w:tcW w:w="767" w:type="pct"/>
            <w:tcBorders>
              <w:top w:val="single" w:sz="4" w:space="0" w:color="FFFFFF"/>
              <w:left w:val="nil"/>
              <w:bottom w:val="single" w:sz="4" w:space="0" w:color="FFFFFF"/>
              <w:right w:val="single" w:sz="4" w:space="0" w:color="FFFFFF"/>
            </w:tcBorders>
            <w:shd w:val="clear" w:color="000000" w:fill="FF9999"/>
            <w:vAlign w:val="bottom"/>
            <w:hideMark/>
          </w:tcPr>
          <w:p w14:paraId="4F85E3E8" w14:textId="003AB58E" w:rsidR="008E71D7" w:rsidRPr="008E71D7" w:rsidRDefault="000D73C2" w:rsidP="008E71D7">
            <w:pPr>
              <w:spacing w:before="0" w:after="0" w:line="240" w:lineRule="auto"/>
              <w:jc w:val="center"/>
              <w:rPr>
                <w:rFonts w:ascii="Arial" w:hAnsi="Arial" w:cs="Arial"/>
                <w:b/>
                <w:bCs/>
                <w:color w:val="000000"/>
                <w:lang w:val="en-IN"/>
              </w:rPr>
            </w:pPr>
            <w:r>
              <w:rPr>
                <w:rFonts w:ascii="Arial" w:hAnsi="Arial" w:cs="Arial"/>
                <w:b/>
                <w:bCs/>
                <w:color w:val="000000"/>
                <w:lang w:val="en-IN"/>
              </w:rPr>
              <w:t>“</w:t>
            </w:r>
            <w:r w:rsidR="008E71D7" w:rsidRPr="008E71D7">
              <w:rPr>
                <w:rFonts w:ascii="Arial" w:hAnsi="Arial" w:cs="Arial"/>
                <w:b/>
                <w:bCs/>
                <w:color w:val="000000"/>
                <w:lang w:val="en-IN"/>
              </w:rPr>
              <w:t>IRR</w:t>
            </w:r>
            <w:r>
              <w:rPr>
                <w:rFonts w:ascii="Arial" w:hAnsi="Arial" w:cs="Arial"/>
                <w:b/>
                <w:bCs/>
                <w:color w:val="000000"/>
                <w:lang w:val="en-IN"/>
              </w:rPr>
              <w:t>”</w:t>
            </w:r>
          </w:p>
        </w:tc>
        <w:tc>
          <w:tcPr>
            <w:tcW w:w="736" w:type="pct"/>
            <w:tcBorders>
              <w:top w:val="single" w:sz="4" w:space="0" w:color="FFFFFF"/>
              <w:left w:val="nil"/>
              <w:bottom w:val="single" w:sz="4" w:space="0" w:color="FFFFFF"/>
              <w:right w:val="single" w:sz="4" w:space="0" w:color="FFFFFF"/>
            </w:tcBorders>
            <w:shd w:val="clear" w:color="000000" w:fill="FF9999"/>
            <w:vAlign w:val="bottom"/>
            <w:hideMark/>
          </w:tcPr>
          <w:p w14:paraId="5E851425" w14:textId="7704C8AF" w:rsidR="008E71D7" w:rsidRPr="008E71D7" w:rsidRDefault="000D73C2" w:rsidP="008E71D7">
            <w:pPr>
              <w:spacing w:before="0" w:after="0" w:line="240" w:lineRule="auto"/>
              <w:jc w:val="center"/>
              <w:rPr>
                <w:rFonts w:ascii="Arial" w:hAnsi="Arial" w:cs="Arial"/>
                <w:b/>
                <w:bCs/>
                <w:color w:val="000000"/>
                <w:lang w:val="en-IN"/>
              </w:rPr>
            </w:pPr>
            <w:r>
              <w:rPr>
                <w:rFonts w:ascii="Arial" w:hAnsi="Arial" w:cs="Arial"/>
                <w:b/>
                <w:bCs/>
                <w:color w:val="000000"/>
                <w:lang w:val="en-IN"/>
              </w:rPr>
              <w:t>“</w:t>
            </w:r>
            <w:r w:rsidR="008E71D7" w:rsidRPr="008E71D7">
              <w:rPr>
                <w:rFonts w:ascii="Arial" w:hAnsi="Arial" w:cs="Arial"/>
                <w:b/>
                <w:bCs/>
                <w:color w:val="000000"/>
                <w:lang w:val="en-IN"/>
              </w:rPr>
              <w:t>ARR</w:t>
            </w:r>
            <w:r>
              <w:rPr>
                <w:rFonts w:ascii="Arial" w:hAnsi="Arial" w:cs="Arial"/>
                <w:b/>
                <w:bCs/>
                <w:color w:val="000000"/>
                <w:lang w:val="en-IN"/>
              </w:rPr>
              <w:t>”</w:t>
            </w:r>
          </w:p>
        </w:tc>
      </w:tr>
      <w:tr w:rsidR="008E71D7" w:rsidRPr="008E71D7" w14:paraId="059E89A1" w14:textId="77777777" w:rsidTr="008E71D7">
        <w:trPr>
          <w:trHeight w:val="432"/>
          <w:jc w:val="center"/>
        </w:trPr>
        <w:tc>
          <w:tcPr>
            <w:tcW w:w="790" w:type="pct"/>
            <w:tcBorders>
              <w:top w:val="nil"/>
              <w:left w:val="single" w:sz="4" w:space="0" w:color="FFFFFF"/>
              <w:bottom w:val="single" w:sz="4" w:space="0" w:color="FFFFFF"/>
              <w:right w:val="single" w:sz="4" w:space="0" w:color="FFFFFF"/>
            </w:tcBorders>
            <w:shd w:val="clear" w:color="000000" w:fill="FF9999"/>
            <w:vAlign w:val="bottom"/>
            <w:hideMark/>
          </w:tcPr>
          <w:p w14:paraId="1077A4A3"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A</w:t>
            </w:r>
          </w:p>
        </w:tc>
        <w:tc>
          <w:tcPr>
            <w:tcW w:w="785" w:type="pct"/>
            <w:tcBorders>
              <w:top w:val="nil"/>
              <w:left w:val="nil"/>
              <w:bottom w:val="single" w:sz="4" w:space="0" w:color="FFFFFF"/>
              <w:right w:val="single" w:sz="4" w:space="0" w:color="FFFFFF"/>
            </w:tcBorders>
            <w:shd w:val="clear" w:color="000000" w:fill="FFFFFF"/>
            <w:vAlign w:val="bottom"/>
            <w:hideMark/>
          </w:tcPr>
          <w:p w14:paraId="58F3CA92"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xml:space="preserve">-£   8.68 </w:t>
            </w:r>
          </w:p>
        </w:tc>
        <w:tc>
          <w:tcPr>
            <w:tcW w:w="618" w:type="pct"/>
            <w:tcBorders>
              <w:top w:val="nil"/>
              <w:left w:val="nil"/>
              <w:bottom w:val="single" w:sz="4" w:space="0" w:color="FFFFFF"/>
              <w:right w:val="single" w:sz="4" w:space="0" w:color="FFFFFF"/>
            </w:tcBorders>
            <w:shd w:val="clear" w:color="000000" w:fill="FFFFFF"/>
            <w:vAlign w:val="bottom"/>
            <w:hideMark/>
          </w:tcPr>
          <w:p w14:paraId="1BAF1636"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1.17</w:t>
            </w:r>
          </w:p>
        </w:tc>
        <w:tc>
          <w:tcPr>
            <w:tcW w:w="1304" w:type="pct"/>
            <w:tcBorders>
              <w:top w:val="nil"/>
              <w:left w:val="nil"/>
              <w:bottom w:val="single" w:sz="4" w:space="0" w:color="FFFFFF"/>
              <w:right w:val="single" w:sz="4" w:space="0" w:color="FFFFFF"/>
            </w:tcBorders>
            <w:shd w:val="clear" w:color="000000" w:fill="FFFFFF"/>
            <w:noWrap/>
            <w:vAlign w:val="bottom"/>
            <w:hideMark/>
          </w:tcPr>
          <w:p w14:paraId="26F3E0EC"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Not Recovered</w:t>
            </w:r>
          </w:p>
        </w:tc>
        <w:tc>
          <w:tcPr>
            <w:tcW w:w="767" w:type="pct"/>
            <w:tcBorders>
              <w:top w:val="nil"/>
              <w:left w:val="nil"/>
              <w:bottom w:val="single" w:sz="4" w:space="0" w:color="FFFFFF"/>
              <w:right w:val="single" w:sz="4" w:space="0" w:color="FFFFFF"/>
            </w:tcBorders>
            <w:shd w:val="clear" w:color="000000" w:fill="FFFFFF"/>
            <w:noWrap/>
            <w:vAlign w:val="bottom"/>
            <w:hideMark/>
          </w:tcPr>
          <w:p w14:paraId="75088643"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2.72%</w:t>
            </w:r>
          </w:p>
        </w:tc>
        <w:tc>
          <w:tcPr>
            <w:tcW w:w="736" w:type="pct"/>
            <w:tcBorders>
              <w:top w:val="nil"/>
              <w:left w:val="nil"/>
              <w:bottom w:val="single" w:sz="4" w:space="0" w:color="FFFFFF"/>
              <w:right w:val="single" w:sz="4" w:space="0" w:color="FFFFFF"/>
            </w:tcBorders>
            <w:shd w:val="clear" w:color="000000" w:fill="FFFFFF"/>
            <w:noWrap/>
            <w:vAlign w:val="bottom"/>
            <w:hideMark/>
          </w:tcPr>
          <w:p w14:paraId="6313B1F2"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1.60%</w:t>
            </w:r>
          </w:p>
        </w:tc>
      </w:tr>
      <w:tr w:rsidR="008E71D7" w:rsidRPr="008E71D7" w14:paraId="49A08A5F" w14:textId="77777777" w:rsidTr="008E71D7">
        <w:trPr>
          <w:trHeight w:val="408"/>
          <w:jc w:val="center"/>
        </w:trPr>
        <w:tc>
          <w:tcPr>
            <w:tcW w:w="790" w:type="pct"/>
            <w:tcBorders>
              <w:top w:val="nil"/>
              <w:left w:val="single" w:sz="4" w:space="0" w:color="FFFFFF"/>
              <w:bottom w:val="single" w:sz="4" w:space="0" w:color="FFFFFF"/>
              <w:right w:val="single" w:sz="4" w:space="0" w:color="FFFFFF"/>
            </w:tcBorders>
            <w:shd w:val="clear" w:color="000000" w:fill="FF9999"/>
            <w:vAlign w:val="bottom"/>
            <w:hideMark/>
          </w:tcPr>
          <w:p w14:paraId="2E128A81"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B</w:t>
            </w:r>
          </w:p>
        </w:tc>
        <w:tc>
          <w:tcPr>
            <w:tcW w:w="785" w:type="pct"/>
            <w:tcBorders>
              <w:top w:val="nil"/>
              <w:left w:val="nil"/>
              <w:bottom w:val="single" w:sz="4" w:space="0" w:color="FFFFFF"/>
              <w:right w:val="single" w:sz="4" w:space="0" w:color="FFFFFF"/>
            </w:tcBorders>
            <w:shd w:val="clear" w:color="000000" w:fill="FFFFFF"/>
            <w:vAlign w:val="bottom"/>
            <w:hideMark/>
          </w:tcPr>
          <w:p w14:paraId="1858465D"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xml:space="preserve">-£   8.30 </w:t>
            </w:r>
          </w:p>
        </w:tc>
        <w:tc>
          <w:tcPr>
            <w:tcW w:w="618" w:type="pct"/>
            <w:tcBorders>
              <w:top w:val="nil"/>
              <w:left w:val="nil"/>
              <w:bottom w:val="single" w:sz="4" w:space="0" w:color="FFFFFF"/>
              <w:right w:val="single" w:sz="4" w:space="0" w:color="FFFFFF"/>
            </w:tcBorders>
            <w:shd w:val="clear" w:color="000000" w:fill="FFFFFF"/>
            <w:vAlign w:val="bottom"/>
            <w:hideMark/>
          </w:tcPr>
          <w:p w14:paraId="0D902CEA"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1.17</w:t>
            </w:r>
          </w:p>
        </w:tc>
        <w:tc>
          <w:tcPr>
            <w:tcW w:w="1304" w:type="pct"/>
            <w:tcBorders>
              <w:top w:val="nil"/>
              <w:left w:val="nil"/>
              <w:bottom w:val="single" w:sz="4" w:space="0" w:color="FFFFFF"/>
              <w:right w:val="single" w:sz="4" w:space="0" w:color="FFFFFF"/>
            </w:tcBorders>
            <w:shd w:val="clear" w:color="000000" w:fill="FFFFFF"/>
            <w:noWrap/>
            <w:vAlign w:val="bottom"/>
            <w:hideMark/>
          </w:tcPr>
          <w:p w14:paraId="6F17B94A"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Not Recovered</w:t>
            </w:r>
          </w:p>
        </w:tc>
        <w:tc>
          <w:tcPr>
            <w:tcW w:w="767" w:type="pct"/>
            <w:tcBorders>
              <w:top w:val="nil"/>
              <w:left w:val="nil"/>
              <w:bottom w:val="single" w:sz="4" w:space="0" w:color="FFFFFF"/>
              <w:right w:val="single" w:sz="4" w:space="0" w:color="FFFFFF"/>
            </w:tcBorders>
            <w:shd w:val="clear" w:color="000000" w:fill="FFFFFF"/>
            <w:noWrap/>
            <w:vAlign w:val="bottom"/>
            <w:hideMark/>
          </w:tcPr>
          <w:p w14:paraId="7C2C3321"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3.26%</w:t>
            </w:r>
          </w:p>
        </w:tc>
        <w:tc>
          <w:tcPr>
            <w:tcW w:w="736" w:type="pct"/>
            <w:tcBorders>
              <w:top w:val="nil"/>
              <w:left w:val="nil"/>
              <w:bottom w:val="single" w:sz="4" w:space="0" w:color="FFFFFF"/>
              <w:right w:val="single" w:sz="4" w:space="0" w:color="FFFFFF"/>
            </w:tcBorders>
            <w:shd w:val="clear" w:color="000000" w:fill="FFFFFF"/>
            <w:noWrap/>
            <w:vAlign w:val="bottom"/>
            <w:hideMark/>
          </w:tcPr>
          <w:p w14:paraId="46B284E1"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2.00%</w:t>
            </w:r>
          </w:p>
        </w:tc>
      </w:tr>
      <w:tr w:rsidR="008E71D7" w:rsidRPr="008E71D7" w14:paraId="2F3F09A0" w14:textId="77777777" w:rsidTr="008E71D7">
        <w:trPr>
          <w:trHeight w:val="444"/>
          <w:jc w:val="center"/>
        </w:trPr>
        <w:tc>
          <w:tcPr>
            <w:tcW w:w="790" w:type="pct"/>
            <w:tcBorders>
              <w:top w:val="nil"/>
              <w:left w:val="single" w:sz="4" w:space="0" w:color="FFFFFF"/>
              <w:bottom w:val="single" w:sz="4" w:space="0" w:color="FFFFFF"/>
              <w:right w:val="single" w:sz="4" w:space="0" w:color="FFFFFF"/>
            </w:tcBorders>
            <w:shd w:val="clear" w:color="000000" w:fill="FF9999"/>
            <w:vAlign w:val="bottom"/>
            <w:hideMark/>
          </w:tcPr>
          <w:p w14:paraId="2EE94829" w14:textId="77777777" w:rsidR="008E71D7" w:rsidRPr="008E71D7" w:rsidRDefault="008E71D7" w:rsidP="008E71D7">
            <w:pPr>
              <w:spacing w:before="0" w:after="0" w:line="240" w:lineRule="auto"/>
              <w:jc w:val="center"/>
              <w:rPr>
                <w:rFonts w:ascii="Arial" w:hAnsi="Arial" w:cs="Arial"/>
                <w:b/>
                <w:bCs/>
                <w:color w:val="000000"/>
                <w:lang w:val="en-IN"/>
              </w:rPr>
            </w:pPr>
            <w:r w:rsidRPr="008E71D7">
              <w:rPr>
                <w:rFonts w:ascii="Arial" w:hAnsi="Arial" w:cs="Arial"/>
                <w:b/>
                <w:bCs/>
                <w:color w:val="000000"/>
                <w:lang w:val="en-IN"/>
              </w:rPr>
              <w:t>C</w:t>
            </w:r>
          </w:p>
        </w:tc>
        <w:tc>
          <w:tcPr>
            <w:tcW w:w="785" w:type="pct"/>
            <w:tcBorders>
              <w:top w:val="nil"/>
              <w:left w:val="nil"/>
              <w:bottom w:val="single" w:sz="4" w:space="0" w:color="FFFFFF"/>
              <w:right w:val="single" w:sz="4" w:space="0" w:color="FFFFFF"/>
            </w:tcBorders>
            <w:shd w:val="clear" w:color="000000" w:fill="FFFFFF"/>
            <w:vAlign w:val="bottom"/>
            <w:hideMark/>
          </w:tcPr>
          <w:p w14:paraId="46822B14"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 xml:space="preserve">-£   1.98 </w:t>
            </w:r>
          </w:p>
        </w:tc>
        <w:tc>
          <w:tcPr>
            <w:tcW w:w="618" w:type="pct"/>
            <w:tcBorders>
              <w:top w:val="nil"/>
              <w:left w:val="nil"/>
              <w:bottom w:val="single" w:sz="4" w:space="0" w:color="FFFFFF"/>
              <w:right w:val="single" w:sz="4" w:space="0" w:color="FFFFFF"/>
            </w:tcBorders>
            <w:shd w:val="clear" w:color="000000" w:fill="FFFFFF"/>
            <w:vAlign w:val="bottom"/>
            <w:hideMark/>
          </w:tcPr>
          <w:p w14:paraId="0ABB8479"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1.04</w:t>
            </w:r>
          </w:p>
        </w:tc>
        <w:tc>
          <w:tcPr>
            <w:tcW w:w="1304" w:type="pct"/>
            <w:tcBorders>
              <w:top w:val="nil"/>
              <w:left w:val="nil"/>
              <w:bottom w:val="single" w:sz="4" w:space="0" w:color="FFFFFF"/>
              <w:right w:val="single" w:sz="4" w:space="0" w:color="FFFFFF"/>
            </w:tcBorders>
            <w:shd w:val="clear" w:color="000000" w:fill="FFFFFF"/>
            <w:noWrap/>
            <w:vAlign w:val="bottom"/>
            <w:hideMark/>
          </w:tcPr>
          <w:p w14:paraId="56D5C024"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Not Recovered</w:t>
            </w:r>
          </w:p>
        </w:tc>
        <w:tc>
          <w:tcPr>
            <w:tcW w:w="767" w:type="pct"/>
            <w:tcBorders>
              <w:top w:val="nil"/>
              <w:left w:val="nil"/>
              <w:bottom w:val="single" w:sz="4" w:space="0" w:color="FFFFFF"/>
              <w:right w:val="single" w:sz="4" w:space="0" w:color="FFFFFF"/>
            </w:tcBorders>
            <w:shd w:val="clear" w:color="000000" w:fill="FFFFFF"/>
            <w:noWrap/>
            <w:vAlign w:val="bottom"/>
            <w:hideMark/>
          </w:tcPr>
          <w:p w14:paraId="61390908"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8.59%</w:t>
            </w:r>
          </w:p>
        </w:tc>
        <w:tc>
          <w:tcPr>
            <w:tcW w:w="736" w:type="pct"/>
            <w:tcBorders>
              <w:top w:val="nil"/>
              <w:left w:val="nil"/>
              <w:bottom w:val="single" w:sz="4" w:space="0" w:color="FFFFFF"/>
              <w:right w:val="single" w:sz="4" w:space="0" w:color="FFFFFF"/>
            </w:tcBorders>
            <w:shd w:val="clear" w:color="000000" w:fill="FFFFFF"/>
            <w:noWrap/>
            <w:vAlign w:val="bottom"/>
            <w:hideMark/>
          </w:tcPr>
          <w:p w14:paraId="641C5D95" w14:textId="77777777" w:rsidR="008E71D7" w:rsidRPr="008E71D7" w:rsidRDefault="008E71D7" w:rsidP="008E71D7">
            <w:pPr>
              <w:spacing w:before="0" w:after="0" w:line="240" w:lineRule="auto"/>
              <w:jc w:val="center"/>
              <w:rPr>
                <w:rFonts w:ascii="Arial" w:hAnsi="Arial" w:cs="Arial"/>
                <w:color w:val="000000"/>
                <w:lang w:val="en-IN"/>
              </w:rPr>
            </w:pPr>
            <w:r w:rsidRPr="008E71D7">
              <w:rPr>
                <w:rFonts w:ascii="Arial" w:hAnsi="Arial" w:cs="Arial"/>
                <w:color w:val="000000"/>
                <w:lang w:val="en-IN"/>
              </w:rPr>
              <w:t>6.00%</w:t>
            </w:r>
          </w:p>
        </w:tc>
      </w:tr>
    </w:tbl>
    <w:p w14:paraId="35280579" w14:textId="77777777" w:rsidR="00B43BDF" w:rsidRDefault="001A7620" w:rsidP="008E71D7">
      <w:pPr>
        <w:jc w:val="center"/>
        <w:rPr>
          <w:rFonts w:ascii="Arial" w:eastAsia="Arial" w:hAnsi="Arial" w:cs="Arial"/>
        </w:rPr>
      </w:pPr>
      <w:r>
        <w:rPr>
          <w:rFonts w:ascii="Arial" w:eastAsia="Arial" w:hAnsi="Arial" w:cs="Arial"/>
        </w:rPr>
        <w:t>(Source: MS-Excel)</w:t>
      </w:r>
    </w:p>
    <w:p w14:paraId="5B66BFAF" w14:textId="77777777" w:rsidR="00B43BDF" w:rsidRDefault="00B43BDF">
      <w:pPr>
        <w:rPr>
          <w:rFonts w:ascii="Arial" w:eastAsia="Arial" w:hAnsi="Arial" w:cs="Arial"/>
        </w:rPr>
      </w:pPr>
    </w:p>
    <w:sectPr w:rsidR="00B43BDF" w:rsidSect="00ED241E">
      <w:footerReference w:type="default" r:id="rId42"/>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9B1922" w14:textId="77777777" w:rsidR="00D9370C" w:rsidRDefault="00D9370C">
      <w:pPr>
        <w:spacing w:before="0" w:after="0" w:line="240" w:lineRule="auto"/>
      </w:pPr>
      <w:r>
        <w:separator/>
      </w:r>
    </w:p>
  </w:endnote>
  <w:endnote w:type="continuationSeparator" w:id="0">
    <w:p w14:paraId="213BA0E0" w14:textId="77777777" w:rsidR="00D9370C" w:rsidRDefault="00D9370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F748100-E2BD-4D0C-AEBC-ED7207C587CE}"/>
  </w:font>
  <w:font w:name="Aptos Narrow">
    <w:charset w:val="00"/>
    <w:family w:val="swiss"/>
    <w:pitch w:val="variable"/>
    <w:sig w:usb0="20000287" w:usb1="00000003" w:usb2="00000000" w:usb3="00000000" w:csb0="0000019F" w:csb1="00000000"/>
    <w:embedRegular r:id="rId2" w:fontKey="{4A7C938A-D7BD-44B7-9731-63801820DA89}"/>
  </w:font>
  <w:font w:name="Calibri">
    <w:panose1 w:val="020F0502020204030204"/>
    <w:charset w:val="00"/>
    <w:family w:val="swiss"/>
    <w:pitch w:val="variable"/>
    <w:sig w:usb0="E4002EFF" w:usb1="C200247B" w:usb2="00000009" w:usb3="00000000" w:csb0="000001FF" w:csb1="00000000"/>
    <w:embedRegular r:id="rId3" w:fontKey="{D795F2C1-3225-472B-9464-17C179136A84}"/>
  </w:font>
  <w:font w:name="Cambria">
    <w:panose1 w:val="02040503050406030204"/>
    <w:charset w:val="00"/>
    <w:family w:val="roman"/>
    <w:pitch w:val="variable"/>
    <w:sig w:usb0="E00006FF" w:usb1="420024FF" w:usb2="02000000" w:usb3="00000000" w:csb0="0000019F" w:csb1="00000000"/>
    <w:embedRegular r:id="rId4" w:fontKey="{EB977988-BAE4-42F6-B3A2-B4EA485C337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72C33E" w14:textId="77777777" w:rsidR="001A7620" w:rsidRPr="008E71D7" w:rsidRDefault="001A7620">
    <w:pPr>
      <w:jc w:val="right"/>
      <w:rPr>
        <w:rFonts w:ascii="Arial" w:eastAsia="Arial" w:hAnsi="Arial" w:cs="Arial"/>
        <w:sz w:val="20"/>
        <w:szCs w:val="20"/>
      </w:rPr>
    </w:pPr>
    <w:r w:rsidRPr="008E71D7">
      <w:rPr>
        <w:rFonts w:ascii="Arial" w:eastAsia="Arial" w:hAnsi="Arial" w:cs="Arial"/>
        <w:sz w:val="20"/>
        <w:szCs w:val="20"/>
      </w:rPr>
      <w:fldChar w:fldCharType="begin"/>
    </w:r>
    <w:r w:rsidRPr="008E71D7">
      <w:rPr>
        <w:rFonts w:ascii="Arial" w:eastAsia="Arial" w:hAnsi="Arial" w:cs="Arial"/>
        <w:sz w:val="20"/>
        <w:szCs w:val="20"/>
      </w:rPr>
      <w:instrText>PAGE</w:instrText>
    </w:r>
    <w:r w:rsidRPr="008E71D7">
      <w:rPr>
        <w:rFonts w:ascii="Arial" w:eastAsia="Arial" w:hAnsi="Arial" w:cs="Arial"/>
        <w:sz w:val="20"/>
        <w:szCs w:val="20"/>
      </w:rPr>
      <w:fldChar w:fldCharType="separate"/>
    </w:r>
    <w:r w:rsidR="00220F6C">
      <w:rPr>
        <w:rFonts w:ascii="Arial" w:eastAsia="Arial" w:hAnsi="Arial" w:cs="Arial"/>
        <w:noProof/>
        <w:sz w:val="20"/>
        <w:szCs w:val="20"/>
      </w:rPr>
      <w:t>3</w:t>
    </w:r>
    <w:r w:rsidRPr="008E71D7">
      <w:rPr>
        <w:rFonts w:ascii="Arial" w:eastAsia="Arial" w:hAnsi="Arial" w:cs="Arial"/>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0EA6DC" w14:textId="77777777" w:rsidR="00D9370C" w:rsidRDefault="00D9370C">
      <w:pPr>
        <w:spacing w:before="0" w:after="0" w:line="240" w:lineRule="auto"/>
      </w:pPr>
      <w:r>
        <w:separator/>
      </w:r>
    </w:p>
  </w:footnote>
  <w:footnote w:type="continuationSeparator" w:id="0">
    <w:p w14:paraId="75494510" w14:textId="77777777" w:rsidR="00D9370C" w:rsidRDefault="00D9370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3BDF"/>
    <w:rsid w:val="000D73C2"/>
    <w:rsid w:val="001A7620"/>
    <w:rsid w:val="00220F6C"/>
    <w:rsid w:val="00682543"/>
    <w:rsid w:val="006E7E26"/>
    <w:rsid w:val="007779EF"/>
    <w:rsid w:val="008714AC"/>
    <w:rsid w:val="008E71D7"/>
    <w:rsid w:val="00A06B20"/>
    <w:rsid w:val="00A26390"/>
    <w:rsid w:val="00B43BDF"/>
    <w:rsid w:val="00D621C8"/>
    <w:rsid w:val="00D9370C"/>
    <w:rsid w:val="00ED24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DD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8E71D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E71D7"/>
  </w:style>
  <w:style w:type="paragraph" w:styleId="Footer">
    <w:name w:val="footer"/>
    <w:basedOn w:val="Normal"/>
    <w:link w:val="FooterChar"/>
    <w:uiPriority w:val="99"/>
    <w:unhideWhenUsed/>
    <w:rsid w:val="008E71D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E71D7"/>
  </w:style>
  <w:style w:type="paragraph" w:styleId="TOC1">
    <w:name w:val="toc 1"/>
    <w:basedOn w:val="Normal"/>
    <w:next w:val="Normal"/>
    <w:autoRedefine/>
    <w:uiPriority w:val="39"/>
    <w:unhideWhenUsed/>
    <w:rsid w:val="008E71D7"/>
    <w:pPr>
      <w:spacing w:after="100"/>
    </w:pPr>
  </w:style>
  <w:style w:type="paragraph" w:styleId="TOC2">
    <w:name w:val="toc 2"/>
    <w:basedOn w:val="Normal"/>
    <w:next w:val="Normal"/>
    <w:autoRedefine/>
    <w:uiPriority w:val="39"/>
    <w:unhideWhenUsed/>
    <w:rsid w:val="008E71D7"/>
    <w:pPr>
      <w:spacing w:after="100"/>
      <w:ind w:left="240"/>
    </w:pPr>
  </w:style>
  <w:style w:type="character" w:styleId="Hyperlink">
    <w:name w:val="Hyperlink"/>
    <w:basedOn w:val="DefaultParagraphFont"/>
    <w:uiPriority w:val="99"/>
    <w:unhideWhenUsed/>
    <w:rsid w:val="008E71D7"/>
    <w:rPr>
      <w:color w:val="0000FF" w:themeColor="hyperlink"/>
      <w:u w:val="single"/>
    </w:rPr>
  </w:style>
  <w:style w:type="character" w:customStyle="1" w:styleId="UnresolvedMention">
    <w:name w:val="Unresolved Mention"/>
    <w:basedOn w:val="DefaultParagraphFont"/>
    <w:uiPriority w:val="99"/>
    <w:semiHidden/>
    <w:unhideWhenUsed/>
    <w:rsid w:val="008E71D7"/>
    <w:rPr>
      <w:color w:val="605E5C"/>
      <w:shd w:val="clear" w:color="auto" w:fill="E1DFDD"/>
    </w:rPr>
  </w:style>
  <w:style w:type="paragraph" w:styleId="BalloonText">
    <w:name w:val="Balloon Text"/>
    <w:basedOn w:val="Normal"/>
    <w:link w:val="BalloonTextChar"/>
    <w:uiPriority w:val="99"/>
    <w:semiHidden/>
    <w:unhideWhenUsed/>
    <w:rsid w:val="001A762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2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8E71D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E71D7"/>
  </w:style>
  <w:style w:type="paragraph" w:styleId="Footer">
    <w:name w:val="footer"/>
    <w:basedOn w:val="Normal"/>
    <w:link w:val="FooterChar"/>
    <w:uiPriority w:val="99"/>
    <w:unhideWhenUsed/>
    <w:rsid w:val="008E71D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E71D7"/>
  </w:style>
  <w:style w:type="paragraph" w:styleId="TOC1">
    <w:name w:val="toc 1"/>
    <w:basedOn w:val="Normal"/>
    <w:next w:val="Normal"/>
    <w:autoRedefine/>
    <w:uiPriority w:val="39"/>
    <w:unhideWhenUsed/>
    <w:rsid w:val="008E71D7"/>
    <w:pPr>
      <w:spacing w:after="100"/>
    </w:pPr>
  </w:style>
  <w:style w:type="paragraph" w:styleId="TOC2">
    <w:name w:val="toc 2"/>
    <w:basedOn w:val="Normal"/>
    <w:next w:val="Normal"/>
    <w:autoRedefine/>
    <w:uiPriority w:val="39"/>
    <w:unhideWhenUsed/>
    <w:rsid w:val="008E71D7"/>
    <w:pPr>
      <w:spacing w:after="100"/>
      <w:ind w:left="240"/>
    </w:pPr>
  </w:style>
  <w:style w:type="character" w:styleId="Hyperlink">
    <w:name w:val="Hyperlink"/>
    <w:basedOn w:val="DefaultParagraphFont"/>
    <w:uiPriority w:val="99"/>
    <w:unhideWhenUsed/>
    <w:rsid w:val="008E71D7"/>
    <w:rPr>
      <w:color w:val="0000FF" w:themeColor="hyperlink"/>
      <w:u w:val="single"/>
    </w:rPr>
  </w:style>
  <w:style w:type="character" w:customStyle="1" w:styleId="UnresolvedMention">
    <w:name w:val="Unresolved Mention"/>
    <w:basedOn w:val="DefaultParagraphFont"/>
    <w:uiPriority w:val="99"/>
    <w:semiHidden/>
    <w:unhideWhenUsed/>
    <w:rsid w:val="008E71D7"/>
    <w:rPr>
      <w:color w:val="605E5C"/>
      <w:shd w:val="clear" w:color="auto" w:fill="E1DFDD"/>
    </w:rPr>
  </w:style>
  <w:style w:type="paragraph" w:styleId="BalloonText">
    <w:name w:val="Balloon Text"/>
    <w:basedOn w:val="Normal"/>
    <w:link w:val="BalloonTextChar"/>
    <w:uiPriority w:val="99"/>
    <w:semiHidden/>
    <w:unhideWhenUsed/>
    <w:rsid w:val="001A762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62724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lseee.net/index.php/fe/article/view/133" TargetMode="External"/><Relationship Id="rId26" Type="http://schemas.openxmlformats.org/officeDocument/2006/relationships/hyperlink" Target="https://ir.tesla.com/_flysystem/s3/sec/000156459021004599/tsla-10k_20201231-gen.pdf" TargetMode="External"/><Relationship Id="rId39"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atlantis-press.com/proceedings/icemed-25/126014965" TargetMode="External"/><Relationship Id="rId34" Type="http://schemas.openxmlformats.org/officeDocument/2006/relationships/hyperlink" Target="https://francis-press.com/uploads/papers/jGqe9rYXp8PFC9zZlXBttXIYFZ69IyQ6eZ2tgps2.pdf" TargetMode="External"/><Relationship Id="rId42" Type="http://schemas.openxmlformats.org/officeDocument/2006/relationships/footer" Target="footer1.xml"/><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hyperlink" Target="https://www.utupub.fi/bitstream/handle/10024/174431/Daylan_Arda_Thesis.pdf" TargetMode="External"/><Relationship Id="rId25" Type="http://schemas.openxmlformats.org/officeDocument/2006/relationships/hyperlink" Target="https://sk.sagepub.com/cases/tesla-branding-strategies-for-new-products" TargetMode="External"/><Relationship Id="rId33" Type="http://schemas.openxmlformats.org/officeDocument/2006/relationships/hyperlink" Target="https://link.springer.com/chapter/10.1007/978-981-97-0523-8_163" TargetMode="External"/><Relationship Id="rId38" Type="http://schemas.openxmlformats.org/officeDocument/2006/relationships/image" Target="media/image11.png"/><Relationship Id="rId2" Type="http://schemas.microsoft.com/office/2007/relationships/stylesWithEffects" Target="stylesWithEffects.xml"/><Relationship Id="rId16" Type="http://schemas.openxmlformats.org/officeDocument/2006/relationships/hyperlink" Target="https://heinonline.org/hol-cgi-bin/get_pdf.cgi?handle=hein.journals/rusjj2025&amp;section=60" TargetMode="External"/><Relationship Id="rId20" Type="http://schemas.openxmlformats.org/officeDocument/2006/relationships/hyperlink" Target="https://link.springer.com/chapter/10.1007/978-3-031-83911-5_21" TargetMode="External"/><Relationship Id="rId29" Type="http://schemas.openxmlformats.org/officeDocument/2006/relationships/hyperlink" Target="https://ir.tesla.com/_flysystem/s3/sec/000162828024002390/tsla-20231231-gen.pdf" TargetMode="External"/><Relationship Id="rId41" Type="http://schemas.openxmlformats.org/officeDocument/2006/relationships/chart" Target="charts/chart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rjweb.com/user_upload/Innovative%20The%20Future%20Application%20of%20Design%20Thinking%20in%20Tesla.pdf" TargetMode="External"/><Relationship Id="rId32" Type="http://schemas.openxmlformats.org/officeDocument/2006/relationships/hyperlink" Target="https://research-api.cbs.dk/ws/portalfiles/portal/108049434/1850915_MASTERS_THESIS_FINAL_TESLA_.pdf" TargetMode="External"/><Relationship Id="rId37" Type="http://schemas.openxmlformats.org/officeDocument/2006/relationships/image" Target="media/image10.png"/><Relationship Id="rId40"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hyperlink" Target="https://digitalcommons.newhaven.edu/cgi/viewcontent.cgi?article=3214&amp;context=americanbusinessreview" TargetMode="External"/><Relationship Id="rId23" Type="http://schemas.openxmlformats.org/officeDocument/2006/relationships/hyperlink" Target="https://www.academia.edu/download/124198295/Accelerating_the_Future_Tesla_Market_Strategy_and_Growth_Opportunities.pdf" TargetMode="External"/><Relationship Id="rId28" Type="http://schemas.openxmlformats.org/officeDocument/2006/relationships/hyperlink" Target="https://ir.tesla.com/_flysystem/s3/sec/000095017023001409/tsla-20221231-gen.pdf" TargetMode="External"/><Relationship Id="rId36"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papers.ssrn.com/sol3/Delivery.cfm?abstractid=4973602" TargetMode="External"/><Relationship Id="rId31" Type="http://schemas.openxmlformats.org/officeDocument/2006/relationships/hyperlink" Target="https://www.tesla.co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ure.northampton.ac.uk/ws/portalfiles/portal/71668258/Akakpo_et_al_2024_A_Study_of_Tesla_Twenty-First_Century_Organizational_Strategy_as_Nexus_Between_Foresight_and_Futures_Thinking.pdf" TargetMode="External"/><Relationship Id="rId22" Type="http://schemas.openxmlformats.org/officeDocument/2006/relationships/hyperlink" Target="http://oacases.com/index.php/cases/article/download/3/16" TargetMode="External"/><Relationship Id="rId27" Type="http://schemas.openxmlformats.org/officeDocument/2006/relationships/hyperlink" Target="https://ir.tesla.com/_flysystem/s3/sec/000095017021002253/tsla-20210930-gen.pdf" TargetMode="External"/><Relationship Id="rId30" Type="http://schemas.openxmlformats.org/officeDocument/2006/relationships/hyperlink" Target="https://ir.tesla.com/_flysystem/s3/sec/000162828025003063/tsla-20241231-gen.pdf" TargetMode="External"/><Relationship Id="rId35" Type="http://schemas.openxmlformats.org/officeDocument/2006/relationships/image" Target="media/image8.png"/><Relationship Id="rId43"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1" Type="http://schemas.openxmlformats.org/officeDocument/2006/relationships/oleObject" Target="file:///C:\Users\soyam\OneDrive\&#12489;&#12461;&#12517;&#12513;&#12531;&#12488;\FL\Rinki_FL\2026\April_2026\20-04-2026%20to%2023-04-2026\LCMB7002_Tesla%20(Hira)\LCMB7002_Tesla%20(Hir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sz="1600"/>
              <a:t>Cash Operating Cycle</a:t>
            </a:r>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37E2-48B8-835B-7A91A62EF2A3}"/>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37E2-48B8-835B-7A91A62EF2A3}"/>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37E2-48B8-835B-7A91A62EF2A3}"/>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37E2-48B8-835B-7A91A62EF2A3}"/>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37E2-48B8-835B-7A91A62EF2A3}"/>
              </c:ext>
            </c:extLst>
          </c:dPt>
          <c:dLbls>
            <c:spPr>
              <a:solidFill>
                <a:schemeClr val="bg1"/>
              </a:solid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numRef>
              <c:f>CCC!$E$3:$I$3</c:f>
              <c:numCache>
                <c:formatCode>General</c:formatCode>
                <c:ptCount val="5"/>
                <c:pt idx="0">
                  <c:v>2024</c:v>
                </c:pt>
                <c:pt idx="1">
                  <c:v>2023</c:v>
                </c:pt>
                <c:pt idx="2">
                  <c:v>2022</c:v>
                </c:pt>
                <c:pt idx="3">
                  <c:v>2021</c:v>
                </c:pt>
                <c:pt idx="4">
                  <c:v>2020</c:v>
                </c:pt>
              </c:numCache>
            </c:numRef>
          </c:cat>
          <c:val>
            <c:numRef>
              <c:f>CCC!$E$16:$I$16</c:f>
              <c:numCache>
                <c:formatCode>0</c:formatCode>
                <c:ptCount val="5"/>
                <c:pt idx="0">
                  <c:v>14.799518886272914</c:v>
                </c:pt>
                <c:pt idx="1">
                  <c:v>10.19494073760243</c:v>
                </c:pt>
                <c:pt idx="2">
                  <c:v>2.4016105668900849</c:v>
                </c:pt>
                <c:pt idx="3">
                  <c:v>-15.970402987570367</c:v>
                </c:pt>
                <c:pt idx="4">
                  <c:v>-0.74074074074074758</c:v>
                </c:pt>
              </c:numCache>
            </c:numRef>
          </c:val>
          <c:extLst xmlns:c16r2="http://schemas.microsoft.com/office/drawing/2015/06/chart">
            <c:ext xmlns:c16="http://schemas.microsoft.com/office/drawing/2014/chart" uri="{C3380CC4-5D6E-409C-BE32-E72D297353CC}">
              <c16:uniqueId val="{0000000A-37E2-48B8-835B-7A91A62EF2A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a:scene3d>
      <a:camera prst="orthographicFront"/>
      <a:lightRig rig="threePt" dir="t"/>
    </a:scene3d>
    <a:sp3d>
      <a:bevelT w="139700" h="139700"/>
    </a:sp3d>
  </c:spPr>
  <c:txPr>
    <a:bodyPr/>
    <a:lstStyle/>
    <a:p>
      <a:pPr>
        <a:defRPr b="1">
          <a:latin typeface="Arial" panose="020B0604020202020204" pitchFamily="34" charset="0"/>
          <a:cs typeface="Arial" panose="020B0604020202020204" pitchFamily="34"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33</Pages>
  <Words>7458</Words>
  <Characters>42512</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2026-04-23T10:41:00Z</dcterms:created>
  <dcterms:modified xsi:type="dcterms:W3CDTF">2026-04-23T10:41:00Z</dcterms:modified>
</cp:coreProperties>
</file>