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0B56F91" w14:textId="48C4D133" w:rsidR="00F37CE8" w:rsidRDefault="00F37CE8" w:rsidP="00F37CE8">
      <w:pPr>
        <w:pStyle w:val="Heading2"/>
        <w:jc w:val="center"/>
      </w:pPr>
      <w:r>
        <w:t>P</w:t>
      </w:r>
      <w:r>
        <w:t>orters</w:t>
      </w:r>
      <w:r>
        <w:t xml:space="preserve"> 5 Forces Model </w:t>
      </w:r>
      <w:r>
        <w:t xml:space="preserve">for </w:t>
      </w:r>
      <w:r>
        <w:t>H</w:t>
      </w:r>
      <w:r>
        <w:t>o</w:t>
      </w:r>
      <w:r>
        <w:t>s</w:t>
      </w:r>
      <w:r>
        <w:t>tel</w:t>
      </w:r>
    </w:p>
    <w:p w14:paraId="7B860F00" w14:textId="77777777" w:rsidR="00F37CE8" w:rsidRDefault="00F37CE8" w:rsidP="00F37CE8"/>
    <w:tbl>
      <w:tblPr>
        <w:tblStyle w:val="TableGrid"/>
        <w:tblW w:w="15021" w:type="dxa"/>
        <w:tblLook w:val="04A0" w:firstRow="1" w:lastRow="0" w:firstColumn="1" w:lastColumn="0" w:noHBand="0" w:noVBand="1"/>
      </w:tblPr>
      <w:tblGrid>
        <w:gridCol w:w="3005"/>
        <w:gridCol w:w="3005"/>
        <w:gridCol w:w="9011"/>
      </w:tblGrid>
      <w:tr w:rsidR="00F37CE8" w14:paraId="0546D33A" w14:textId="77777777" w:rsidTr="00E6579E">
        <w:tc>
          <w:tcPr>
            <w:tcW w:w="3005" w:type="dxa"/>
            <w:shd w:val="clear" w:color="auto" w:fill="C1F0C7" w:themeFill="accent3" w:themeFillTint="33"/>
          </w:tcPr>
          <w:p w14:paraId="60FA609E" w14:textId="77777777" w:rsidR="00F37CE8" w:rsidRPr="00437E35" w:rsidRDefault="00F37CE8" w:rsidP="00DB3D99">
            <w:pPr>
              <w:jc w:val="center"/>
              <w:rPr>
                <w:rFonts w:ascii="Arial" w:hAnsi="Arial" w:cs="Arial"/>
              </w:rPr>
            </w:pPr>
            <w:r w:rsidRPr="00437E35">
              <w:rPr>
                <w:rFonts w:ascii="Arial" w:hAnsi="Arial" w:cs="Arial"/>
                <w:b/>
                <w:bCs/>
              </w:rPr>
              <w:t>Force</w:t>
            </w:r>
          </w:p>
        </w:tc>
        <w:tc>
          <w:tcPr>
            <w:tcW w:w="3005" w:type="dxa"/>
            <w:shd w:val="clear" w:color="auto" w:fill="C1F0C7" w:themeFill="accent3" w:themeFillTint="33"/>
          </w:tcPr>
          <w:p w14:paraId="005983B7" w14:textId="77777777" w:rsidR="00F37CE8" w:rsidRPr="00437E35" w:rsidRDefault="00F37CE8" w:rsidP="00DB3D99">
            <w:pPr>
              <w:jc w:val="center"/>
              <w:rPr>
                <w:rFonts w:ascii="Arial" w:hAnsi="Arial" w:cs="Arial"/>
              </w:rPr>
            </w:pPr>
            <w:r w:rsidRPr="00437E35">
              <w:rPr>
                <w:rFonts w:ascii="Arial" w:hAnsi="Arial" w:cs="Arial"/>
                <w:b/>
                <w:bCs/>
              </w:rPr>
              <w:t>Intensity</w:t>
            </w:r>
            <w:r w:rsidRPr="00437E35">
              <w:rPr>
                <w:rFonts w:ascii="Arial" w:hAnsi="Arial" w:cs="Arial"/>
                <w:b/>
                <w:bCs/>
              </w:rPr>
              <w:br/>
              <w:t>(Low/Medium/High)</w:t>
            </w:r>
          </w:p>
        </w:tc>
        <w:tc>
          <w:tcPr>
            <w:tcW w:w="9011" w:type="dxa"/>
            <w:shd w:val="clear" w:color="auto" w:fill="C1F0C7" w:themeFill="accent3" w:themeFillTint="33"/>
          </w:tcPr>
          <w:p w14:paraId="051EAFB1" w14:textId="77777777" w:rsidR="00F37CE8" w:rsidRPr="00437E35" w:rsidRDefault="00F37CE8" w:rsidP="00DB3D99">
            <w:pPr>
              <w:jc w:val="center"/>
              <w:rPr>
                <w:rFonts w:ascii="Arial" w:hAnsi="Arial" w:cs="Arial"/>
              </w:rPr>
            </w:pPr>
            <w:r w:rsidRPr="00437E35">
              <w:rPr>
                <w:rFonts w:ascii="Arial" w:hAnsi="Arial" w:cs="Arial"/>
                <w:b/>
                <w:bCs/>
              </w:rPr>
              <w:t>Reasons</w:t>
            </w:r>
          </w:p>
        </w:tc>
      </w:tr>
      <w:tr w:rsidR="00F37CE8" w14:paraId="0A8B91DB" w14:textId="77777777" w:rsidTr="00E6579E">
        <w:tc>
          <w:tcPr>
            <w:tcW w:w="3005" w:type="dxa"/>
            <w:shd w:val="clear" w:color="auto" w:fill="C1F0C7" w:themeFill="accent3" w:themeFillTint="33"/>
          </w:tcPr>
          <w:p w14:paraId="4E3DC802" w14:textId="77777777" w:rsidR="00E6579E" w:rsidRPr="00E6579E" w:rsidRDefault="00E6579E" w:rsidP="00DB3D99">
            <w:pPr>
              <w:jc w:val="center"/>
              <w:rPr>
                <w:rFonts w:ascii="Arial" w:hAnsi="Arial" w:cs="Arial"/>
                <w:b/>
                <w:bCs/>
              </w:rPr>
            </w:pPr>
          </w:p>
          <w:p w14:paraId="240B2C9F" w14:textId="77777777" w:rsidR="00E6579E" w:rsidRPr="00E6579E" w:rsidRDefault="00E6579E" w:rsidP="00DB3D99">
            <w:pPr>
              <w:jc w:val="center"/>
              <w:rPr>
                <w:rFonts w:ascii="Arial" w:hAnsi="Arial" w:cs="Arial"/>
                <w:b/>
                <w:bCs/>
              </w:rPr>
            </w:pPr>
          </w:p>
          <w:p w14:paraId="09220338" w14:textId="332EC368" w:rsidR="00F37CE8" w:rsidRPr="00E6579E" w:rsidRDefault="00F37CE8" w:rsidP="00DB3D99">
            <w:pPr>
              <w:jc w:val="center"/>
              <w:rPr>
                <w:rFonts w:ascii="Arial" w:hAnsi="Arial" w:cs="Arial"/>
                <w:b/>
                <w:bCs/>
              </w:rPr>
            </w:pPr>
            <w:r w:rsidRPr="00E6579E">
              <w:rPr>
                <w:rFonts w:ascii="Arial" w:hAnsi="Arial" w:cs="Arial"/>
                <w:b/>
                <w:bCs/>
              </w:rPr>
              <w:t>Industry Rivalry</w:t>
            </w:r>
          </w:p>
        </w:tc>
        <w:tc>
          <w:tcPr>
            <w:tcW w:w="3005" w:type="dxa"/>
            <w:shd w:val="clear" w:color="auto" w:fill="C1F0C7" w:themeFill="accent3" w:themeFillTint="33"/>
          </w:tcPr>
          <w:p w14:paraId="1FFAFE40" w14:textId="77777777" w:rsidR="00E6579E" w:rsidRPr="00E6579E" w:rsidRDefault="00E6579E" w:rsidP="00DB3D99">
            <w:pPr>
              <w:jc w:val="center"/>
              <w:rPr>
                <w:rFonts w:ascii="Arial" w:hAnsi="Arial" w:cs="Arial"/>
                <w:b/>
                <w:bCs/>
              </w:rPr>
            </w:pPr>
          </w:p>
          <w:p w14:paraId="2DA9B7AC" w14:textId="77777777" w:rsidR="00E6579E" w:rsidRPr="00E6579E" w:rsidRDefault="00E6579E" w:rsidP="00DB3D99">
            <w:pPr>
              <w:jc w:val="center"/>
              <w:rPr>
                <w:rFonts w:ascii="Arial" w:hAnsi="Arial" w:cs="Arial"/>
                <w:b/>
                <w:bCs/>
              </w:rPr>
            </w:pPr>
          </w:p>
          <w:p w14:paraId="78E22FE8" w14:textId="7AF89644" w:rsidR="00F37CE8" w:rsidRPr="00E6579E" w:rsidRDefault="00F37CE8" w:rsidP="00DB3D99">
            <w:pPr>
              <w:jc w:val="center"/>
              <w:rPr>
                <w:rFonts w:ascii="Arial" w:hAnsi="Arial" w:cs="Arial"/>
                <w:b/>
                <w:bCs/>
              </w:rPr>
            </w:pPr>
            <w:r w:rsidRPr="00E6579E">
              <w:rPr>
                <w:rFonts w:ascii="Arial" w:hAnsi="Arial" w:cs="Arial"/>
                <w:b/>
                <w:bCs/>
              </w:rPr>
              <w:t>High</w:t>
            </w:r>
          </w:p>
        </w:tc>
        <w:tc>
          <w:tcPr>
            <w:tcW w:w="9011" w:type="dxa"/>
            <w:shd w:val="clear" w:color="auto" w:fill="C1F0C7" w:themeFill="accent3" w:themeFillTint="33"/>
          </w:tcPr>
          <w:p w14:paraId="1854DC13" w14:textId="6E099BD7" w:rsidR="00F37CE8" w:rsidRPr="00437E35" w:rsidRDefault="00F37CE8" w:rsidP="00DB3D99">
            <w:pPr>
              <w:rPr>
                <w:rFonts w:ascii="Arial" w:hAnsi="Arial" w:cs="Arial"/>
              </w:rPr>
            </w:pPr>
            <w:r w:rsidRPr="006931A2">
              <w:rPr>
                <w:rFonts w:ascii="Arial" w:hAnsi="Arial" w:cs="Arial"/>
              </w:rPr>
              <w:t xml:space="preserve">There is fierce competition in the hostel sector, particularly in areas that are well-liked by tourists. Hostels frequently concentrate on establishing a distinctive ambiance, hosting social gatherings, or offering cultural immersion experiences </w:t>
            </w:r>
            <w:r w:rsidR="00E6579E" w:rsidRPr="006931A2">
              <w:rPr>
                <w:rFonts w:ascii="Arial" w:hAnsi="Arial" w:cs="Arial"/>
              </w:rPr>
              <w:t>to</w:t>
            </w:r>
            <w:r w:rsidRPr="006931A2">
              <w:rPr>
                <w:rFonts w:ascii="Arial" w:hAnsi="Arial" w:cs="Arial"/>
              </w:rPr>
              <w:t xml:space="preserve"> stand out. Rivalry is further heightened by price competition, particularly through internet booking platforms</w:t>
            </w:r>
            <w:r>
              <w:rPr>
                <w:rFonts w:ascii="Arial" w:hAnsi="Arial" w:cs="Arial"/>
              </w:rPr>
              <w:t xml:space="preserve"> </w:t>
            </w:r>
            <w:r w:rsidRPr="00DE2F5B">
              <w:rPr>
                <w:rFonts w:ascii="Arial" w:hAnsi="Arial" w:cs="Arial"/>
              </w:rPr>
              <w:t>(Nonaka, 2023)</w:t>
            </w:r>
            <w:r>
              <w:rPr>
                <w:rFonts w:ascii="Arial" w:hAnsi="Arial" w:cs="Arial"/>
              </w:rPr>
              <w:t>.</w:t>
            </w:r>
          </w:p>
        </w:tc>
      </w:tr>
      <w:tr w:rsidR="00F37CE8" w14:paraId="7BDEA658" w14:textId="77777777" w:rsidTr="00E6579E">
        <w:tc>
          <w:tcPr>
            <w:tcW w:w="3005" w:type="dxa"/>
            <w:shd w:val="clear" w:color="auto" w:fill="C1F0C7" w:themeFill="accent3" w:themeFillTint="33"/>
          </w:tcPr>
          <w:p w14:paraId="4801DAA7" w14:textId="77777777" w:rsidR="00E6579E" w:rsidRPr="00E6579E" w:rsidRDefault="00E6579E" w:rsidP="00DB3D99">
            <w:pPr>
              <w:jc w:val="center"/>
              <w:rPr>
                <w:rFonts w:ascii="Arial" w:hAnsi="Arial" w:cs="Arial"/>
                <w:b/>
                <w:bCs/>
              </w:rPr>
            </w:pPr>
          </w:p>
          <w:p w14:paraId="264F0278" w14:textId="77777777" w:rsidR="00E6579E" w:rsidRPr="00E6579E" w:rsidRDefault="00E6579E" w:rsidP="00DB3D99">
            <w:pPr>
              <w:jc w:val="center"/>
              <w:rPr>
                <w:rFonts w:ascii="Arial" w:hAnsi="Arial" w:cs="Arial"/>
                <w:b/>
                <w:bCs/>
              </w:rPr>
            </w:pPr>
          </w:p>
          <w:p w14:paraId="276746F1" w14:textId="0A2E1E59" w:rsidR="00F37CE8" w:rsidRPr="00E6579E" w:rsidRDefault="00F37CE8" w:rsidP="00DB3D99">
            <w:pPr>
              <w:jc w:val="center"/>
              <w:rPr>
                <w:rFonts w:ascii="Arial" w:hAnsi="Arial" w:cs="Arial"/>
                <w:b/>
                <w:bCs/>
              </w:rPr>
            </w:pPr>
            <w:r w:rsidRPr="00E6579E">
              <w:rPr>
                <w:rFonts w:ascii="Arial" w:hAnsi="Arial" w:cs="Arial"/>
                <w:b/>
                <w:bCs/>
              </w:rPr>
              <w:t>Supplier Power</w:t>
            </w:r>
          </w:p>
        </w:tc>
        <w:tc>
          <w:tcPr>
            <w:tcW w:w="3005" w:type="dxa"/>
            <w:shd w:val="clear" w:color="auto" w:fill="C1F0C7" w:themeFill="accent3" w:themeFillTint="33"/>
          </w:tcPr>
          <w:p w14:paraId="0D1A135F" w14:textId="77777777" w:rsidR="00E6579E" w:rsidRPr="00E6579E" w:rsidRDefault="00E6579E" w:rsidP="00DB3D99">
            <w:pPr>
              <w:jc w:val="center"/>
              <w:rPr>
                <w:rFonts w:ascii="Arial" w:hAnsi="Arial" w:cs="Arial"/>
                <w:b/>
                <w:bCs/>
              </w:rPr>
            </w:pPr>
          </w:p>
          <w:p w14:paraId="2A62B4AB" w14:textId="77777777" w:rsidR="00E6579E" w:rsidRPr="00E6579E" w:rsidRDefault="00E6579E" w:rsidP="00DB3D99">
            <w:pPr>
              <w:jc w:val="center"/>
              <w:rPr>
                <w:rFonts w:ascii="Arial" w:hAnsi="Arial" w:cs="Arial"/>
                <w:b/>
                <w:bCs/>
              </w:rPr>
            </w:pPr>
          </w:p>
          <w:p w14:paraId="401950DC" w14:textId="3C65D9D6" w:rsidR="00F37CE8" w:rsidRPr="00E6579E" w:rsidRDefault="00F37CE8" w:rsidP="00DB3D99">
            <w:pPr>
              <w:jc w:val="center"/>
              <w:rPr>
                <w:rFonts w:ascii="Arial" w:hAnsi="Arial" w:cs="Arial"/>
                <w:b/>
                <w:bCs/>
              </w:rPr>
            </w:pPr>
            <w:r w:rsidRPr="00E6579E">
              <w:rPr>
                <w:rFonts w:ascii="Arial" w:hAnsi="Arial" w:cs="Arial"/>
                <w:b/>
                <w:bCs/>
              </w:rPr>
              <w:t>Low</w:t>
            </w:r>
          </w:p>
        </w:tc>
        <w:tc>
          <w:tcPr>
            <w:tcW w:w="9011" w:type="dxa"/>
            <w:shd w:val="clear" w:color="auto" w:fill="C1F0C7" w:themeFill="accent3" w:themeFillTint="33"/>
          </w:tcPr>
          <w:p w14:paraId="263FE270" w14:textId="261172D5" w:rsidR="00F37CE8" w:rsidRPr="00437E35" w:rsidRDefault="00F37CE8" w:rsidP="00DB3D99">
            <w:pPr>
              <w:rPr>
                <w:rFonts w:ascii="Arial" w:hAnsi="Arial" w:cs="Arial"/>
              </w:rPr>
            </w:pPr>
            <w:r w:rsidRPr="00A42C39">
              <w:rPr>
                <w:rFonts w:ascii="Arial" w:hAnsi="Arial" w:cs="Arial"/>
              </w:rPr>
              <w:t>For food, cleaning supplies, linens, and other necessities, hostels need a variety of vendors. Since these products are typically common and offered by several vendors, switching costs are minimal and bargaining leverage is constrained. Because they buy in quantity, larger hostel chains</w:t>
            </w:r>
            <w:proofErr w:type="gramStart"/>
            <w:r w:rsidRPr="00A42C39">
              <w:rPr>
                <w:rFonts w:ascii="Arial" w:hAnsi="Arial" w:cs="Arial"/>
              </w:rPr>
              <w:t>, in particular, are</w:t>
            </w:r>
            <w:proofErr w:type="gramEnd"/>
            <w:r w:rsidRPr="00A42C39">
              <w:rPr>
                <w:rFonts w:ascii="Arial" w:hAnsi="Arial" w:cs="Arial"/>
              </w:rPr>
              <w:t xml:space="preserve"> able to negotiate advantageous prices</w:t>
            </w:r>
            <w:r w:rsidR="00E6579E">
              <w:rPr>
                <w:rFonts w:ascii="Arial" w:hAnsi="Arial" w:cs="Arial"/>
              </w:rPr>
              <w:t>.</w:t>
            </w:r>
          </w:p>
        </w:tc>
      </w:tr>
      <w:tr w:rsidR="00F37CE8" w14:paraId="0DFA587A" w14:textId="77777777" w:rsidTr="00E6579E">
        <w:tc>
          <w:tcPr>
            <w:tcW w:w="3005" w:type="dxa"/>
            <w:shd w:val="clear" w:color="auto" w:fill="C1F0C7" w:themeFill="accent3" w:themeFillTint="33"/>
          </w:tcPr>
          <w:p w14:paraId="69C8A82D" w14:textId="77777777" w:rsidR="00E6579E" w:rsidRPr="00E6579E" w:rsidRDefault="00E6579E" w:rsidP="00DB3D99">
            <w:pPr>
              <w:jc w:val="center"/>
              <w:rPr>
                <w:rFonts w:ascii="Arial" w:hAnsi="Arial" w:cs="Arial"/>
                <w:b/>
                <w:bCs/>
              </w:rPr>
            </w:pPr>
          </w:p>
          <w:p w14:paraId="6513DA92" w14:textId="77777777" w:rsidR="00E6579E" w:rsidRPr="00E6579E" w:rsidRDefault="00E6579E" w:rsidP="00DB3D99">
            <w:pPr>
              <w:jc w:val="center"/>
              <w:rPr>
                <w:rFonts w:ascii="Arial" w:hAnsi="Arial" w:cs="Arial"/>
                <w:b/>
                <w:bCs/>
              </w:rPr>
            </w:pPr>
          </w:p>
          <w:p w14:paraId="27A07EFF" w14:textId="51E8A522" w:rsidR="00F37CE8" w:rsidRPr="00E6579E" w:rsidRDefault="00F37CE8" w:rsidP="00DB3D99">
            <w:pPr>
              <w:jc w:val="center"/>
              <w:rPr>
                <w:rFonts w:ascii="Arial" w:hAnsi="Arial" w:cs="Arial"/>
                <w:b/>
                <w:bCs/>
              </w:rPr>
            </w:pPr>
            <w:r w:rsidRPr="00E6579E">
              <w:rPr>
                <w:rFonts w:ascii="Arial" w:hAnsi="Arial" w:cs="Arial"/>
                <w:b/>
                <w:bCs/>
              </w:rPr>
              <w:t>Buyer Power</w:t>
            </w:r>
          </w:p>
        </w:tc>
        <w:tc>
          <w:tcPr>
            <w:tcW w:w="3005" w:type="dxa"/>
            <w:shd w:val="clear" w:color="auto" w:fill="C1F0C7" w:themeFill="accent3" w:themeFillTint="33"/>
          </w:tcPr>
          <w:p w14:paraId="75862FEE" w14:textId="77777777" w:rsidR="00E6579E" w:rsidRPr="00E6579E" w:rsidRDefault="00E6579E" w:rsidP="00DB3D99">
            <w:pPr>
              <w:jc w:val="center"/>
              <w:rPr>
                <w:rFonts w:ascii="Arial" w:hAnsi="Arial" w:cs="Arial"/>
                <w:b/>
                <w:bCs/>
              </w:rPr>
            </w:pPr>
          </w:p>
          <w:p w14:paraId="1D4ED23C" w14:textId="77777777" w:rsidR="00E6579E" w:rsidRPr="00E6579E" w:rsidRDefault="00E6579E" w:rsidP="00DB3D99">
            <w:pPr>
              <w:jc w:val="center"/>
              <w:rPr>
                <w:rFonts w:ascii="Arial" w:hAnsi="Arial" w:cs="Arial"/>
                <w:b/>
                <w:bCs/>
              </w:rPr>
            </w:pPr>
          </w:p>
          <w:p w14:paraId="5334CE62" w14:textId="37E9BEF0" w:rsidR="00F37CE8" w:rsidRPr="00E6579E" w:rsidRDefault="00F37CE8" w:rsidP="00DB3D99">
            <w:pPr>
              <w:jc w:val="center"/>
              <w:rPr>
                <w:rFonts w:ascii="Arial" w:hAnsi="Arial" w:cs="Arial"/>
                <w:b/>
                <w:bCs/>
              </w:rPr>
            </w:pPr>
            <w:r w:rsidRPr="00E6579E">
              <w:rPr>
                <w:rFonts w:ascii="Arial" w:hAnsi="Arial" w:cs="Arial"/>
                <w:b/>
                <w:bCs/>
              </w:rPr>
              <w:t>High</w:t>
            </w:r>
          </w:p>
        </w:tc>
        <w:tc>
          <w:tcPr>
            <w:tcW w:w="9011" w:type="dxa"/>
            <w:shd w:val="clear" w:color="auto" w:fill="C1F0C7" w:themeFill="accent3" w:themeFillTint="33"/>
          </w:tcPr>
          <w:p w14:paraId="2BDE65F6" w14:textId="77777777" w:rsidR="00F37CE8" w:rsidRPr="00437E35" w:rsidRDefault="00F37CE8" w:rsidP="00DB3D99">
            <w:pPr>
              <w:rPr>
                <w:rFonts w:ascii="Arial" w:hAnsi="Arial" w:cs="Arial"/>
              </w:rPr>
            </w:pPr>
            <w:r w:rsidRPr="006931A2">
              <w:rPr>
                <w:rFonts w:ascii="Arial" w:hAnsi="Arial" w:cs="Arial"/>
              </w:rPr>
              <w:t>There are many different lodging options available to travellers, particularly those on a tight budget, such as short-term rentals, Airbnb, and inexpensive hotels. Customers have more negotiating power because it's simple to compare costs online and read reviews. For hostels to stay appealing, they must provide distinctive experiences, affordable rates, or community spaces.</w:t>
            </w:r>
          </w:p>
        </w:tc>
      </w:tr>
      <w:tr w:rsidR="00F37CE8" w14:paraId="72E0097A" w14:textId="77777777" w:rsidTr="00E6579E">
        <w:tc>
          <w:tcPr>
            <w:tcW w:w="3005" w:type="dxa"/>
            <w:shd w:val="clear" w:color="auto" w:fill="C1F0C7" w:themeFill="accent3" w:themeFillTint="33"/>
          </w:tcPr>
          <w:p w14:paraId="4E1A89EB" w14:textId="77777777" w:rsidR="00E6579E" w:rsidRPr="00E6579E" w:rsidRDefault="00E6579E" w:rsidP="00DB3D99">
            <w:pPr>
              <w:jc w:val="center"/>
              <w:rPr>
                <w:rFonts w:ascii="Arial" w:hAnsi="Arial" w:cs="Arial"/>
                <w:b/>
                <w:bCs/>
              </w:rPr>
            </w:pPr>
          </w:p>
          <w:p w14:paraId="5820E615" w14:textId="45B50F58" w:rsidR="00F37CE8" w:rsidRPr="00E6579E" w:rsidRDefault="00F37CE8" w:rsidP="00DB3D99">
            <w:pPr>
              <w:jc w:val="center"/>
              <w:rPr>
                <w:rFonts w:ascii="Arial" w:hAnsi="Arial" w:cs="Arial"/>
                <w:b/>
                <w:bCs/>
              </w:rPr>
            </w:pPr>
            <w:r w:rsidRPr="00E6579E">
              <w:rPr>
                <w:rFonts w:ascii="Arial" w:hAnsi="Arial" w:cs="Arial"/>
                <w:b/>
                <w:bCs/>
              </w:rPr>
              <w:t>Threat of Substitutions</w:t>
            </w:r>
          </w:p>
        </w:tc>
        <w:tc>
          <w:tcPr>
            <w:tcW w:w="3005" w:type="dxa"/>
            <w:shd w:val="clear" w:color="auto" w:fill="C1F0C7" w:themeFill="accent3" w:themeFillTint="33"/>
          </w:tcPr>
          <w:p w14:paraId="58B0F187" w14:textId="77777777" w:rsidR="00E6579E" w:rsidRPr="00E6579E" w:rsidRDefault="00E6579E" w:rsidP="00DB3D99">
            <w:pPr>
              <w:jc w:val="center"/>
              <w:rPr>
                <w:rFonts w:ascii="Arial" w:hAnsi="Arial" w:cs="Arial"/>
                <w:b/>
                <w:bCs/>
              </w:rPr>
            </w:pPr>
          </w:p>
          <w:p w14:paraId="0127A274" w14:textId="2292115D" w:rsidR="00F37CE8" w:rsidRPr="00E6579E" w:rsidRDefault="00F37CE8" w:rsidP="00DB3D99">
            <w:pPr>
              <w:jc w:val="center"/>
              <w:rPr>
                <w:rFonts w:ascii="Arial" w:hAnsi="Arial" w:cs="Arial"/>
                <w:b/>
                <w:bCs/>
              </w:rPr>
            </w:pPr>
            <w:r w:rsidRPr="00E6579E">
              <w:rPr>
                <w:rFonts w:ascii="Arial" w:hAnsi="Arial" w:cs="Arial"/>
                <w:b/>
                <w:bCs/>
              </w:rPr>
              <w:t>High</w:t>
            </w:r>
          </w:p>
        </w:tc>
        <w:tc>
          <w:tcPr>
            <w:tcW w:w="9011" w:type="dxa"/>
            <w:shd w:val="clear" w:color="auto" w:fill="C1F0C7" w:themeFill="accent3" w:themeFillTint="33"/>
          </w:tcPr>
          <w:p w14:paraId="688FE20D" w14:textId="77777777" w:rsidR="00F37CE8" w:rsidRPr="00437E35" w:rsidRDefault="00F37CE8" w:rsidP="00DB3D99">
            <w:pPr>
              <w:rPr>
                <w:rFonts w:ascii="Arial" w:hAnsi="Arial" w:cs="Arial"/>
              </w:rPr>
            </w:pPr>
            <w:r w:rsidRPr="006931A2">
              <w:rPr>
                <w:rFonts w:ascii="Arial" w:hAnsi="Arial" w:cs="Arial"/>
              </w:rPr>
              <w:t>Budget hotels, vacation rentals, and even couch-surfing services are options for travellers looking to avoid hostels. Customers may choose these alternatives over hostels because they frequently provide greater privacy and comparable price ranges.</w:t>
            </w:r>
          </w:p>
        </w:tc>
      </w:tr>
      <w:tr w:rsidR="00F37CE8" w14:paraId="108DDD21" w14:textId="77777777" w:rsidTr="00E6579E">
        <w:tc>
          <w:tcPr>
            <w:tcW w:w="3005" w:type="dxa"/>
            <w:shd w:val="clear" w:color="auto" w:fill="C1F0C7" w:themeFill="accent3" w:themeFillTint="33"/>
          </w:tcPr>
          <w:p w14:paraId="4258C144" w14:textId="77777777" w:rsidR="00E6579E" w:rsidRPr="00E6579E" w:rsidRDefault="00E6579E" w:rsidP="00DB3D99">
            <w:pPr>
              <w:jc w:val="center"/>
              <w:rPr>
                <w:rFonts w:ascii="Arial" w:hAnsi="Arial" w:cs="Arial"/>
                <w:b/>
                <w:bCs/>
              </w:rPr>
            </w:pPr>
          </w:p>
          <w:p w14:paraId="7D7EB644" w14:textId="77777777" w:rsidR="00E6579E" w:rsidRPr="00E6579E" w:rsidRDefault="00E6579E" w:rsidP="00DB3D99">
            <w:pPr>
              <w:jc w:val="center"/>
              <w:rPr>
                <w:rFonts w:ascii="Arial" w:hAnsi="Arial" w:cs="Arial"/>
                <w:b/>
                <w:bCs/>
              </w:rPr>
            </w:pPr>
          </w:p>
          <w:p w14:paraId="17D8832F" w14:textId="61FB3720" w:rsidR="00F37CE8" w:rsidRPr="00E6579E" w:rsidRDefault="00F37CE8" w:rsidP="00DB3D99">
            <w:pPr>
              <w:jc w:val="center"/>
              <w:rPr>
                <w:rFonts w:ascii="Arial" w:hAnsi="Arial" w:cs="Arial"/>
                <w:b/>
                <w:bCs/>
              </w:rPr>
            </w:pPr>
            <w:r w:rsidRPr="00E6579E">
              <w:rPr>
                <w:rFonts w:ascii="Arial" w:hAnsi="Arial" w:cs="Arial"/>
                <w:b/>
                <w:bCs/>
              </w:rPr>
              <w:t>Threat of New Entrants</w:t>
            </w:r>
          </w:p>
        </w:tc>
        <w:tc>
          <w:tcPr>
            <w:tcW w:w="3005" w:type="dxa"/>
            <w:shd w:val="clear" w:color="auto" w:fill="C1F0C7" w:themeFill="accent3" w:themeFillTint="33"/>
          </w:tcPr>
          <w:p w14:paraId="408BC391" w14:textId="77777777" w:rsidR="00E6579E" w:rsidRPr="00E6579E" w:rsidRDefault="00E6579E" w:rsidP="00DB3D99">
            <w:pPr>
              <w:jc w:val="center"/>
              <w:rPr>
                <w:rFonts w:ascii="Arial" w:hAnsi="Arial" w:cs="Arial"/>
                <w:b/>
                <w:bCs/>
              </w:rPr>
            </w:pPr>
          </w:p>
          <w:p w14:paraId="70C07694" w14:textId="77777777" w:rsidR="00E6579E" w:rsidRPr="00E6579E" w:rsidRDefault="00E6579E" w:rsidP="00DB3D99">
            <w:pPr>
              <w:jc w:val="center"/>
              <w:rPr>
                <w:rFonts w:ascii="Arial" w:hAnsi="Arial" w:cs="Arial"/>
                <w:b/>
                <w:bCs/>
              </w:rPr>
            </w:pPr>
          </w:p>
          <w:p w14:paraId="682D7145" w14:textId="4CDA60CD" w:rsidR="00F37CE8" w:rsidRPr="00E6579E" w:rsidRDefault="00F37CE8" w:rsidP="00DB3D99">
            <w:pPr>
              <w:jc w:val="center"/>
              <w:rPr>
                <w:rFonts w:ascii="Arial" w:hAnsi="Arial" w:cs="Arial"/>
                <w:b/>
                <w:bCs/>
              </w:rPr>
            </w:pPr>
            <w:r w:rsidRPr="00E6579E">
              <w:rPr>
                <w:rFonts w:ascii="Arial" w:hAnsi="Arial" w:cs="Arial"/>
                <w:b/>
                <w:bCs/>
              </w:rPr>
              <w:t>Medium</w:t>
            </w:r>
          </w:p>
        </w:tc>
        <w:tc>
          <w:tcPr>
            <w:tcW w:w="9011" w:type="dxa"/>
            <w:shd w:val="clear" w:color="auto" w:fill="C1F0C7" w:themeFill="accent3" w:themeFillTint="33"/>
          </w:tcPr>
          <w:p w14:paraId="325F640C" w14:textId="16AA66F5" w:rsidR="00F37CE8" w:rsidRPr="00437E35" w:rsidRDefault="00F37CE8" w:rsidP="00DB3D99">
            <w:pPr>
              <w:rPr>
                <w:rFonts w:ascii="Arial" w:hAnsi="Arial" w:cs="Arial"/>
              </w:rPr>
            </w:pPr>
            <w:r w:rsidRPr="00A42C39">
              <w:rPr>
                <w:rFonts w:ascii="Arial" w:hAnsi="Arial" w:cs="Arial"/>
              </w:rPr>
              <w:t>The entry hurdles in the hostel industry are moderate. Compared to hotels, initial financial requirements are smaller, and travellers on a tight budget can still be drawn in with little promotion. However, it can be</w:t>
            </w:r>
            <w:r>
              <w:rPr>
                <w:rFonts w:ascii="Arial" w:hAnsi="Arial" w:cs="Arial"/>
              </w:rPr>
              <w:t xml:space="preserve"> bit</w:t>
            </w:r>
            <w:r w:rsidRPr="00A42C39">
              <w:rPr>
                <w:rFonts w:ascii="Arial" w:hAnsi="Arial" w:cs="Arial"/>
              </w:rPr>
              <w:t xml:space="preserve"> expensive and competitive to acquire great real estate locations in places </w:t>
            </w:r>
            <w:r>
              <w:rPr>
                <w:rFonts w:ascii="Arial" w:hAnsi="Arial" w:cs="Arial"/>
              </w:rPr>
              <w:t xml:space="preserve">specially in </w:t>
            </w:r>
            <w:proofErr w:type="gramStart"/>
            <w:r>
              <w:rPr>
                <w:rFonts w:ascii="Arial" w:hAnsi="Arial" w:cs="Arial"/>
              </w:rPr>
              <w:t xml:space="preserve">London  </w:t>
            </w:r>
            <w:r w:rsidR="00741B97">
              <w:rPr>
                <w:rFonts w:ascii="Arial" w:hAnsi="Arial" w:cs="Arial"/>
              </w:rPr>
              <w:t>centre</w:t>
            </w:r>
            <w:proofErr w:type="gramEnd"/>
            <w:r>
              <w:rPr>
                <w:rFonts w:ascii="Arial" w:hAnsi="Arial" w:cs="Arial"/>
              </w:rPr>
              <w:t xml:space="preserve"> </w:t>
            </w:r>
            <w:r w:rsidRPr="00A42C39">
              <w:rPr>
                <w:rFonts w:ascii="Arial" w:hAnsi="Arial" w:cs="Arial"/>
              </w:rPr>
              <w:t>with strong demand. Additionally, hostels must adhere to safety and sanitary standards, which makes things</w:t>
            </w:r>
            <w:r>
              <w:rPr>
                <w:rFonts w:ascii="Arial" w:hAnsi="Arial" w:cs="Arial"/>
              </w:rPr>
              <w:t xml:space="preserve"> </w:t>
            </w:r>
            <w:proofErr w:type="gramStart"/>
            <w:r w:rsidRPr="004067AF">
              <w:rPr>
                <w:rFonts w:ascii="Arial" w:hAnsi="Arial" w:cs="Arial"/>
              </w:rPr>
              <w:t xml:space="preserve">more </w:t>
            </w:r>
            <w:r w:rsidR="00E6579E" w:rsidRPr="004067AF">
              <w:rPr>
                <w:rFonts w:ascii="Arial" w:hAnsi="Arial" w:cs="Arial"/>
              </w:rPr>
              <w:t>e</w:t>
            </w:r>
            <w:r w:rsidR="00E6579E">
              <w:rPr>
                <w:rFonts w:ascii="Arial" w:hAnsi="Arial" w:cs="Arial"/>
              </w:rPr>
              <w:t>asy</w:t>
            </w:r>
            <w:proofErr w:type="gramEnd"/>
            <w:r w:rsidRPr="00A42C39">
              <w:rPr>
                <w:rFonts w:ascii="Arial" w:hAnsi="Arial" w:cs="Arial"/>
              </w:rPr>
              <w:t xml:space="preserve"> for newcomers</w:t>
            </w:r>
            <w:r>
              <w:rPr>
                <w:rFonts w:ascii="Arial" w:hAnsi="Arial" w:cs="Arial"/>
              </w:rPr>
              <w:t xml:space="preserve"> </w:t>
            </w:r>
            <w:r w:rsidRPr="00D17C46">
              <w:rPr>
                <w:rFonts w:ascii="Arial" w:hAnsi="Arial" w:cs="Arial"/>
              </w:rPr>
              <w:t>(Wu, 2021)</w:t>
            </w:r>
            <w:r>
              <w:rPr>
                <w:rFonts w:ascii="Arial" w:hAnsi="Arial" w:cs="Arial"/>
              </w:rPr>
              <w:t>.</w:t>
            </w:r>
          </w:p>
        </w:tc>
      </w:tr>
    </w:tbl>
    <w:p w14:paraId="293CAC8E" w14:textId="77777777" w:rsidR="003F4434" w:rsidRDefault="003F4434"/>
    <w:sectPr w:rsidR="003F4434" w:rsidSect="00F37CE8">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7CE8"/>
    <w:rsid w:val="003F4434"/>
    <w:rsid w:val="00741B97"/>
    <w:rsid w:val="008D64A1"/>
    <w:rsid w:val="00C5443E"/>
    <w:rsid w:val="00E6579E"/>
    <w:rsid w:val="00F37C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26CDE6"/>
  <w15:chartTrackingRefBased/>
  <w15:docId w15:val="{6AF93477-0F60-4337-BF52-2E0A996CA2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7CE8"/>
  </w:style>
  <w:style w:type="paragraph" w:styleId="Heading1">
    <w:name w:val="heading 1"/>
    <w:basedOn w:val="Normal"/>
    <w:next w:val="Normal"/>
    <w:link w:val="Heading1Char"/>
    <w:uiPriority w:val="9"/>
    <w:qFormat/>
    <w:rsid w:val="00F37C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37C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37C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7C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7C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7C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7C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7C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7C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7C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37C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37C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7C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7C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7C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7C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7C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7CE8"/>
    <w:rPr>
      <w:rFonts w:eastAsiaTheme="majorEastAsia" w:cstheme="majorBidi"/>
      <w:color w:val="272727" w:themeColor="text1" w:themeTint="D8"/>
    </w:rPr>
  </w:style>
  <w:style w:type="paragraph" w:styleId="Title">
    <w:name w:val="Title"/>
    <w:basedOn w:val="Normal"/>
    <w:next w:val="Normal"/>
    <w:link w:val="TitleChar"/>
    <w:uiPriority w:val="10"/>
    <w:qFormat/>
    <w:rsid w:val="00F37C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7C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7C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7C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7CE8"/>
    <w:pPr>
      <w:spacing w:before="160"/>
      <w:jc w:val="center"/>
    </w:pPr>
    <w:rPr>
      <w:i/>
      <w:iCs/>
      <w:color w:val="404040" w:themeColor="text1" w:themeTint="BF"/>
    </w:rPr>
  </w:style>
  <w:style w:type="character" w:customStyle="1" w:styleId="QuoteChar">
    <w:name w:val="Quote Char"/>
    <w:basedOn w:val="DefaultParagraphFont"/>
    <w:link w:val="Quote"/>
    <w:uiPriority w:val="29"/>
    <w:rsid w:val="00F37CE8"/>
    <w:rPr>
      <w:i/>
      <w:iCs/>
      <w:color w:val="404040" w:themeColor="text1" w:themeTint="BF"/>
    </w:rPr>
  </w:style>
  <w:style w:type="paragraph" w:styleId="ListParagraph">
    <w:name w:val="List Paragraph"/>
    <w:basedOn w:val="Normal"/>
    <w:uiPriority w:val="34"/>
    <w:qFormat/>
    <w:rsid w:val="00F37CE8"/>
    <w:pPr>
      <w:ind w:left="720"/>
      <w:contextualSpacing/>
    </w:pPr>
  </w:style>
  <w:style w:type="character" w:styleId="IntenseEmphasis">
    <w:name w:val="Intense Emphasis"/>
    <w:basedOn w:val="DefaultParagraphFont"/>
    <w:uiPriority w:val="21"/>
    <w:qFormat/>
    <w:rsid w:val="00F37CE8"/>
    <w:rPr>
      <w:i/>
      <w:iCs/>
      <w:color w:val="0F4761" w:themeColor="accent1" w:themeShade="BF"/>
    </w:rPr>
  </w:style>
  <w:style w:type="paragraph" w:styleId="IntenseQuote">
    <w:name w:val="Intense Quote"/>
    <w:basedOn w:val="Normal"/>
    <w:next w:val="Normal"/>
    <w:link w:val="IntenseQuoteChar"/>
    <w:uiPriority w:val="30"/>
    <w:qFormat/>
    <w:rsid w:val="00F37C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7CE8"/>
    <w:rPr>
      <w:i/>
      <w:iCs/>
      <w:color w:val="0F4761" w:themeColor="accent1" w:themeShade="BF"/>
    </w:rPr>
  </w:style>
  <w:style w:type="character" w:styleId="IntenseReference">
    <w:name w:val="Intense Reference"/>
    <w:basedOn w:val="DefaultParagraphFont"/>
    <w:uiPriority w:val="32"/>
    <w:qFormat/>
    <w:rsid w:val="00F37CE8"/>
    <w:rPr>
      <w:b/>
      <w:bCs/>
      <w:smallCaps/>
      <w:color w:val="0F4761" w:themeColor="accent1" w:themeShade="BF"/>
      <w:spacing w:val="5"/>
    </w:rPr>
  </w:style>
  <w:style w:type="table" w:styleId="TableGrid">
    <w:name w:val="Table Grid"/>
    <w:basedOn w:val="TableNormal"/>
    <w:uiPriority w:val="39"/>
    <w:rsid w:val="00F37C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TotalTime>
  <Pages>1</Pages>
  <Words>303</Words>
  <Characters>1730</Characters>
  <Application>Microsoft Office Word</Application>
  <DocSecurity>0</DocSecurity>
  <Lines>14</Lines>
  <Paragraphs>4</Paragraphs>
  <ScaleCrop>false</ScaleCrop>
  <Company/>
  <LinksUpToDate>false</LinksUpToDate>
  <CharactersWithSpaces>2029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Joao Carlos Jovo Teixeira (2327733)</dc:creator>
  <cp:keywords/>
  <dc:description/>
  <cp:lastModifiedBy>Joao Carlos Jovo Teixeira (2327733)</cp:lastModifiedBy>
  <cp:revision>3</cp:revision>
  <dcterms:created xsi:type="dcterms:W3CDTF">2024-11-04T23:16:00Z</dcterms:created>
  <dcterms:modified xsi:type="dcterms:W3CDTF">2024-11-04T23:26:00Z</dcterms:modified>
</cp:coreProperties>
</file>