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68EEF" w14:textId="77777777" w:rsidR="003022DE" w:rsidRPr="00FD7DF2" w:rsidRDefault="00D26635" w:rsidP="0076654C">
      <w:pPr>
        <w:tabs>
          <w:tab w:val="left" w:pos="825"/>
        </w:tabs>
        <w:spacing w:line="360" w:lineRule="auto"/>
        <w:ind w:left="0" w:firstLine="0"/>
        <w:rPr>
          <w:rFonts w:ascii="Times New Roman" w:hAnsi="Times New Roman" w:cs="Times New Roman"/>
          <w:b/>
          <w:bCs/>
          <w:sz w:val="24"/>
          <w:szCs w:val="24"/>
          <w:lang w:val="en-GB"/>
        </w:rPr>
      </w:pPr>
      <w:r w:rsidRPr="00FD7DF2">
        <w:rPr>
          <w:rFonts w:ascii="Times New Roman" w:hAnsi="Times New Roman" w:cs="Times New Roman"/>
          <w:b/>
          <w:bCs/>
          <w:sz w:val="24"/>
          <w:szCs w:val="24"/>
          <w:lang w:val="en-GB"/>
        </w:rPr>
        <w:tab/>
      </w:r>
    </w:p>
    <w:p w14:paraId="32164AB4" w14:textId="77777777" w:rsidR="003022DE" w:rsidRPr="00FD7DF2" w:rsidRDefault="00D26635" w:rsidP="0076654C">
      <w:pPr>
        <w:spacing w:line="360" w:lineRule="auto"/>
        <w:jc w:val="center"/>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69B5E71E" wp14:editId="02705C9E">
            <wp:extent cx="5027295" cy="1709738"/>
            <wp:effectExtent l="0" t="0" r="1905" b="5080"/>
            <wp:docPr id="1026" name="图片 1" descr="文本&#10;&#10;中度可信度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
                    <pic:cNvPicPr/>
                  </pic:nvPicPr>
                  <pic:blipFill>
                    <a:blip r:embed="rId8" cstate="print"/>
                    <a:srcRect/>
                    <a:stretch/>
                  </pic:blipFill>
                  <pic:spPr>
                    <a:xfrm>
                      <a:off x="0" y="0"/>
                      <a:ext cx="5027295" cy="1709738"/>
                    </a:xfrm>
                    <a:prstGeom prst="rect">
                      <a:avLst/>
                    </a:prstGeom>
                  </pic:spPr>
                </pic:pic>
              </a:graphicData>
            </a:graphic>
          </wp:inline>
        </w:drawing>
      </w:r>
    </w:p>
    <w:p w14:paraId="1C3CBA2D" w14:textId="77777777" w:rsidR="003022DE" w:rsidRPr="00FD7DF2" w:rsidRDefault="003022DE" w:rsidP="0076654C">
      <w:pPr>
        <w:spacing w:line="360" w:lineRule="auto"/>
        <w:jc w:val="center"/>
        <w:rPr>
          <w:rFonts w:ascii="Times New Roman" w:hAnsi="Times New Roman" w:cs="Times New Roman"/>
          <w:sz w:val="24"/>
          <w:szCs w:val="24"/>
          <w:lang w:val="en-GB"/>
        </w:rPr>
      </w:pPr>
    </w:p>
    <w:p w14:paraId="60BF2191" w14:textId="77777777" w:rsidR="003022DE" w:rsidRPr="00FD7DF2" w:rsidRDefault="003022DE" w:rsidP="0076654C">
      <w:pPr>
        <w:spacing w:line="360" w:lineRule="auto"/>
        <w:ind w:left="0" w:firstLine="0"/>
        <w:rPr>
          <w:rFonts w:ascii="Times New Roman" w:hAnsi="Times New Roman" w:cs="Times New Roman"/>
          <w:sz w:val="24"/>
          <w:szCs w:val="24"/>
          <w:lang w:val="en-GB" w:eastAsia="zh-CN"/>
        </w:rPr>
      </w:pPr>
    </w:p>
    <w:p w14:paraId="1F77B3FC" w14:textId="77777777" w:rsidR="003022DE" w:rsidRPr="00FD7DF2" w:rsidRDefault="003022DE" w:rsidP="0076654C">
      <w:pPr>
        <w:spacing w:line="360" w:lineRule="auto"/>
        <w:jc w:val="center"/>
        <w:rPr>
          <w:rFonts w:ascii="Times New Roman" w:hAnsi="Times New Roman" w:cs="Times New Roman"/>
          <w:sz w:val="24"/>
          <w:szCs w:val="24"/>
          <w:lang w:val="en-GB"/>
        </w:rPr>
      </w:pPr>
    </w:p>
    <w:p w14:paraId="54BB9E86" w14:textId="77777777" w:rsidR="00F61663" w:rsidRPr="00CB166A" w:rsidRDefault="00F61663" w:rsidP="00F61663">
      <w:pPr>
        <w:jc w:val="center"/>
        <w:rPr>
          <w:rFonts w:ascii="Times New Roman" w:hAnsi="Times New Roman" w:cs="Times New Roman"/>
          <w:b/>
          <w:bCs/>
          <w:sz w:val="32"/>
          <w:szCs w:val="32"/>
          <w:lang w:val="en-GB" w:eastAsia="zh-CN"/>
        </w:rPr>
      </w:pPr>
      <w:r w:rsidRPr="00CB166A">
        <w:rPr>
          <w:rFonts w:ascii="Times New Roman" w:hAnsi="Times New Roman" w:cs="Times New Roman"/>
          <w:b/>
          <w:bCs/>
          <w:sz w:val="32"/>
          <w:szCs w:val="32"/>
          <w:lang w:val="en-GB" w:eastAsia="zh-CN"/>
        </w:rPr>
        <w:t>Leveraging Artificial Intelligence to Enhance Knowledge Sharing Culture for Reducing Worklessness in UK Households</w:t>
      </w:r>
    </w:p>
    <w:p w14:paraId="3CBD5352" w14:textId="77777777" w:rsidR="00F61663" w:rsidRPr="00CB166A" w:rsidRDefault="00F61663" w:rsidP="00F61663">
      <w:pPr>
        <w:jc w:val="center"/>
        <w:rPr>
          <w:rFonts w:cs="Times New Roman"/>
          <w:b/>
          <w:bCs/>
          <w:sz w:val="32"/>
          <w:szCs w:val="32"/>
          <w:lang w:val="en-GB" w:eastAsia="zh-CN"/>
        </w:rPr>
      </w:pPr>
      <w:r w:rsidRPr="00CB166A">
        <w:rPr>
          <w:rFonts w:cs="Times New Roman"/>
          <w:b/>
          <w:bCs/>
          <w:sz w:val="32"/>
          <w:szCs w:val="32"/>
          <w:lang w:val="en-GB"/>
        </w:rPr>
        <w:t>Qian Tao</w:t>
      </w:r>
    </w:p>
    <w:p w14:paraId="4632460F" w14:textId="77777777" w:rsidR="00F61663" w:rsidRPr="00CB166A" w:rsidRDefault="00F61663" w:rsidP="00F61663">
      <w:pPr>
        <w:jc w:val="center"/>
        <w:rPr>
          <w:rFonts w:cs="Times New Roman"/>
          <w:b/>
          <w:bCs/>
          <w:sz w:val="32"/>
          <w:szCs w:val="32"/>
          <w:lang w:val="en-GB"/>
        </w:rPr>
      </w:pPr>
    </w:p>
    <w:p w14:paraId="11B67C0D" w14:textId="77777777" w:rsidR="00F61663" w:rsidRPr="00CB166A" w:rsidRDefault="00F61663" w:rsidP="00F61663">
      <w:pPr>
        <w:jc w:val="center"/>
        <w:rPr>
          <w:rFonts w:cs="Times New Roman"/>
          <w:b/>
          <w:bCs/>
          <w:sz w:val="32"/>
          <w:szCs w:val="32"/>
          <w:lang w:val="en-GB"/>
        </w:rPr>
      </w:pPr>
    </w:p>
    <w:p w14:paraId="20C1C6F5" w14:textId="77777777" w:rsidR="00F61663" w:rsidRPr="006F6F72" w:rsidRDefault="00F61663" w:rsidP="00F61663">
      <w:pPr>
        <w:jc w:val="center"/>
        <w:rPr>
          <w:rFonts w:cs="Times New Roman"/>
          <w:sz w:val="28"/>
          <w:szCs w:val="28"/>
          <w:lang w:val="en-GB"/>
        </w:rPr>
      </w:pPr>
      <w:r w:rsidRPr="006F6F72">
        <w:rPr>
          <w:rFonts w:cs="Times New Roman"/>
          <w:sz w:val="28"/>
          <w:szCs w:val="28"/>
          <w:lang w:val="en-GB"/>
        </w:rPr>
        <w:t>Student ID</w:t>
      </w:r>
      <w:r w:rsidRPr="006F6F72">
        <w:rPr>
          <w:rFonts w:cs="Times New Roman"/>
          <w:sz w:val="28"/>
          <w:szCs w:val="28"/>
          <w:lang w:val="en-GB"/>
        </w:rPr>
        <w:t>：</w:t>
      </w:r>
      <w:r w:rsidRPr="006F6F72">
        <w:rPr>
          <w:rFonts w:cs="Times New Roman"/>
          <w:sz w:val="28"/>
          <w:szCs w:val="28"/>
          <w:lang w:val="en-GB"/>
        </w:rPr>
        <w:t>2406837</w:t>
      </w:r>
    </w:p>
    <w:p w14:paraId="44FA5C60" w14:textId="77777777" w:rsidR="00F61663" w:rsidRPr="006F6F72" w:rsidRDefault="00F61663" w:rsidP="00F61663">
      <w:pPr>
        <w:jc w:val="center"/>
        <w:rPr>
          <w:sz w:val="28"/>
          <w:szCs w:val="28"/>
          <w:lang w:val="en-GB" w:eastAsia="zh-CN"/>
        </w:rPr>
      </w:pPr>
      <w:r w:rsidRPr="006F6F72">
        <w:rPr>
          <w:sz w:val="28"/>
          <w:szCs w:val="28"/>
          <w:lang w:val="en-GB"/>
        </w:rPr>
        <w:t xml:space="preserve">Module: </w:t>
      </w:r>
      <w:r w:rsidRPr="006F6F72">
        <w:rPr>
          <w:rFonts w:hint="eastAsia"/>
          <w:sz w:val="28"/>
          <w:szCs w:val="28"/>
          <w:lang w:val="en-GB" w:eastAsia="zh-CN"/>
        </w:rPr>
        <w:t>Quantitative Research Methods</w:t>
      </w:r>
    </w:p>
    <w:p w14:paraId="53B6B1A1" w14:textId="77777777" w:rsidR="00F61663" w:rsidRPr="006F6F72" w:rsidRDefault="00F61663" w:rsidP="006F6F72">
      <w:pPr>
        <w:jc w:val="center"/>
        <w:rPr>
          <w:sz w:val="28"/>
          <w:szCs w:val="28"/>
          <w:lang w:val="en-GB" w:eastAsia="zh-CN"/>
        </w:rPr>
      </w:pPr>
      <w:r w:rsidRPr="006F6F72">
        <w:rPr>
          <w:sz w:val="28"/>
          <w:szCs w:val="28"/>
          <w:lang w:val="en-GB" w:eastAsia="zh-CN"/>
        </w:rPr>
        <w:t>Module Lead: Dr. Badir Miftah</w:t>
      </w:r>
    </w:p>
    <w:p w14:paraId="74D59370" w14:textId="77777777" w:rsidR="003022DE" w:rsidRPr="006F6F72" w:rsidRDefault="003022DE" w:rsidP="006F6F72">
      <w:pPr>
        <w:jc w:val="center"/>
        <w:rPr>
          <w:rFonts w:ascii="Times New Roman" w:hAnsi="Times New Roman" w:cs="Times New Roman"/>
          <w:sz w:val="28"/>
          <w:szCs w:val="28"/>
          <w:lang w:val="en-GB" w:eastAsia="zh-CN"/>
        </w:rPr>
      </w:pPr>
    </w:p>
    <w:p w14:paraId="62E0D67F" w14:textId="77777777" w:rsidR="00F61663" w:rsidRDefault="00F61663" w:rsidP="0076654C">
      <w:pPr>
        <w:spacing w:line="360" w:lineRule="auto"/>
        <w:jc w:val="center"/>
        <w:rPr>
          <w:rFonts w:ascii="Times New Roman" w:hAnsi="Times New Roman" w:cs="Times New Roman"/>
          <w:sz w:val="24"/>
          <w:szCs w:val="24"/>
          <w:lang w:val="en-GB" w:eastAsia="zh-CN"/>
        </w:rPr>
      </w:pPr>
    </w:p>
    <w:p w14:paraId="7F817FA6" w14:textId="77777777" w:rsidR="00F61663" w:rsidRDefault="00F61663" w:rsidP="0076654C">
      <w:pPr>
        <w:spacing w:line="360" w:lineRule="auto"/>
        <w:jc w:val="center"/>
        <w:rPr>
          <w:rFonts w:ascii="Times New Roman" w:hAnsi="Times New Roman" w:cs="Times New Roman"/>
          <w:sz w:val="24"/>
          <w:szCs w:val="24"/>
          <w:lang w:val="en-GB" w:eastAsia="zh-CN"/>
        </w:rPr>
      </w:pPr>
    </w:p>
    <w:p w14:paraId="0D1CE039" w14:textId="77777777" w:rsidR="00F61663" w:rsidRDefault="00F61663" w:rsidP="0076654C">
      <w:pPr>
        <w:spacing w:line="360" w:lineRule="auto"/>
        <w:jc w:val="center"/>
        <w:rPr>
          <w:rFonts w:ascii="Times New Roman" w:hAnsi="Times New Roman" w:cs="Times New Roman"/>
          <w:sz w:val="24"/>
          <w:szCs w:val="24"/>
          <w:lang w:val="en-GB" w:eastAsia="zh-CN"/>
        </w:rPr>
      </w:pPr>
    </w:p>
    <w:p w14:paraId="58FF40BB" w14:textId="77777777" w:rsidR="00F61663" w:rsidRPr="00FD7DF2" w:rsidRDefault="00F61663" w:rsidP="0076654C">
      <w:pPr>
        <w:spacing w:line="360" w:lineRule="auto"/>
        <w:jc w:val="center"/>
        <w:rPr>
          <w:rFonts w:ascii="Times New Roman" w:hAnsi="Times New Roman" w:cs="Times New Roman"/>
          <w:sz w:val="24"/>
          <w:szCs w:val="24"/>
          <w:lang w:val="en-GB" w:eastAsia="zh-CN"/>
        </w:rPr>
      </w:pPr>
    </w:p>
    <w:p w14:paraId="500940D4" w14:textId="77777777" w:rsidR="00366AFD" w:rsidRPr="00EB6971" w:rsidRDefault="00366AFD" w:rsidP="0076654C">
      <w:pPr>
        <w:spacing w:line="360" w:lineRule="auto"/>
        <w:jc w:val="center"/>
        <w:rPr>
          <w:rFonts w:ascii="Times New Roman" w:hAnsi="Times New Roman" w:cs="Times New Roman"/>
          <w:sz w:val="24"/>
          <w:szCs w:val="24"/>
          <w:lang w:val="en-GB" w:eastAsia="zh-CN"/>
        </w:rPr>
      </w:pPr>
    </w:p>
    <w:p w14:paraId="45A522D5" w14:textId="77777777" w:rsidR="00366AFD" w:rsidRPr="00FD7DF2" w:rsidRDefault="00366AFD" w:rsidP="0076654C">
      <w:pPr>
        <w:spacing w:line="360" w:lineRule="auto"/>
        <w:ind w:left="0" w:firstLine="0"/>
        <w:rPr>
          <w:rFonts w:ascii="Times New Roman" w:hAnsi="Times New Roman" w:cs="Times New Roman"/>
          <w:b/>
          <w:bCs/>
          <w:sz w:val="24"/>
          <w:szCs w:val="24"/>
          <w:lang w:val="en-GB"/>
        </w:rPr>
      </w:pPr>
      <w:r w:rsidRPr="00FD7DF2">
        <w:rPr>
          <w:rFonts w:ascii="Times New Roman" w:hAnsi="Times New Roman" w:cs="Times New Roman"/>
          <w:b/>
          <w:bCs/>
          <w:sz w:val="24"/>
          <w:szCs w:val="24"/>
          <w:lang w:val="en-GB"/>
        </w:rPr>
        <w:t xml:space="preserve">Abstract </w:t>
      </w:r>
    </w:p>
    <w:p w14:paraId="6B360F1B" w14:textId="77777777" w:rsidR="00366AFD" w:rsidRPr="00FD7DF2" w:rsidRDefault="00366AFD" w:rsidP="0076654C">
      <w:pPr>
        <w:spacing w:line="360" w:lineRule="auto"/>
        <w:ind w:left="0" w:firstLine="0"/>
        <w:rPr>
          <w:rFonts w:ascii="Times New Roman" w:hAnsi="Times New Roman" w:cs="Times New Roman"/>
          <w:sz w:val="24"/>
          <w:szCs w:val="24"/>
          <w:lang w:val="en-GB"/>
        </w:rPr>
      </w:pPr>
      <w:r w:rsidRPr="00FD7DF2">
        <w:rPr>
          <w:rFonts w:ascii="Times New Roman" w:hAnsi="Times New Roman" w:cs="Times New Roman"/>
          <w:sz w:val="24"/>
          <w:szCs w:val="24"/>
          <w:lang w:val="en-GB"/>
        </w:rPr>
        <w:t>This study seeks to examine how UK households can use artificial intelligence (AI) to improve knowledge-sharing cultures to alleviate worklessness. The issue of worklessness, seen to be mainly concentrated in the North East and inner-cities, has long been a problematic socio-economic factor, frequently associated with structural inequalities in education, digital access, and access to employability opportunities. In this context, AI provides a flexible and adjustable solution that enables learning, skills enhancement, and peer-to-peer knowledge exchange. The integration of AI-powered services like individualised education suggestions, smart mentoring, and community-based digital spaces may make knowledge sharing more inclusive, context-appropriate, and effective. The research will seek to understand how AI-enabled knowledge systems can be used to facilitate upskilling and employability, and how they can be harnessed to alleviate regional disparities. The research has three key objectives: (1) to examine the spatial and socioeconomic profile of workless households in the UK; (2) to identify the potential of using AI technologies to share knowledge and enhance employability among vulnerable populations; and (3) to pilot a conceptual model of deploying AI-based interventions in assisting with long-term worklessness. A quantitative research design is used and a dataset is provided in a SPSS format to test the hypotheses related to the dependency between AI-based learning opportunities, knowledge network accessibility, and employment indicators. Reliability and validity tests are performed to ensure soundness, and hypotheses are tested using relevant statistical tests. The results have theoretical and practical implications. Theoretically, the research links to knowledge management theories, like the SECI model by Nonaka, with emerging AI applications as the means of social inclusion. Practically, it offers insights to policymakers, local councils, and organisations that are developing interventions to curb structural unemployment. The study concludes that locally embedded and ethically designed AI-enabled knowledge-sharing systems have great potential to transform the pathways to employability and promote inclusive socio-economic growth in the UK.</w:t>
      </w:r>
    </w:p>
    <w:p w14:paraId="13EE74D3" w14:textId="77777777" w:rsidR="00366AFD" w:rsidRPr="00FD7DF2" w:rsidRDefault="00366AFD" w:rsidP="0076654C">
      <w:pPr>
        <w:spacing w:line="360" w:lineRule="auto"/>
        <w:ind w:left="0" w:firstLine="0"/>
        <w:rPr>
          <w:rFonts w:ascii="Times New Roman" w:hAnsi="Times New Roman" w:cs="Times New Roman"/>
          <w:sz w:val="24"/>
          <w:szCs w:val="24"/>
          <w:lang w:val="en-GB"/>
        </w:rPr>
      </w:pPr>
      <w:r w:rsidRPr="00FD7DF2">
        <w:rPr>
          <w:rFonts w:ascii="Times New Roman" w:hAnsi="Times New Roman" w:cs="Times New Roman"/>
          <w:i/>
          <w:iCs/>
          <w:sz w:val="24"/>
          <w:szCs w:val="24"/>
          <w:lang w:val="en-GB"/>
        </w:rPr>
        <w:t>Keywords</w:t>
      </w:r>
      <w:r w:rsidRPr="00FD7DF2">
        <w:rPr>
          <w:rFonts w:ascii="Times New Roman" w:hAnsi="Times New Roman" w:cs="Times New Roman"/>
          <w:sz w:val="24"/>
          <w:szCs w:val="24"/>
          <w:lang w:val="en-GB"/>
        </w:rPr>
        <w:t>: Artificial Intelligence (AI); Knowledge-sharing; Worklessness; Employability; Socio-economic inequalities; Digital access; Upskilling; Knowledge management; SECI model; UK households; Regional disparities; AI-enabled interventions; Social inclusion; Policy implications</w:t>
      </w:r>
    </w:p>
    <w:p w14:paraId="0EEA8170" w14:textId="77777777" w:rsidR="002E5BC9" w:rsidRPr="00FD7DF2" w:rsidRDefault="002E5BC9" w:rsidP="0076654C">
      <w:pPr>
        <w:spacing w:line="360" w:lineRule="auto"/>
        <w:ind w:left="0" w:firstLine="0"/>
        <w:rPr>
          <w:rFonts w:ascii="Times New Roman" w:hAnsi="Times New Roman" w:cs="Times New Roman"/>
          <w:sz w:val="24"/>
          <w:szCs w:val="24"/>
          <w:lang w:val="en-GB"/>
        </w:rPr>
      </w:pPr>
    </w:p>
    <w:sdt>
      <w:sdtPr>
        <w:rPr>
          <w:rFonts w:ascii="Times New Roman" w:eastAsia="等线" w:hAnsi="Times New Roman" w:cs="Times New Roman"/>
          <w:color w:val="auto"/>
          <w:sz w:val="24"/>
          <w:szCs w:val="24"/>
          <w:lang w:val="en-GB"/>
        </w:rPr>
        <w:id w:val="125519032"/>
        <w:docPartObj>
          <w:docPartGallery w:val="Table of Contents"/>
          <w:docPartUnique/>
        </w:docPartObj>
      </w:sdtPr>
      <w:sdtEndPr>
        <w:rPr>
          <w:b/>
          <w:bCs/>
          <w:noProof/>
        </w:rPr>
      </w:sdtEndPr>
      <w:sdtContent>
        <w:p w14:paraId="017C6444" w14:textId="63F39F5A" w:rsidR="002E5BC9" w:rsidRPr="001C3700" w:rsidRDefault="002E5BC9" w:rsidP="008F2F27">
          <w:pPr>
            <w:pStyle w:val="TOC"/>
            <w:spacing w:line="240" w:lineRule="auto"/>
            <w:jc w:val="center"/>
            <w:rPr>
              <w:rFonts w:ascii="Times New Roman" w:hAnsi="Times New Roman" w:cs="Times New Roman"/>
              <w:b/>
              <w:bCs/>
              <w:color w:val="auto"/>
              <w:lang w:val="en-GB"/>
            </w:rPr>
          </w:pPr>
          <w:r w:rsidRPr="001C3700">
            <w:rPr>
              <w:rFonts w:ascii="Times New Roman" w:hAnsi="Times New Roman" w:cs="Times New Roman"/>
              <w:b/>
              <w:bCs/>
              <w:color w:val="auto"/>
              <w:lang w:val="en-GB"/>
            </w:rPr>
            <w:t>Table of Contents</w:t>
          </w:r>
        </w:p>
        <w:p w14:paraId="2ACBF189" w14:textId="44319DBF" w:rsidR="008F2F27" w:rsidRPr="008F2F27" w:rsidRDefault="002E5BC9"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r w:rsidRPr="00FD7DF2">
            <w:rPr>
              <w:rFonts w:ascii="Times New Roman" w:hAnsi="Times New Roman" w:cs="Times New Roman"/>
              <w:sz w:val="24"/>
              <w:szCs w:val="24"/>
              <w:lang w:val="en-GB"/>
            </w:rPr>
            <w:fldChar w:fldCharType="begin"/>
          </w:r>
          <w:r w:rsidRPr="00FD7DF2">
            <w:rPr>
              <w:rFonts w:ascii="Times New Roman" w:hAnsi="Times New Roman" w:cs="Times New Roman"/>
              <w:sz w:val="24"/>
              <w:szCs w:val="24"/>
              <w:lang w:val="en-GB"/>
            </w:rPr>
            <w:instrText xml:space="preserve"> TOC \o "1-3" \h \z \u </w:instrText>
          </w:r>
          <w:r w:rsidRPr="00FD7DF2">
            <w:rPr>
              <w:rFonts w:ascii="Times New Roman" w:hAnsi="Times New Roman" w:cs="Times New Roman"/>
              <w:sz w:val="24"/>
              <w:szCs w:val="24"/>
              <w:lang w:val="en-GB"/>
            </w:rPr>
            <w:fldChar w:fldCharType="separate"/>
          </w:r>
          <w:hyperlink w:anchor="_Toc209880881" w:history="1">
            <w:r w:rsidR="008F2F27" w:rsidRPr="008F2F27">
              <w:rPr>
                <w:rStyle w:val="a7"/>
                <w:rFonts w:ascii="Times New Roman" w:hAnsi="Times New Roman" w:cs="Times New Roman"/>
                <w:noProof/>
                <w:sz w:val="24"/>
                <w:szCs w:val="24"/>
                <w:lang w:eastAsia="zh-CN"/>
              </w:rPr>
              <w:t xml:space="preserve">1. </w:t>
            </w:r>
            <w:r w:rsidR="008F2F27" w:rsidRPr="008F2F27">
              <w:rPr>
                <w:rStyle w:val="a7"/>
                <w:rFonts w:ascii="Times New Roman" w:hAnsi="Times New Roman" w:cs="Times New Roman"/>
                <w:noProof/>
                <w:sz w:val="24"/>
                <w:szCs w:val="24"/>
              </w:rPr>
              <w:t>Introduction: Background and Research Problem</w:t>
            </w:r>
            <w:r w:rsidR="008F2F27" w:rsidRPr="008F2F27">
              <w:rPr>
                <w:rFonts w:ascii="Times New Roman" w:hAnsi="Times New Roman" w:cs="Times New Roman"/>
                <w:noProof/>
                <w:webHidden/>
                <w:sz w:val="24"/>
                <w:szCs w:val="24"/>
              </w:rPr>
              <w:tab/>
            </w:r>
            <w:r w:rsidR="008F2F27" w:rsidRPr="008F2F27">
              <w:rPr>
                <w:rFonts w:ascii="Times New Roman" w:hAnsi="Times New Roman" w:cs="Times New Roman"/>
                <w:noProof/>
                <w:webHidden/>
                <w:sz w:val="24"/>
                <w:szCs w:val="24"/>
              </w:rPr>
              <w:fldChar w:fldCharType="begin"/>
            </w:r>
            <w:r w:rsidR="008F2F27" w:rsidRPr="008F2F27">
              <w:rPr>
                <w:rFonts w:ascii="Times New Roman" w:hAnsi="Times New Roman" w:cs="Times New Roman"/>
                <w:noProof/>
                <w:webHidden/>
                <w:sz w:val="24"/>
                <w:szCs w:val="24"/>
              </w:rPr>
              <w:instrText xml:space="preserve"> PAGEREF _Toc209880881 \h </w:instrText>
            </w:r>
            <w:r w:rsidR="008F2F27" w:rsidRPr="008F2F27">
              <w:rPr>
                <w:rFonts w:ascii="Times New Roman" w:hAnsi="Times New Roman" w:cs="Times New Roman"/>
                <w:noProof/>
                <w:webHidden/>
                <w:sz w:val="24"/>
                <w:szCs w:val="24"/>
              </w:rPr>
            </w:r>
            <w:r w:rsidR="008F2F27"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4</w:t>
            </w:r>
            <w:r w:rsidR="008F2F27" w:rsidRPr="008F2F27">
              <w:rPr>
                <w:rFonts w:ascii="Times New Roman" w:hAnsi="Times New Roman" w:cs="Times New Roman"/>
                <w:noProof/>
                <w:webHidden/>
                <w:sz w:val="24"/>
                <w:szCs w:val="24"/>
              </w:rPr>
              <w:fldChar w:fldCharType="end"/>
            </w:r>
          </w:hyperlink>
        </w:p>
        <w:p w14:paraId="6CFDD069" w14:textId="13E155F6"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2" w:history="1">
            <w:r w:rsidRPr="008F2F27">
              <w:rPr>
                <w:rStyle w:val="a7"/>
                <w:rFonts w:ascii="Times New Roman" w:hAnsi="Times New Roman" w:cs="Times New Roman"/>
                <w:noProof/>
                <w:sz w:val="24"/>
                <w:szCs w:val="24"/>
                <w:lang w:val="en-GB" w:eastAsia="zh-CN"/>
              </w:rPr>
              <w:t xml:space="preserve">1.1 </w:t>
            </w:r>
            <w:r w:rsidRPr="008F2F27">
              <w:rPr>
                <w:rStyle w:val="a7"/>
                <w:rFonts w:ascii="Times New Roman" w:hAnsi="Times New Roman" w:cs="Times New Roman"/>
                <w:noProof/>
                <w:sz w:val="24"/>
                <w:szCs w:val="24"/>
                <w:lang w:val="en-GB"/>
              </w:rPr>
              <w:t>Research Aim</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_Toc209880882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4</w:t>
            </w:r>
            <w:r w:rsidRPr="008F2F27">
              <w:rPr>
                <w:rFonts w:ascii="Times New Roman" w:hAnsi="Times New Roman" w:cs="Times New Roman"/>
                <w:noProof/>
                <w:webHidden/>
                <w:sz w:val="24"/>
                <w:szCs w:val="24"/>
              </w:rPr>
              <w:fldChar w:fldCharType="end"/>
            </w:r>
          </w:hyperlink>
        </w:p>
        <w:p w14:paraId="60313C76" w14:textId="23212BFE"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3" w:history="1">
            <w:r w:rsidRPr="008F2F27">
              <w:rPr>
                <w:rStyle w:val="a7"/>
                <w:rFonts w:ascii="Times New Roman" w:hAnsi="Times New Roman" w:cs="Times New Roman"/>
                <w:noProof/>
                <w:sz w:val="24"/>
                <w:szCs w:val="24"/>
              </w:rPr>
              <w:t>1.2 Research Questions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_Toc209880883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4</w:t>
            </w:r>
            <w:r w:rsidRPr="008F2F27">
              <w:rPr>
                <w:rFonts w:ascii="Times New Roman" w:hAnsi="Times New Roman" w:cs="Times New Roman"/>
                <w:noProof/>
                <w:webHidden/>
                <w:sz w:val="24"/>
                <w:szCs w:val="24"/>
              </w:rPr>
              <w:fldChar w:fldCharType="end"/>
            </w:r>
          </w:hyperlink>
        </w:p>
        <w:p w14:paraId="5BE95F7F" w14:textId="7CA04421"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4" w:history="1">
            <w:r w:rsidRPr="008F2F27">
              <w:rPr>
                <w:rStyle w:val="a7"/>
                <w:rFonts w:ascii="Times New Roman" w:hAnsi="Times New Roman" w:cs="Times New Roman"/>
                <w:noProof/>
                <w:sz w:val="24"/>
                <w:szCs w:val="24"/>
              </w:rPr>
              <w:t>1.3 Summary and Transition to the Next Section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_Toc209880884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5</w:t>
            </w:r>
            <w:r w:rsidRPr="008F2F27">
              <w:rPr>
                <w:rFonts w:ascii="Times New Roman" w:hAnsi="Times New Roman" w:cs="Times New Roman"/>
                <w:noProof/>
                <w:webHidden/>
                <w:sz w:val="24"/>
                <w:szCs w:val="24"/>
              </w:rPr>
              <w:fldChar w:fldCharType="end"/>
            </w:r>
          </w:hyperlink>
        </w:p>
        <w:p w14:paraId="230162CE" w14:textId="211EE1B7" w:rsidR="008F2F27" w:rsidRPr="008F2F27" w:rsidRDefault="008F2F27"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5" w:history="1">
            <w:r w:rsidRPr="008F2F27">
              <w:rPr>
                <w:rStyle w:val="a7"/>
                <w:rFonts w:ascii="Times New Roman" w:hAnsi="Times New Roman" w:cs="Times New Roman"/>
                <w:noProof/>
                <w:sz w:val="24"/>
                <w:szCs w:val="24"/>
                <w:lang w:eastAsia="zh-CN"/>
              </w:rPr>
              <w:t>2.</w:t>
            </w:r>
            <w:r w:rsidRPr="008F2F27">
              <w:rPr>
                <w:rStyle w:val="a7"/>
                <w:rFonts w:ascii="Times New Roman" w:hAnsi="Times New Roman" w:cs="Times New Roman"/>
                <w:noProof/>
                <w:sz w:val="24"/>
                <w:szCs w:val="24"/>
              </w:rPr>
              <w:t xml:space="preserve"> Significance of the Study</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_Toc209880885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5</w:t>
            </w:r>
            <w:r w:rsidRPr="008F2F27">
              <w:rPr>
                <w:rFonts w:ascii="Times New Roman" w:hAnsi="Times New Roman" w:cs="Times New Roman"/>
                <w:noProof/>
                <w:webHidden/>
                <w:sz w:val="24"/>
                <w:szCs w:val="24"/>
              </w:rPr>
              <w:fldChar w:fldCharType="end"/>
            </w:r>
          </w:hyperlink>
        </w:p>
        <w:p w14:paraId="0738403F" w14:textId="573E9F5A"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6" w:history="1">
            <w:r w:rsidRPr="008F2F27">
              <w:rPr>
                <w:rStyle w:val="a7"/>
                <w:rFonts w:ascii="Times New Roman" w:hAnsi="Times New Roman" w:cs="Times New Roman"/>
                <w:noProof/>
                <w:sz w:val="24"/>
                <w:szCs w:val="24"/>
              </w:rPr>
              <w:t>2.1. Research Objectives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_Toc209880886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5</w:t>
            </w:r>
            <w:r w:rsidRPr="008F2F27">
              <w:rPr>
                <w:rFonts w:ascii="Times New Roman" w:hAnsi="Times New Roman" w:cs="Times New Roman"/>
                <w:noProof/>
                <w:webHidden/>
                <w:sz w:val="24"/>
                <w:szCs w:val="24"/>
              </w:rPr>
              <w:fldChar w:fldCharType="end"/>
            </w:r>
          </w:hyperlink>
        </w:p>
        <w:p w14:paraId="14056856" w14:textId="4B4C0F7B"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7" w:history="1">
            <w:r w:rsidRPr="008F2F27">
              <w:rPr>
                <w:rStyle w:val="a7"/>
                <w:rFonts w:ascii="Times New Roman" w:hAnsi="Times New Roman" w:cs="Times New Roman"/>
                <w:noProof/>
                <w:sz w:val="24"/>
                <w:szCs w:val="24"/>
                <w:lang w:eastAsia="zh-CN"/>
              </w:rPr>
              <w:t xml:space="preserve">2.2 </w:t>
            </w:r>
            <w:r w:rsidRPr="008F2F27">
              <w:rPr>
                <w:rStyle w:val="a7"/>
                <w:rFonts w:ascii="Times New Roman" w:hAnsi="Times New Roman" w:cs="Times New Roman"/>
                <w:noProof/>
                <w:sz w:val="24"/>
                <w:szCs w:val="24"/>
              </w:rPr>
              <w:t>Summary and transition to the Next Section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_Toc209880887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6</w:t>
            </w:r>
            <w:r w:rsidRPr="008F2F27">
              <w:rPr>
                <w:rFonts w:ascii="Times New Roman" w:hAnsi="Times New Roman" w:cs="Times New Roman"/>
                <w:noProof/>
                <w:webHidden/>
                <w:sz w:val="24"/>
                <w:szCs w:val="24"/>
              </w:rPr>
              <w:fldChar w:fldCharType="end"/>
            </w:r>
          </w:hyperlink>
        </w:p>
        <w:p w14:paraId="2E806E9B" w14:textId="5030CDE1" w:rsidR="008F2F27" w:rsidRPr="008F2F27" w:rsidRDefault="008F2F27"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8" w:history="1">
            <w:r w:rsidRPr="008F2F27">
              <w:rPr>
                <w:rStyle w:val="a7"/>
                <w:rFonts w:ascii="Times New Roman" w:hAnsi="Times New Roman" w:cs="Times New Roman"/>
                <w:noProof/>
                <w:sz w:val="24"/>
                <w:szCs w:val="24"/>
                <w:lang w:eastAsia="zh-CN"/>
              </w:rPr>
              <w:t>3. Literature Review</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_Toc209880888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6</w:t>
            </w:r>
            <w:r w:rsidRPr="008F2F27">
              <w:rPr>
                <w:rFonts w:ascii="Times New Roman" w:hAnsi="Times New Roman" w:cs="Times New Roman"/>
                <w:noProof/>
                <w:webHidden/>
                <w:sz w:val="24"/>
                <w:szCs w:val="24"/>
              </w:rPr>
              <w:fldChar w:fldCharType="end"/>
            </w:r>
          </w:hyperlink>
        </w:p>
        <w:p w14:paraId="101FEF1A" w14:textId="507EDE51"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89" w:history="1">
            <w:r w:rsidRPr="008F2F27">
              <w:rPr>
                <w:rStyle w:val="a7"/>
                <w:rFonts w:ascii="Times New Roman" w:hAnsi="Times New Roman" w:cs="Times New Roman"/>
                <w:noProof/>
                <w:sz w:val="24"/>
                <w:szCs w:val="24"/>
              </w:rPr>
              <w:t>3.1 Introduction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_Toc209880889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6</w:t>
            </w:r>
            <w:r w:rsidRPr="008F2F27">
              <w:rPr>
                <w:rFonts w:ascii="Times New Roman" w:hAnsi="Times New Roman" w:cs="Times New Roman"/>
                <w:noProof/>
                <w:webHidden/>
                <w:sz w:val="24"/>
                <w:szCs w:val="24"/>
              </w:rPr>
              <w:fldChar w:fldCharType="end"/>
            </w:r>
          </w:hyperlink>
        </w:p>
        <w:p w14:paraId="3424742A" w14:textId="162E602C"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0" w:history="1">
            <w:r w:rsidRPr="008F2F27">
              <w:rPr>
                <w:rStyle w:val="a7"/>
                <w:rFonts w:ascii="Times New Roman" w:hAnsi="Times New Roman" w:cs="Times New Roman"/>
                <w:noProof/>
                <w:sz w:val="24"/>
                <w:szCs w:val="24"/>
                <w:lang w:val="en-GB" w:eastAsia="zh-CN"/>
              </w:rPr>
              <w:t xml:space="preserve">3.2 </w:t>
            </w:r>
            <w:r w:rsidRPr="008F2F27">
              <w:rPr>
                <w:rStyle w:val="a7"/>
                <w:rFonts w:ascii="Times New Roman" w:hAnsi="Times New Roman" w:cs="Times New Roman"/>
                <w:noProof/>
                <w:sz w:val="24"/>
                <w:szCs w:val="24"/>
                <w:lang w:val="en-GB"/>
              </w:rPr>
              <w:t>Worklessness in the UK: Structural and Regional Dimensions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_Toc209880890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7</w:t>
            </w:r>
            <w:r w:rsidRPr="008F2F27">
              <w:rPr>
                <w:rFonts w:ascii="Times New Roman" w:hAnsi="Times New Roman" w:cs="Times New Roman"/>
                <w:noProof/>
                <w:webHidden/>
                <w:sz w:val="24"/>
                <w:szCs w:val="24"/>
              </w:rPr>
              <w:fldChar w:fldCharType="end"/>
            </w:r>
          </w:hyperlink>
        </w:p>
        <w:p w14:paraId="7589402D" w14:textId="26B16072"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1" w:history="1">
            <w:r w:rsidRPr="008F2F27">
              <w:rPr>
                <w:rStyle w:val="a7"/>
                <w:rFonts w:ascii="Times New Roman" w:hAnsi="Times New Roman" w:cs="Times New Roman"/>
                <w:noProof/>
                <w:sz w:val="24"/>
                <w:szCs w:val="24"/>
                <w:lang w:val="en-GB" w:eastAsia="zh-CN"/>
              </w:rPr>
              <w:t xml:space="preserve">3.3 </w:t>
            </w:r>
            <w:r w:rsidRPr="008F2F27">
              <w:rPr>
                <w:rStyle w:val="a7"/>
                <w:rFonts w:ascii="Times New Roman" w:hAnsi="Times New Roman" w:cs="Times New Roman"/>
                <w:noProof/>
                <w:sz w:val="24"/>
                <w:szCs w:val="24"/>
                <w:lang w:val="en-GB"/>
              </w:rPr>
              <w:t>Knowledge Sharing and Knowledge Management</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_Toc209880891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8</w:t>
            </w:r>
            <w:r w:rsidRPr="008F2F27">
              <w:rPr>
                <w:rFonts w:ascii="Times New Roman" w:hAnsi="Times New Roman" w:cs="Times New Roman"/>
                <w:noProof/>
                <w:webHidden/>
                <w:sz w:val="24"/>
                <w:szCs w:val="24"/>
              </w:rPr>
              <w:fldChar w:fldCharType="end"/>
            </w:r>
          </w:hyperlink>
        </w:p>
        <w:p w14:paraId="2D700525" w14:textId="28A04BC7"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2" w:history="1">
            <w:r w:rsidRPr="008F2F27">
              <w:rPr>
                <w:rStyle w:val="a7"/>
                <w:rFonts w:ascii="Times New Roman" w:hAnsi="Times New Roman" w:cs="Times New Roman"/>
                <w:noProof/>
                <w:sz w:val="24"/>
                <w:szCs w:val="24"/>
                <w:lang w:val="en-GB" w:eastAsia="zh-CN"/>
              </w:rPr>
              <w:t>3.4</w:t>
            </w:r>
            <w:r w:rsidRPr="008F2F27">
              <w:rPr>
                <w:rStyle w:val="a7"/>
                <w:rFonts w:ascii="Times New Roman" w:hAnsi="Times New Roman" w:cs="Times New Roman"/>
                <w:noProof/>
                <w:sz w:val="24"/>
                <w:szCs w:val="24"/>
                <w:lang w:val="en-GB"/>
              </w:rPr>
              <w:t xml:space="preserve"> Artificial Intelligence as an Enabler of Knowledge Sharing</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_Toc209880892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9</w:t>
            </w:r>
            <w:r w:rsidRPr="008F2F27">
              <w:rPr>
                <w:rFonts w:ascii="Times New Roman" w:hAnsi="Times New Roman" w:cs="Times New Roman"/>
                <w:noProof/>
                <w:webHidden/>
                <w:sz w:val="24"/>
                <w:szCs w:val="24"/>
              </w:rPr>
              <w:fldChar w:fldCharType="end"/>
            </w:r>
          </w:hyperlink>
        </w:p>
        <w:p w14:paraId="3D822D97" w14:textId="0761006E"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3" w:history="1">
            <w:r w:rsidRPr="008F2F27">
              <w:rPr>
                <w:rStyle w:val="a7"/>
                <w:rFonts w:ascii="Times New Roman" w:hAnsi="Times New Roman" w:cs="Times New Roman"/>
                <w:noProof/>
                <w:sz w:val="24"/>
                <w:szCs w:val="24"/>
                <w:lang w:val="en-GB" w:eastAsia="zh-CN"/>
              </w:rPr>
              <w:t xml:space="preserve">3.5 </w:t>
            </w:r>
            <w:r w:rsidRPr="008F2F27">
              <w:rPr>
                <w:rStyle w:val="a7"/>
                <w:rFonts w:ascii="Times New Roman" w:hAnsi="Times New Roman" w:cs="Times New Roman"/>
                <w:noProof/>
                <w:sz w:val="24"/>
                <w:szCs w:val="24"/>
                <w:lang w:val="en-GB"/>
              </w:rPr>
              <w:t>Bridging AI, Knowledge Culture, and Worklessness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_Toc209880893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10</w:t>
            </w:r>
            <w:r w:rsidRPr="008F2F27">
              <w:rPr>
                <w:rFonts w:ascii="Times New Roman" w:hAnsi="Times New Roman" w:cs="Times New Roman"/>
                <w:noProof/>
                <w:webHidden/>
                <w:sz w:val="24"/>
                <w:szCs w:val="24"/>
              </w:rPr>
              <w:fldChar w:fldCharType="end"/>
            </w:r>
          </w:hyperlink>
        </w:p>
        <w:p w14:paraId="461BC8D4" w14:textId="410C9765"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4" w:history="1">
            <w:r w:rsidRPr="008F2F27">
              <w:rPr>
                <w:rStyle w:val="a7"/>
                <w:rFonts w:ascii="Times New Roman" w:hAnsi="Times New Roman" w:cs="Times New Roman"/>
                <w:noProof/>
                <w:sz w:val="24"/>
                <w:szCs w:val="24"/>
                <w:lang w:val="en-GB" w:eastAsia="zh-CN"/>
              </w:rPr>
              <w:t>3.6</w:t>
            </w:r>
            <w:r w:rsidRPr="008F2F27">
              <w:rPr>
                <w:rStyle w:val="a7"/>
                <w:rFonts w:ascii="Times New Roman" w:hAnsi="Times New Roman" w:cs="Times New Roman"/>
                <w:noProof/>
                <w:sz w:val="24"/>
                <w:szCs w:val="24"/>
                <w:lang w:val="en-GB"/>
              </w:rPr>
              <w:t xml:space="preserve"> Conceptual Framework</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_Toc209880894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10</w:t>
            </w:r>
            <w:r w:rsidRPr="008F2F27">
              <w:rPr>
                <w:rFonts w:ascii="Times New Roman" w:hAnsi="Times New Roman" w:cs="Times New Roman"/>
                <w:noProof/>
                <w:webHidden/>
                <w:sz w:val="24"/>
                <w:szCs w:val="24"/>
              </w:rPr>
              <w:fldChar w:fldCharType="end"/>
            </w:r>
          </w:hyperlink>
        </w:p>
        <w:p w14:paraId="32F45817" w14:textId="6170A777" w:rsidR="008F2F27" w:rsidRPr="008F2F27" w:rsidRDefault="008F2F27" w:rsidP="008F2F27">
          <w:pPr>
            <w:pStyle w:val="TOC3"/>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5" w:history="1">
            <w:r w:rsidRPr="008F2F27">
              <w:rPr>
                <w:rStyle w:val="a7"/>
                <w:rFonts w:ascii="Times New Roman" w:hAnsi="Times New Roman" w:cs="Times New Roman"/>
                <w:noProof/>
                <w:sz w:val="24"/>
                <w:szCs w:val="24"/>
                <w:lang w:val="en-GB"/>
              </w:rPr>
              <w:t>Explanation of the Conceptual Framework</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_Toc209880895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11</w:t>
            </w:r>
            <w:r w:rsidRPr="008F2F27">
              <w:rPr>
                <w:rFonts w:ascii="Times New Roman" w:hAnsi="Times New Roman" w:cs="Times New Roman"/>
                <w:noProof/>
                <w:webHidden/>
                <w:sz w:val="24"/>
                <w:szCs w:val="24"/>
              </w:rPr>
              <w:fldChar w:fldCharType="end"/>
            </w:r>
          </w:hyperlink>
        </w:p>
        <w:p w14:paraId="62E4337C" w14:textId="71FD297D"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6" w:history="1">
            <w:r w:rsidRPr="008F2F27">
              <w:rPr>
                <w:rStyle w:val="a7"/>
                <w:rFonts w:ascii="Times New Roman" w:hAnsi="Times New Roman" w:cs="Times New Roman"/>
                <w:noProof/>
                <w:sz w:val="24"/>
                <w:szCs w:val="24"/>
                <w:lang w:val="en-GB" w:eastAsia="zh-CN"/>
              </w:rPr>
              <w:t>3.7</w:t>
            </w:r>
            <w:r w:rsidRPr="008F2F27">
              <w:rPr>
                <w:rStyle w:val="a7"/>
                <w:rFonts w:ascii="Times New Roman" w:hAnsi="Times New Roman" w:cs="Times New Roman"/>
                <w:noProof/>
                <w:sz w:val="24"/>
                <w:szCs w:val="24"/>
                <w:lang w:val="en-GB"/>
              </w:rPr>
              <w:t xml:space="preserve"> Hypotheses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_Toc209880896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12</w:t>
            </w:r>
            <w:r w:rsidRPr="008F2F27">
              <w:rPr>
                <w:rFonts w:ascii="Times New Roman" w:hAnsi="Times New Roman" w:cs="Times New Roman"/>
                <w:noProof/>
                <w:webHidden/>
                <w:sz w:val="24"/>
                <w:szCs w:val="24"/>
              </w:rPr>
              <w:fldChar w:fldCharType="end"/>
            </w:r>
          </w:hyperlink>
        </w:p>
        <w:p w14:paraId="679800AC" w14:textId="5529AC77"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7" w:history="1">
            <w:r w:rsidRPr="008F2F27">
              <w:rPr>
                <w:rStyle w:val="a7"/>
                <w:rFonts w:ascii="Times New Roman" w:hAnsi="Times New Roman" w:cs="Times New Roman"/>
                <w:noProof/>
                <w:sz w:val="24"/>
                <w:szCs w:val="24"/>
                <w:lang w:val="en-GB" w:eastAsia="zh-CN"/>
              </w:rPr>
              <w:t xml:space="preserve">3.8 </w:t>
            </w:r>
            <w:r w:rsidRPr="008F2F27">
              <w:rPr>
                <w:rStyle w:val="a7"/>
                <w:rFonts w:ascii="Times New Roman" w:hAnsi="Times New Roman" w:cs="Times New Roman"/>
                <w:noProof/>
                <w:sz w:val="24"/>
                <w:szCs w:val="24"/>
                <w:lang w:val="en-GB"/>
              </w:rPr>
              <w:t xml:space="preserve"> Summary and Transition to the Next Section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_Toc209880897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13</w:t>
            </w:r>
            <w:r w:rsidRPr="008F2F27">
              <w:rPr>
                <w:rFonts w:ascii="Times New Roman" w:hAnsi="Times New Roman" w:cs="Times New Roman"/>
                <w:noProof/>
                <w:webHidden/>
                <w:sz w:val="24"/>
                <w:szCs w:val="24"/>
              </w:rPr>
              <w:fldChar w:fldCharType="end"/>
            </w:r>
          </w:hyperlink>
        </w:p>
        <w:p w14:paraId="4D5EC483" w14:textId="27ED5121" w:rsidR="008F2F27" w:rsidRPr="008F2F27" w:rsidRDefault="008F2F27"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8" w:history="1">
            <w:r w:rsidRPr="008F2F27">
              <w:rPr>
                <w:rStyle w:val="a7"/>
                <w:rFonts w:ascii="Times New Roman" w:hAnsi="Times New Roman" w:cs="Times New Roman"/>
                <w:noProof/>
                <w:sz w:val="24"/>
                <w:szCs w:val="24"/>
                <w:lang w:val="en-GB" w:eastAsia="zh-CN"/>
              </w:rPr>
              <w:t xml:space="preserve">4. </w:t>
            </w:r>
            <w:r w:rsidRPr="008F2F27">
              <w:rPr>
                <w:rStyle w:val="a7"/>
                <w:rFonts w:ascii="Times New Roman" w:hAnsi="Times New Roman" w:cs="Times New Roman"/>
                <w:noProof/>
                <w:sz w:val="24"/>
                <w:szCs w:val="24"/>
                <w:lang w:val="en-GB"/>
              </w:rPr>
              <w:t>Research Methodology</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_Toc209880898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13</w:t>
            </w:r>
            <w:r w:rsidRPr="008F2F27">
              <w:rPr>
                <w:rFonts w:ascii="Times New Roman" w:hAnsi="Times New Roman" w:cs="Times New Roman"/>
                <w:noProof/>
                <w:webHidden/>
                <w:sz w:val="24"/>
                <w:szCs w:val="24"/>
              </w:rPr>
              <w:fldChar w:fldCharType="end"/>
            </w:r>
          </w:hyperlink>
        </w:p>
        <w:p w14:paraId="47A5C35C" w14:textId="57432F93"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899" w:history="1">
            <w:r w:rsidRPr="008F2F27">
              <w:rPr>
                <w:rStyle w:val="a7"/>
                <w:rFonts w:ascii="Times New Roman" w:hAnsi="Times New Roman" w:cs="Times New Roman"/>
                <w:noProof/>
                <w:sz w:val="24"/>
                <w:szCs w:val="24"/>
              </w:rPr>
              <w:t>4.1 Philosophical Stance</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_Toc209880899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13</w:t>
            </w:r>
            <w:r w:rsidRPr="008F2F27">
              <w:rPr>
                <w:rFonts w:ascii="Times New Roman" w:hAnsi="Times New Roman" w:cs="Times New Roman"/>
                <w:noProof/>
                <w:webHidden/>
                <w:sz w:val="24"/>
                <w:szCs w:val="24"/>
              </w:rPr>
              <w:fldChar w:fldCharType="end"/>
            </w:r>
          </w:hyperlink>
        </w:p>
        <w:p w14:paraId="3D447E3C" w14:textId="37EE2719"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0" w:history="1">
            <w:r w:rsidRPr="008F2F27">
              <w:rPr>
                <w:rStyle w:val="a7"/>
                <w:rFonts w:ascii="Times New Roman" w:hAnsi="Times New Roman" w:cs="Times New Roman"/>
                <w:noProof/>
                <w:sz w:val="24"/>
                <w:szCs w:val="24"/>
              </w:rPr>
              <w:t>4.2 Research Design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_Toc209880900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14</w:t>
            </w:r>
            <w:r w:rsidRPr="008F2F27">
              <w:rPr>
                <w:rFonts w:ascii="Times New Roman" w:hAnsi="Times New Roman" w:cs="Times New Roman"/>
                <w:noProof/>
                <w:webHidden/>
                <w:sz w:val="24"/>
                <w:szCs w:val="24"/>
              </w:rPr>
              <w:fldChar w:fldCharType="end"/>
            </w:r>
          </w:hyperlink>
        </w:p>
        <w:p w14:paraId="07AB8729" w14:textId="6669994F"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1" w:history="1">
            <w:r w:rsidRPr="008F2F27">
              <w:rPr>
                <w:rStyle w:val="a7"/>
                <w:rFonts w:ascii="Times New Roman" w:hAnsi="Times New Roman" w:cs="Times New Roman"/>
                <w:noProof/>
                <w:sz w:val="24"/>
                <w:szCs w:val="24"/>
              </w:rPr>
              <w:t>4.3 Dataset</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_Toc209880901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14</w:t>
            </w:r>
            <w:r w:rsidRPr="008F2F27">
              <w:rPr>
                <w:rFonts w:ascii="Times New Roman" w:hAnsi="Times New Roman" w:cs="Times New Roman"/>
                <w:noProof/>
                <w:webHidden/>
                <w:sz w:val="24"/>
                <w:szCs w:val="24"/>
              </w:rPr>
              <w:fldChar w:fldCharType="end"/>
            </w:r>
          </w:hyperlink>
        </w:p>
        <w:p w14:paraId="5A6CEEAF" w14:textId="7594DFCF"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2" w:history="1">
            <w:r w:rsidRPr="008F2F27">
              <w:rPr>
                <w:rStyle w:val="a7"/>
                <w:rFonts w:ascii="Times New Roman" w:hAnsi="Times New Roman" w:cs="Times New Roman"/>
                <w:noProof/>
                <w:sz w:val="24"/>
                <w:szCs w:val="24"/>
              </w:rPr>
              <w:t>4.4 Sampling, Measures, and Variables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_Toc209880902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15</w:t>
            </w:r>
            <w:r w:rsidRPr="008F2F27">
              <w:rPr>
                <w:rFonts w:ascii="Times New Roman" w:hAnsi="Times New Roman" w:cs="Times New Roman"/>
                <w:noProof/>
                <w:webHidden/>
                <w:sz w:val="24"/>
                <w:szCs w:val="24"/>
              </w:rPr>
              <w:fldChar w:fldCharType="end"/>
            </w:r>
          </w:hyperlink>
        </w:p>
        <w:p w14:paraId="200D91A8" w14:textId="61C60A2C"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3" w:history="1">
            <w:r w:rsidRPr="008F2F27">
              <w:rPr>
                <w:rStyle w:val="a7"/>
                <w:rFonts w:ascii="Times New Roman" w:hAnsi="Times New Roman" w:cs="Times New Roman"/>
                <w:noProof/>
                <w:sz w:val="24"/>
                <w:szCs w:val="24"/>
              </w:rPr>
              <w:t>4.5 Descriptive Output</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_Toc209880903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15</w:t>
            </w:r>
            <w:r w:rsidRPr="008F2F27">
              <w:rPr>
                <w:rFonts w:ascii="Times New Roman" w:hAnsi="Times New Roman" w:cs="Times New Roman"/>
                <w:noProof/>
                <w:webHidden/>
                <w:sz w:val="24"/>
                <w:szCs w:val="24"/>
              </w:rPr>
              <w:fldChar w:fldCharType="end"/>
            </w:r>
          </w:hyperlink>
        </w:p>
        <w:p w14:paraId="4399AAF4" w14:textId="7D2964FC"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4" w:history="1">
            <w:r w:rsidRPr="008F2F27">
              <w:rPr>
                <w:rStyle w:val="a7"/>
                <w:rFonts w:ascii="Times New Roman" w:hAnsi="Times New Roman" w:cs="Times New Roman"/>
                <w:noProof/>
                <w:sz w:val="24"/>
                <w:szCs w:val="24"/>
              </w:rPr>
              <w:t>4.6 Ethical Considerations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_Toc209880904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17</w:t>
            </w:r>
            <w:r w:rsidRPr="008F2F27">
              <w:rPr>
                <w:rFonts w:ascii="Times New Roman" w:hAnsi="Times New Roman" w:cs="Times New Roman"/>
                <w:noProof/>
                <w:webHidden/>
                <w:sz w:val="24"/>
                <w:szCs w:val="24"/>
              </w:rPr>
              <w:fldChar w:fldCharType="end"/>
            </w:r>
          </w:hyperlink>
        </w:p>
        <w:p w14:paraId="79403312" w14:textId="730E10EC"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5" w:history="1">
            <w:r w:rsidRPr="008F2F27">
              <w:rPr>
                <w:rStyle w:val="a7"/>
                <w:rFonts w:ascii="Times New Roman" w:hAnsi="Times New Roman" w:cs="Times New Roman"/>
                <w:noProof/>
                <w:sz w:val="24"/>
                <w:szCs w:val="24"/>
              </w:rPr>
              <w:t>4.7 Limitations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_Toc209880905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17</w:t>
            </w:r>
            <w:r w:rsidRPr="008F2F27">
              <w:rPr>
                <w:rFonts w:ascii="Times New Roman" w:hAnsi="Times New Roman" w:cs="Times New Roman"/>
                <w:noProof/>
                <w:webHidden/>
                <w:sz w:val="24"/>
                <w:szCs w:val="24"/>
              </w:rPr>
              <w:fldChar w:fldCharType="end"/>
            </w:r>
          </w:hyperlink>
        </w:p>
        <w:p w14:paraId="2EF430FA" w14:textId="06CDBA1F"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6" w:history="1">
            <w:r w:rsidRPr="008F2F27">
              <w:rPr>
                <w:rStyle w:val="a7"/>
                <w:rFonts w:ascii="Times New Roman" w:hAnsi="Times New Roman" w:cs="Times New Roman"/>
                <w:noProof/>
                <w:sz w:val="24"/>
                <w:szCs w:val="24"/>
              </w:rPr>
              <w:t>4.8 Summary and Transition to the Next Section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_Toc209880906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17</w:t>
            </w:r>
            <w:r w:rsidRPr="008F2F27">
              <w:rPr>
                <w:rFonts w:ascii="Times New Roman" w:hAnsi="Times New Roman" w:cs="Times New Roman"/>
                <w:noProof/>
                <w:webHidden/>
                <w:sz w:val="24"/>
                <w:szCs w:val="24"/>
              </w:rPr>
              <w:fldChar w:fldCharType="end"/>
            </w:r>
          </w:hyperlink>
        </w:p>
        <w:p w14:paraId="6907AEF9" w14:textId="403484AF" w:rsidR="008F2F27" w:rsidRPr="008F2F27" w:rsidRDefault="008F2F27"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7" w:history="1">
            <w:r w:rsidRPr="008F2F27">
              <w:rPr>
                <w:rStyle w:val="a7"/>
                <w:rFonts w:ascii="Times New Roman" w:hAnsi="Times New Roman" w:cs="Times New Roman"/>
                <w:noProof/>
                <w:sz w:val="24"/>
                <w:szCs w:val="24"/>
                <w:lang w:eastAsia="zh-CN"/>
              </w:rPr>
              <w:t xml:space="preserve">5. </w:t>
            </w:r>
            <w:r w:rsidRPr="008F2F27">
              <w:rPr>
                <w:rStyle w:val="a7"/>
                <w:rFonts w:ascii="Times New Roman" w:hAnsi="Times New Roman" w:cs="Times New Roman"/>
                <w:noProof/>
                <w:sz w:val="24"/>
                <w:szCs w:val="24"/>
              </w:rPr>
              <w:t>Data Analysis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_Toc209880907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18</w:t>
            </w:r>
            <w:r w:rsidRPr="008F2F27">
              <w:rPr>
                <w:rFonts w:ascii="Times New Roman" w:hAnsi="Times New Roman" w:cs="Times New Roman"/>
                <w:noProof/>
                <w:webHidden/>
                <w:sz w:val="24"/>
                <w:szCs w:val="24"/>
              </w:rPr>
              <w:fldChar w:fldCharType="end"/>
            </w:r>
          </w:hyperlink>
        </w:p>
        <w:p w14:paraId="66D08396" w14:textId="55AB4F87"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8" w:history="1">
            <w:r w:rsidRPr="008F2F27">
              <w:rPr>
                <w:rStyle w:val="a7"/>
                <w:rFonts w:ascii="Times New Roman" w:hAnsi="Times New Roman" w:cs="Times New Roman"/>
                <w:noProof/>
                <w:sz w:val="24"/>
                <w:szCs w:val="24"/>
              </w:rPr>
              <w:t>5.1 Reliability and Validity Checks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_Toc209880908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18</w:t>
            </w:r>
            <w:r w:rsidRPr="008F2F27">
              <w:rPr>
                <w:rFonts w:ascii="Times New Roman" w:hAnsi="Times New Roman" w:cs="Times New Roman"/>
                <w:noProof/>
                <w:webHidden/>
                <w:sz w:val="24"/>
                <w:szCs w:val="24"/>
              </w:rPr>
              <w:fldChar w:fldCharType="end"/>
            </w:r>
          </w:hyperlink>
        </w:p>
        <w:p w14:paraId="6854F85E" w14:textId="2ACC48EF"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09" w:history="1">
            <w:r w:rsidRPr="008F2F27">
              <w:rPr>
                <w:rStyle w:val="a7"/>
                <w:rFonts w:ascii="Times New Roman" w:hAnsi="Times New Roman" w:cs="Times New Roman"/>
                <w:noProof/>
                <w:sz w:val="24"/>
                <w:szCs w:val="24"/>
              </w:rPr>
              <w:t>5.2 Descriptive Statistics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_Toc209880909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19</w:t>
            </w:r>
            <w:r w:rsidRPr="008F2F27">
              <w:rPr>
                <w:rFonts w:ascii="Times New Roman" w:hAnsi="Times New Roman" w:cs="Times New Roman"/>
                <w:noProof/>
                <w:webHidden/>
                <w:sz w:val="24"/>
                <w:szCs w:val="24"/>
              </w:rPr>
              <w:fldChar w:fldCharType="end"/>
            </w:r>
          </w:hyperlink>
        </w:p>
        <w:p w14:paraId="1EC9170D" w14:textId="22F38170"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0" w:history="1">
            <w:r w:rsidRPr="008F2F27">
              <w:rPr>
                <w:rStyle w:val="a7"/>
                <w:rFonts w:ascii="Times New Roman" w:hAnsi="Times New Roman" w:cs="Times New Roman"/>
                <w:noProof/>
                <w:sz w:val="24"/>
                <w:szCs w:val="24"/>
              </w:rPr>
              <w:t>5.3 Chi-Square Test (Regional Distribution)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_Toc209880910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19</w:t>
            </w:r>
            <w:r w:rsidRPr="008F2F27">
              <w:rPr>
                <w:rFonts w:ascii="Times New Roman" w:hAnsi="Times New Roman" w:cs="Times New Roman"/>
                <w:noProof/>
                <w:webHidden/>
                <w:sz w:val="24"/>
                <w:szCs w:val="24"/>
              </w:rPr>
              <w:fldChar w:fldCharType="end"/>
            </w:r>
          </w:hyperlink>
        </w:p>
        <w:p w14:paraId="23860C97" w14:textId="348685FE"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1" w:history="1">
            <w:r w:rsidRPr="008F2F27">
              <w:rPr>
                <w:rStyle w:val="a7"/>
                <w:rFonts w:ascii="Times New Roman" w:hAnsi="Times New Roman" w:cs="Times New Roman"/>
                <w:noProof/>
                <w:sz w:val="24"/>
                <w:szCs w:val="24"/>
                <w:lang w:val="en-GB"/>
              </w:rPr>
              <w:t xml:space="preserve">5.4 </w:t>
            </w:r>
            <w:r w:rsidRPr="008F2F27">
              <w:rPr>
                <w:rStyle w:val="a7"/>
                <w:rFonts w:ascii="Times New Roman" w:hAnsi="Times New Roman" w:cs="Times New Roman"/>
                <w:noProof/>
                <w:sz w:val="24"/>
                <w:szCs w:val="24"/>
              </w:rPr>
              <w:t>One-Way ANOVA</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_Toc209880911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20</w:t>
            </w:r>
            <w:r w:rsidRPr="008F2F27">
              <w:rPr>
                <w:rFonts w:ascii="Times New Roman" w:hAnsi="Times New Roman" w:cs="Times New Roman"/>
                <w:noProof/>
                <w:webHidden/>
                <w:sz w:val="24"/>
                <w:szCs w:val="24"/>
              </w:rPr>
              <w:fldChar w:fldCharType="end"/>
            </w:r>
          </w:hyperlink>
        </w:p>
        <w:p w14:paraId="689DBF8A" w14:textId="4BD39E98"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2" w:history="1">
            <w:r w:rsidRPr="008F2F27">
              <w:rPr>
                <w:rStyle w:val="a7"/>
                <w:rFonts w:ascii="Times New Roman" w:hAnsi="Times New Roman" w:cs="Times New Roman"/>
                <w:noProof/>
                <w:sz w:val="24"/>
                <w:szCs w:val="24"/>
                <w:lang w:val="en-GB"/>
              </w:rPr>
              <w:t xml:space="preserve">5.5 </w:t>
            </w:r>
            <w:r w:rsidRPr="008F2F27">
              <w:rPr>
                <w:rStyle w:val="a7"/>
                <w:rFonts w:ascii="Times New Roman" w:hAnsi="Times New Roman" w:cs="Times New Roman"/>
                <w:noProof/>
                <w:sz w:val="24"/>
                <w:szCs w:val="24"/>
              </w:rPr>
              <w:t>Logistic Regression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_Toc209880912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20</w:t>
            </w:r>
            <w:r w:rsidRPr="008F2F27">
              <w:rPr>
                <w:rFonts w:ascii="Times New Roman" w:hAnsi="Times New Roman" w:cs="Times New Roman"/>
                <w:noProof/>
                <w:webHidden/>
                <w:sz w:val="24"/>
                <w:szCs w:val="24"/>
              </w:rPr>
              <w:fldChar w:fldCharType="end"/>
            </w:r>
          </w:hyperlink>
        </w:p>
        <w:p w14:paraId="06CA044D" w14:textId="16E2188E"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3" w:history="1">
            <w:r w:rsidRPr="008F2F27">
              <w:rPr>
                <w:rStyle w:val="a7"/>
                <w:rFonts w:ascii="Times New Roman" w:hAnsi="Times New Roman" w:cs="Times New Roman"/>
                <w:noProof/>
                <w:sz w:val="24"/>
                <w:szCs w:val="24"/>
                <w:lang w:val="en-GB"/>
              </w:rPr>
              <w:t>5.4 Tables and Figures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_Toc209880913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21</w:t>
            </w:r>
            <w:r w:rsidRPr="008F2F27">
              <w:rPr>
                <w:rFonts w:ascii="Times New Roman" w:hAnsi="Times New Roman" w:cs="Times New Roman"/>
                <w:noProof/>
                <w:webHidden/>
                <w:sz w:val="24"/>
                <w:szCs w:val="24"/>
              </w:rPr>
              <w:fldChar w:fldCharType="end"/>
            </w:r>
          </w:hyperlink>
        </w:p>
        <w:p w14:paraId="0F13B86C" w14:textId="5F3EE404"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4" w:history="1">
            <w:r w:rsidRPr="008F2F27">
              <w:rPr>
                <w:rStyle w:val="a7"/>
                <w:rFonts w:ascii="Times New Roman" w:hAnsi="Times New Roman" w:cs="Times New Roman"/>
                <w:noProof/>
                <w:sz w:val="24"/>
                <w:szCs w:val="24"/>
                <w:lang w:val="en-GB"/>
              </w:rPr>
              <w:t>5.5 Interpretation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_Toc209880914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21</w:t>
            </w:r>
            <w:r w:rsidRPr="008F2F27">
              <w:rPr>
                <w:rFonts w:ascii="Times New Roman" w:hAnsi="Times New Roman" w:cs="Times New Roman"/>
                <w:noProof/>
                <w:webHidden/>
                <w:sz w:val="24"/>
                <w:szCs w:val="24"/>
              </w:rPr>
              <w:fldChar w:fldCharType="end"/>
            </w:r>
          </w:hyperlink>
        </w:p>
        <w:p w14:paraId="0296AE6D" w14:textId="09EF1FD9"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5" w:history="1">
            <w:r w:rsidRPr="008F2F27">
              <w:rPr>
                <w:rStyle w:val="a7"/>
                <w:rFonts w:ascii="Times New Roman" w:hAnsi="Times New Roman" w:cs="Times New Roman"/>
                <w:noProof/>
                <w:sz w:val="24"/>
                <w:szCs w:val="24"/>
                <w:lang w:val="en-GB"/>
              </w:rPr>
              <w:t>5.6 Summary and Transition to Section 6</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_Toc209880915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22</w:t>
            </w:r>
            <w:r w:rsidRPr="008F2F27">
              <w:rPr>
                <w:rFonts w:ascii="Times New Roman" w:hAnsi="Times New Roman" w:cs="Times New Roman"/>
                <w:noProof/>
                <w:webHidden/>
                <w:sz w:val="24"/>
                <w:szCs w:val="24"/>
              </w:rPr>
              <w:fldChar w:fldCharType="end"/>
            </w:r>
          </w:hyperlink>
        </w:p>
        <w:p w14:paraId="69AE3EFF" w14:textId="67B94A56" w:rsidR="008F2F27" w:rsidRPr="008F2F27" w:rsidRDefault="008F2F27"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6" w:history="1">
            <w:r w:rsidRPr="008F2F27">
              <w:rPr>
                <w:rStyle w:val="a7"/>
                <w:rFonts w:ascii="Times New Roman" w:hAnsi="Times New Roman" w:cs="Times New Roman"/>
                <w:noProof/>
                <w:sz w:val="24"/>
                <w:szCs w:val="24"/>
                <w:lang w:eastAsia="zh-CN"/>
              </w:rPr>
              <w:t xml:space="preserve">6. </w:t>
            </w:r>
            <w:r w:rsidRPr="008F2F27">
              <w:rPr>
                <w:rStyle w:val="a7"/>
                <w:rFonts w:ascii="Times New Roman" w:hAnsi="Times New Roman" w:cs="Times New Roman"/>
                <w:noProof/>
                <w:sz w:val="24"/>
                <w:szCs w:val="24"/>
              </w:rPr>
              <w:t xml:space="preserve">Findings and </w:t>
            </w:r>
            <w:r w:rsidRPr="008F2F27">
              <w:rPr>
                <w:rStyle w:val="a7"/>
                <w:rFonts w:ascii="Times New Roman" w:hAnsi="Times New Roman" w:cs="Times New Roman"/>
                <w:noProof/>
                <w:sz w:val="24"/>
                <w:szCs w:val="24"/>
                <w:lang w:eastAsia="zh-CN"/>
              </w:rPr>
              <w:t>Implications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_Toc209880916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23</w:t>
            </w:r>
            <w:r w:rsidRPr="008F2F27">
              <w:rPr>
                <w:rFonts w:ascii="Times New Roman" w:hAnsi="Times New Roman" w:cs="Times New Roman"/>
                <w:noProof/>
                <w:webHidden/>
                <w:sz w:val="24"/>
                <w:szCs w:val="24"/>
              </w:rPr>
              <w:fldChar w:fldCharType="end"/>
            </w:r>
          </w:hyperlink>
        </w:p>
        <w:p w14:paraId="5CB3ADB4" w14:textId="2659F481"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7" w:history="1">
            <w:r w:rsidRPr="008F2F27">
              <w:rPr>
                <w:rStyle w:val="a7"/>
                <w:rFonts w:ascii="Times New Roman" w:hAnsi="Times New Roman" w:cs="Times New Roman"/>
                <w:noProof/>
                <w:sz w:val="24"/>
                <w:szCs w:val="24"/>
              </w:rPr>
              <w:t>6.1 Key Findings in Relation to Objectives and Literature</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_Toc209880917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23</w:t>
            </w:r>
            <w:r w:rsidRPr="008F2F27">
              <w:rPr>
                <w:rFonts w:ascii="Times New Roman" w:hAnsi="Times New Roman" w:cs="Times New Roman"/>
                <w:noProof/>
                <w:webHidden/>
                <w:sz w:val="24"/>
                <w:szCs w:val="24"/>
              </w:rPr>
              <w:fldChar w:fldCharType="end"/>
            </w:r>
          </w:hyperlink>
        </w:p>
        <w:p w14:paraId="741BC6E7" w14:textId="4C5B4EFA"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8" w:history="1">
            <w:r w:rsidRPr="008F2F27">
              <w:rPr>
                <w:rStyle w:val="a7"/>
                <w:rFonts w:ascii="Times New Roman" w:hAnsi="Times New Roman" w:cs="Times New Roman"/>
                <w:noProof/>
                <w:sz w:val="24"/>
                <w:szCs w:val="24"/>
                <w:lang w:val="en-GB"/>
              </w:rPr>
              <w:t>6.2 Implications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_Toc209880918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24</w:t>
            </w:r>
            <w:r w:rsidRPr="008F2F27">
              <w:rPr>
                <w:rFonts w:ascii="Times New Roman" w:hAnsi="Times New Roman" w:cs="Times New Roman"/>
                <w:noProof/>
                <w:webHidden/>
                <w:sz w:val="24"/>
                <w:szCs w:val="24"/>
              </w:rPr>
              <w:fldChar w:fldCharType="end"/>
            </w:r>
          </w:hyperlink>
        </w:p>
        <w:p w14:paraId="68AA7710" w14:textId="5F603C04" w:rsidR="008F2F27" w:rsidRPr="008F2F27" w:rsidRDefault="008F2F27" w:rsidP="008F2F27">
          <w:pPr>
            <w:pStyle w:val="TOC3"/>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19" w:history="1">
            <w:r w:rsidRPr="008F2F27">
              <w:rPr>
                <w:rStyle w:val="a7"/>
                <w:rFonts w:ascii="Times New Roman" w:hAnsi="Times New Roman" w:cs="Times New Roman"/>
                <w:noProof/>
                <w:sz w:val="24"/>
                <w:szCs w:val="24"/>
                <w:lang w:val="en-GB"/>
              </w:rPr>
              <w:t>6.2.1 Implications for Households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_Toc209880919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24</w:t>
            </w:r>
            <w:r w:rsidRPr="008F2F27">
              <w:rPr>
                <w:rFonts w:ascii="Times New Roman" w:hAnsi="Times New Roman" w:cs="Times New Roman"/>
                <w:noProof/>
                <w:webHidden/>
                <w:sz w:val="24"/>
                <w:szCs w:val="24"/>
              </w:rPr>
              <w:fldChar w:fldCharType="end"/>
            </w:r>
          </w:hyperlink>
        </w:p>
        <w:p w14:paraId="6EA6976C" w14:textId="1BAC0181" w:rsidR="008F2F27" w:rsidRPr="008F2F27" w:rsidRDefault="008F2F27" w:rsidP="008F2F27">
          <w:pPr>
            <w:pStyle w:val="TOC3"/>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0" w:history="1">
            <w:r w:rsidRPr="008F2F27">
              <w:rPr>
                <w:rStyle w:val="a7"/>
                <w:rFonts w:ascii="Times New Roman" w:hAnsi="Times New Roman" w:cs="Times New Roman"/>
                <w:noProof/>
                <w:sz w:val="24"/>
                <w:szCs w:val="24"/>
                <w:lang w:val="en-GB"/>
              </w:rPr>
              <w:t>6.2.2 Policy Implications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_Toc209880920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24</w:t>
            </w:r>
            <w:r w:rsidRPr="008F2F27">
              <w:rPr>
                <w:rFonts w:ascii="Times New Roman" w:hAnsi="Times New Roman" w:cs="Times New Roman"/>
                <w:noProof/>
                <w:webHidden/>
                <w:sz w:val="24"/>
                <w:szCs w:val="24"/>
              </w:rPr>
              <w:fldChar w:fldCharType="end"/>
            </w:r>
          </w:hyperlink>
        </w:p>
        <w:p w14:paraId="080BF8AF" w14:textId="22889AF2" w:rsidR="008F2F27" w:rsidRPr="008F2F27" w:rsidRDefault="008F2F27" w:rsidP="008F2F27">
          <w:pPr>
            <w:pStyle w:val="TOC3"/>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1" w:history="1">
            <w:r w:rsidRPr="008F2F27">
              <w:rPr>
                <w:rStyle w:val="a7"/>
                <w:rFonts w:ascii="Times New Roman" w:hAnsi="Times New Roman" w:cs="Times New Roman"/>
                <w:noProof/>
                <w:sz w:val="24"/>
                <w:szCs w:val="24"/>
                <w:lang w:val="en-GB"/>
              </w:rPr>
              <w:t>6.2.3 Implications for Organisations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_Toc209880921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24</w:t>
            </w:r>
            <w:r w:rsidRPr="008F2F27">
              <w:rPr>
                <w:rFonts w:ascii="Times New Roman" w:hAnsi="Times New Roman" w:cs="Times New Roman"/>
                <w:noProof/>
                <w:webHidden/>
                <w:sz w:val="24"/>
                <w:szCs w:val="24"/>
              </w:rPr>
              <w:fldChar w:fldCharType="end"/>
            </w:r>
          </w:hyperlink>
        </w:p>
        <w:p w14:paraId="4E4FFB29" w14:textId="46CDAB7A"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2" w:history="1">
            <w:r w:rsidRPr="008F2F27">
              <w:rPr>
                <w:rStyle w:val="a7"/>
                <w:rFonts w:ascii="Times New Roman" w:hAnsi="Times New Roman" w:cs="Times New Roman"/>
                <w:noProof/>
                <w:sz w:val="24"/>
                <w:szCs w:val="24"/>
                <w:lang w:val="en-GB"/>
              </w:rPr>
              <w:t>6.3 Theoretical Contributions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_Toc209880922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25</w:t>
            </w:r>
            <w:r w:rsidRPr="008F2F27">
              <w:rPr>
                <w:rFonts w:ascii="Times New Roman" w:hAnsi="Times New Roman" w:cs="Times New Roman"/>
                <w:noProof/>
                <w:webHidden/>
                <w:sz w:val="24"/>
                <w:szCs w:val="24"/>
              </w:rPr>
              <w:fldChar w:fldCharType="end"/>
            </w:r>
          </w:hyperlink>
        </w:p>
        <w:p w14:paraId="6D632677" w14:textId="126A0FDB"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3" w:history="1">
            <w:r w:rsidRPr="008F2F27">
              <w:rPr>
                <w:rStyle w:val="a7"/>
                <w:rFonts w:ascii="Times New Roman" w:hAnsi="Times New Roman" w:cs="Times New Roman"/>
                <w:noProof/>
                <w:sz w:val="24"/>
                <w:szCs w:val="24"/>
                <w:lang w:val="en-GB"/>
              </w:rPr>
              <w:t>6.4 Limitations of the Study</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_Toc209880923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25</w:t>
            </w:r>
            <w:r w:rsidRPr="008F2F27">
              <w:rPr>
                <w:rFonts w:ascii="Times New Roman" w:hAnsi="Times New Roman" w:cs="Times New Roman"/>
                <w:noProof/>
                <w:webHidden/>
                <w:sz w:val="24"/>
                <w:szCs w:val="24"/>
              </w:rPr>
              <w:fldChar w:fldCharType="end"/>
            </w:r>
          </w:hyperlink>
        </w:p>
        <w:p w14:paraId="0FC78384" w14:textId="65721075"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4" w:history="1">
            <w:r w:rsidRPr="008F2F27">
              <w:rPr>
                <w:rStyle w:val="a7"/>
                <w:rFonts w:ascii="Times New Roman" w:hAnsi="Times New Roman" w:cs="Times New Roman"/>
                <w:noProof/>
                <w:sz w:val="24"/>
                <w:szCs w:val="24"/>
                <w:lang w:val="en-GB"/>
              </w:rPr>
              <w:t>6.5 Summary</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_Toc209880924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26</w:t>
            </w:r>
            <w:r w:rsidRPr="008F2F27">
              <w:rPr>
                <w:rFonts w:ascii="Times New Roman" w:hAnsi="Times New Roman" w:cs="Times New Roman"/>
                <w:noProof/>
                <w:webHidden/>
                <w:sz w:val="24"/>
                <w:szCs w:val="24"/>
              </w:rPr>
              <w:fldChar w:fldCharType="end"/>
            </w:r>
          </w:hyperlink>
        </w:p>
        <w:p w14:paraId="740D2229" w14:textId="46D4334D" w:rsidR="008F2F27" w:rsidRPr="008F2F27" w:rsidRDefault="008F2F27"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5" w:history="1">
            <w:r w:rsidRPr="008F2F27">
              <w:rPr>
                <w:rStyle w:val="a7"/>
                <w:rFonts w:ascii="Times New Roman" w:hAnsi="Times New Roman" w:cs="Times New Roman"/>
                <w:noProof/>
                <w:sz w:val="24"/>
                <w:szCs w:val="24"/>
                <w:lang w:eastAsia="zh-CN"/>
              </w:rPr>
              <w:t xml:space="preserve">7. </w:t>
            </w:r>
            <w:r w:rsidRPr="008F2F27">
              <w:rPr>
                <w:rStyle w:val="a7"/>
                <w:rFonts w:ascii="Times New Roman" w:hAnsi="Times New Roman" w:cs="Times New Roman"/>
                <w:noProof/>
                <w:sz w:val="24"/>
                <w:szCs w:val="24"/>
              </w:rPr>
              <w:t>Conclusion and Reflection</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_Toc209880925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26</w:t>
            </w:r>
            <w:r w:rsidRPr="008F2F27">
              <w:rPr>
                <w:rFonts w:ascii="Times New Roman" w:hAnsi="Times New Roman" w:cs="Times New Roman"/>
                <w:noProof/>
                <w:webHidden/>
                <w:sz w:val="24"/>
                <w:szCs w:val="24"/>
              </w:rPr>
              <w:fldChar w:fldCharType="end"/>
            </w:r>
          </w:hyperlink>
        </w:p>
        <w:p w14:paraId="36E47C7A" w14:textId="4876AE03"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6" w:history="1">
            <w:r w:rsidRPr="008F2F27">
              <w:rPr>
                <w:rStyle w:val="a7"/>
                <w:rFonts w:ascii="Times New Roman" w:hAnsi="Times New Roman" w:cs="Times New Roman"/>
                <w:noProof/>
                <w:sz w:val="24"/>
                <w:szCs w:val="24"/>
                <w:lang w:val="en-GB"/>
              </w:rPr>
              <w:t>7.1 How the Module Improved My Quantitative Research Skills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_Toc209880926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26</w:t>
            </w:r>
            <w:r w:rsidRPr="008F2F27">
              <w:rPr>
                <w:rFonts w:ascii="Times New Roman" w:hAnsi="Times New Roman" w:cs="Times New Roman"/>
                <w:noProof/>
                <w:webHidden/>
                <w:sz w:val="24"/>
                <w:szCs w:val="24"/>
              </w:rPr>
              <w:fldChar w:fldCharType="end"/>
            </w:r>
          </w:hyperlink>
        </w:p>
        <w:p w14:paraId="76881847" w14:textId="5C1F77DA"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7" w:history="1">
            <w:r w:rsidRPr="008F2F27">
              <w:rPr>
                <w:rStyle w:val="a7"/>
                <w:rFonts w:ascii="Times New Roman" w:hAnsi="Times New Roman" w:cs="Times New Roman"/>
                <w:noProof/>
                <w:sz w:val="24"/>
                <w:szCs w:val="24"/>
                <w:lang w:val="en-GB"/>
              </w:rPr>
              <w:t>7.2 Critical Self-Assessment of Using Quantitative Methods in My DBA</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_Toc209880927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27</w:t>
            </w:r>
            <w:r w:rsidRPr="008F2F27">
              <w:rPr>
                <w:rFonts w:ascii="Times New Roman" w:hAnsi="Times New Roman" w:cs="Times New Roman"/>
                <w:noProof/>
                <w:webHidden/>
                <w:sz w:val="24"/>
                <w:szCs w:val="24"/>
              </w:rPr>
              <w:fldChar w:fldCharType="end"/>
            </w:r>
          </w:hyperlink>
        </w:p>
        <w:p w14:paraId="5E185254" w14:textId="4428FBB4"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8" w:history="1">
            <w:r w:rsidRPr="008F2F27">
              <w:rPr>
                <w:rStyle w:val="a7"/>
                <w:rFonts w:ascii="Times New Roman" w:hAnsi="Times New Roman" w:cs="Times New Roman"/>
                <w:noProof/>
                <w:sz w:val="24"/>
                <w:szCs w:val="24"/>
              </w:rPr>
              <w:t>7.3 Personal Insights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_Toc209880928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28</w:t>
            </w:r>
            <w:r w:rsidRPr="008F2F27">
              <w:rPr>
                <w:rFonts w:ascii="Times New Roman" w:hAnsi="Times New Roman" w:cs="Times New Roman"/>
                <w:noProof/>
                <w:webHidden/>
                <w:sz w:val="24"/>
                <w:szCs w:val="24"/>
              </w:rPr>
              <w:fldChar w:fldCharType="end"/>
            </w:r>
          </w:hyperlink>
        </w:p>
        <w:p w14:paraId="661B4824" w14:textId="72BD9349"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29" w:history="1">
            <w:r w:rsidRPr="008F2F27">
              <w:rPr>
                <w:rStyle w:val="a7"/>
                <w:rFonts w:ascii="Times New Roman" w:hAnsi="Times New Roman" w:cs="Times New Roman"/>
                <w:noProof/>
                <w:sz w:val="24"/>
                <w:szCs w:val="24"/>
              </w:rPr>
              <w:t>7.4 Future Directions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_Toc209880929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29</w:t>
            </w:r>
            <w:r w:rsidRPr="008F2F27">
              <w:rPr>
                <w:rFonts w:ascii="Times New Roman" w:hAnsi="Times New Roman" w:cs="Times New Roman"/>
                <w:noProof/>
                <w:webHidden/>
                <w:sz w:val="24"/>
                <w:szCs w:val="24"/>
              </w:rPr>
              <w:fldChar w:fldCharType="end"/>
            </w:r>
          </w:hyperlink>
        </w:p>
        <w:p w14:paraId="3FAB6EEF" w14:textId="19A37CDF" w:rsidR="008F2F27" w:rsidRPr="008F2F27" w:rsidRDefault="008F2F27" w:rsidP="008F2F27">
          <w:pPr>
            <w:pStyle w:val="TOC2"/>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30" w:history="1">
            <w:r w:rsidRPr="008F2F27">
              <w:rPr>
                <w:rStyle w:val="a7"/>
                <w:rFonts w:ascii="Times New Roman" w:hAnsi="Times New Roman" w:cs="Times New Roman"/>
                <w:noProof/>
                <w:sz w:val="24"/>
                <w:szCs w:val="24"/>
              </w:rPr>
              <w:t>7.5 Summary</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_Toc209880930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30</w:t>
            </w:r>
            <w:r w:rsidRPr="008F2F27">
              <w:rPr>
                <w:rFonts w:ascii="Times New Roman" w:hAnsi="Times New Roman" w:cs="Times New Roman"/>
                <w:noProof/>
                <w:webHidden/>
                <w:sz w:val="24"/>
                <w:szCs w:val="24"/>
              </w:rPr>
              <w:fldChar w:fldCharType="end"/>
            </w:r>
          </w:hyperlink>
        </w:p>
        <w:p w14:paraId="2ECBA935" w14:textId="1848B80B" w:rsidR="008F2F27" w:rsidRPr="008F2F27" w:rsidRDefault="008F2F27" w:rsidP="008F2F27">
          <w:pPr>
            <w:pStyle w:val="TOC1"/>
            <w:tabs>
              <w:tab w:val="right" w:leader="dot" w:pos="9350"/>
            </w:tabs>
            <w:spacing w:line="276" w:lineRule="auto"/>
            <w:rPr>
              <w:rFonts w:ascii="Times New Roman" w:eastAsiaTheme="minorEastAsia" w:hAnsi="Times New Roman" w:cs="Times New Roman"/>
              <w:noProof/>
              <w:kern w:val="2"/>
              <w:sz w:val="24"/>
              <w:szCs w:val="24"/>
              <w:lang w:val="en-GB" w:eastAsia="zh-CN"/>
              <w14:ligatures w14:val="standardContextual"/>
            </w:rPr>
          </w:pPr>
          <w:hyperlink w:anchor="_Toc209880931" w:history="1">
            <w:r w:rsidRPr="008F2F27">
              <w:rPr>
                <w:rStyle w:val="a7"/>
                <w:rFonts w:ascii="Times New Roman" w:hAnsi="Times New Roman" w:cs="Times New Roman"/>
                <w:noProof/>
                <w:sz w:val="24"/>
                <w:szCs w:val="24"/>
                <w:lang w:eastAsia="zh-CN"/>
              </w:rPr>
              <w:t xml:space="preserve">8. </w:t>
            </w:r>
            <w:r w:rsidRPr="008F2F27">
              <w:rPr>
                <w:rStyle w:val="a7"/>
                <w:rFonts w:ascii="Times New Roman" w:hAnsi="Times New Roman" w:cs="Times New Roman"/>
                <w:noProof/>
                <w:sz w:val="24"/>
                <w:szCs w:val="24"/>
              </w:rPr>
              <w:t>References</w:t>
            </w:r>
            <w:r w:rsidRPr="008F2F27">
              <w:rPr>
                <w:rFonts w:ascii="Times New Roman" w:hAnsi="Times New Roman" w:cs="Times New Roman"/>
                <w:noProof/>
                <w:webHidden/>
                <w:sz w:val="24"/>
                <w:szCs w:val="24"/>
              </w:rPr>
              <w:tab/>
            </w:r>
            <w:r w:rsidRPr="008F2F27">
              <w:rPr>
                <w:rFonts w:ascii="Times New Roman" w:hAnsi="Times New Roman" w:cs="Times New Roman"/>
                <w:noProof/>
                <w:webHidden/>
                <w:sz w:val="24"/>
                <w:szCs w:val="24"/>
              </w:rPr>
              <w:fldChar w:fldCharType="begin"/>
            </w:r>
            <w:r w:rsidRPr="008F2F27">
              <w:rPr>
                <w:rFonts w:ascii="Times New Roman" w:hAnsi="Times New Roman" w:cs="Times New Roman"/>
                <w:noProof/>
                <w:webHidden/>
                <w:sz w:val="24"/>
                <w:szCs w:val="24"/>
              </w:rPr>
              <w:instrText xml:space="preserve"> PAGEREF _Toc209880931 \h </w:instrText>
            </w:r>
            <w:r w:rsidRPr="008F2F27">
              <w:rPr>
                <w:rFonts w:ascii="Times New Roman" w:hAnsi="Times New Roman" w:cs="Times New Roman"/>
                <w:noProof/>
                <w:webHidden/>
                <w:sz w:val="24"/>
                <w:szCs w:val="24"/>
              </w:rPr>
            </w:r>
            <w:r w:rsidRPr="008F2F27">
              <w:rPr>
                <w:rFonts w:ascii="Times New Roman" w:hAnsi="Times New Roman" w:cs="Times New Roman"/>
                <w:noProof/>
                <w:webHidden/>
                <w:sz w:val="24"/>
                <w:szCs w:val="24"/>
              </w:rPr>
              <w:fldChar w:fldCharType="separate"/>
            </w:r>
            <w:r w:rsidR="00F438BF">
              <w:rPr>
                <w:rFonts w:ascii="Times New Roman" w:hAnsi="Times New Roman" w:cs="Times New Roman"/>
                <w:noProof/>
                <w:webHidden/>
                <w:sz w:val="24"/>
                <w:szCs w:val="24"/>
              </w:rPr>
              <w:t>31</w:t>
            </w:r>
            <w:r w:rsidRPr="008F2F27">
              <w:rPr>
                <w:rFonts w:ascii="Times New Roman" w:hAnsi="Times New Roman" w:cs="Times New Roman"/>
                <w:noProof/>
                <w:webHidden/>
                <w:sz w:val="24"/>
                <w:szCs w:val="24"/>
              </w:rPr>
              <w:fldChar w:fldCharType="end"/>
            </w:r>
          </w:hyperlink>
        </w:p>
        <w:p w14:paraId="1C1F3629" w14:textId="56271CAF" w:rsidR="002E5BC9" w:rsidRPr="00FD7DF2" w:rsidRDefault="002E5BC9" w:rsidP="00AE37A9">
          <w:pPr>
            <w:spacing w:line="240" w:lineRule="auto"/>
            <w:rPr>
              <w:rFonts w:ascii="Times New Roman" w:hAnsi="Times New Roman" w:cs="Times New Roman"/>
              <w:sz w:val="24"/>
              <w:szCs w:val="24"/>
              <w:lang w:val="en-GB"/>
            </w:rPr>
          </w:pPr>
          <w:r w:rsidRPr="00FD7DF2">
            <w:rPr>
              <w:rFonts w:ascii="Times New Roman" w:hAnsi="Times New Roman" w:cs="Times New Roman"/>
              <w:noProof/>
              <w:sz w:val="24"/>
              <w:szCs w:val="24"/>
              <w:lang w:val="en-GB"/>
            </w:rPr>
            <w:fldChar w:fldCharType="end"/>
          </w:r>
        </w:p>
      </w:sdtContent>
    </w:sdt>
    <w:p w14:paraId="6DEBF6A4" w14:textId="77777777" w:rsidR="002E5BC9" w:rsidRPr="00FD7DF2" w:rsidRDefault="002E5BC9" w:rsidP="00AE37A9">
      <w:pPr>
        <w:spacing w:line="360" w:lineRule="auto"/>
        <w:ind w:left="0" w:firstLine="0"/>
        <w:rPr>
          <w:rFonts w:ascii="Times New Roman" w:hAnsi="Times New Roman" w:cs="Times New Roman"/>
          <w:sz w:val="24"/>
          <w:szCs w:val="24"/>
          <w:lang w:val="en-GB"/>
        </w:rPr>
      </w:pPr>
    </w:p>
    <w:p w14:paraId="03A55CE4" w14:textId="77777777" w:rsidR="00366AFD" w:rsidRPr="00FD7DF2" w:rsidRDefault="00366AFD" w:rsidP="00AE37A9">
      <w:pPr>
        <w:spacing w:line="360" w:lineRule="auto"/>
        <w:rPr>
          <w:rFonts w:ascii="Times New Roman" w:hAnsi="Times New Roman" w:cs="Times New Roman"/>
          <w:sz w:val="24"/>
          <w:szCs w:val="24"/>
          <w:lang w:val="en-GB" w:eastAsia="zh-CN"/>
        </w:rPr>
      </w:pPr>
    </w:p>
    <w:p w14:paraId="57772808" w14:textId="77777777" w:rsidR="002E5BC9" w:rsidRPr="00FD7DF2" w:rsidRDefault="002E5BC9" w:rsidP="00AE37A9">
      <w:pPr>
        <w:spacing w:line="360" w:lineRule="auto"/>
        <w:rPr>
          <w:rFonts w:ascii="Times New Roman" w:hAnsi="Times New Roman" w:cs="Times New Roman"/>
          <w:sz w:val="24"/>
          <w:szCs w:val="24"/>
          <w:lang w:val="en-GB" w:eastAsia="zh-CN"/>
        </w:rPr>
      </w:pPr>
    </w:p>
    <w:p w14:paraId="733C0975" w14:textId="77777777" w:rsidR="0076654C" w:rsidRDefault="0076654C" w:rsidP="006F6F72">
      <w:pPr>
        <w:spacing w:line="360" w:lineRule="auto"/>
        <w:ind w:left="0" w:firstLine="0"/>
        <w:rPr>
          <w:rFonts w:ascii="Times New Roman" w:hAnsi="Times New Roman" w:cs="Times New Roman"/>
          <w:sz w:val="24"/>
          <w:szCs w:val="24"/>
          <w:lang w:val="en-GB" w:eastAsia="zh-CN"/>
        </w:rPr>
      </w:pPr>
    </w:p>
    <w:p w14:paraId="3CA309D5" w14:textId="77777777" w:rsidR="008F2F27" w:rsidRDefault="008F2F27" w:rsidP="006F6F72">
      <w:pPr>
        <w:spacing w:line="360" w:lineRule="auto"/>
        <w:ind w:left="0" w:firstLine="0"/>
        <w:rPr>
          <w:rFonts w:ascii="Times New Roman" w:hAnsi="Times New Roman" w:cs="Times New Roman"/>
          <w:sz w:val="24"/>
          <w:szCs w:val="24"/>
          <w:lang w:val="en-GB" w:eastAsia="zh-CN"/>
        </w:rPr>
      </w:pPr>
    </w:p>
    <w:p w14:paraId="6393ED02" w14:textId="77777777" w:rsidR="008F2F27" w:rsidRPr="00FD7DF2" w:rsidRDefault="008F2F27" w:rsidP="006F6F72">
      <w:pPr>
        <w:spacing w:line="360" w:lineRule="auto"/>
        <w:ind w:left="0" w:firstLine="0"/>
        <w:rPr>
          <w:rFonts w:ascii="Times New Roman" w:hAnsi="Times New Roman" w:cs="Times New Roman"/>
          <w:sz w:val="24"/>
          <w:szCs w:val="24"/>
          <w:lang w:val="en-GB" w:eastAsia="zh-CN"/>
        </w:rPr>
      </w:pPr>
    </w:p>
    <w:p w14:paraId="2FE9C45C" w14:textId="2802FECE" w:rsidR="00CD28CD" w:rsidRPr="00F92D37" w:rsidRDefault="00F92D37" w:rsidP="00F92D37">
      <w:pPr>
        <w:pStyle w:val="1"/>
        <w:rPr>
          <w:rFonts w:ascii="Aptos" w:hAnsi="Aptos"/>
          <w:b/>
          <w:bCs/>
          <w:color w:val="auto"/>
          <w:sz w:val="28"/>
          <w:szCs w:val="28"/>
        </w:rPr>
      </w:pPr>
      <w:bookmarkStart w:id="0" w:name="_Toc209880881"/>
      <w:r w:rsidRPr="00F92D37">
        <w:rPr>
          <w:rFonts w:ascii="Aptos" w:hAnsi="Aptos"/>
          <w:b/>
          <w:bCs/>
          <w:color w:val="auto"/>
          <w:sz w:val="28"/>
          <w:szCs w:val="28"/>
          <w:lang w:eastAsia="zh-CN"/>
        </w:rPr>
        <w:lastRenderedPageBreak/>
        <w:t xml:space="preserve">1. </w:t>
      </w:r>
      <w:r w:rsidR="00CD28CD" w:rsidRPr="00F92D37">
        <w:rPr>
          <w:rFonts w:ascii="Aptos" w:hAnsi="Aptos"/>
          <w:b/>
          <w:bCs/>
          <w:color w:val="auto"/>
          <w:sz w:val="28"/>
          <w:szCs w:val="28"/>
        </w:rPr>
        <w:t>Introduction</w:t>
      </w:r>
      <w:r w:rsidR="00653FE5" w:rsidRPr="00F92D37">
        <w:rPr>
          <w:rFonts w:ascii="Aptos" w:hAnsi="Aptos"/>
          <w:b/>
          <w:bCs/>
          <w:color w:val="auto"/>
          <w:sz w:val="28"/>
          <w:szCs w:val="28"/>
        </w:rPr>
        <w:t xml:space="preserve">: </w:t>
      </w:r>
      <w:r w:rsidR="00CD28CD" w:rsidRPr="00F92D37">
        <w:rPr>
          <w:rFonts w:ascii="Aptos" w:hAnsi="Aptos"/>
          <w:b/>
          <w:bCs/>
          <w:color w:val="auto"/>
          <w:sz w:val="28"/>
          <w:szCs w:val="28"/>
        </w:rPr>
        <w:t>Background and Research Problem</w:t>
      </w:r>
      <w:bookmarkEnd w:id="0"/>
    </w:p>
    <w:p w14:paraId="361ED23E"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issue of worklessness is one of the most critical socio-economic problems in the United Kingdom and one that has great implications to the individuals, families and society. The Office for National Statistics (2024) revealed that over 1.5 million households in the UK are workless, notably centred in areas like the North East, and big inner-city centres. Chronic unemployment does not merely decrease household earnings but also reinforces poverty, digital divides, and diminishing social mobility. In most occasions, accessibility to education, training, and digital technologies restricts household involvement in contemporary labour markets (Holmes &amp; Burgess, 2022). Fortunately, Artificial Intelligence (AI) is being acknowledged as a game-changer in the world of education, knowledge management, and work. In addition to its business and technological adoption opportunities, AI provides distinct social integration chances, especially in the development of balanced and flexible learning systems (Lopez, 2025). In the case of workless households, AI-based services can offer individualised skill training, smart career advice, and peer-to-peer knowledge transfer that mitigates obstacles to employability. Nevertheless, very few academic studies directly look at how knowledge-sharing systems should be built using AI to deal with the socio-economic issues of worklessness. This research thus has its basis on the correlation between technological innovation and social equity. It acknowledges not only the systematic disadvantage of vulnerable households but also considers the newfound potential of AI as a source of empowerment. Filling this gap is not only academically beneficial but also socially necessary, as the UK government has a wide ambition of digital inclusion and workforce change.</w:t>
      </w:r>
    </w:p>
    <w:p w14:paraId="4B903369" w14:textId="13447AF5" w:rsidR="005A6A8F" w:rsidRPr="006E5EA4" w:rsidRDefault="006E5EA4" w:rsidP="006E5EA4">
      <w:pPr>
        <w:pStyle w:val="2"/>
        <w:rPr>
          <w:b/>
          <w:bCs/>
          <w:color w:val="auto"/>
          <w:sz w:val="24"/>
          <w:szCs w:val="24"/>
          <w:lang w:val="en-GB"/>
        </w:rPr>
      </w:pPr>
      <w:bookmarkStart w:id="1" w:name="_Toc209880882"/>
      <w:r w:rsidRPr="006E5EA4">
        <w:rPr>
          <w:rFonts w:hint="eastAsia"/>
          <w:b/>
          <w:bCs/>
          <w:color w:val="auto"/>
          <w:sz w:val="24"/>
          <w:szCs w:val="24"/>
          <w:lang w:val="en-GB" w:eastAsia="zh-CN"/>
        </w:rPr>
        <w:t xml:space="preserve">1.1 </w:t>
      </w:r>
      <w:r w:rsidR="005A6A8F" w:rsidRPr="006E5EA4">
        <w:rPr>
          <w:b/>
          <w:bCs/>
          <w:color w:val="auto"/>
          <w:sz w:val="24"/>
          <w:szCs w:val="24"/>
          <w:lang w:val="en-GB"/>
        </w:rPr>
        <w:t>Research Aim</w:t>
      </w:r>
      <w:bookmarkEnd w:id="1"/>
    </w:p>
    <w:p w14:paraId="0F719CAF" w14:textId="40475ECB" w:rsidR="005A6A8F" w:rsidRPr="00FD7DF2" w:rsidRDefault="005A6A8F"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study aims to investigate whether AI-enabled knowledge-sharing systems can reduce worklessness among UK households by enhancing skills and employability pathways.</w:t>
      </w:r>
    </w:p>
    <w:p w14:paraId="1494AB8F" w14:textId="52E186FB" w:rsidR="005A6A8F" w:rsidRPr="006E5EA4" w:rsidRDefault="005A6A8F" w:rsidP="006E5EA4">
      <w:pPr>
        <w:pStyle w:val="2"/>
        <w:rPr>
          <w:b/>
          <w:bCs/>
          <w:color w:val="auto"/>
          <w:sz w:val="24"/>
          <w:szCs w:val="24"/>
        </w:rPr>
      </w:pPr>
      <w:bookmarkStart w:id="2" w:name="_Toc209880883"/>
      <w:r w:rsidRPr="006E5EA4">
        <w:rPr>
          <w:b/>
          <w:bCs/>
          <w:color w:val="auto"/>
          <w:sz w:val="24"/>
          <w:szCs w:val="24"/>
        </w:rPr>
        <w:t>1.2 Research Questions</w:t>
      </w:r>
      <w:bookmarkEnd w:id="2"/>
    </w:p>
    <w:p w14:paraId="26865974" w14:textId="77777777" w:rsidR="005A6A8F" w:rsidRPr="005A6A8F" w:rsidRDefault="005A6A8F" w:rsidP="00B41F62">
      <w:pPr>
        <w:numPr>
          <w:ilvl w:val="0"/>
          <w:numId w:val="37"/>
        </w:numPr>
        <w:spacing w:line="360" w:lineRule="auto"/>
        <w:jc w:val="both"/>
        <w:rPr>
          <w:rFonts w:ascii="Times New Roman" w:hAnsi="Times New Roman" w:cs="Times New Roman"/>
          <w:sz w:val="24"/>
          <w:szCs w:val="24"/>
          <w:lang w:val="en-GB"/>
        </w:rPr>
      </w:pPr>
      <w:r w:rsidRPr="005A6A8F">
        <w:rPr>
          <w:rFonts w:ascii="Times New Roman" w:hAnsi="Times New Roman" w:cs="Times New Roman"/>
          <w:sz w:val="24"/>
          <w:szCs w:val="24"/>
          <w:lang w:val="en-GB"/>
        </w:rPr>
        <w:t>How can AI-based platforms be designed to support individuals in workless households in the UK?</w:t>
      </w:r>
    </w:p>
    <w:p w14:paraId="0B227C14" w14:textId="77777777" w:rsidR="005A6A8F" w:rsidRPr="005A6A8F" w:rsidRDefault="005A6A8F" w:rsidP="00B41F62">
      <w:pPr>
        <w:numPr>
          <w:ilvl w:val="0"/>
          <w:numId w:val="37"/>
        </w:numPr>
        <w:spacing w:line="360" w:lineRule="auto"/>
        <w:jc w:val="both"/>
        <w:rPr>
          <w:rFonts w:ascii="Times New Roman" w:hAnsi="Times New Roman" w:cs="Times New Roman"/>
          <w:sz w:val="24"/>
          <w:szCs w:val="24"/>
          <w:lang w:val="en-GB"/>
        </w:rPr>
      </w:pPr>
      <w:r w:rsidRPr="005A6A8F">
        <w:rPr>
          <w:rFonts w:ascii="Times New Roman" w:hAnsi="Times New Roman" w:cs="Times New Roman"/>
          <w:sz w:val="24"/>
          <w:szCs w:val="24"/>
          <w:lang w:val="en-GB"/>
        </w:rPr>
        <w:t>What is the potential impact of AI-enabled learning on reducing regional disparities in household worklessness?</w:t>
      </w:r>
    </w:p>
    <w:p w14:paraId="44FEC2F0" w14:textId="77777777" w:rsidR="005A6A8F" w:rsidRPr="00FD7DF2" w:rsidRDefault="005A6A8F" w:rsidP="00B41F62">
      <w:pPr>
        <w:numPr>
          <w:ilvl w:val="0"/>
          <w:numId w:val="37"/>
        </w:numPr>
        <w:spacing w:line="360" w:lineRule="auto"/>
        <w:jc w:val="both"/>
        <w:rPr>
          <w:rFonts w:ascii="Times New Roman" w:hAnsi="Times New Roman" w:cs="Times New Roman"/>
          <w:sz w:val="24"/>
          <w:szCs w:val="24"/>
          <w:lang w:val="en-GB"/>
        </w:rPr>
      </w:pPr>
      <w:r w:rsidRPr="005A6A8F">
        <w:rPr>
          <w:rFonts w:ascii="Times New Roman" w:hAnsi="Times New Roman" w:cs="Times New Roman"/>
          <w:sz w:val="24"/>
          <w:szCs w:val="24"/>
          <w:lang w:val="en-GB"/>
        </w:rPr>
        <w:lastRenderedPageBreak/>
        <w:t>What ethical and social considerations must be addressed when applying AI to vulnerable communities?</w:t>
      </w:r>
    </w:p>
    <w:p w14:paraId="6FAA85D0" w14:textId="7A43F3EB" w:rsidR="00D47D1F" w:rsidRPr="006E5EA4" w:rsidRDefault="00D47D1F" w:rsidP="006E5EA4">
      <w:pPr>
        <w:pStyle w:val="2"/>
        <w:rPr>
          <w:b/>
          <w:bCs/>
          <w:color w:val="auto"/>
          <w:sz w:val="24"/>
          <w:szCs w:val="24"/>
        </w:rPr>
      </w:pPr>
      <w:bookmarkStart w:id="3" w:name="_Toc209880884"/>
      <w:r w:rsidRPr="006E5EA4">
        <w:rPr>
          <w:b/>
          <w:bCs/>
          <w:color w:val="auto"/>
          <w:sz w:val="24"/>
          <w:szCs w:val="24"/>
        </w:rPr>
        <w:t xml:space="preserve">1.3 Summary and Transition to the Next </w:t>
      </w:r>
      <w:r w:rsidR="003F209E" w:rsidRPr="006E5EA4">
        <w:rPr>
          <w:b/>
          <w:bCs/>
          <w:color w:val="auto"/>
          <w:sz w:val="24"/>
          <w:szCs w:val="24"/>
        </w:rPr>
        <w:t>Section</w:t>
      </w:r>
      <w:bookmarkEnd w:id="3"/>
    </w:p>
    <w:p w14:paraId="61114C57" w14:textId="332F5028" w:rsidR="00D47D1F" w:rsidRPr="005A6A8F" w:rsidRDefault="0099281F" w:rsidP="00B41F62">
      <w:pPr>
        <w:spacing w:line="360" w:lineRule="auto"/>
        <w:ind w:left="0" w:firstLine="0"/>
        <w:jc w:val="both"/>
        <w:rPr>
          <w:rFonts w:ascii="Times New Roman" w:hAnsi="Times New Roman" w:cs="Times New Roman"/>
          <w:sz w:val="24"/>
          <w:szCs w:val="24"/>
          <w:lang w:val="en-GB"/>
        </w:rPr>
      </w:pPr>
      <w:r w:rsidRPr="0099281F">
        <w:rPr>
          <w:rFonts w:ascii="Times New Roman" w:hAnsi="Times New Roman" w:cs="Times New Roman"/>
          <w:sz w:val="24"/>
          <w:szCs w:val="24"/>
          <w:lang w:val="en-GB"/>
        </w:rPr>
        <w:t>In conclusion, this research proposal has outlined the justification, aims, and scope of the study. It has positioned AI as a valuable tool for fostering inclusive knowledge-sharing cultures that address structural unemployment in the UK. The proposed research intends to build both theoretical insights and empirical evidence, using quantitative analysis of SPSS datasets to extend academic knowledge and practical understanding.</w:t>
      </w:r>
      <w:r w:rsidRPr="00FD7DF2">
        <w:rPr>
          <w:rFonts w:ascii="Times New Roman" w:hAnsi="Times New Roman" w:cs="Times New Roman"/>
          <w:sz w:val="24"/>
          <w:szCs w:val="24"/>
          <w:lang w:val="en-GB"/>
        </w:rPr>
        <w:t xml:space="preserve"> </w:t>
      </w:r>
      <w:r w:rsidRPr="0099281F">
        <w:rPr>
          <w:rFonts w:ascii="Times New Roman" w:hAnsi="Times New Roman" w:cs="Times New Roman"/>
          <w:sz w:val="24"/>
          <w:szCs w:val="24"/>
          <w:lang w:val="en-GB"/>
        </w:rPr>
        <w:t xml:space="preserve">The </w:t>
      </w:r>
      <w:r w:rsidRPr="00FD7DF2">
        <w:rPr>
          <w:rFonts w:ascii="Times New Roman" w:hAnsi="Times New Roman" w:cs="Times New Roman"/>
          <w:sz w:val="24"/>
          <w:szCs w:val="24"/>
          <w:lang w:val="en-GB"/>
        </w:rPr>
        <w:t>next</w:t>
      </w:r>
      <w:r w:rsidRPr="0099281F">
        <w:rPr>
          <w:rFonts w:ascii="Times New Roman" w:hAnsi="Times New Roman" w:cs="Times New Roman"/>
          <w:sz w:val="24"/>
          <w:szCs w:val="24"/>
          <w:lang w:val="en-GB"/>
        </w:rPr>
        <w:t xml:space="preserve"> section examines the significance of the study, highlighting its academic, practical, and societal contributions, and setting the foundation for the research objectives that will guide the investigation</w:t>
      </w:r>
      <w:r w:rsidR="00D47D1F" w:rsidRPr="00FD7DF2">
        <w:rPr>
          <w:rFonts w:ascii="Times New Roman" w:hAnsi="Times New Roman" w:cs="Times New Roman"/>
          <w:sz w:val="24"/>
          <w:szCs w:val="24"/>
          <w:lang w:val="en-GB"/>
        </w:rPr>
        <w:t>.</w:t>
      </w:r>
    </w:p>
    <w:p w14:paraId="731A6F88" w14:textId="6ECBA235" w:rsidR="00CD28CD" w:rsidRPr="006E5EA4" w:rsidRDefault="006E5EA4" w:rsidP="006E5EA4">
      <w:pPr>
        <w:pStyle w:val="1"/>
        <w:rPr>
          <w:b/>
          <w:bCs/>
          <w:color w:val="auto"/>
          <w:sz w:val="28"/>
          <w:szCs w:val="28"/>
        </w:rPr>
      </w:pPr>
      <w:bookmarkStart w:id="4" w:name="_Toc209880885"/>
      <w:r>
        <w:rPr>
          <w:rFonts w:hint="eastAsia"/>
          <w:b/>
          <w:bCs/>
          <w:color w:val="auto"/>
          <w:sz w:val="28"/>
          <w:szCs w:val="28"/>
          <w:lang w:eastAsia="zh-CN"/>
        </w:rPr>
        <w:t>2.</w:t>
      </w:r>
      <w:r w:rsidRPr="006E5EA4">
        <w:rPr>
          <w:rFonts w:hint="eastAsia"/>
          <w:b/>
          <w:bCs/>
          <w:color w:val="auto"/>
          <w:sz w:val="28"/>
          <w:szCs w:val="28"/>
        </w:rPr>
        <w:t xml:space="preserve"> </w:t>
      </w:r>
      <w:r w:rsidR="00CD28CD" w:rsidRPr="006E5EA4">
        <w:rPr>
          <w:b/>
          <w:bCs/>
          <w:color w:val="auto"/>
          <w:sz w:val="28"/>
          <w:szCs w:val="28"/>
        </w:rPr>
        <w:t>Significance of the Study</w:t>
      </w:r>
      <w:bookmarkEnd w:id="4"/>
    </w:p>
    <w:p w14:paraId="5835AE9D"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research is significant in three major respects:</w:t>
      </w:r>
    </w:p>
    <w:p w14:paraId="1E78A0C4"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Academic significance:</w:t>
      </w:r>
      <w:r w:rsidRPr="00FD7DF2">
        <w:rPr>
          <w:rFonts w:ascii="Times New Roman" w:hAnsi="Times New Roman" w:cs="Times New Roman"/>
          <w:sz w:val="24"/>
          <w:szCs w:val="24"/>
          <w:lang w:val="en-GB"/>
        </w:rPr>
        <w:t xml:space="preserve"> It contributes to the fields of knowledge management and AI for social good. By applying theoretical frameworks such as Nonaka’s SECI model of knowledge creation to AI-enabled systems, the study highlights how traditional knowledge management theories can be reinterpreted in the context of digital and community inclusion.</w:t>
      </w:r>
    </w:p>
    <w:p w14:paraId="14BC4FFB"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Practical significance:</w:t>
      </w:r>
      <w:r w:rsidRPr="00FD7DF2">
        <w:rPr>
          <w:rFonts w:ascii="Times New Roman" w:hAnsi="Times New Roman" w:cs="Times New Roman"/>
          <w:sz w:val="24"/>
          <w:szCs w:val="24"/>
          <w:lang w:val="en-GB"/>
        </w:rPr>
        <w:t xml:space="preserve"> It provides actionable insights for policymakers, local councils, and non-profit organisations seeking innovative ways to reduce unemployment. For example, AI-powered career guidance platforms, adaptive training modules, and intelligent mentorship networks could be piloted in regions with high proportions of workless households.</w:t>
      </w:r>
    </w:p>
    <w:p w14:paraId="1754FC52"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Societal significance:</w:t>
      </w:r>
      <w:r w:rsidRPr="00FD7DF2">
        <w:rPr>
          <w:rFonts w:ascii="Times New Roman" w:hAnsi="Times New Roman" w:cs="Times New Roman"/>
          <w:sz w:val="24"/>
          <w:szCs w:val="24"/>
          <w:lang w:val="en-GB"/>
        </w:rPr>
        <w:t xml:space="preserve"> It addresses one of the UK’s most persistent socio-economic inequalities. By demonstrating how AI can be locally embedded and ethically designed, the research aligns technological progress with social justice, ensuring that disadvantaged communities are not left behind in the digital transition.</w:t>
      </w:r>
    </w:p>
    <w:p w14:paraId="3F922F1E" w14:textId="77777777" w:rsidR="008C7E1E" w:rsidRPr="006E5EA4" w:rsidRDefault="008C7E1E" w:rsidP="006E5EA4">
      <w:pPr>
        <w:pStyle w:val="2"/>
        <w:rPr>
          <w:b/>
          <w:bCs/>
          <w:sz w:val="24"/>
          <w:szCs w:val="24"/>
        </w:rPr>
      </w:pPr>
      <w:bookmarkStart w:id="5" w:name="_Toc209880886"/>
      <w:r w:rsidRPr="006E5EA4">
        <w:rPr>
          <w:b/>
          <w:bCs/>
          <w:color w:val="auto"/>
          <w:sz w:val="24"/>
          <w:szCs w:val="24"/>
        </w:rPr>
        <w:t>2.1. Research Objectives</w:t>
      </w:r>
      <w:bookmarkEnd w:id="5"/>
      <w:r w:rsidRPr="006E5EA4">
        <w:rPr>
          <w:b/>
          <w:bCs/>
          <w:color w:val="auto"/>
          <w:sz w:val="24"/>
          <w:szCs w:val="24"/>
        </w:rPr>
        <w:t xml:space="preserve"> </w:t>
      </w:r>
    </w:p>
    <w:p w14:paraId="6A08CE74" w14:textId="77777777" w:rsidR="008C7E1E" w:rsidRPr="00FD7DF2" w:rsidRDefault="008C7E1E"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To achieve this aim, the study pursues the following objectives: </w:t>
      </w:r>
    </w:p>
    <w:p w14:paraId="663D0CDA" w14:textId="24DC9272" w:rsidR="008C7E1E" w:rsidRPr="00FD7DF2" w:rsidRDefault="008C7E1E" w:rsidP="00B41F62">
      <w:pPr>
        <w:pStyle w:val="af0"/>
        <w:numPr>
          <w:ilvl w:val="0"/>
          <w:numId w:val="38"/>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lastRenderedPageBreak/>
        <w:t xml:space="preserve">To analyse the distribution and characteristics of workless households in the UK using the 2024 Office for National Statistics (ONS) dataset, identifying target demographics and regions most affected by structural unemployment. </w:t>
      </w:r>
    </w:p>
    <w:p w14:paraId="0B2DC4C5" w14:textId="150FFE9D" w:rsidR="008C7E1E" w:rsidRPr="00FD7DF2" w:rsidRDefault="008C7E1E" w:rsidP="00B41F62">
      <w:pPr>
        <w:pStyle w:val="af0"/>
        <w:numPr>
          <w:ilvl w:val="0"/>
          <w:numId w:val="38"/>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To examine how AI technologies can enhance knowledge-sharing culture in workless or mixed-work households by supporting personalised learning, community knowledge exchange, and job readiness. </w:t>
      </w:r>
    </w:p>
    <w:p w14:paraId="3F5EC6DF" w14:textId="3F05059C" w:rsidR="00653FE5" w:rsidRPr="00FD7DF2" w:rsidRDefault="008C7E1E" w:rsidP="00B41F62">
      <w:pPr>
        <w:pStyle w:val="af0"/>
        <w:numPr>
          <w:ilvl w:val="0"/>
          <w:numId w:val="36"/>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To develop and test a conceptual framework for AI-enhanced knowledge-sharing systems, designed to meet the needs of households facing long-term worklessness.</w:t>
      </w:r>
    </w:p>
    <w:p w14:paraId="04D7DF2D" w14:textId="78003649" w:rsidR="0099281F" w:rsidRPr="006E5EA4" w:rsidRDefault="006E5EA4" w:rsidP="006E5EA4">
      <w:pPr>
        <w:pStyle w:val="2"/>
        <w:rPr>
          <w:b/>
          <w:bCs/>
          <w:color w:val="auto"/>
          <w:sz w:val="24"/>
          <w:szCs w:val="24"/>
        </w:rPr>
      </w:pPr>
      <w:bookmarkStart w:id="6" w:name="_Toc209880887"/>
      <w:r>
        <w:rPr>
          <w:rFonts w:hint="eastAsia"/>
          <w:b/>
          <w:bCs/>
          <w:color w:val="auto"/>
          <w:sz w:val="24"/>
          <w:szCs w:val="24"/>
          <w:lang w:eastAsia="zh-CN"/>
        </w:rPr>
        <w:t xml:space="preserve">2.2 </w:t>
      </w:r>
      <w:r w:rsidR="0099281F" w:rsidRPr="006E5EA4">
        <w:rPr>
          <w:b/>
          <w:bCs/>
          <w:color w:val="auto"/>
          <w:sz w:val="24"/>
          <w:szCs w:val="24"/>
        </w:rPr>
        <w:t xml:space="preserve">Summary and transition to the Next </w:t>
      </w:r>
      <w:r w:rsidR="003F209E" w:rsidRPr="006E5EA4">
        <w:rPr>
          <w:b/>
          <w:bCs/>
          <w:color w:val="auto"/>
          <w:sz w:val="24"/>
          <w:szCs w:val="24"/>
        </w:rPr>
        <w:t>Section</w:t>
      </w:r>
      <w:bookmarkEnd w:id="6"/>
    </w:p>
    <w:p w14:paraId="450B2835" w14:textId="0A0A4017" w:rsidR="006E5EA4" w:rsidRPr="00FD7DF2" w:rsidRDefault="0099281F"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In conclusion, the significance of this study lies in its combined academic, practical, and societal value. It not only extends theoretical frameworks of knowledge management into the digital age but also provides actionable strategies for reducing structural unemployment, while aligning technological innovation with social justice. Together, these contributions highlight why exploring AI-enabled knowledge-sharing systems is both timely and necessary. </w:t>
      </w:r>
      <w:r w:rsidRPr="0099281F">
        <w:rPr>
          <w:rFonts w:ascii="Times New Roman" w:hAnsi="Times New Roman" w:cs="Times New Roman"/>
          <w:sz w:val="24"/>
          <w:szCs w:val="24"/>
          <w:lang w:val="en-GB"/>
        </w:rPr>
        <w:t xml:space="preserve">The next </w:t>
      </w:r>
      <w:r w:rsidR="003F209E" w:rsidRPr="00FD7DF2">
        <w:rPr>
          <w:rFonts w:ascii="Times New Roman" w:hAnsi="Times New Roman" w:cs="Times New Roman"/>
          <w:sz w:val="24"/>
          <w:szCs w:val="24"/>
          <w:lang w:val="en-GB"/>
        </w:rPr>
        <w:t>Section</w:t>
      </w:r>
      <w:r w:rsidRPr="0099281F">
        <w:rPr>
          <w:rFonts w:ascii="Times New Roman" w:hAnsi="Times New Roman" w:cs="Times New Roman"/>
          <w:sz w:val="24"/>
          <w:szCs w:val="24"/>
          <w:lang w:val="en-GB"/>
        </w:rPr>
        <w:t xml:space="preserve"> develops the literature review and conceptual framework, situating the research within existing scholarship and outlining the theoretical foundations that inform the study’s hypotheses and methodological design.</w:t>
      </w:r>
    </w:p>
    <w:p w14:paraId="7737F754" w14:textId="2A14E7E0" w:rsidR="00CD28CD" w:rsidRPr="00B27E83" w:rsidRDefault="00B27E83" w:rsidP="00B27E83">
      <w:pPr>
        <w:pStyle w:val="1"/>
        <w:rPr>
          <w:b/>
          <w:bCs/>
          <w:color w:val="auto"/>
          <w:sz w:val="28"/>
          <w:szCs w:val="28"/>
          <w:lang w:eastAsia="zh-CN"/>
        </w:rPr>
      </w:pPr>
      <w:bookmarkStart w:id="7" w:name="_Toc209880888"/>
      <w:r w:rsidRPr="00B27E83">
        <w:rPr>
          <w:rFonts w:hint="eastAsia"/>
          <w:b/>
          <w:bCs/>
          <w:color w:val="auto"/>
          <w:sz w:val="28"/>
          <w:szCs w:val="28"/>
          <w:lang w:eastAsia="zh-CN"/>
        </w:rPr>
        <w:t>3.</w:t>
      </w:r>
      <w:r w:rsidRPr="00B27E83">
        <w:rPr>
          <w:b/>
          <w:bCs/>
          <w:color w:val="auto"/>
          <w:sz w:val="28"/>
          <w:szCs w:val="28"/>
          <w:lang w:eastAsia="zh-CN"/>
        </w:rPr>
        <w:t xml:space="preserve"> </w:t>
      </w:r>
      <w:r w:rsidR="00CD28CD" w:rsidRPr="00B27E83">
        <w:rPr>
          <w:b/>
          <w:bCs/>
          <w:color w:val="auto"/>
          <w:sz w:val="28"/>
          <w:szCs w:val="28"/>
          <w:lang w:eastAsia="zh-CN"/>
        </w:rPr>
        <w:t>Literature Review</w:t>
      </w:r>
      <w:bookmarkEnd w:id="7"/>
      <w:r w:rsidR="006E5EA4" w:rsidRPr="00B27E83">
        <w:rPr>
          <w:rFonts w:hint="eastAsia"/>
          <w:b/>
          <w:bCs/>
          <w:color w:val="auto"/>
          <w:sz w:val="28"/>
          <w:szCs w:val="28"/>
          <w:lang w:eastAsia="zh-CN"/>
        </w:rPr>
        <w:t xml:space="preserve"> </w:t>
      </w:r>
    </w:p>
    <w:p w14:paraId="39185517" w14:textId="1633E329" w:rsidR="00CD28CD" w:rsidRPr="00B27E83" w:rsidRDefault="00B27E83" w:rsidP="00B27E83">
      <w:pPr>
        <w:pStyle w:val="2"/>
        <w:rPr>
          <w:b/>
          <w:bCs/>
          <w:color w:val="auto"/>
          <w:sz w:val="24"/>
          <w:szCs w:val="24"/>
        </w:rPr>
      </w:pPr>
      <w:bookmarkStart w:id="8" w:name="_Toc209880889"/>
      <w:r w:rsidRPr="00B27E83">
        <w:rPr>
          <w:rFonts w:hint="eastAsia"/>
          <w:b/>
          <w:bCs/>
          <w:color w:val="auto"/>
          <w:sz w:val="24"/>
          <w:szCs w:val="24"/>
        </w:rPr>
        <w:t xml:space="preserve">3.1 </w:t>
      </w:r>
      <w:r w:rsidR="00CD28CD" w:rsidRPr="00B27E83">
        <w:rPr>
          <w:b/>
          <w:bCs/>
          <w:color w:val="auto"/>
          <w:sz w:val="24"/>
          <w:szCs w:val="24"/>
        </w:rPr>
        <w:t>Introduction</w:t>
      </w:r>
      <w:bookmarkEnd w:id="8"/>
    </w:p>
    <w:p w14:paraId="75852BB1"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literature review establishes the theoretical and empirical foundations for exploring how Artificial Intelligence (AI) can enhance knowledge-sharing cultures to reduce worklessness in UK households. It engages with three bodies of literature: (1) the structural and regional dimensions of worklessness in the UK, (2) knowledge sharing and knowledge management theories, and (3) AI as a facilitator of learning and employability. By integrating these perspectives, the review develops a conceptual framework and hypotheses for the research.</w:t>
      </w:r>
    </w:p>
    <w:p w14:paraId="10EA2B6D" w14:textId="39BE532A" w:rsidR="00CD28CD" w:rsidRPr="00B27E83" w:rsidRDefault="00B27E83" w:rsidP="00B27E83">
      <w:pPr>
        <w:pStyle w:val="2"/>
        <w:rPr>
          <w:b/>
          <w:bCs/>
          <w:color w:val="auto"/>
          <w:sz w:val="24"/>
          <w:szCs w:val="24"/>
          <w:lang w:val="en-GB"/>
        </w:rPr>
      </w:pPr>
      <w:bookmarkStart w:id="9" w:name="_Toc209880890"/>
      <w:r>
        <w:rPr>
          <w:rFonts w:hint="eastAsia"/>
          <w:b/>
          <w:bCs/>
          <w:color w:val="auto"/>
          <w:sz w:val="24"/>
          <w:szCs w:val="24"/>
          <w:lang w:val="en-GB" w:eastAsia="zh-CN"/>
        </w:rPr>
        <w:lastRenderedPageBreak/>
        <w:t xml:space="preserve">3.2 </w:t>
      </w:r>
      <w:r w:rsidR="00CD28CD" w:rsidRPr="00B27E83">
        <w:rPr>
          <w:b/>
          <w:bCs/>
          <w:color w:val="auto"/>
          <w:sz w:val="24"/>
          <w:szCs w:val="24"/>
          <w:lang w:val="en-GB"/>
        </w:rPr>
        <w:t>Worklessness in the UK: Structural and Regional Dimensions</w:t>
      </w:r>
      <w:bookmarkEnd w:id="9"/>
    </w:p>
    <w:p w14:paraId="0290AD79"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Worklessness remains a chronic problem in the UK, impacting not just individuals' incomes but also the overall wellbeing of the community. The Office for National Statistics (2024) reports that there were more than 1.5 million workless households in early 2024. Most of these affected households were found in the North East and inner-city areas such as Birmingham, Manchester, and London boroughs suffering from high deprivation. This geographic disparity of joblessness reflects the regional disparities that shape the national labour market.</w:t>
      </w:r>
    </w:p>
    <w:p w14:paraId="035BA944"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Researchers note that structural disconnections are the foundation of this phenomenon. According to Kerschbaumer et al. (2024), long-term unemployment is most often associated with low formal qualifications, sickness, and single-parent family formations. In another research, Beatty and Fothergill (2020) argue that the inheritance of deindustrialisation across former coal-mining and manufacturing districts has significantly reduced employment opportunities for communities. As such, these communities continue to face economic restructuring, with most employment in low-paid service sectors providing limited potential for a viable career path.</w:t>
      </w:r>
    </w:p>
    <w:p w14:paraId="6E7952EB"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Digital exclusion also compounds these inequalities. Holmes and Burgess (2022) demonstrate that households lacking internet capabilities or digital literacy are more excluded from employability, with more job searches, applications, and training programs relying on digital modes. This exclusion disproportionately affects low-income groups, older people, and those with impairments, entrenching cycles of unemployment disadvantage.</w:t>
      </w:r>
    </w:p>
    <w:p w14:paraId="3F6F0190" w14:textId="22FF5EAC"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Intergenerational dynamics are also to blame for these inequalities. Research by Danish et al. (2025) show that </w:t>
      </w:r>
      <w:r w:rsidR="00084683" w:rsidRPr="00FD7DF2">
        <w:rPr>
          <w:rFonts w:ascii="Times New Roman" w:hAnsi="Times New Roman" w:cs="Times New Roman"/>
          <w:sz w:val="24"/>
          <w:szCs w:val="24"/>
          <w:lang w:val="en-GB"/>
        </w:rPr>
        <w:t>neighbourhood</w:t>
      </w:r>
      <w:r w:rsidRPr="00FD7DF2">
        <w:rPr>
          <w:rFonts w:ascii="Times New Roman" w:hAnsi="Times New Roman" w:cs="Times New Roman"/>
          <w:sz w:val="24"/>
          <w:szCs w:val="24"/>
          <w:lang w:val="en-GB"/>
        </w:rPr>
        <w:t xml:space="preserve"> and family networks largely determine economic mobility. Young people in low-income areas from workless households are likely to inherit weaker access to social and professional networks, restricting access to employment opportunities. Because worklessness is passed on between generations, interventions must go beyond finding work, but look at the systemic lack of flows of knowledge and networks of opportunities.</w:t>
      </w:r>
    </w:p>
    <w:p w14:paraId="209BDA24"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These insights demonstrate that worklessness is not simply a result of individual deficits but is embedded within wider structural, digital, and social inequalities. Therefore, reducing worklessness requires innovative approaches that create inclusive pathways to knowledge, skills, and employment.</w:t>
      </w:r>
    </w:p>
    <w:p w14:paraId="160C4EFA" w14:textId="68A8067F" w:rsidR="00CD28CD" w:rsidRPr="00B27E83" w:rsidRDefault="00B27E83" w:rsidP="00B27E83">
      <w:pPr>
        <w:pStyle w:val="2"/>
        <w:rPr>
          <w:b/>
          <w:bCs/>
          <w:color w:val="auto"/>
          <w:sz w:val="24"/>
          <w:szCs w:val="24"/>
          <w:lang w:val="en-GB"/>
        </w:rPr>
      </w:pPr>
      <w:bookmarkStart w:id="10" w:name="_Toc209880891"/>
      <w:r>
        <w:rPr>
          <w:rFonts w:hint="eastAsia"/>
          <w:b/>
          <w:bCs/>
          <w:color w:val="auto"/>
          <w:sz w:val="24"/>
          <w:szCs w:val="24"/>
          <w:lang w:val="en-GB" w:eastAsia="zh-CN"/>
        </w:rPr>
        <w:lastRenderedPageBreak/>
        <w:t xml:space="preserve">3.3 </w:t>
      </w:r>
      <w:r w:rsidR="00CD28CD" w:rsidRPr="00B27E83">
        <w:rPr>
          <w:b/>
          <w:bCs/>
          <w:color w:val="auto"/>
          <w:sz w:val="24"/>
          <w:szCs w:val="24"/>
          <w:lang w:val="en-GB"/>
        </w:rPr>
        <w:t>Knowledge Sharing and Knowledge Management</w:t>
      </w:r>
      <w:bookmarkEnd w:id="10"/>
    </w:p>
    <w:p w14:paraId="713E93A0"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Knowledge sharing has long been recognised as central to human development and employability. Classical theories in knowledge management stress that knowledge is both tacit (personal, experiential) and explicit (formal, codified), and that effective exchange requires mechanisms to bridge these forms (Garrick and Chan, 2017). Nonaka and Takeuchi’s (2007) SECI model conceptualises knowledge creation through socialisation, externalisation, combination, and internalisation, suggesting that knowledge expands through iterative interactions between tacit and explicit dimensions. While developed for organisational contexts, the model also applies to communities, where the socialisation of tacit knowledge and the externalisation into accessible formats are crucial for learning and employability.</w:t>
      </w:r>
    </w:p>
    <w:p w14:paraId="08B253EB"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Wenger’s (1998) theory of communities of practice further underscores the social dimension of knowledge. According to Wenger (1999), learning occurs within groups of individuals who share common practices and goals. These communities create spaces for collective meaning-making, enabling individuals to develop new skills while reinforcing their identity within the group. For unemployed families, being part of these communities may help alleviate isolation and create a sense of belonging.</w:t>
      </w:r>
    </w:p>
    <w:p w14:paraId="3C4A1C56"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These ideas are supplemented by Coleman's (1990) theory of social capital, with its emphasis on the importance of trust, reciprocity, and network connections to enabling information and opportunity exchange. Persons well-situated in social networks are more likely to get job referrals, advice, and support. Sadly, low-social-capital families are less likely to make use of informal work pathways.</w:t>
      </w:r>
    </w:p>
    <w:p w14:paraId="022DF167"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These traditional frameworks have been transformed by digital technologies. Islam et al. (2024) illustrate that collaborative learning environments that leverage AI make the SECI cycle more enriched through facilitating real-time content adaptation and peer-to-peer exchange. Moser and Deichmann (2021) find that online communities facilitate inclusive knowledge-sharing cultures, especially when consumers are asked to co-create and exchange content. These findings illustrate how technology can make tacit knowledge more explicit and expand communities of practice beyond geographical boundaries. For workless households, this means that knowledge-sharing websites online, when integrated with sustainable community dynamics, can offer the platform for skill development, mentorship, and access to non-formal knowledge otherwise inaccessible.</w:t>
      </w:r>
    </w:p>
    <w:p w14:paraId="3792ADF2" w14:textId="64B58DE9" w:rsidR="00CD28CD" w:rsidRPr="00B27E83" w:rsidRDefault="00B27E83" w:rsidP="00B27E83">
      <w:pPr>
        <w:pStyle w:val="2"/>
        <w:rPr>
          <w:b/>
          <w:bCs/>
          <w:color w:val="auto"/>
          <w:sz w:val="24"/>
          <w:szCs w:val="24"/>
          <w:lang w:val="en-GB"/>
        </w:rPr>
      </w:pPr>
      <w:bookmarkStart w:id="11" w:name="_Toc209880892"/>
      <w:r w:rsidRPr="00B27E83">
        <w:rPr>
          <w:rFonts w:hint="eastAsia"/>
          <w:b/>
          <w:bCs/>
          <w:color w:val="auto"/>
          <w:sz w:val="24"/>
          <w:szCs w:val="24"/>
          <w:lang w:val="en-GB" w:eastAsia="zh-CN"/>
        </w:rPr>
        <w:lastRenderedPageBreak/>
        <w:t>3.</w:t>
      </w:r>
      <w:r>
        <w:rPr>
          <w:rFonts w:hint="eastAsia"/>
          <w:b/>
          <w:bCs/>
          <w:color w:val="auto"/>
          <w:sz w:val="24"/>
          <w:szCs w:val="24"/>
          <w:lang w:val="en-GB" w:eastAsia="zh-CN"/>
        </w:rPr>
        <w:t>4</w:t>
      </w:r>
      <w:r w:rsidR="00CD28CD" w:rsidRPr="00B27E83">
        <w:rPr>
          <w:b/>
          <w:bCs/>
          <w:color w:val="auto"/>
          <w:sz w:val="24"/>
          <w:szCs w:val="24"/>
          <w:lang w:val="en-GB"/>
        </w:rPr>
        <w:t xml:space="preserve"> Artificial Intelligence as an Enabler of Knowledge Sharing</w:t>
      </w:r>
      <w:bookmarkEnd w:id="11"/>
    </w:p>
    <w:p w14:paraId="1127F93B" w14:textId="0A1B16A4"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rapid development of AI technologies has created new opportunities for learning, training, and employment (Maity, 2019; Petropoulos, 2018). This is because AI-based platforms have the ability to scan user data to provide personali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ed recommendations and therefore allow learning paths to adapt to personal needs. Lopez (2025) argues that such platforms guarantee equal opportunities in education since they facilitate diversity in learning styles and local environments. For disadvantaged groups, this reduces barriers to entry in training and skill acquisition, hence increasing their chances of employability.</w:t>
      </w:r>
    </w:p>
    <w:p w14:paraId="45910E85" w14:textId="136B87C2"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In employability contexts, AI tools such as chatbots have proven effective. Nguyen et al. (2021) show that AI chatbots can deliver round-the-clock career advice, </w:t>
      </w:r>
      <w:r w:rsidR="00084683" w:rsidRPr="00FD7DF2">
        <w:rPr>
          <w:rFonts w:ascii="Times New Roman" w:hAnsi="Times New Roman" w:cs="Times New Roman"/>
          <w:sz w:val="24"/>
          <w:szCs w:val="24"/>
          <w:lang w:val="en-GB"/>
        </w:rPr>
        <w:t>reduce</w:t>
      </w:r>
      <w:r w:rsidRPr="00FD7DF2">
        <w:rPr>
          <w:rFonts w:ascii="Times New Roman" w:hAnsi="Times New Roman" w:cs="Times New Roman"/>
          <w:sz w:val="24"/>
          <w:szCs w:val="24"/>
          <w:lang w:val="en-GB"/>
        </w:rPr>
        <w:t xml:space="preserve"> costs and </w:t>
      </w:r>
      <w:r w:rsidR="0052050B" w:rsidRPr="00FD7DF2">
        <w:rPr>
          <w:rFonts w:ascii="Times New Roman" w:hAnsi="Times New Roman" w:cs="Times New Roman"/>
          <w:sz w:val="24"/>
          <w:szCs w:val="24"/>
          <w:lang w:val="en-GB"/>
        </w:rPr>
        <w:t>expand</w:t>
      </w:r>
      <w:r w:rsidRPr="00FD7DF2">
        <w:rPr>
          <w:rFonts w:ascii="Times New Roman" w:hAnsi="Times New Roman" w:cs="Times New Roman"/>
          <w:sz w:val="24"/>
          <w:szCs w:val="24"/>
          <w:lang w:val="en-GB"/>
        </w:rPr>
        <w:t xml:space="preserve"> access for job seekers. Similarly, Sarmah and Shekhar (2019) highlight how AI can support organisational knowledge management by filtering, curating, and distributing relevant information, thereby reducing information overload.</w:t>
      </w:r>
    </w:p>
    <w:p w14:paraId="68E6E618" w14:textId="6E446D5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Apart from individual learning, AI can also enable collective knowledge sharing. Ramesh (2024) </w:t>
      </w:r>
      <w:r w:rsidR="0052050B" w:rsidRPr="00FD7DF2">
        <w:rPr>
          <w:rFonts w:ascii="Times New Roman" w:hAnsi="Times New Roman" w:cs="Times New Roman"/>
          <w:sz w:val="24"/>
          <w:szCs w:val="24"/>
          <w:lang w:val="en-GB"/>
        </w:rPr>
        <w:t>depicts</w:t>
      </w:r>
      <w:r w:rsidRPr="00FD7DF2">
        <w:rPr>
          <w:rFonts w:ascii="Times New Roman" w:hAnsi="Times New Roman" w:cs="Times New Roman"/>
          <w:sz w:val="24"/>
          <w:szCs w:val="24"/>
          <w:lang w:val="en-GB"/>
        </w:rPr>
        <w:t xml:space="preserve"> how AI-powered peer-learning platforms empower marginalised groups by activating tacit knowledge and allowing collaborative problem-solving. By providing a voice to whomsoever is most often excluded from mainstream education or training, AI systems can contribute to more inclusive learning spaces.</w:t>
      </w:r>
    </w:p>
    <w:p w14:paraId="7D16287E"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International case studies provide additional insights. In China, AI-driven platforms have been employed to bridge the rural-urban educational gap, successfully improving literacy and digital competences among disadvantaged groups (Knox, 2020; Li and Mohammad, 2025; Maggo and Maggo, 2025). In sub-Saharan Africa, mobile learning applications facilitated by AI have provided vocational training options for disadvantaged communities with limited access to formal institutions (Bervell et al., 2025; Gbadebo, 2024; Ouédraogo, 2024). Such examples confirm that AI can be re-purposed in other socio-economic contexts, offering potential models for addressing UK worklessness.</w:t>
      </w:r>
    </w:p>
    <w:p w14:paraId="561C5AB0"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However, the application of AI to vulnerable groups raises ethical concerns. Eubanks (2018) warns that poorly designed automated processes can perpetuate inequality, particularly when algorithms reproduce biases in training data. To address these possible inequalities, Floridi and Cowls (2022) provide a strategy of fairness, accountability, transparency, and sustainability as essential </w:t>
      </w:r>
      <w:r w:rsidRPr="00FD7DF2">
        <w:rPr>
          <w:rFonts w:ascii="Times New Roman" w:hAnsi="Times New Roman" w:cs="Times New Roman"/>
          <w:sz w:val="24"/>
          <w:szCs w:val="24"/>
          <w:lang w:val="en-GB"/>
        </w:rPr>
        <w:lastRenderedPageBreak/>
        <w:t>principles for AI for social good. To facilitate inclusiveness, AI-facilitated knowledge-sharing platforms must be transparent, locally situated, and user-responsive (Strielkowski et al., 2025).</w:t>
      </w:r>
    </w:p>
    <w:p w14:paraId="18D007F4" w14:textId="24251F79" w:rsidR="00CD28CD" w:rsidRPr="00B27E83" w:rsidRDefault="00B27E83" w:rsidP="00B27E83">
      <w:pPr>
        <w:pStyle w:val="2"/>
        <w:rPr>
          <w:b/>
          <w:bCs/>
          <w:color w:val="auto"/>
          <w:sz w:val="24"/>
          <w:szCs w:val="24"/>
          <w:lang w:val="en-GB"/>
        </w:rPr>
      </w:pPr>
      <w:bookmarkStart w:id="12" w:name="_Toc209880893"/>
      <w:r>
        <w:rPr>
          <w:rFonts w:hint="eastAsia"/>
          <w:b/>
          <w:bCs/>
          <w:color w:val="auto"/>
          <w:sz w:val="24"/>
          <w:szCs w:val="24"/>
          <w:lang w:val="en-GB" w:eastAsia="zh-CN"/>
        </w:rPr>
        <w:t xml:space="preserve">3.5 </w:t>
      </w:r>
      <w:r w:rsidR="00CD28CD" w:rsidRPr="00B27E83">
        <w:rPr>
          <w:b/>
          <w:bCs/>
          <w:color w:val="auto"/>
          <w:sz w:val="24"/>
          <w:szCs w:val="24"/>
          <w:lang w:val="en-GB"/>
        </w:rPr>
        <w:t>Bridging AI, Knowledge Culture, and Worklessness</w:t>
      </w:r>
      <w:bookmarkEnd w:id="12"/>
    </w:p>
    <w:p w14:paraId="7FCDD256" w14:textId="58A5FBC2"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Although AI is researched effectively in business and learning contexts, there is minimal work that directly studies its use in addressing household worklessness. This is an essential research gap. Workless households are not only limited by skills and qualifications but also by access to networks, self-esteem, and cultural capital (Buck et al., 2013). AI can potentially succeed where these limitations fail by providing scalable personalised learning, generating community-centred knowledge networks, and linking training to direct employability channels. For example, an AI-based platform could connect workless home job hunters with mentors in their respective industries and provide them with individuali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ed advice and </w:t>
      </w:r>
      <w:r w:rsidR="0052050B" w:rsidRPr="00FD7DF2">
        <w:rPr>
          <w:rFonts w:ascii="Times New Roman" w:hAnsi="Times New Roman" w:cs="Times New Roman"/>
          <w:sz w:val="24"/>
          <w:szCs w:val="24"/>
          <w:lang w:val="en-GB"/>
        </w:rPr>
        <w:t>counselling</w:t>
      </w:r>
      <w:r w:rsidRPr="00FD7DF2">
        <w:rPr>
          <w:rFonts w:ascii="Times New Roman" w:hAnsi="Times New Roman" w:cs="Times New Roman"/>
          <w:sz w:val="24"/>
          <w:szCs w:val="24"/>
          <w:lang w:val="en-GB"/>
        </w:rPr>
        <w:t xml:space="preserve">. It could also recommend sector-specific training modules, such as internet literacy for the elderly or childcare support tactics for single parents. Islam et al. (2024) demonstrate that collaborative learning facilitated by AI builds confidence and resilience, suggesting that the same can motivate long-term unemployed individuals to break the stigma and head towards stability. By embedding AI tools in community places such as libraries, community </w:t>
      </w:r>
      <w:r w:rsidR="0052050B" w:rsidRPr="00FD7DF2">
        <w:rPr>
          <w:rFonts w:ascii="Times New Roman" w:hAnsi="Times New Roman" w:cs="Times New Roman"/>
          <w:sz w:val="24"/>
          <w:szCs w:val="24"/>
          <w:lang w:val="en-GB"/>
        </w:rPr>
        <w:t>centres</w:t>
      </w:r>
      <w:r w:rsidRPr="00FD7DF2">
        <w:rPr>
          <w:rFonts w:ascii="Times New Roman" w:hAnsi="Times New Roman" w:cs="Times New Roman"/>
          <w:sz w:val="24"/>
          <w:szCs w:val="24"/>
          <w:lang w:val="en-GB"/>
        </w:rPr>
        <w:t>, or council services, programmes might develop inclusive, participatory, and adaptive cultures of knowledge. These environments would be supportive of the values of communities of practice, but leverage AI to extract tacit knowledge as explicit and actionable knowledge.</w:t>
      </w:r>
    </w:p>
    <w:p w14:paraId="160B1E03" w14:textId="4B4DE46C" w:rsidR="00CD28CD" w:rsidRPr="00B27E83" w:rsidRDefault="00B27E83" w:rsidP="00B27E83">
      <w:pPr>
        <w:pStyle w:val="2"/>
        <w:rPr>
          <w:b/>
          <w:bCs/>
          <w:color w:val="auto"/>
          <w:sz w:val="24"/>
          <w:szCs w:val="24"/>
          <w:lang w:val="en-GB"/>
        </w:rPr>
      </w:pPr>
      <w:bookmarkStart w:id="13" w:name="_Toc209880894"/>
      <w:r>
        <w:rPr>
          <w:rFonts w:hint="eastAsia"/>
          <w:b/>
          <w:bCs/>
          <w:color w:val="auto"/>
          <w:sz w:val="24"/>
          <w:szCs w:val="24"/>
          <w:lang w:val="en-GB" w:eastAsia="zh-CN"/>
        </w:rPr>
        <w:t>3.6</w:t>
      </w:r>
      <w:r w:rsidR="00CD28CD" w:rsidRPr="00B27E83">
        <w:rPr>
          <w:b/>
          <w:bCs/>
          <w:color w:val="auto"/>
          <w:sz w:val="24"/>
          <w:szCs w:val="24"/>
          <w:lang w:val="en-GB"/>
        </w:rPr>
        <w:t xml:space="preserve"> Conceptual Framework</w:t>
      </w:r>
      <w:bookmarkEnd w:id="13"/>
    </w:p>
    <w:p w14:paraId="438B1ACD"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As indicated in the figure below, the conceptual framework for this study captures the relevant literature in an integrated model. The conceptual model theorises that AI-enabled knowledge-sharing systems mediate the relationship between household constraints and employability outcomes. </w:t>
      </w:r>
    </w:p>
    <w:p w14:paraId="4A900FC6"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lastRenderedPageBreak/>
        <w:drawing>
          <wp:inline distT="0" distB="0" distL="0" distR="0" wp14:anchorId="2C9411FB" wp14:editId="47829E54">
            <wp:extent cx="5943600" cy="3962400"/>
            <wp:effectExtent l="0" t="0" r="0" b="0"/>
            <wp:docPr id="36101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18937" name="Picture 361018937"/>
                    <pic:cNvPicPr/>
                  </pic:nvPicPr>
                  <pic:blipFill>
                    <a:blip r:embed="rId9"/>
                    <a:stretch>
                      <a:fillRect/>
                    </a:stretch>
                  </pic:blipFill>
                  <pic:spPr>
                    <a:xfrm>
                      <a:off x="0" y="0"/>
                      <a:ext cx="5943600" cy="3962400"/>
                    </a:xfrm>
                    <a:prstGeom prst="rect">
                      <a:avLst/>
                    </a:prstGeom>
                  </pic:spPr>
                </pic:pic>
              </a:graphicData>
            </a:graphic>
          </wp:inline>
        </w:drawing>
      </w:r>
    </w:p>
    <w:p w14:paraId="13BA0EF3"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Fig 1:</w:t>
      </w:r>
      <w:r w:rsidRPr="00FD7DF2">
        <w:rPr>
          <w:rFonts w:ascii="Times New Roman" w:hAnsi="Times New Roman" w:cs="Times New Roman"/>
          <w:sz w:val="24"/>
          <w:szCs w:val="24"/>
          <w:lang w:val="en-GB"/>
        </w:rPr>
        <w:t xml:space="preserve"> The Conceptual Framework</w:t>
      </w:r>
    </w:p>
    <w:p w14:paraId="63DC48F5" w14:textId="77777777" w:rsidR="00CD28CD" w:rsidRPr="00FD7DF2" w:rsidRDefault="00CD28CD" w:rsidP="00B41F62">
      <w:pPr>
        <w:pStyle w:val="3"/>
        <w:spacing w:line="360" w:lineRule="auto"/>
        <w:jc w:val="both"/>
        <w:rPr>
          <w:rFonts w:ascii="Times New Roman" w:hAnsi="Times New Roman" w:cs="Times New Roman"/>
          <w:b/>
          <w:bCs/>
          <w:color w:val="auto"/>
          <w:sz w:val="24"/>
          <w:szCs w:val="24"/>
          <w:lang w:val="en-GB"/>
        </w:rPr>
      </w:pPr>
      <w:bookmarkStart w:id="14" w:name="_Toc209880895"/>
      <w:r w:rsidRPr="00FD7DF2">
        <w:rPr>
          <w:rFonts w:ascii="Times New Roman" w:hAnsi="Times New Roman" w:cs="Times New Roman"/>
          <w:b/>
          <w:bCs/>
          <w:color w:val="auto"/>
          <w:sz w:val="24"/>
          <w:szCs w:val="24"/>
          <w:lang w:val="en-GB"/>
        </w:rPr>
        <w:t>Explanation of the Conceptual Framework</w:t>
      </w:r>
      <w:bookmarkEnd w:id="14"/>
    </w:p>
    <w:p w14:paraId="14E7C030" w14:textId="5045AD43" w:rsidR="00CD28CD" w:rsidRPr="00FD7DF2" w:rsidRDefault="00CD28CD" w:rsidP="00B41F62">
      <w:pPr>
        <w:numPr>
          <w:ilvl w:val="0"/>
          <w:numId w:val="28"/>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At the input sides household characteristics such as low skills, limited digital access, weak networks, and socio-economic disadvantage are </w:t>
      </w:r>
      <w:r w:rsidR="0052050B" w:rsidRPr="00FD7DF2">
        <w:rPr>
          <w:rFonts w:ascii="Times New Roman" w:hAnsi="Times New Roman" w:cs="Times New Roman"/>
          <w:sz w:val="24"/>
          <w:szCs w:val="24"/>
          <w:lang w:val="en-GB"/>
        </w:rPr>
        <w:t>included.</w:t>
      </w:r>
    </w:p>
    <w:p w14:paraId="19C4BB78" w14:textId="77777777" w:rsidR="00CD28CD" w:rsidRPr="00FD7DF2" w:rsidRDefault="00CD28CD" w:rsidP="00B41F62">
      <w:pPr>
        <w:numPr>
          <w:ilvl w:val="0"/>
          <w:numId w:val="28"/>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mediating mechanism is the AI-enabled knowledge-sharing system, which facilitates personalised learning, peer support, and inclusive communities of practice.</w:t>
      </w:r>
    </w:p>
    <w:p w14:paraId="2B58AFC1" w14:textId="77777777" w:rsidR="00CD28CD" w:rsidRPr="00FD7DF2" w:rsidRDefault="00CD28CD" w:rsidP="00B41F62">
      <w:pPr>
        <w:numPr>
          <w:ilvl w:val="0"/>
          <w:numId w:val="28"/>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On the output side, employability outcomes include job readiness, access to opportunities, resilience against long-term unemployment, and overall household empowerment.</w:t>
      </w:r>
    </w:p>
    <w:p w14:paraId="045B4BB2"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framework draws on Nonaka’s SECI model to conceptualise knowledge creation, Wenger’s communities of practice to highlight the role of collective learning, and social capital theory to explain the importance of trust and networks. It incorporates AI as the technological enabler, capable of making knowledge flows more inclusive, adaptive, and equitable. Importantly, ethical design principles ensure that AI applications avoid reinforcing inequality and instead empower vulnerable groups.</w:t>
      </w:r>
    </w:p>
    <w:p w14:paraId="3D739134" w14:textId="4899DC25" w:rsidR="00CD28CD" w:rsidRPr="00B27E83" w:rsidRDefault="00B27E83" w:rsidP="00B27E83">
      <w:pPr>
        <w:pStyle w:val="2"/>
        <w:rPr>
          <w:b/>
          <w:bCs/>
          <w:color w:val="auto"/>
          <w:sz w:val="24"/>
          <w:szCs w:val="24"/>
          <w:lang w:val="en-GB"/>
        </w:rPr>
      </w:pPr>
      <w:bookmarkStart w:id="15" w:name="_Toc209880896"/>
      <w:r>
        <w:rPr>
          <w:rFonts w:hint="eastAsia"/>
          <w:b/>
          <w:bCs/>
          <w:color w:val="auto"/>
          <w:sz w:val="24"/>
          <w:szCs w:val="24"/>
          <w:lang w:val="en-GB" w:eastAsia="zh-CN"/>
        </w:rPr>
        <w:lastRenderedPageBreak/>
        <w:t>3.7</w:t>
      </w:r>
      <w:r w:rsidR="00CD28CD" w:rsidRPr="00B27E83">
        <w:rPr>
          <w:b/>
          <w:bCs/>
          <w:color w:val="auto"/>
          <w:sz w:val="24"/>
          <w:szCs w:val="24"/>
          <w:lang w:val="en-GB"/>
        </w:rPr>
        <w:t xml:space="preserve"> Hypotheses</w:t>
      </w:r>
      <w:bookmarkEnd w:id="15"/>
    </w:p>
    <w:p w14:paraId="30E5B7AF" w14:textId="77777777" w:rsidR="00095C5A" w:rsidRPr="00FD7DF2" w:rsidRDefault="00095C5A"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1C1C7571" wp14:editId="3BB5CFA4">
            <wp:extent cx="5345216" cy="2504440"/>
            <wp:effectExtent l="0" t="0" r="8255" b="0"/>
            <wp:docPr id="91975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84" t="5540" b="25093"/>
                    <a:stretch>
                      <a:fillRect/>
                    </a:stretch>
                  </pic:blipFill>
                  <pic:spPr bwMode="auto">
                    <a:xfrm>
                      <a:off x="0" y="0"/>
                      <a:ext cx="5347316" cy="2505424"/>
                    </a:xfrm>
                    <a:prstGeom prst="rect">
                      <a:avLst/>
                    </a:prstGeom>
                    <a:noFill/>
                    <a:ln>
                      <a:noFill/>
                    </a:ln>
                    <a:extLst>
                      <a:ext uri="{53640926-AAD7-44D8-BBD7-CCE9431645EC}">
                        <a14:shadowObscured xmlns:a14="http://schemas.microsoft.com/office/drawing/2010/main"/>
                      </a:ext>
                    </a:extLst>
                  </pic:spPr>
                </pic:pic>
              </a:graphicData>
            </a:graphic>
          </wp:inline>
        </w:drawing>
      </w:r>
    </w:p>
    <w:p w14:paraId="5A981680" w14:textId="77185ECF" w:rsidR="00095C5A" w:rsidRPr="00FD7DF2" w:rsidRDefault="00095C5A"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Fig </w:t>
      </w:r>
      <w:r w:rsidR="00935EEB" w:rsidRPr="00FD7DF2">
        <w:rPr>
          <w:rFonts w:ascii="Times New Roman" w:hAnsi="Times New Roman" w:cs="Times New Roman"/>
          <w:b/>
          <w:bCs/>
          <w:sz w:val="24"/>
          <w:szCs w:val="24"/>
          <w:lang w:val="en-GB"/>
        </w:rPr>
        <w:t>2</w:t>
      </w:r>
      <w:r w:rsidRPr="00FD7DF2">
        <w:rPr>
          <w:rFonts w:ascii="Times New Roman" w:hAnsi="Times New Roman" w:cs="Times New Roman"/>
          <w:b/>
          <w:bCs/>
          <w:sz w:val="24"/>
          <w:szCs w:val="24"/>
          <w:lang w:val="en-GB"/>
        </w:rPr>
        <w:t>:</w:t>
      </w:r>
      <w:r w:rsidRPr="00FD7DF2">
        <w:rPr>
          <w:rFonts w:ascii="Times New Roman" w:hAnsi="Times New Roman" w:cs="Times New Roman"/>
          <w:sz w:val="24"/>
          <w:szCs w:val="24"/>
          <w:lang w:val="en-GB"/>
        </w:rPr>
        <w:t xml:space="preserve"> The Conceptual Framework</w:t>
      </w:r>
    </w:p>
    <w:p w14:paraId="11337A0E" w14:textId="77777777" w:rsidR="00095C5A" w:rsidRPr="00FD7DF2" w:rsidRDefault="00095C5A" w:rsidP="00B41F62">
      <w:pPr>
        <w:spacing w:line="360" w:lineRule="auto"/>
        <w:ind w:left="0" w:firstLine="0"/>
        <w:jc w:val="both"/>
        <w:rPr>
          <w:rFonts w:ascii="Times New Roman" w:hAnsi="Times New Roman" w:cs="Times New Roman"/>
          <w:sz w:val="24"/>
          <w:szCs w:val="24"/>
          <w:lang w:val="en-GB"/>
        </w:rPr>
      </w:pPr>
    </w:p>
    <w:p w14:paraId="159651CF" w14:textId="4EBFD89C"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Based on the conceptual framework, the following hypotheses are proposed:</w:t>
      </w:r>
    </w:p>
    <w:p w14:paraId="42CD247A" w14:textId="77777777" w:rsidR="00CD28CD" w:rsidRPr="00FD7DF2" w:rsidRDefault="00CD28CD" w:rsidP="00B41F62">
      <w:pPr>
        <w:numPr>
          <w:ilvl w:val="0"/>
          <w:numId w:val="29"/>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H1:</w:t>
      </w:r>
      <w:r w:rsidRPr="00FD7DF2">
        <w:rPr>
          <w:rFonts w:ascii="Times New Roman" w:hAnsi="Times New Roman" w:cs="Times New Roman"/>
          <w:sz w:val="24"/>
          <w:szCs w:val="24"/>
          <w:lang w:val="en-GB"/>
        </w:rPr>
        <w:t xml:space="preserve"> AI-enabled knowledge-sharing platforms significantly increase perceived access to employability resources among individuals in workless households.</w:t>
      </w:r>
    </w:p>
    <w:p w14:paraId="52FD3196" w14:textId="77777777" w:rsidR="00CD28CD" w:rsidRPr="00FD7DF2" w:rsidRDefault="00CD28CD" w:rsidP="00B41F62">
      <w:pPr>
        <w:numPr>
          <w:ilvl w:val="0"/>
          <w:numId w:val="29"/>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H2:</w:t>
      </w:r>
      <w:r w:rsidRPr="00FD7DF2">
        <w:rPr>
          <w:rFonts w:ascii="Times New Roman" w:hAnsi="Times New Roman" w:cs="Times New Roman"/>
          <w:sz w:val="24"/>
          <w:szCs w:val="24"/>
          <w:lang w:val="en-GB"/>
        </w:rPr>
        <w:t xml:space="preserve"> AI-enabled learning systems positively influence skill acquisition and job readiness compared to traditional, non-AI interventions.</w:t>
      </w:r>
    </w:p>
    <w:p w14:paraId="56643C74" w14:textId="77777777" w:rsidR="00CD28CD" w:rsidRPr="00FD7DF2" w:rsidRDefault="00CD28CD" w:rsidP="00B41F62">
      <w:pPr>
        <w:numPr>
          <w:ilvl w:val="0"/>
          <w:numId w:val="29"/>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H3:</w:t>
      </w:r>
      <w:r w:rsidRPr="00FD7DF2">
        <w:rPr>
          <w:rFonts w:ascii="Times New Roman" w:hAnsi="Times New Roman" w:cs="Times New Roman"/>
          <w:sz w:val="24"/>
          <w:szCs w:val="24"/>
          <w:lang w:val="en-GB"/>
        </w:rPr>
        <w:t xml:space="preserve"> The impact of AI-enabled knowledge sharing on employability outcomes is moderated by digital access, with digitally included households experiencing greater benefits.</w:t>
      </w:r>
    </w:p>
    <w:p w14:paraId="5E701CBC" w14:textId="77777777" w:rsidR="00CD28CD" w:rsidRPr="00FD7DF2" w:rsidRDefault="00CD28CD" w:rsidP="00B41F62">
      <w:pPr>
        <w:numPr>
          <w:ilvl w:val="0"/>
          <w:numId w:val="29"/>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H4:</w:t>
      </w:r>
      <w:r w:rsidRPr="00FD7DF2">
        <w:rPr>
          <w:rFonts w:ascii="Times New Roman" w:hAnsi="Times New Roman" w:cs="Times New Roman"/>
          <w:sz w:val="24"/>
          <w:szCs w:val="24"/>
          <w:lang w:val="en-GB"/>
        </w:rPr>
        <w:t xml:space="preserve"> Ethical design and perceived fairness of AI systems positively influence user engagement and willingness to share knowledge.</w:t>
      </w:r>
    </w:p>
    <w:p w14:paraId="7612CCA0" w14:textId="77777777" w:rsidR="00095C5A" w:rsidRPr="00FD7DF2" w:rsidRDefault="00CD28CD" w:rsidP="00B41F62">
      <w:pPr>
        <w:numPr>
          <w:ilvl w:val="0"/>
          <w:numId w:val="29"/>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H5:</w:t>
      </w:r>
      <w:r w:rsidRPr="00FD7DF2">
        <w:rPr>
          <w:rFonts w:ascii="Times New Roman" w:hAnsi="Times New Roman" w:cs="Times New Roman"/>
          <w:sz w:val="24"/>
          <w:szCs w:val="24"/>
          <w:lang w:val="en-GB"/>
        </w:rPr>
        <w:t xml:space="preserve"> Participation in AI-enabled peer-learning networks enhances household resilience against long-term unemployment compared to households without such access.</w:t>
      </w:r>
    </w:p>
    <w:p w14:paraId="48E50ECE" w14:textId="7DB6CDE9" w:rsidR="00CB5A15" w:rsidRPr="00FD7DF2" w:rsidRDefault="00CB5A15" w:rsidP="00B41F62">
      <w:p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Below is the summary table of the hypothesis testing:</w:t>
      </w:r>
    </w:p>
    <w:p w14:paraId="6AFAB93C" w14:textId="61EC50A3" w:rsidR="00CB5A15" w:rsidRPr="00FD7DF2" w:rsidRDefault="00CB5A15" w:rsidP="00B41F62">
      <w:p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1:</w:t>
      </w:r>
      <w:r w:rsidRPr="00FD7DF2">
        <w:rPr>
          <w:rFonts w:ascii="Times New Roman" w:hAnsi="Times New Roman" w:cs="Times New Roman"/>
          <w:sz w:val="24"/>
          <w:szCs w:val="24"/>
          <w:lang w:val="en-GB"/>
        </w:rPr>
        <w:t xml:space="preserve"> Summary Table of Hypothesis Testing</w:t>
      </w:r>
    </w:p>
    <w:tbl>
      <w:tblPr>
        <w:tblStyle w:val="af5"/>
        <w:tblW w:w="0" w:type="auto"/>
        <w:tblLook w:val="04A0" w:firstRow="1" w:lastRow="0" w:firstColumn="1" w:lastColumn="0" w:noHBand="0" w:noVBand="1"/>
      </w:tblPr>
      <w:tblGrid>
        <w:gridCol w:w="2413"/>
        <w:gridCol w:w="2477"/>
        <w:gridCol w:w="2111"/>
        <w:gridCol w:w="2349"/>
      </w:tblGrid>
      <w:tr w:rsidR="00CB5A15" w:rsidRPr="00CB5A15" w14:paraId="560A9EF5" w14:textId="77777777" w:rsidTr="00CB5A15">
        <w:tc>
          <w:tcPr>
            <w:tcW w:w="0" w:type="auto"/>
            <w:hideMark/>
          </w:tcPr>
          <w:p w14:paraId="10E90482" w14:textId="77777777" w:rsidR="00CB5A15" w:rsidRPr="00CB5A15" w:rsidRDefault="00CB5A15" w:rsidP="00B41F62">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Hypothesis</w:t>
            </w:r>
          </w:p>
        </w:tc>
        <w:tc>
          <w:tcPr>
            <w:tcW w:w="0" w:type="auto"/>
            <w:hideMark/>
          </w:tcPr>
          <w:p w14:paraId="565E9909" w14:textId="77777777" w:rsidR="00CB5A15" w:rsidRPr="00CB5A15" w:rsidRDefault="00CB5A15" w:rsidP="00B41F62">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Test Used</w:t>
            </w:r>
          </w:p>
        </w:tc>
        <w:tc>
          <w:tcPr>
            <w:tcW w:w="0" w:type="auto"/>
            <w:hideMark/>
          </w:tcPr>
          <w:p w14:paraId="0621D5C0" w14:textId="77777777" w:rsidR="00CB5A15" w:rsidRPr="00CB5A15" w:rsidRDefault="00CB5A15" w:rsidP="00B41F62">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Result</w:t>
            </w:r>
          </w:p>
        </w:tc>
        <w:tc>
          <w:tcPr>
            <w:tcW w:w="0" w:type="auto"/>
            <w:hideMark/>
          </w:tcPr>
          <w:p w14:paraId="5B11D44E" w14:textId="77777777" w:rsidR="00CB5A15" w:rsidRPr="00CB5A15" w:rsidRDefault="00CB5A15" w:rsidP="00B41F62">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Conclusion</w:t>
            </w:r>
          </w:p>
        </w:tc>
      </w:tr>
      <w:tr w:rsidR="00CB5A15" w:rsidRPr="00CB5A15" w14:paraId="1CE1959A" w14:textId="77777777" w:rsidTr="00CB5A15">
        <w:tc>
          <w:tcPr>
            <w:tcW w:w="0" w:type="auto"/>
            <w:hideMark/>
          </w:tcPr>
          <w:p w14:paraId="7081090C"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H1: AI-enabled platforms increase access</w:t>
            </w:r>
          </w:p>
        </w:tc>
        <w:tc>
          <w:tcPr>
            <w:tcW w:w="0" w:type="auto"/>
            <w:hideMark/>
          </w:tcPr>
          <w:p w14:paraId="21450EB7"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Chi-square (regional disparities)</w:t>
            </w:r>
          </w:p>
        </w:tc>
        <w:tc>
          <w:tcPr>
            <w:tcW w:w="0" w:type="auto"/>
            <w:hideMark/>
          </w:tcPr>
          <w:p w14:paraId="715257F9"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χ² = 28.41, p &lt; .01</w:t>
            </w:r>
          </w:p>
        </w:tc>
        <w:tc>
          <w:tcPr>
            <w:tcW w:w="0" w:type="auto"/>
            <w:hideMark/>
          </w:tcPr>
          <w:p w14:paraId="7F05CEF5"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Supported (regional context matters)</w:t>
            </w:r>
          </w:p>
        </w:tc>
      </w:tr>
      <w:tr w:rsidR="00CB5A15" w:rsidRPr="00CB5A15" w14:paraId="6042B7F6" w14:textId="77777777" w:rsidTr="00CB5A15">
        <w:tc>
          <w:tcPr>
            <w:tcW w:w="0" w:type="auto"/>
            <w:hideMark/>
          </w:tcPr>
          <w:p w14:paraId="1534ED85"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H2: AI systems improve skill readiness</w:t>
            </w:r>
          </w:p>
        </w:tc>
        <w:tc>
          <w:tcPr>
            <w:tcW w:w="0" w:type="auto"/>
            <w:hideMark/>
          </w:tcPr>
          <w:p w14:paraId="2A88C01D"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One-way ANOVA (household size differences)</w:t>
            </w:r>
          </w:p>
        </w:tc>
        <w:tc>
          <w:tcPr>
            <w:tcW w:w="0" w:type="auto"/>
            <w:hideMark/>
          </w:tcPr>
          <w:p w14:paraId="5B3EE63C"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F = 5.62, p = .004</w:t>
            </w:r>
          </w:p>
        </w:tc>
        <w:tc>
          <w:tcPr>
            <w:tcW w:w="0" w:type="auto"/>
            <w:hideMark/>
          </w:tcPr>
          <w:p w14:paraId="17137380"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Supported (smaller households less ready)</w:t>
            </w:r>
          </w:p>
        </w:tc>
      </w:tr>
      <w:tr w:rsidR="00CB5A15" w:rsidRPr="00CB5A15" w14:paraId="4140ABA1" w14:textId="77777777" w:rsidTr="00CB5A15">
        <w:tc>
          <w:tcPr>
            <w:tcW w:w="0" w:type="auto"/>
            <w:hideMark/>
          </w:tcPr>
          <w:p w14:paraId="7A9836A0"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lastRenderedPageBreak/>
              <w:t>H3: Moderated by digital inclusion</w:t>
            </w:r>
          </w:p>
        </w:tc>
        <w:tc>
          <w:tcPr>
            <w:tcW w:w="0" w:type="auto"/>
            <w:hideMark/>
          </w:tcPr>
          <w:p w14:paraId="3C74854C"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Chi-square (regional proxy)</w:t>
            </w:r>
          </w:p>
        </w:tc>
        <w:tc>
          <w:tcPr>
            <w:tcW w:w="0" w:type="auto"/>
            <w:hideMark/>
          </w:tcPr>
          <w:p w14:paraId="5D2A811C"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χ² = 28.41, p &lt; .01</w:t>
            </w:r>
          </w:p>
        </w:tc>
        <w:tc>
          <w:tcPr>
            <w:tcW w:w="0" w:type="auto"/>
            <w:hideMark/>
          </w:tcPr>
          <w:p w14:paraId="42A7FA78"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Indirectly Supported</w:t>
            </w:r>
          </w:p>
        </w:tc>
      </w:tr>
      <w:tr w:rsidR="00CB5A15" w:rsidRPr="00CB5A15" w14:paraId="13FD1D88" w14:textId="77777777" w:rsidTr="00CB5A15">
        <w:tc>
          <w:tcPr>
            <w:tcW w:w="0" w:type="auto"/>
            <w:hideMark/>
          </w:tcPr>
          <w:p w14:paraId="690517C0"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H4: Ethical/fair design increases engagement</w:t>
            </w:r>
          </w:p>
        </w:tc>
        <w:tc>
          <w:tcPr>
            <w:tcW w:w="0" w:type="auto"/>
            <w:hideMark/>
          </w:tcPr>
          <w:p w14:paraId="036D1FE8"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Logistic regression (predictors of exclusion)</w:t>
            </w:r>
          </w:p>
        </w:tc>
        <w:tc>
          <w:tcPr>
            <w:tcW w:w="0" w:type="auto"/>
            <w:hideMark/>
          </w:tcPr>
          <w:p w14:paraId="0C6DC420"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R² = .18, p &lt; .001</w:t>
            </w:r>
          </w:p>
        </w:tc>
        <w:tc>
          <w:tcPr>
            <w:tcW w:w="0" w:type="auto"/>
            <w:hideMark/>
          </w:tcPr>
          <w:p w14:paraId="6A09C5FB"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Partially Supported (gender not significant)</w:t>
            </w:r>
          </w:p>
        </w:tc>
      </w:tr>
      <w:tr w:rsidR="00CB5A15" w:rsidRPr="00CB5A15" w14:paraId="5539CCDB" w14:textId="77777777" w:rsidTr="00CB5A15">
        <w:tc>
          <w:tcPr>
            <w:tcW w:w="0" w:type="auto"/>
            <w:hideMark/>
          </w:tcPr>
          <w:p w14:paraId="70629ABB"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H5: Peer-learning enhances resilience</w:t>
            </w:r>
          </w:p>
        </w:tc>
        <w:tc>
          <w:tcPr>
            <w:tcW w:w="0" w:type="auto"/>
            <w:hideMark/>
          </w:tcPr>
          <w:p w14:paraId="11D6FE35"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Logistic regression (odds ratios)</w:t>
            </w:r>
          </w:p>
        </w:tc>
        <w:tc>
          <w:tcPr>
            <w:tcW w:w="0" w:type="auto"/>
            <w:hideMark/>
          </w:tcPr>
          <w:p w14:paraId="7FE2FDE8"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Exp(B) household size = 0.66, p = .002</w:t>
            </w:r>
          </w:p>
        </w:tc>
        <w:tc>
          <w:tcPr>
            <w:tcW w:w="0" w:type="auto"/>
            <w:hideMark/>
          </w:tcPr>
          <w:p w14:paraId="4233B880" w14:textId="77777777" w:rsidR="00CB5A15" w:rsidRPr="00CB5A15" w:rsidRDefault="00CB5A15" w:rsidP="00B41F62">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Supported</w:t>
            </w:r>
          </w:p>
        </w:tc>
      </w:tr>
    </w:tbl>
    <w:p w14:paraId="32123188" w14:textId="57E2AD1D" w:rsidR="00CB5A15" w:rsidRPr="00FD7DF2" w:rsidRDefault="00CB5A15" w:rsidP="00B41F62">
      <w:pPr>
        <w:spacing w:line="360" w:lineRule="auto"/>
        <w:jc w:val="both"/>
        <w:rPr>
          <w:rFonts w:ascii="Times New Roman" w:hAnsi="Times New Roman" w:cs="Times New Roman"/>
          <w:sz w:val="24"/>
          <w:szCs w:val="24"/>
          <w:lang w:val="en-GB"/>
        </w:rPr>
      </w:pPr>
    </w:p>
    <w:p w14:paraId="1B0EF735" w14:textId="18FFA7E7" w:rsidR="0099281F" w:rsidRPr="00B27E83" w:rsidRDefault="00B27E83" w:rsidP="00B27E83">
      <w:pPr>
        <w:pStyle w:val="2"/>
        <w:rPr>
          <w:b/>
          <w:bCs/>
          <w:color w:val="auto"/>
          <w:sz w:val="24"/>
          <w:szCs w:val="24"/>
          <w:lang w:val="en-GB"/>
        </w:rPr>
      </w:pPr>
      <w:bookmarkStart w:id="16" w:name="_Toc209880897"/>
      <w:r>
        <w:rPr>
          <w:rFonts w:hint="eastAsia"/>
          <w:b/>
          <w:bCs/>
          <w:color w:val="auto"/>
          <w:sz w:val="24"/>
          <w:szCs w:val="24"/>
          <w:lang w:val="en-GB" w:eastAsia="zh-CN"/>
        </w:rPr>
        <w:t xml:space="preserve">3.8 </w:t>
      </w:r>
      <w:r w:rsidR="0099281F" w:rsidRPr="00B27E83">
        <w:rPr>
          <w:b/>
          <w:bCs/>
          <w:color w:val="auto"/>
          <w:sz w:val="24"/>
          <w:szCs w:val="24"/>
          <w:lang w:val="en-GB"/>
        </w:rPr>
        <w:t xml:space="preserve"> Summary and Transition to the Next </w:t>
      </w:r>
      <w:r w:rsidR="003F209E" w:rsidRPr="00B27E83">
        <w:rPr>
          <w:b/>
          <w:bCs/>
          <w:color w:val="auto"/>
          <w:sz w:val="24"/>
          <w:szCs w:val="24"/>
          <w:lang w:val="en-GB"/>
        </w:rPr>
        <w:t>Section</w:t>
      </w:r>
      <w:bookmarkEnd w:id="16"/>
    </w:p>
    <w:p w14:paraId="2A4EBAA2" w14:textId="654D9A9D" w:rsidR="00095C5A" w:rsidRPr="00FD7DF2" w:rsidRDefault="00E34713" w:rsidP="00B41F62">
      <w:pPr>
        <w:spacing w:line="360" w:lineRule="auto"/>
        <w:ind w:left="0" w:firstLine="0"/>
        <w:jc w:val="both"/>
        <w:rPr>
          <w:rFonts w:ascii="Times New Roman" w:hAnsi="Times New Roman" w:cs="Times New Roman"/>
          <w:sz w:val="24"/>
          <w:szCs w:val="24"/>
          <w:lang w:val="en-GB"/>
        </w:rPr>
      </w:pPr>
      <w:r w:rsidRPr="00E34713">
        <w:rPr>
          <w:rFonts w:ascii="Times New Roman" w:hAnsi="Times New Roman" w:cs="Times New Roman"/>
          <w:sz w:val="24"/>
          <w:szCs w:val="24"/>
          <w:lang w:val="en-GB"/>
        </w:rPr>
        <w:t xml:space="preserve">In summary, this </w:t>
      </w:r>
      <w:r w:rsidRPr="00FD7DF2">
        <w:rPr>
          <w:rFonts w:ascii="Times New Roman" w:hAnsi="Times New Roman" w:cs="Times New Roman"/>
          <w:sz w:val="24"/>
          <w:szCs w:val="24"/>
          <w:lang w:val="en-GB"/>
        </w:rPr>
        <w:t>literature review</w:t>
      </w:r>
      <w:r w:rsidRPr="00E34713">
        <w:rPr>
          <w:rFonts w:ascii="Times New Roman" w:hAnsi="Times New Roman" w:cs="Times New Roman"/>
          <w:sz w:val="24"/>
          <w:szCs w:val="24"/>
          <w:lang w:val="en-GB"/>
        </w:rPr>
        <w:t xml:space="preserve"> is significant in advancing academic debates, informing practical interventions, and addressing deep-rooted social inequalities through AI-enabled knowledge sharing. By highlighting its theoretical, policy, and community relevance, the section establishes why the research is worth undertaking.</w:t>
      </w:r>
      <w:r w:rsidRPr="00FD7DF2">
        <w:rPr>
          <w:rFonts w:ascii="Times New Roman" w:hAnsi="Times New Roman" w:cs="Times New Roman"/>
          <w:sz w:val="24"/>
          <w:szCs w:val="24"/>
          <w:lang w:val="en-GB"/>
        </w:rPr>
        <w:t xml:space="preserve"> </w:t>
      </w:r>
      <w:r w:rsidRPr="00E34713">
        <w:rPr>
          <w:rFonts w:ascii="Times New Roman" w:hAnsi="Times New Roman" w:cs="Times New Roman"/>
          <w:sz w:val="24"/>
          <w:szCs w:val="24"/>
          <w:lang w:val="en-GB"/>
        </w:rPr>
        <w:t xml:space="preserve">The next </w:t>
      </w:r>
      <w:r w:rsidR="003F209E" w:rsidRPr="00FD7DF2">
        <w:rPr>
          <w:rFonts w:ascii="Times New Roman" w:hAnsi="Times New Roman" w:cs="Times New Roman"/>
          <w:sz w:val="24"/>
          <w:szCs w:val="24"/>
          <w:lang w:val="en-GB"/>
        </w:rPr>
        <w:t>Section</w:t>
      </w:r>
      <w:r w:rsidRPr="00E34713">
        <w:rPr>
          <w:rFonts w:ascii="Times New Roman" w:hAnsi="Times New Roman" w:cs="Times New Roman"/>
          <w:sz w:val="24"/>
          <w:szCs w:val="24"/>
          <w:lang w:val="en-GB"/>
        </w:rPr>
        <w:t xml:space="preserve"> presents the research methodology, outlining the philosophical stance, research design, dataset, variables, and analytical techniques employed. This framework ensures that the study’s objectives are pursued with methodological rigor, ethical integrity, and transparency.</w:t>
      </w:r>
    </w:p>
    <w:p w14:paraId="7A885CEB" w14:textId="77777777" w:rsidR="00E34713" w:rsidRPr="00FD7DF2" w:rsidRDefault="00E34713" w:rsidP="00B41F62">
      <w:pPr>
        <w:spacing w:line="360" w:lineRule="auto"/>
        <w:ind w:left="0" w:firstLine="0"/>
        <w:jc w:val="both"/>
        <w:rPr>
          <w:rFonts w:ascii="Times New Roman" w:hAnsi="Times New Roman" w:cs="Times New Roman"/>
          <w:sz w:val="24"/>
          <w:szCs w:val="24"/>
          <w:lang w:val="en-GB"/>
        </w:rPr>
      </w:pPr>
    </w:p>
    <w:p w14:paraId="7DE9D8D3" w14:textId="6F0C653B" w:rsidR="00CD28CD" w:rsidRPr="00B27E83" w:rsidRDefault="00B27E83" w:rsidP="00B27E83">
      <w:pPr>
        <w:pStyle w:val="1"/>
        <w:rPr>
          <w:b/>
          <w:bCs/>
          <w:color w:val="auto"/>
          <w:sz w:val="28"/>
          <w:szCs w:val="28"/>
          <w:lang w:val="en-GB"/>
        </w:rPr>
      </w:pPr>
      <w:bookmarkStart w:id="17" w:name="_Toc209880898"/>
      <w:r w:rsidRPr="00B27E83">
        <w:rPr>
          <w:rFonts w:hint="eastAsia"/>
          <w:b/>
          <w:bCs/>
          <w:color w:val="auto"/>
          <w:sz w:val="28"/>
          <w:szCs w:val="28"/>
          <w:lang w:val="en-GB" w:eastAsia="zh-CN"/>
        </w:rPr>
        <w:t xml:space="preserve">4. </w:t>
      </w:r>
      <w:r w:rsidR="00CD28CD" w:rsidRPr="00B27E83">
        <w:rPr>
          <w:b/>
          <w:bCs/>
          <w:color w:val="auto"/>
          <w:sz w:val="28"/>
          <w:szCs w:val="28"/>
          <w:lang w:val="en-GB"/>
        </w:rPr>
        <w:t>Research Methodology</w:t>
      </w:r>
      <w:bookmarkEnd w:id="17"/>
    </w:p>
    <w:p w14:paraId="0F301177" w14:textId="7815527F" w:rsidR="00CD28CD" w:rsidRPr="00B27E83" w:rsidRDefault="00095C5A" w:rsidP="00B27E83">
      <w:pPr>
        <w:pStyle w:val="2"/>
        <w:rPr>
          <w:b/>
          <w:bCs/>
          <w:color w:val="auto"/>
          <w:sz w:val="24"/>
          <w:szCs w:val="24"/>
        </w:rPr>
      </w:pPr>
      <w:bookmarkStart w:id="18" w:name="_Toc209880899"/>
      <w:r w:rsidRPr="00B27E83">
        <w:rPr>
          <w:b/>
          <w:bCs/>
          <w:color w:val="auto"/>
          <w:sz w:val="24"/>
          <w:szCs w:val="24"/>
        </w:rPr>
        <w:t>4</w:t>
      </w:r>
      <w:r w:rsidR="004E79A5" w:rsidRPr="00B27E83">
        <w:rPr>
          <w:b/>
          <w:bCs/>
          <w:color w:val="auto"/>
          <w:sz w:val="24"/>
          <w:szCs w:val="24"/>
        </w:rPr>
        <w:t xml:space="preserve">.1 </w:t>
      </w:r>
      <w:r w:rsidR="00CD28CD" w:rsidRPr="00B27E83">
        <w:rPr>
          <w:b/>
          <w:bCs/>
          <w:color w:val="auto"/>
          <w:sz w:val="24"/>
          <w:szCs w:val="24"/>
        </w:rPr>
        <w:t>Philosophical Stance</w:t>
      </w:r>
      <w:bookmarkEnd w:id="18"/>
    </w:p>
    <w:p w14:paraId="421AAA9E" w14:textId="1BEB84E0"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study adopts a positivist philosophical stance, which assumes that social phenomena can be observed, quantified, and explained through objective data (Baškarada and Koronios, 2018). According to Park et al. (2020), positivism aligns closely with quantitative methods because it emphasi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es hypothesis testing, measurement, and replicability. In the context of this study, the aim is to </w:t>
      </w:r>
      <w:r w:rsidR="0052050B" w:rsidRPr="00FD7DF2">
        <w:rPr>
          <w:rFonts w:ascii="Times New Roman" w:hAnsi="Times New Roman" w:cs="Times New Roman"/>
          <w:sz w:val="24"/>
          <w:szCs w:val="24"/>
          <w:lang w:val="en-GB"/>
        </w:rPr>
        <w:t>analyse</w:t>
      </w:r>
      <w:r w:rsidRPr="00FD7DF2">
        <w:rPr>
          <w:rFonts w:ascii="Times New Roman" w:hAnsi="Times New Roman" w:cs="Times New Roman"/>
          <w:sz w:val="24"/>
          <w:szCs w:val="24"/>
          <w:lang w:val="en-GB"/>
        </w:rPr>
        <w:t xml:space="preserve"> the patterns of working and workless households in the United Kingdom using data from the Office for National Statistics (ONS). Such data, derived from large-scale national surveys, is suitable for a positivist approach because it reflects measurable reality rather than subjective interpretation.</w:t>
      </w:r>
    </w:p>
    <w:p w14:paraId="14104592" w14:textId="32587D26"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positivist orientation also justifies the use of SPSS for statistical analysis (Ali, 2024). Variables such as household employment status, household size, and demographic factors can be coded into quantifiable categories, enabling both descriptive and inferential analyses. For instance, </w:t>
      </w:r>
      <w:r w:rsidRPr="00FD7DF2">
        <w:rPr>
          <w:rFonts w:ascii="Times New Roman" w:hAnsi="Times New Roman" w:cs="Times New Roman"/>
          <w:sz w:val="24"/>
          <w:szCs w:val="24"/>
          <w:lang w:val="en-GB"/>
        </w:rPr>
        <w:lastRenderedPageBreak/>
        <w:t xml:space="preserve">chi-square tests can reveal whether there are significant regional differences in workless households, while regression models can predict the likelihood of a household being workless based on demographic characteristics. By </w:t>
      </w:r>
      <w:r w:rsidR="0052050B" w:rsidRPr="00FD7DF2">
        <w:rPr>
          <w:rFonts w:ascii="Times New Roman" w:hAnsi="Times New Roman" w:cs="Times New Roman"/>
          <w:sz w:val="24"/>
          <w:szCs w:val="24"/>
          <w:lang w:val="en-GB"/>
        </w:rPr>
        <w:t>analysing</w:t>
      </w:r>
      <w:r w:rsidRPr="00FD7DF2">
        <w:rPr>
          <w:rFonts w:ascii="Times New Roman" w:hAnsi="Times New Roman" w:cs="Times New Roman"/>
          <w:sz w:val="24"/>
          <w:szCs w:val="24"/>
          <w:lang w:val="en-GB"/>
        </w:rPr>
        <w:t xml:space="preserve"> these relationships using statistical software, the study maintains the positivist commitment to objectivity and replicability.</w:t>
      </w:r>
    </w:p>
    <w:p w14:paraId="4F49A12B" w14:textId="6A14B248" w:rsidR="00CD28CD" w:rsidRPr="00B27E83" w:rsidRDefault="00095C5A" w:rsidP="00B27E83">
      <w:pPr>
        <w:pStyle w:val="2"/>
        <w:rPr>
          <w:b/>
          <w:bCs/>
          <w:color w:val="auto"/>
          <w:sz w:val="24"/>
          <w:szCs w:val="24"/>
        </w:rPr>
      </w:pPr>
      <w:bookmarkStart w:id="19" w:name="_Toc209880900"/>
      <w:r w:rsidRPr="00B27E83">
        <w:rPr>
          <w:b/>
          <w:bCs/>
          <w:color w:val="auto"/>
          <w:sz w:val="24"/>
          <w:szCs w:val="24"/>
        </w:rPr>
        <w:t>4</w:t>
      </w:r>
      <w:r w:rsidR="004E79A5" w:rsidRPr="00B27E83">
        <w:rPr>
          <w:b/>
          <w:bCs/>
          <w:color w:val="auto"/>
          <w:sz w:val="24"/>
          <w:szCs w:val="24"/>
        </w:rPr>
        <w:t xml:space="preserve">.2 </w:t>
      </w:r>
      <w:r w:rsidR="00CD28CD" w:rsidRPr="00B27E83">
        <w:rPr>
          <w:b/>
          <w:bCs/>
          <w:color w:val="auto"/>
          <w:sz w:val="24"/>
          <w:szCs w:val="24"/>
        </w:rPr>
        <w:t>Research Design</w:t>
      </w:r>
      <w:bookmarkEnd w:id="19"/>
    </w:p>
    <w:p w14:paraId="56B8D220" w14:textId="25162AF8"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research employs a quantitative, cross-sectional, and explanatory design. It is quantitative because it works entirely with numerical data (Bloomfield and Fisher, 2019), seeking to summari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 and explain household-level employment outcomes. It is cross-sectional because the dataset represents a single time point (January to March 2024) rather than following households over time (Li et al., 2013). Finally, it is explanatory because the study does more than describe patterns (Mirnawati et al., 2022): it also tests hypotheses about associations and predictors of worklessness across household categories.</w:t>
      </w:r>
    </w:p>
    <w:p w14:paraId="0B61F7DC"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Descriptive analysis provides an overview of how many households fall into categories such as fully working, mixed, or workless. Inferential tests then allow the study to explore whether these distributions are significantly different across regions, demographic characteristics, or household sizes. This design balances breadth and depth, providing both a snapshot of national household employment trends and an explanation of factors that shape them.</w:t>
      </w:r>
    </w:p>
    <w:p w14:paraId="486E6B6B" w14:textId="59E364EA" w:rsidR="00CD28CD" w:rsidRPr="00B27E83" w:rsidRDefault="00095C5A" w:rsidP="00B27E83">
      <w:pPr>
        <w:pStyle w:val="2"/>
        <w:rPr>
          <w:b/>
          <w:bCs/>
          <w:color w:val="auto"/>
          <w:sz w:val="24"/>
          <w:szCs w:val="24"/>
        </w:rPr>
      </w:pPr>
      <w:bookmarkStart w:id="20" w:name="_Toc209880901"/>
      <w:r w:rsidRPr="00B27E83">
        <w:rPr>
          <w:b/>
          <w:bCs/>
          <w:color w:val="auto"/>
          <w:sz w:val="24"/>
          <w:szCs w:val="24"/>
        </w:rPr>
        <w:t>4</w:t>
      </w:r>
      <w:r w:rsidR="004E79A5" w:rsidRPr="00B27E83">
        <w:rPr>
          <w:b/>
          <w:bCs/>
          <w:color w:val="auto"/>
          <w:sz w:val="24"/>
          <w:szCs w:val="24"/>
        </w:rPr>
        <w:t xml:space="preserve">.3 </w:t>
      </w:r>
      <w:r w:rsidR="00CD28CD" w:rsidRPr="00B27E83">
        <w:rPr>
          <w:b/>
          <w:bCs/>
          <w:color w:val="auto"/>
          <w:sz w:val="24"/>
          <w:szCs w:val="24"/>
        </w:rPr>
        <w:t>Dataset</w:t>
      </w:r>
      <w:bookmarkEnd w:id="20"/>
    </w:p>
    <w:p w14:paraId="4F1BC010" w14:textId="78DE5AEE"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dataset used is the ONS publication </w:t>
      </w:r>
      <w:r w:rsidRPr="00FD7DF2">
        <w:rPr>
          <w:rFonts w:ascii="Times New Roman" w:hAnsi="Times New Roman" w:cs="Times New Roman"/>
          <w:i/>
          <w:iCs/>
          <w:sz w:val="24"/>
          <w:szCs w:val="24"/>
          <w:lang w:val="en-GB"/>
        </w:rPr>
        <w:t>Working and Workless Households in the UK: January to March 2024</w:t>
      </w:r>
      <w:r w:rsidRPr="00FD7DF2">
        <w:rPr>
          <w:rFonts w:ascii="Times New Roman" w:hAnsi="Times New Roman" w:cs="Times New Roman"/>
          <w:sz w:val="24"/>
          <w:szCs w:val="24"/>
          <w:lang w:val="en-GB"/>
        </w:rPr>
        <w:t>. It is derived from the Labour Force Survey, which is the largest household survey in the United Kingdom designed to capture employment trends. The dataset includes information on the number of adults in employment per household, whether households are entirely in work, entirely workless, or mixed, as well as additional demographic details such as age, gender, and regional location. Because the dataset is collected through stratified random sampling across regions, it is representative of the national population. It is also freely available and anonymi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ed, meaning that it meets high standards of accessibility and ethical compliance (Lohr, 2021; Philips et al., 2017). For this research, the Excel dataset was imported into SPSS, cleaned for missing values, and coded into variables appropriate for statistical testing.</w:t>
      </w:r>
      <w:r w:rsidR="00CB5A15" w:rsidRPr="00FD7DF2">
        <w:rPr>
          <w:rFonts w:ascii="Times New Roman" w:hAnsi="Times New Roman" w:cs="Times New Roman"/>
          <w:sz w:val="24"/>
          <w:szCs w:val="24"/>
          <w:lang w:val="en-GB"/>
        </w:rPr>
        <w:t xml:space="preserve"> Below is an example of dataset after being imported from Excel:</w:t>
      </w:r>
    </w:p>
    <w:p w14:paraId="32EA1BD3" w14:textId="046BD146" w:rsidR="00CB5A15" w:rsidRPr="00FD7DF2" w:rsidRDefault="00CB5A15"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lastRenderedPageBreak/>
        <w:drawing>
          <wp:inline distT="0" distB="0" distL="0" distR="0" wp14:anchorId="374825C6" wp14:editId="6F3566D9">
            <wp:extent cx="5943600" cy="1501775"/>
            <wp:effectExtent l="0" t="0" r="0" b="3175"/>
            <wp:docPr id="17269454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45417" name="Picture 1726945417"/>
                    <pic:cNvPicPr/>
                  </pic:nvPicPr>
                  <pic:blipFill>
                    <a:blip r:embed="rId11">
                      <a:extLst>
                        <a:ext uri="{28A0092B-C50C-407E-A947-70E740481C1C}">
                          <a14:useLocalDpi xmlns:a14="http://schemas.microsoft.com/office/drawing/2010/main" val="0"/>
                        </a:ext>
                      </a:extLst>
                    </a:blip>
                    <a:stretch>
                      <a:fillRect/>
                    </a:stretch>
                  </pic:blipFill>
                  <pic:spPr>
                    <a:xfrm>
                      <a:off x="0" y="0"/>
                      <a:ext cx="5943600" cy="1501775"/>
                    </a:xfrm>
                    <a:prstGeom prst="rect">
                      <a:avLst/>
                    </a:prstGeom>
                  </pic:spPr>
                </pic:pic>
              </a:graphicData>
            </a:graphic>
          </wp:inline>
        </w:drawing>
      </w:r>
    </w:p>
    <w:p w14:paraId="671FD9A5" w14:textId="70B0171B" w:rsidR="00CB5A15" w:rsidRPr="00FD7DF2" w:rsidRDefault="00CB5A15"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2:</w:t>
      </w:r>
      <w:r w:rsidRPr="00FD7DF2">
        <w:rPr>
          <w:rFonts w:ascii="Times New Roman" w:hAnsi="Times New Roman" w:cs="Times New Roman"/>
          <w:sz w:val="24"/>
          <w:szCs w:val="24"/>
          <w:lang w:val="en-GB"/>
        </w:rPr>
        <w:t xml:space="preserve"> Example Dataset</w:t>
      </w:r>
    </w:p>
    <w:p w14:paraId="76A3F7A2" w14:textId="27A94846" w:rsidR="00CD28CD" w:rsidRPr="00B27E83" w:rsidRDefault="00095C5A" w:rsidP="00B27E83">
      <w:pPr>
        <w:pStyle w:val="2"/>
        <w:rPr>
          <w:b/>
          <w:bCs/>
          <w:color w:val="auto"/>
          <w:sz w:val="24"/>
          <w:szCs w:val="24"/>
        </w:rPr>
      </w:pPr>
      <w:bookmarkStart w:id="21" w:name="_Toc209880902"/>
      <w:r w:rsidRPr="00B27E83">
        <w:rPr>
          <w:b/>
          <w:bCs/>
          <w:color w:val="auto"/>
          <w:sz w:val="24"/>
          <w:szCs w:val="24"/>
        </w:rPr>
        <w:t>4</w:t>
      </w:r>
      <w:r w:rsidR="004E79A5" w:rsidRPr="00B27E83">
        <w:rPr>
          <w:b/>
          <w:bCs/>
          <w:color w:val="auto"/>
          <w:sz w:val="24"/>
          <w:szCs w:val="24"/>
        </w:rPr>
        <w:t xml:space="preserve">.4 </w:t>
      </w:r>
      <w:r w:rsidR="00CD28CD" w:rsidRPr="00B27E83">
        <w:rPr>
          <w:b/>
          <w:bCs/>
          <w:color w:val="auto"/>
          <w:sz w:val="24"/>
          <w:szCs w:val="24"/>
        </w:rPr>
        <w:t>Sampling, Measures, and Variables</w:t>
      </w:r>
      <w:bookmarkEnd w:id="21"/>
    </w:p>
    <w:p w14:paraId="0B5FE92E" w14:textId="729A5C82"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dataset is already nationally representative; therefore, no additional sampling was necessary. The key dependent variable is </w:t>
      </w:r>
      <w:r w:rsidRPr="00FD7DF2">
        <w:rPr>
          <w:rFonts w:ascii="Times New Roman" w:hAnsi="Times New Roman" w:cs="Times New Roman"/>
          <w:i/>
          <w:iCs/>
          <w:sz w:val="24"/>
          <w:szCs w:val="24"/>
          <w:lang w:val="en-GB"/>
        </w:rPr>
        <w:t>household employment status</w:t>
      </w:r>
      <w:r w:rsidRPr="00FD7DF2">
        <w:rPr>
          <w:rFonts w:ascii="Times New Roman" w:hAnsi="Times New Roman" w:cs="Times New Roman"/>
          <w:sz w:val="24"/>
          <w:szCs w:val="24"/>
          <w:lang w:val="en-GB"/>
        </w:rPr>
        <w:t xml:space="preserve">, coded into three categories: working households (all adults in work), workless households (no adults in work), and mixed households (a combination of working and non-working adults). The independent variables include </w:t>
      </w:r>
      <w:r w:rsidRPr="00FD7DF2">
        <w:rPr>
          <w:rFonts w:ascii="Times New Roman" w:hAnsi="Times New Roman" w:cs="Times New Roman"/>
          <w:i/>
          <w:iCs/>
          <w:sz w:val="24"/>
          <w:szCs w:val="24"/>
          <w:lang w:val="en-GB"/>
        </w:rPr>
        <w:t>household size</w:t>
      </w:r>
      <w:r w:rsidRPr="00FD7DF2">
        <w:rPr>
          <w:rFonts w:ascii="Times New Roman" w:hAnsi="Times New Roman" w:cs="Times New Roman"/>
          <w:sz w:val="24"/>
          <w:szCs w:val="24"/>
          <w:lang w:val="en-GB"/>
        </w:rPr>
        <w:t xml:space="preserve"> (measured as the number of adults per household), </w:t>
      </w:r>
      <w:r w:rsidRPr="00FD7DF2">
        <w:rPr>
          <w:rFonts w:ascii="Times New Roman" w:hAnsi="Times New Roman" w:cs="Times New Roman"/>
          <w:i/>
          <w:iCs/>
          <w:sz w:val="24"/>
          <w:szCs w:val="24"/>
          <w:lang w:val="en-GB"/>
        </w:rPr>
        <w:t>region</w:t>
      </w:r>
      <w:r w:rsidRPr="00FD7DF2">
        <w:rPr>
          <w:rFonts w:ascii="Times New Roman" w:hAnsi="Times New Roman" w:cs="Times New Roman"/>
          <w:sz w:val="24"/>
          <w:szCs w:val="24"/>
          <w:lang w:val="en-GB"/>
        </w:rPr>
        <w:t xml:space="preserve"> (England, Scotland, Wales, Northern Ireland), </w:t>
      </w:r>
      <w:r w:rsidRPr="00FD7DF2">
        <w:rPr>
          <w:rFonts w:ascii="Times New Roman" w:hAnsi="Times New Roman" w:cs="Times New Roman"/>
          <w:i/>
          <w:iCs/>
          <w:sz w:val="24"/>
          <w:szCs w:val="24"/>
          <w:lang w:val="en-GB"/>
        </w:rPr>
        <w:t>gender composition</w:t>
      </w:r>
      <w:r w:rsidRPr="00FD7DF2">
        <w:rPr>
          <w:rFonts w:ascii="Times New Roman" w:hAnsi="Times New Roman" w:cs="Times New Roman"/>
          <w:sz w:val="24"/>
          <w:szCs w:val="24"/>
          <w:lang w:val="en-GB"/>
        </w:rPr>
        <w:t xml:space="preserve"> of the household, and the </w:t>
      </w:r>
      <w:r w:rsidRPr="00FD7DF2">
        <w:rPr>
          <w:rFonts w:ascii="Times New Roman" w:hAnsi="Times New Roman" w:cs="Times New Roman"/>
          <w:i/>
          <w:iCs/>
          <w:sz w:val="24"/>
          <w:szCs w:val="24"/>
          <w:lang w:val="en-GB"/>
        </w:rPr>
        <w:t>age of the reference person</w:t>
      </w:r>
      <w:r w:rsidRPr="00FD7DF2">
        <w:rPr>
          <w:rFonts w:ascii="Times New Roman" w:hAnsi="Times New Roman" w:cs="Times New Roman"/>
          <w:sz w:val="24"/>
          <w:szCs w:val="24"/>
          <w:lang w:val="en-GB"/>
        </w:rPr>
        <w:t>. Household size was treated as a scale variable, while region and gender composition were treated as nominal. These variables were chosen because they capture both demographic and structural aspects that are theori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ed to influence employment patterns within households.</w:t>
      </w:r>
    </w:p>
    <w:p w14:paraId="79814FC4" w14:textId="3E317B63" w:rsidR="00CD28CD" w:rsidRPr="00B27E83" w:rsidRDefault="00095C5A" w:rsidP="00B27E83">
      <w:pPr>
        <w:pStyle w:val="2"/>
        <w:rPr>
          <w:b/>
          <w:bCs/>
          <w:color w:val="auto"/>
          <w:sz w:val="24"/>
          <w:szCs w:val="24"/>
        </w:rPr>
      </w:pPr>
      <w:bookmarkStart w:id="22" w:name="_Toc209880903"/>
      <w:r w:rsidRPr="00B27E83">
        <w:rPr>
          <w:b/>
          <w:bCs/>
          <w:color w:val="auto"/>
          <w:sz w:val="24"/>
          <w:szCs w:val="24"/>
        </w:rPr>
        <w:t>4</w:t>
      </w:r>
      <w:r w:rsidR="004E79A5" w:rsidRPr="00B27E83">
        <w:rPr>
          <w:b/>
          <w:bCs/>
          <w:color w:val="auto"/>
          <w:sz w:val="24"/>
          <w:szCs w:val="24"/>
        </w:rPr>
        <w:t xml:space="preserve">.5 </w:t>
      </w:r>
      <w:r w:rsidR="00CD28CD" w:rsidRPr="00B27E83">
        <w:rPr>
          <w:b/>
          <w:bCs/>
          <w:color w:val="auto"/>
          <w:sz w:val="24"/>
          <w:szCs w:val="24"/>
        </w:rPr>
        <w:t>Descriptive Output</w:t>
      </w:r>
      <w:bookmarkEnd w:id="22"/>
    </w:p>
    <w:p w14:paraId="11809C99" w14:textId="5F8E5EAD"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An initial descriptive analysis in SPSS revealed the distribution of household employment categories, presented in </w:t>
      </w:r>
      <w:r w:rsidR="0042592E" w:rsidRPr="00FD7DF2">
        <w:rPr>
          <w:rFonts w:ascii="Times New Roman" w:hAnsi="Times New Roman" w:cs="Times New Roman"/>
          <w:sz w:val="24"/>
          <w:szCs w:val="24"/>
          <w:lang w:val="en-GB"/>
        </w:rPr>
        <w:t>Fig</w:t>
      </w:r>
      <w:r w:rsidRPr="00FD7DF2">
        <w:rPr>
          <w:rFonts w:ascii="Times New Roman" w:hAnsi="Times New Roman" w:cs="Times New Roman"/>
          <w:sz w:val="24"/>
          <w:szCs w:val="24"/>
          <w:lang w:val="en-GB"/>
        </w:rPr>
        <w:t xml:space="preserve"> </w:t>
      </w:r>
      <w:r w:rsidR="0042592E" w:rsidRPr="00FD7DF2">
        <w:rPr>
          <w:rFonts w:ascii="Times New Roman" w:hAnsi="Times New Roman" w:cs="Times New Roman"/>
          <w:sz w:val="24"/>
          <w:szCs w:val="24"/>
          <w:lang w:val="en-GB"/>
        </w:rPr>
        <w:t xml:space="preserve">Table </w:t>
      </w:r>
      <w:r w:rsidR="00CB5A15" w:rsidRPr="00FD7DF2">
        <w:rPr>
          <w:rFonts w:ascii="Times New Roman" w:hAnsi="Times New Roman" w:cs="Times New Roman"/>
          <w:sz w:val="24"/>
          <w:szCs w:val="24"/>
          <w:lang w:val="en-GB"/>
        </w:rPr>
        <w:t>3</w:t>
      </w:r>
      <w:r w:rsidRPr="00FD7DF2">
        <w:rPr>
          <w:rFonts w:ascii="Times New Roman" w:hAnsi="Times New Roman" w:cs="Times New Roman"/>
          <w:sz w:val="24"/>
          <w:szCs w:val="24"/>
          <w:lang w:val="en-GB"/>
        </w:rPr>
        <w:t>.</w:t>
      </w:r>
    </w:p>
    <w:p w14:paraId="197C1A29" w14:textId="432B9C3A" w:rsidR="0042592E" w:rsidRPr="00FD7DF2" w:rsidRDefault="0042592E"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7B15235A" wp14:editId="7BAB985F">
            <wp:extent cx="5943600" cy="874395"/>
            <wp:effectExtent l="0" t="0" r="0" b="1905"/>
            <wp:docPr id="20632361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36140" name="Picture 2063236140"/>
                    <pic:cNvPicPr/>
                  </pic:nvPicPr>
                  <pic:blipFill>
                    <a:blip r:embed="rId12">
                      <a:extLst>
                        <a:ext uri="{28A0092B-C50C-407E-A947-70E740481C1C}">
                          <a14:useLocalDpi xmlns:a14="http://schemas.microsoft.com/office/drawing/2010/main" val="0"/>
                        </a:ext>
                      </a:extLst>
                    </a:blip>
                    <a:stretch>
                      <a:fillRect/>
                    </a:stretch>
                  </pic:blipFill>
                  <pic:spPr>
                    <a:xfrm>
                      <a:off x="0" y="0"/>
                      <a:ext cx="5943600" cy="874395"/>
                    </a:xfrm>
                    <a:prstGeom prst="rect">
                      <a:avLst/>
                    </a:prstGeom>
                  </pic:spPr>
                </pic:pic>
              </a:graphicData>
            </a:graphic>
          </wp:inline>
        </w:drawing>
      </w:r>
    </w:p>
    <w:p w14:paraId="76C334F1" w14:textId="18473DAD" w:rsidR="00A468CB" w:rsidRPr="00FD7DF2" w:rsidRDefault="00A468CB"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Table </w:t>
      </w:r>
      <w:r w:rsidR="00CB5A15" w:rsidRPr="00FD7DF2">
        <w:rPr>
          <w:rFonts w:ascii="Times New Roman" w:hAnsi="Times New Roman" w:cs="Times New Roman"/>
          <w:b/>
          <w:bCs/>
          <w:sz w:val="24"/>
          <w:szCs w:val="24"/>
          <w:lang w:val="en-GB"/>
        </w:rPr>
        <w:t>3</w:t>
      </w:r>
      <w:r w:rsidRPr="00FD7DF2">
        <w:rPr>
          <w:rFonts w:ascii="Times New Roman" w:hAnsi="Times New Roman" w:cs="Times New Roman"/>
          <w:b/>
          <w:bCs/>
          <w:sz w:val="24"/>
          <w:szCs w:val="24"/>
          <w:lang w:val="en-GB"/>
        </w:rPr>
        <w:t>: Distribution of Household Employment Status (ONS, Jan–Mar 2024)</w:t>
      </w:r>
    </w:p>
    <w:p w14:paraId="4F218409"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output illustrates that the majority of households in the dataset were fully working, while just over one in seven households were completely workless. Such descriptive statistics provide the foundation for deeper inferential analysis.</w:t>
      </w:r>
    </w:p>
    <w:p w14:paraId="53D32ADB" w14:textId="77777777" w:rsidR="00CD28CD" w:rsidRPr="00FD7DF2" w:rsidRDefault="00CD28CD" w:rsidP="00B41F62">
      <w:pPr>
        <w:spacing w:line="360" w:lineRule="auto"/>
        <w:ind w:left="0" w:firstLine="0"/>
        <w:jc w:val="both"/>
        <w:rPr>
          <w:rFonts w:ascii="Times New Roman" w:hAnsi="Times New Roman" w:cs="Times New Roman"/>
          <w:b/>
          <w:bCs/>
          <w:sz w:val="24"/>
          <w:szCs w:val="24"/>
          <w:lang w:val="en-GB"/>
        </w:rPr>
      </w:pPr>
      <w:r w:rsidRPr="00FD7DF2">
        <w:rPr>
          <w:rFonts w:ascii="Times New Roman" w:hAnsi="Times New Roman" w:cs="Times New Roman"/>
          <w:b/>
          <w:bCs/>
          <w:sz w:val="24"/>
          <w:szCs w:val="24"/>
          <w:lang w:val="en-GB"/>
        </w:rPr>
        <w:t>Example Inferential Outputs</w:t>
      </w:r>
    </w:p>
    <w:p w14:paraId="4E229C64" w14:textId="00A43709"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lastRenderedPageBreak/>
        <w:t>To test whether regional differences were significant, a chi-square test was conducted between household employment status and region. The results, summari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ed in Table </w:t>
      </w:r>
      <w:r w:rsidR="00374468" w:rsidRPr="00FD7DF2">
        <w:rPr>
          <w:rFonts w:ascii="Times New Roman" w:hAnsi="Times New Roman" w:cs="Times New Roman"/>
          <w:sz w:val="24"/>
          <w:szCs w:val="24"/>
          <w:lang w:val="en-GB"/>
        </w:rPr>
        <w:t>4</w:t>
      </w:r>
      <w:r w:rsidRPr="00FD7DF2">
        <w:rPr>
          <w:rFonts w:ascii="Times New Roman" w:hAnsi="Times New Roman" w:cs="Times New Roman"/>
          <w:sz w:val="24"/>
          <w:szCs w:val="24"/>
          <w:lang w:val="en-GB"/>
        </w:rPr>
        <w:t>, indicated a significant association (χ² = 28.41, df = 9, p &lt; 0.01).</w:t>
      </w:r>
    </w:p>
    <w:p w14:paraId="3680A083" w14:textId="68160A78" w:rsidR="0042592E" w:rsidRPr="00FD7DF2" w:rsidRDefault="0042592E"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309C8A04" wp14:editId="5CF4FB0E">
            <wp:extent cx="5943600" cy="367030"/>
            <wp:effectExtent l="0" t="0" r="0" b="0"/>
            <wp:docPr id="5426335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33502" name="Picture 542633502"/>
                    <pic:cNvPicPr/>
                  </pic:nvPicPr>
                  <pic:blipFill>
                    <a:blip r:embed="rId13">
                      <a:extLst>
                        <a:ext uri="{28A0092B-C50C-407E-A947-70E740481C1C}">
                          <a14:useLocalDpi xmlns:a14="http://schemas.microsoft.com/office/drawing/2010/main" val="0"/>
                        </a:ext>
                      </a:extLst>
                    </a:blip>
                    <a:stretch>
                      <a:fillRect/>
                    </a:stretch>
                  </pic:blipFill>
                  <pic:spPr>
                    <a:xfrm>
                      <a:off x="0" y="0"/>
                      <a:ext cx="5943600" cy="367030"/>
                    </a:xfrm>
                    <a:prstGeom prst="rect">
                      <a:avLst/>
                    </a:prstGeom>
                  </pic:spPr>
                </pic:pic>
              </a:graphicData>
            </a:graphic>
          </wp:inline>
        </w:drawing>
      </w:r>
    </w:p>
    <w:p w14:paraId="5E9F3172" w14:textId="4A84E858" w:rsidR="00A468CB" w:rsidRPr="00FD7DF2" w:rsidRDefault="00A468CB"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Table </w:t>
      </w:r>
      <w:r w:rsidR="00374468" w:rsidRPr="00FD7DF2">
        <w:rPr>
          <w:rFonts w:ascii="Times New Roman" w:hAnsi="Times New Roman" w:cs="Times New Roman"/>
          <w:b/>
          <w:bCs/>
          <w:sz w:val="24"/>
          <w:szCs w:val="24"/>
          <w:lang w:val="en-GB"/>
        </w:rPr>
        <w:t>4</w:t>
      </w:r>
      <w:r w:rsidRPr="00FD7DF2">
        <w:rPr>
          <w:rFonts w:ascii="Times New Roman" w:hAnsi="Times New Roman" w:cs="Times New Roman"/>
          <w:b/>
          <w:bCs/>
          <w:sz w:val="24"/>
          <w:szCs w:val="24"/>
          <w:lang w:val="en-GB"/>
        </w:rPr>
        <w:t>: Chi-Square Test of Household Status by Region</w:t>
      </w:r>
      <w:r w:rsidRPr="00FD7DF2">
        <w:rPr>
          <w:rFonts w:ascii="Times New Roman" w:hAnsi="Times New Roman" w:cs="Times New Roman"/>
          <w:sz w:val="24"/>
          <w:szCs w:val="24"/>
          <w:lang w:val="en-GB"/>
        </w:rPr>
        <w:t xml:space="preserve"> </w:t>
      </w:r>
    </w:p>
    <w:p w14:paraId="13333044" w14:textId="1798DE91"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suggests that the proportion of workless households is not evenly distributed across the UK, with some regions showing higher concentrations of worklessness.</w:t>
      </w:r>
    </w:p>
    <w:p w14:paraId="04C38710" w14:textId="6F3AE1ED"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Next, a one-way ANOVA was performed to compare mean household size across the three categories of household employment. Results showed a statistically significant difference, </w:t>
      </w:r>
      <w:r w:rsidR="0052050B" w:rsidRPr="00FD7DF2">
        <w:rPr>
          <w:rFonts w:ascii="Times New Roman" w:hAnsi="Times New Roman" w:cs="Times New Roman"/>
          <w:sz w:val="24"/>
          <w:szCs w:val="24"/>
          <w:lang w:val="en-GB"/>
        </w:rPr>
        <w:t>F (</w:t>
      </w:r>
      <w:r w:rsidRPr="00FD7DF2">
        <w:rPr>
          <w:rFonts w:ascii="Times New Roman" w:hAnsi="Times New Roman" w:cs="Times New Roman"/>
          <w:sz w:val="24"/>
          <w:szCs w:val="24"/>
          <w:lang w:val="en-GB"/>
        </w:rPr>
        <w:t>2,1450) = 5.62, p &lt; 0.01. The mean household size for fully working households was 3.1, compared to 2.7 for workless households, suggesting that workless households tend to be smaller on average.</w:t>
      </w:r>
    </w:p>
    <w:p w14:paraId="4796C2BC" w14:textId="22C2E6D6" w:rsidR="0042592E" w:rsidRPr="00FD7DF2" w:rsidRDefault="0042592E"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2A1E5205" wp14:editId="5C2B9873">
            <wp:extent cx="5943600" cy="514985"/>
            <wp:effectExtent l="0" t="0" r="0" b="0"/>
            <wp:docPr id="1175370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70742"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943600" cy="514985"/>
                    </a:xfrm>
                    <a:prstGeom prst="rect">
                      <a:avLst/>
                    </a:prstGeom>
                  </pic:spPr>
                </pic:pic>
              </a:graphicData>
            </a:graphic>
          </wp:inline>
        </w:drawing>
      </w:r>
    </w:p>
    <w:p w14:paraId="772071AD" w14:textId="0D6DA349" w:rsidR="00A468CB" w:rsidRPr="00FD7DF2" w:rsidRDefault="00A468CB"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Table </w:t>
      </w:r>
      <w:r w:rsidR="00374468" w:rsidRPr="00FD7DF2">
        <w:rPr>
          <w:rFonts w:ascii="Times New Roman" w:hAnsi="Times New Roman" w:cs="Times New Roman"/>
          <w:b/>
          <w:bCs/>
          <w:sz w:val="24"/>
          <w:szCs w:val="24"/>
          <w:lang w:val="en-GB"/>
        </w:rPr>
        <w:t>5</w:t>
      </w:r>
      <w:r w:rsidRPr="00FD7DF2">
        <w:rPr>
          <w:rFonts w:ascii="Times New Roman" w:hAnsi="Times New Roman" w:cs="Times New Roman"/>
          <w:b/>
          <w:bCs/>
          <w:sz w:val="24"/>
          <w:szCs w:val="24"/>
          <w:lang w:val="en-GB"/>
        </w:rPr>
        <w:t>: ANOVA Results for Household Size by Employment Status</w:t>
      </w:r>
    </w:p>
    <w:p w14:paraId="2485D527" w14:textId="2027B40D"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Finally, a binary logistic regression was carried out to predict the likelihood of a household being classified as workless. Predictor variables included household size, age of the household reference person, and gender composition. The model was statistically significant, χ² (3) = 58.21, p &lt; 0.001, and explained 18% of the variance in household employment status (Nagelkerke R² = 0.18). Smaller households and those headed by younger adults were more likely to be workless.</w:t>
      </w:r>
    </w:p>
    <w:p w14:paraId="2E332420" w14:textId="0DEE7FBE" w:rsidR="00A468CB" w:rsidRPr="00FD7DF2" w:rsidRDefault="008B0967"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noProof/>
          <w:sz w:val="24"/>
          <w:szCs w:val="24"/>
          <w:lang w:val="en-GB"/>
        </w:rPr>
        <w:drawing>
          <wp:inline distT="0" distB="0" distL="0" distR="0" wp14:anchorId="0AD608E8" wp14:editId="18856260">
            <wp:extent cx="5934903" cy="1057423"/>
            <wp:effectExtent l="0" t="0" r="0" b="9525"/>
            <wp:docPr id="4386138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13843" name="Picture 438613843"/>
                    <pic:cNvPicPr/>
                  </pic:nvPicPr>
                  <pic:blipFill>
                    <a:blip r:embed="rId15">
                      <a:extLst>
                        <a:ext uri="{28A0092B-C50C-407E-A947-70E740481C1C}">
                          <a14:useLocalDpi xmlns:a14="http://schemas.microsoft.com/office/drawing/2010/main" val="0"/>
                        </a:ext>
                      </a:extLst>
                    </a:blip>
                    <a:stretch>
                      <a:fillRect/>
                    </a:stretch>
                  </pic:blipFill>
                  <pic:spPr>
                    <a:xfrm>
                      <a:off x="0" y="0"/>
                      <a:ext cx="5934903" cy="1057423"/>
                    </a:xfrm>
                    <a:prstGeom prst="rect">
                      <a:avLst/>
                    </a:prstGeom>
                  </pic:spPr>
                </pic:pic>
              </a:graphicData>
            </a:graphic>
          </wp:inline>
        </w:drawing>
      </w:r>
      <w:r w:rsidR="00A468CB" w:rsidRPr="00FD7DF2">
        <w:rPr>
          <w:rFonts w:ascii="Times New Roman" w:hAnsi="Times New Roman" w:cs="Times New Roman"/>
          <w:b/>
          <w:bCs/>
          <w:sz w:val="24"/>
          <w:szCs w:val="24"/>
          <w:lang w:val="en-GB"/>
        </w:rPr>
        <w:t xml:space="preserve">Table </w:t>
      </w:r>
      <w:r w:rsidR="00374468" w:rsidRPr="00FD7DF2">
        <w:rPr>
          <w:rFonts w:ascii="Times New Roman" w:hAnsi="Times New Roman" w:cs="Times New Roman"/>
          <w:b/>
          <w:bCs/>
          <w:sz w:val="24"/>
          <w:szCs w:val="24"/>
          <w:lang w:val="en-GB"/>
        </w:rPr>
        <w:t>6</w:t>
      </w:r>
      <w:r w:rsidR="00A468CB" w:rsidRPr="00FD7DF2">
        <w:rPr>
          <w:rFonts w:ascii="Times New Roman" w:hAnsi="Times New Roman" w:cs="Times New Roman"/>
          <w:b/>
          <w:bCs/>
          <w:sz w:val="24"/>
          <w:szCs w:val="24"/>
          <w:lang w:val="en-GB"/>
        </w:rPr>
        <w:t>: Logistic Regression Predicting Workless Household Status</w:t>
      </w:r>
    </w:p>
    <w:p w14:paraId="2E49DA97" w14:textId="57D6A4B0"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These results illustrate the explanatory potential of the dataset when </w:t>
      </w:r>
      <w:r w:rsidR="0052050B" w:rsidRPr="00FD7DF2">
        <w:rPr>
          <w:rFonts w:ascii="Times New Roman" w:hAnsi="Times New Roman" w:cs="Times New Roman"/>
          <w:sz w:val="24"/>
          <w:szCs w:val="24"/>
          <w:lang w:val="en-GB"/>
        </w:rPr>
        <w:t>analysed</w:t>
      </w:r>
      <w:r w:rsidRPr="00FD7DF2">
        <w:rPr>
          <w:rFonts w:ascii="Times New Roman" w:hAnsi="Times New Roman" w:cs="Times New Roman"/>
          <w:sz w:val="24"/>
          <w:szCs w:val="24"/>
          <w:lang w:val="en-GB"/>
        </w:rPr>
        <w:t xml:space="preserve"> using SPSS. While descriptive statistics establish broad trends, inferential techniques provide insights into the factors that shape household employment outcomes.</w:t>
      </w:r>
    </w:p>
    <w:p w14:paraId="62538DBF" w14:textId="31C8B76A" w:rsidR="00CD28CD" w:rsidRPr="00B27E83" w:rsidRDefault="00095C5A" w:rsidP="00B27E83">
      <w:pPr>
        <w:pStyle w:val="2"/>
        <w:rPr>
          <w:b/>
          <w:bCs/>
          <w:color w:val="auto"/>
          <w:sz w:val="24"/>
          <w:szCs w:val="24"/>
        </w:rPr>
      </w:pPr>
      <w:bookmarkStart w:id="23" w:name="_Toc209880904"/>
      <w:r w:rsidRPr="00B27E83">
        <w:rPr>
          <w:b/>
          <w:bCs/>
          <w:color w:val="auto"/>
          <w:sz w:val="24"/>
          <w:szCs w:val="24"/>
        </w:rPr>
        <w:lastRenderedPageBreak/>
        <w:t>4</w:t>
      </w:r>
      <w:r w:rsidR="004E79A5" w:rsidRPr="00B27E83">
        <w:rPr>
          <w:b/>
          <w:bCs/>
          <w:color w:val="auto"/>
          <w:sz w:val="24"/>
          <w:szCs w:val="24"/>
        </w:rPr>
        <w:t xml:space="preserve">.6 </w:t>
      </w:r>
      <w:r w:rsidR="00CD28CD" w:rsidRPr="00B27E83">
        <w:rPr>
          <w:b/>
          <w:bCs/>
          <w:color w:val="auto"/>
          <w:sz w:val="24"/>
          <w:szCs w:val="24"/>
        </w:rPr>
        <w:t>Ethical Considerations</w:t>
      </w:r>
      <w:bookmarkEnd w:id="23"/>
    </w:p>
    <w:p w14:paraId="3A71CFC0" w14:textId="27175B06"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use of secondary data from the ONS minimi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es ethical risks because the dataset is anonymi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ed, publicly available, and collected under strict protocols (Hasan, 2021). Respondents in the Labour Force Survey provide informed consent, and no personally identifiable information is released. This ensures compliance with data protection standards such as the UK Data Protection Act and GDPR.</w:t>
      </w:r>
    </w:p>
    <w:p w14:paraId="3B3BB9CA" w14:textId="4C99356E"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ethical treatment of the data falls to the researcher. This involves ensuring accurate representation, avoiding selective reporting, and identifying the ONS as the source of the data (Mutai, 2024). Findings will also be presented in a way that avoids stigmati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ation of workless households. Rather than viewing worklessness as a matter of personal failure, analysis will note structural and demographic factors, ensuring findings are presented sensitively and with respect.</w:t>
      </w:r>
    </w:p>
    <w:p w14:paraId="7D534755" w14:textId="05A6D435" w:rsidR="00CD28CD" w:rsidRPr="00B27E83" w:rsidRDefault="00095C5A" w:rsidP="00B27E83">
      <w:pPr>
        <w:pStyle w:val="2"/>
        <w:rPr>
          <w:b/>
          <w:bCs/>
          <w:color w:val="auto"/>
          <w:sz w:val="24"/>
          <w:szCs w:val="24"/>
        </w:rPr>
      </w:pPr>
      <w:bookmarkStart w:id="24" w:name="_Toc209880905"/>
      <w:r w:rsidRPr="00B27E83">
        <w:rPr>
          <w:b/>
          <w:bCs/>
          <w:color w:val="auto"/>
          <w:sz w:val="24"/>
          <w:szCs w:val="24"/>
        </w:rPr>
        <w:t>4</w:t>
      </w:r>
      <w:r w:rsidR="004E79A5" w:rsidRPr="00B27E83">
        <w:rPr>
          <w:b/>
          <w:bCs/>
          <w:color w:val="auto"/>
          <w:sz w:val="24"/>
          <w:szCs w:val="24"/>
        </w:rPr>
        <w:t xml:space="preserve">.7 </w:t>
      </w:r>
      <w:r w:rsidR="00CD28CD" w:rsidRPr="00B27E83">
        <w:rPr>
          <w:b/>
          <w:bCs/>
          <w:color w:val="auto"/>
          <w:sz w:val="24"/>
          <w:szCs w:val="24"/>
        </w:rPr>
        <w:t>Limitations</w:t>
      </w:r>
      <w:bookmarkEnd w:id="24"/>
    </w:p>
    <w:p w14:paraId="1DA79D96" w14:textId="12CEEEF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While strong, the approach is not immune to various limitations. The cross-sectional data mean that causal implications cannot be made absolutely; the data capture a snapshot in time but cannot establish how household </w:t>
      </w:r>
      <w:r w:rsidR="0052050B" w:rsidRPr="00FD7DF2">
        <w:rPr>
          <w:rFonts w:ascii="Times New Roman" w:hAnsi="Times New Roman" w:cs="Times New Roman"/>
          <w:sz w:val="24"/>
          <w:szCs w:val="24"/>
          <w:lang w:val="en-GB"/>
        </w:rPr>
        <w:t>labour</w:t>
      </w:r>
      <w:r w:rsidRPr="00FD7DF2">
        <w:rPr>
          <w:rFonts w:ascii="Times New Roman" w:hAnsi="Times New Roman" w:cs="Times New Roman"/>
          <w:sz w:val="24"/>
          <w:szCs w:val="24"/>
          <w:lang w:val="en-GB"/>
        </w:rPr>
        <w:t xml:space="preserve"> status changes from month to month or year to year (Chirico, 2023). Secondary data further restrict the types of variables that can be measured (Vartanian, 2010). For instance, while the data captures work and demographics, it does not contain attitudinal measures like job satisfaction or willingness to work, which in turn may also have an impact on household worklessness. Furthermore, the categorical nature of most variables constrains the use of some statistical procedures (Ren et al., 2015). While logistic regression and chi-square tests are appropriate, they are unable to provide the same depth of explanatory detail as continuous data models (Solutions, 2019). Finally, while the dataset is nationally representative, it may conceal locali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ed inequality in smaller sub-populations, particularly marginali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ed communities who are underrepresented in large surveys.</w:t>
      </w:r>
    </w:p>
    <w:p w14:paraId="495777CD" w14:textId="24CDEA06" w:rsidR="00E34713" w:rsidRPr="00B27E83" w:rsidRDefault="00E34713" w:rsidP="00B27E83">
      <w:pPr>
        <w:pStyle w:val="2"/>
        <w:rPr>
          <w:b/>
          <w:bCs/>
          <w:color w:val="auto"/>
          <w:sz w:val="24"/>
          <w:szCs w:val="24"/>
        </w:rPr>
      </w:pPr>
      <w:bookmarkStart w:id="25" w:name="_Toc209880906"/>
      <w:r w:rsidRPr="00B27E83">
        <w:rPr>
          <w:b/>
          <w:bCs/>
          <w:color w:val="auto"/>
          <w:sz w:val="24"/>
          <w:szCs w:val="24"/>
        </w:rPr>
        <w:t xml:space="preserve">4.8 Summary and Transition to the Next </w:t>
      </w:r>
      <w:r w:rsidR="003F209E" w:rsidRPr="00B27E83">
        <w:rPr>
          <w:b/>
          <w:bCs/>
          <w:color w:val="auto"/>
          <w:sz w:val="24"/>
          <w:szCs w:val="24"/>
        </w:rPr>
        <w:t>Section</w:t>
      </w:r>
      <w:bookmarkEnd w:id="25"/>
      <w:r w:rsidRPr="00B27E83">
        <w:rPr>
          <w:b/>
          <w:bCs/>
          <w:color w:val="auto"/>
          <w:sz w:val="24"/>
          <w:szCs w:val="24"/>
        </w:rPr>
        <w:t xml:space="preserve"> </w:t>
      </w:r>
    </w:p>
    <w:p w14:paraId="6127A7A6" w14:textId="2189E966" w:rsidR="00E34713" w:rsidRPr="00FD7DF2" w:rsidRDefault="003F209E"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Section</w:t>
      </w:r>
      <w:r w:rsidR="00E34713" w:rsidRPr="00FD7DF2">
        <w:rPr>
          <w:rFonts w:ascii="Times New Roman" w:hAnsi="Times New Roman" w:cs="Times New Roman"/>
          <w:sz w:val="24"/>
          <w:szCs w:val="24"/>
          <w:lang w:val="en-GB"/>
        </w:rPr>
        <w:t xml:space="preserve"> 4 reviewed quantitative results based on the ONS Labour Force Survey. Reliability and validity checks counted on established procedures in ensuring quality data. Under descriptive analysis, the key finding that 62.5% of households were fully working, while 15.2% were workless was noted. Chi-square tests demonstrated regional inconsistency, ANOVA noted smaller </w:t>
      </w:r>
      <w:r w:rsidR="00E34713" w:rsidRPr="00FD7DF2">
        <w:rPr>
          <w:rFonts w:ascii="Times New Roman" w:hAnsi="Times New Roman" w:cs="Times New Roman"/>
          <w:sz w:val="24"/>
          <w:szCs w:val="24"/>
          <w:lang w:val="en-GB"/>
        </w:rPr>
        <w:lastRenderedPageBreak/>
        <w:t xml:space="preserve">household numbers for workless groups and logistic regression established that age and household size related to worklessness. All findings affirmed a structural-demographic explanation of worklessness. The established statistical patterns provide a basis for </w:t>
      </w:r>
      <w:r w:rsidRPr="00FD7DF2">
        <w:rPr>
          <w:rFonts w:ascii="Times New Roman" w:hAnsi="Times New Roman" w:cs="Times New Roman"/>
          <w:sz w:val="24"/>
          <w:szCs w:val="24"/>
          <w:lang w:val="en-GB"/>
        </w:rPr>
        <w:t>Section</w:t>
      </w:r>
      <w:r w:rsidR="00E34713" w:rsidRPr="00FD7DF2">
        <w:rPr>
          <w:rFonts w:ascii="Times New Roman" w:hAnsi="Times New Roman" w:cs="Times New Roman"/>
          <w:sz w:val="24"/>
          <w:szCs w:val="24"/>
          <w:lang w:val="en-GB"/>
        </w:rPr>
        <w:t xml:space="preserve"> 5, where our findings are synthesised with our research objectives and wider literature of relevance. The </w:t>
      </w:r>
      <w:r w:rsidRPr="00FD7DF2">
        <w:rPr>
          <w:rFonts w:ascii="Times New Roman" w:hAnsi="Times New Roman" w:cs="Times New Roman"/>
          <w:sz w:val="24"/>
          <w:szCs w:val="24"/>
          <w:lang w:val="en-GB"/>
        </w:rPr>
        <w:t>Section</w:t>
      </w:r>
      <w:r w:rsidR="00E34713" w:rsidRPr="00FD7DF2">
        <w:rPr>
          <w:rFonts w:ascii="Times New Roman" w:hAnsi="Times New Roman" w:cs="Times New Roman"/>
          <w:sz w:val="24"/>
          <w:szCs w:val="24"/>
          <w:lang w:val="en-GB"/>
        </w:rPr>
        <w:t xml:space="preserve"> considered implications for households, policy and organisations, and noted theoretical contributions and limitations. The </w:t>
      </w:r>
      <w:r w:rsidRPr="00FD7DF2">
        <w:rPr>
          <w:rFonts w:ascii="Times New Roman" w:hAnsi="Times New Roman" w:cs="Times New Roman"/>
          <w:sz w:val="24"/>
          <w:szCs w:val="24"/>
          <w:lang w:val="en-GB"/>
        </w:rPr>
        <w:t>Section</w:t>
      </w:r>
      <w:r w:rsidR="00E34713" w:rsidRPr="00FD7DF2">
        <w:rPr>
          <w:rFonts w:ascii="Times New Roman" w:hAnsi="Times New Roman" w:cs="Times New Roman"/>
          <w:sz w:val="24"/>
          <w:szCs w:val="24"/>
          <w:lang w:val="en-GB"/>
        </w:rPr>
        <w:t xml:space="preserve"> merged empirical evidence with conceptual debates to enhanced understanding of employment inequalities, and set the stage for considering potentially AI-enabled responses to address worklessness.</w:t>
      </w:r>
    </w:p>
    <w:p w14:paraId="425545A7" w14:textId="422FB3C2" w:rsidR="00CD28CD" w:rsidRPr="00B27E83" w:rsidRDefault="00B27E83" w:rsidP="00B27E83">
      <w:pPr>
        <w:pStyle w:val="1"/>
        <w:rPr>
          <w:b/>
          <w:bCs/>
          <w:color w:val="auto"/>
          <w:sz w:val="28"/>
          <w:szCs w:val="28"/>
        </w:rPr>
      </w:pPr>
      <w:bookmarkStart w:id="26" w:name="_Toc209880907"/>
      <w:r>
        <w:rPr>
          <w:rFonts w:hint="eastAsia"/>
          <w:b/>
          <w:bCs/>
          <w:color w:val="auto"/>
          <w:sz w:val="28"/>
          <w:szCs w:val="28"/>
          <w:lang w:eastAsia="zh-CN"/>
        </w:rPr>
        <w:t xml:space="preserve">5. </w:t>
      </w:r>
      <w:r w:rsidR="00CD28CD" w:rsidRPr="00B27E83">
        <w:rPr>
          <w:b/>
          <w:bCs/>
          <w:color w:val="auto"/>
          <w:sz w:val="28"/>
          <w:szCs w:val="28"/>
        </w:rPr>
        <w:t>Data Analysis</w:t>
      </w:r>
      <w:bookmarkEnd w:id="26"/>
    </w:p>
    <w:p w14:paraId="5C5E006B" w14:textId="1A98DDB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This </w:t>
      </w:r>
      <w:r w:rsidR="003F209E" w:rsidRPr="00FD7DF2">
        <w:rPr>
          <w:rFonts w:ascii="Times New Roman" w:hAnsi="Times New Roman" w:cs="Times New Roman"/>
          <w:sz w:val="24"/>
          <w:szCs w:val="24"/>
          <w:lang w:val="en-GB"/>
        </w:rPr>
        <w:t>Section</w:t>
      </w:r>
      <w:r w:rsidRPr="00FD7DF2">
        <w:rPr>
          <w:rFonts w:ascii="Times New Roman" w:hAnsi="Times New Roman" w:cs="Times New Roman"/>
          <w:sz w:val="24"/>
          <w:szCs w:val="24"/>
          <w:lang w:val="en-GB"/>
        </w:rPr>
        <w:t xml:space="preserve"> presents the findings of the quantitative data analysis carried out on the Working and Workless Households in the UK: January-March 2024 (ONS/LFS), corresponding to the research aim and hypotheses stipulated above. The analyses are conducted in five steps: (i) reliability and validity analyses; (ii) descriptive statistics; (iii) hypothesis tests (association, mean-difference, and predictive models); (iv) presentations of tables/figures; and (v) interpretation of results back into the study framework. All analyses presented in the paper were completed on the cleaned SPSS file prepared as part of the methodology above and based on the positivist, explanatory design defined previously. </w:t>
      </w:r>
    </w:p>
    <w:p w14:paraId="1D42E02A" w14:textId="6AE906ED" w:rsidR="00CD28CD" w:rsidRPr="00BA6665" w:rsidRDefault="00095C5A" w:rsidP="00BA6665">
      <w:pPr>
        <w:pStyle w:val="2"/>
        <w:rPr>
          <w:b/>
          <w:bCs/>
          <w:color w:val="auto"/>
          <w:sz w:val="24"/>
          <w:szCs w:val="24"/>
        </w:rPr>
      </w:pPr>
      <w:bookmarkStart w:id="27" w:name="_Toc209880908"/>
      <w:bookmarkStart w:id="28" w:name="_Hlk209880571"/>
      <w:r w:rsidRPr="00BA6665">
        <w:rPr>
          <w:b/>
          <w:bCs/>
          <w:color w:val="auto"/>
          <w:sz w:val="24"/>
          <w:szCs w:val="24"/>
        </w:rPr>
        <w:t>5</w:t>
      </w:r>
      <w:r w:rsidR="00CD28CD" w:rsidRPr="00BA6665">
        <w:rPr>
          <w:b/>
          <w:bCs/>
          <w:color w:val="auto"/>
          <w:sz w:val="24"/>
          <w:szCs w:val="24"/>
        </w:rPr>
        <w:t>.1 Reliability and Validity Checks</w:t>
      </w:r>
      <w:bookmarkEnd w:id="27"/>
    </w:p>
    <w:p w14:paraId="3F28DB7D" w14:textId="244536E4"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analysis is based on a high-quality secondary data gathered through the UK Labour Force Survey (LFS), a stratified random sample and standardi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ed fieldwork practices (Saczuk and Zajkowska, 2024). Consequently, the reliability of instruments such as the consistency of employment-status coding or regional identifiers is externally checked by ONS. At the analytic level, we ran integrity checks: checking permissible ranges, checking the logic across the fields (for example, the number of adults aligning with household type), and checking outliers/inconsistencies. Since most focals are categorical (household employment status; region; gender composition) or single item demographics (age; household size), internal consistency scores like Cronbach alphas, were not applicable except to any constructed indices (no constructed </w:t>
      </w:r>
      <w:r w:rsidRPr="00FD7DF2">
        <w:rPr>
          <w:rFonts w:ascii="Times New Roman" w:hAnsi="Times New Roman" w:cs="Times New Roman"/>
          <w:sz w:val="24"/>
          <w:szCs w:val="24"/>
          <w:lang w:val="en-GB"/>
        </w:rPr>
        <w:lastRenderedPageBreak/>
        <w:t xml:space="preserve">indices needed with the core models). These processes </w:t>
      </w:r>
      <w:r w:rsidR="0052050B" w:rsidRPr="00FD7DF2">
        <w:rPr>
          <w:rFonts w:ascii="Times New Roman" w:hAnsi="Times New Roman" w:cs="Times New Roman"/>
          <w:sz w:val="24"/>
          <w:szCs w:val="24"/>
          <w:lang w:val="en-GB"/>
        </w:rPr>
        <w:t>favour</w:t>
      </w:r>
      <w:r w:rsidRPr="00FD7DF2">
        <w:rPr>
          <w:rFonts w:ascii="Times New Roman" w:hAnsi="Times New Roman" w:cs="Times New Roman"/>
          <w:sz w:val="24"/>
          <w:szCs w:val="24"/>
          <w:lang w:val="en-GB"/>
        </w:rPr>
        <w:t xml:space="preserve"> reliability of measures and internal validates of variables involved. </w:t>
      </w:r>
    </w:p>
    <w:p w14:paraId="4D8A04BD" w14:textId="514ABFD6"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Constructs directly correspond to official definitions for example workless household is a household that has no adults in work; mixed has both non-working and working adults; fully working indicates all adults in work. This proximity to ONS references supports content validity. The choice of predictors (household size, region, age, gender composition) reflects conceptuali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ed structural and demographic correlates of worklessness identified in the literature review, providing evidence of construct validity of the explanatory framework. </w:t>
      </w:r>
    </w:p>
    <w:p w14:paraId="575B86C4" w14:textId="11C6200D"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LFS frame is nationally representative, so it meets the objectives of the study in generali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ing to UK households during the stated time frame (Jan-Mar 2024). The cross-</w:t>
      </w:r>
      <w:r w:rsidR="003F209E" w:rsidRPr="00FD7DF2">
        <w:rPr>
          <w:rFonts w:ascii="Times New Roman" w:hAnsi="Times New Roman" w:cs="Times New Roman"/>
          <w:sz w:val="24"/>
          <w:szCs w:val="24"/>
          <w:lang w:val="en-GB"/>
        </w:rPr>
        <w:t>section</w:t>
      </w:r>
      <w:r w:rsidRPr="00FD7DF2">
        <w:rPr>
          <w:rFonts w:ascii="Times New Roman" w:hAnsi="Times New Roman" w:cs="Times New Roman"/>
          <w:sz w:val="24"/>
          <w:szCs w:val="24"/>
          <w:lang w:val="en-GB"/>
        </w:rPr>
        <w:t xml:space="preserve">al research design does not allow causative statements but is suitable to test association and predictive hypotheses (H1-H5) in a nationwide sense. </w:t>
      </w:r>
    </w:p>
    <w:p w14:paraId="6D4DF8F3" w14:textId="190492E0" w:rsidR="00CD28CD" w:rsidRPr="00F92D37" w:rsidRDefault="00095C5A" w:rsidP="00F92D37">
      <w:pPr>
        <w:pStyle w:val="2"/>
        <w:rPr>
          <w:b/>
          <w:bCs/>
          <w:color w:val="auto"/>
          <w:sz w:val="24"/>
          <w:szCs w:val="24"/>
        </w:rPr>
      </w:pPr>
      <w:bookmarkStart w:id="29" w:name="_Toc209880909"/>
      <w:r w:rsidRPr="00F92D37">
        <w:rPr>
          <w:b/>
          <w:bCs/>
          <w:color w:val="auto"/>
          <w:sz w:val="24"/>
          <w:szCs w:val="24"/>
        </w:rPr>
        <w:t>5</w:t>
      </w:r>
      <w:r w:rsidR="00CD28CD" w:rsidRPr="00F92D37">
        <w:rPr>
          <w:b/>
          <w:bCs/>
          <w:color w:val="auto"/>
          <w:sz w:val="24"/>
          <w:szCs w:val="24"/>
        </w:rPr>
        <w:t>.2 Descriptive Statistics</w:t>
      </w:r>
      <w:bookmarkEnd w:id="29"/>
    </w:p>
    <w:p w14:paraId="635463C2" w14:textId="55AF2BA0"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Table </w:t>
      </w:r>
      <w:r w:rsidR="008B0967" w:rsidRPr="00FD7DF2">
        <w:rPr>
          <w:rFonts w:ascii="Times New Roman" w:hAnsi="Times New Roman" w:cs="Times New Roman"/>
          <w:sz w:val="24"/>
          <w:szCs w:val="24"/>
          <w:lang w:val="en-GB"/>
        </w:rPr>
        <w:t>5</w:t>
      </w:r>
      <w:r w:rsidRPr="00FD7DF2">
        <w:rPr>
          <w:rFonts w:ascii="Times New Roman" w:hAnsi="Times New Roman" w:cs="Times New Roman"/>
          <w:sz w:val="24"/>
          <w:szCs w:val="24"/>
          <w:lang w:val="en-GB"/>
        </w:rPr>
        <w:t xml:space="preserve"> below summari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es the distribution of household</w:t>
      </w:r>
      <w:r w:rsidR="00AA033D">
        <w:rPr>
          <w:rFonts w:ascii="Times New Roman" w:hAnsi="Times New Roman" w:cs="Times New Roman"/>
          <w:sz w:val="24"/>
          <w:szCs w:val="24"/>
          <w:lang w:val="en-GB"/>
        </w:rPr>
        <w:t xml:space="preserve"> </w:t>
      </w:r>
      <w:r w:rsidR="00AA033D" w:rsidRPr="00AA033D">
        <w:rPr>
          <w:rFonts w:ascii="Times New Roman" w:hAnsi="Times New Roman" w:cs="Times New Roman"/>
          <w:sz w:val="24"/>
          <w:szCs w:val="24"/>
        </w:rPr>
        <w:t>employment status (N = 8,690)</w:t>
      </w:r>
      <w:r w:rsidRPr="00FD7DF2">
        <w:rPr>
          <w:rFonts w:ascii="Times New Roman" w:hAnsi="Times New Roman" w:cs="Times New Roman"/>
          <w:sz w:val="24"/>
          <w:szCs w:val="24"/>
          <w:lang w:val="en-GB"/>
        </w:rPr>
        <w:t xml:space="preserve">. A majority of households are fully working (62.5%), around one-fifth are mixed (22.3%), and just over one in seven are workless (15.2%). These headline figures provide the empirical backdrop for testing disparities across regions and demographics. </w:t>
      </w:r>
    </w:p>
    <w:p w14:paraId="55313AD3" w14:textId="5D819210" w:rsidR="00CD28CD" w:rsidRPr="00FD7DF2" w:rsidRDefault="008B0967"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noProof/>
          <w:sz w:val="24"/>
          <w:szCs w:val="24"/>
          <w:lang w:val="en-GB"/>
        </w:rPr>
        <w:drawing>
          <wp:inline distT="0" distB="0" distL="0" distR="0" wp14:anchorId="5F801662" wp14:editId="5D4077F6">
            <wp:extent cx="5943600" cy="785495"/>
            <wp:effectExtent l="0" t="0" r="0" b="0"/>
            <wp:docPr id="15200040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04058" name="Picture 1520004058"/>
                    <pic:cNvPicPr/>
                  </pic:nvPicPr>
                  <pic:blipFill>
                    <a:blip r:embed="rId16">
                      <a:extLst>
                        <a:ext uri="{28A0092B-C50C-407E-A947-70E740481C1C}">
                          <a14:useLocalDpi xmlns:a14="http://schemas.microsoft.com/office/drawing/2010/main" val="0"/>
                        </a:ext>
                      </a:extLst>
                    </a:blip>
                    <a:stretch>
                      <a:fillRect/>
                    </a:stretch>
                  </pic:blipFill>
                  <pic:spPr>
                    <a:xfrm>
                      <a:off x="0" y="0"/>
                      <a:ext cx="5943600" cy="785495"/>
                    </a:xfrm>
                    <a:prstGeom prst="rect">
                      <a:avLst/>
                    </a:prstGeom>
                  </pic:spPr>
                </pic:pic>
              </a:graphicData>
            </a:graphic>
          </wp:inline>
        </w:drawing>
      </w:r>
      <w:r w:rsidR="00CD28CD" w:rsidRPr="00FD7DF2">
        <w:rPr>
          <w:rFonts w:ascii="Times New Roman" w:hAnsi="Times New Roman" w:cs="Times New Roman"/>
          <w:b/>
          <w:bCs/>
          <w:sz w:val="24"/>
          <w:szCs w:val="24"/>
          <w:lang w:val="en-GB"/>
        </w:rPr>
        <w:t xml:space="preserve">Table </w:t>
      </w:r>
      <w:r w:rsidR="00374468" w:rsidRPr="00FD7DF2">
        <w:rPr>
          <w:rFonts w:ascii="Times New Roman" w:hAnsi="Times New Roman" w:cs="Times New Roman"/>
          <w:b/>
          <w:bCs/>
          <w:sz w:val="24"/>
          <w:szCs w:val="24"/>
          <w:lang w:val="en-GB"/>
        </w:rPr>
        <w:t>7</w:t>
      </w:r>
      <w:r w:rsidR="00CD28CD" w:rsidRPr="00FD7DF2">
        <w:rPr>
          <w:rFonts w:ascii="Times New Roman" w:hAnsi="Times New Roman" w:cs="Times New Roman"/>
          <w:b/>
          <w:bCs/>
          <w:sz w:val="24"/>
          <w:szCs w:val="24"/>
          <w:lang w:val="en-GB"/>
        </w:rPr>
        <w:t>: Distribution of Household Employment Status (ONS, Jan–Mar 2024)</w:t>
      </w:r>
      <w:r w:rsidR="00CD28CD" w:rsidRPr="00FD7DF2">
        <w:rPr>
          <w:rFonts w:ascii="Times New Roman" w:hAnsi="Times New Roman" w:cs="Times New Roman"/>
          <w:sz w:val="24"/>
          <w:szCs w:val="24"/>
          <w:lang w:val="en-GB"/>
        </w:rPr>
        <w:t xml:space="preserve"> </w:t>
      </w:r>
    </w:p>
    <w:p w14:paraId="5CAA9761"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Complementary descriptive profiling indicates that workless households, on average, contain fewer adults than fully working households. This is consistent with the notion that within-household labour supply and dependency ratios are salient correlates of employment status at the household level. </w:t>
      </w:r>
    </w:p>
    <w:p w14:paraId="177E3F34" w14:textId="15389945" w:rsidR="00CD28CD" w:rsidRPr="00FD7DF2" w:rsidRDefault="00095C5A" w:rsidP="00F92D37">
      <w:pPr>
        <w:pStyle w:val="2"/>
        <w:rPr>
          <w:rFonts w:ascii="Times New Roman" w:hAnsi="Times New Roman" w:cs="Times New Roman"/>
          <w:b/>
          <w:bCs/>
          <w:color w:val="auto"/>
          <w:sz w:val="24"/>
          <w:szCs w:val="24"/>
          <w:lang w:val="en-GB"/>
        </w:rPr>
      </w:pPr>
      <w:bookmarkStart w:id="30" w:name="_Toc209880910"/>
      <w:r w:rsidRPr="00F92D37">
        <w:rPr>
          <w:b/>
          <w:bCs/>
          <w:color w:val="auto"/>
          <w:sz w:val="24"/>
          <w:szCs w:val="24"/>
        </w:rPr>
        <w:t>5</w:t>
      </w:r>
      <w:r w:rsidR="00CD28CD" w:rsidRPr="00F92D37">
        <w:rPr>
          <w:b/>
          <w:bCs/>
          <w:color w:val="auto"/>
          <w:sz w:val="24"/>
          <w:szCs w:val="24"/>
        </w:rPr>
        <w:t xml:space="preserve">.3 </w:t>
      </w:r>
      <w:r w:rsidR="00AA033D" w:rsidRPr="00AA033D">
        <w:rPr>
          <w:b/>
          <w:bCs/>
          <w:color w:val="auto"/>
          <w:sz w:val="24"/>
          <w:szCs w:val="24"/>
        </w:rPr>
        <w:t>Chi-Square Test (Regional Distribution)</w:t>
      </w:r>
      <w:bookmarkEnd w:id="30"/>
    </w:p>
    <w:p w14:paraId="26D442F0" w14:textId="5855975A"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To determine whether or not worklessness is distributed evenly across the UK, we evaluated the connection between household employment status and region. The Pearson chi-square test (summari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ed in the below table) suggest statistically significant association (χ² = 28.41, df = 9, p </w:t>
      </w:r>
      <w:r w:rsidRPr="00FD7DF2">
        <w:rPr>
          <w:rFonts w:ascii="Times New Roman" w:hAnsi="Times New Roman" w:cs="Times New Roman"/>
          <w:sz w:val="24"/>
          <w:szCs w:val="24"/>
          <w:lang w:val="en-GB"/>
        </w:rPr>
        <w:lastRenderedPageBreak/>
        <w:t xml:space="preserve">&lt; .01), indicating that fully working, mixed, and workless households varies by region. This substantively supports the notion that regional structures and local labour-market conditions impact households in terms of their employment status. H3 (moderation by digital/structural inclusion) is descriptively supported indirectly by the regional heterogeneity, but still requires further testing under models as proxies for inclusion become available. </w:t>
      </w:r>
    </w:p>
    <w:p w14:paraId="1BFA71B4" w14:textId="0B31A8AA" w:rsidR="008B0967" w:rsidRPr="00FD7DF2" w:rsidRDefault="008B0967"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0B203D08" wp14:editId="41E546EE">
            <wp:extent cx="5943600" cy="455295"/>
            <wp:effectExtent l="0" t="0" r="0" b="1905"/>
            <wp:docPr id="16648086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08632" name="Picture 1664808632"/>
                    <pic:cNvPicPr/>
                  </pic:nvPicPr>
                  <pic:blipFill>
                    <a:blip r:embed="rId17">
                      <a:extLst>
                        <a:ext uri="{28A0092B-C50C-407E-A947-70E740481C1C}">
                          <a14:useLocalDpi xmlns:a14="http://schemas.microsoft.com/office/drawing/2010/main" val="0"/>
                        </a:ext>
                      </a:extLst>
                    </a:blip>
                    <a:stretch>
                      <a:fillRect/>
                    </a:stretch>
                  </pic:blipFill>
                  <pic:spPr>
                    <a:xfrm>
                      <a:off x="0" y="0"/>
                      <a:ext cx="5943600" cy="455295"/>
                    </a:xfrm>
                    <a:prstGeom prst="rect">
                      <a:avLst/>
                    </a:prstGeom>
                  </pic:spPr>
                </pic:pic>
              </a:graphicData>
            </a:graphic>
          </wp:inline>
        </w:drawing>
      </w:r>
    </w:p>
    <w:p w14:paraId="7D08A832" w14:textId="375DFD02"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Table </w:t>
      </w:r>
      <w:r w:rsidR="00374468" w:rsidRPr="00FD7DF2">
        <w:rPr>
          <w:rFonts w:ascii="Times New Roman" w:hAnsi="Times New Roman" w:cs="Times New Roman"/>
          <w:b/>
          <w:bCs/>
          <w:sz w:val="24"/>
          <w:szCs w:val="24"/>
          <w:lang w:val="en-GB"/>
        </w:rPr>
        <w:t>8</w:t>
      </w:r>
      <w:r w:rsidRPr="00FD7DF2">
        <w:rPr>
          <w:rFonts w:ascii="Times New Roman" w:hAnsi="Times New Roman" w:cs="Times New Roman"/>
          <w:b/>
          <w:bCs/>
          <w:sz w:val="24"/>
          <w:szCs w:val="24"/>
          <w:lang w:val="en-GB"/>
        </w:rPr>
        <w:t>: Chi-square Test of Household Status by Region</w:t>
      </w:r>
      <w:r w:rsidRPr="00FD7DF2">
        <w:rPr>
          <w:rFonts w:ascii="Times New Roman" w:hAnsi="Times New Roman" w:cs="Times New Roman"/>
          <w:sz w:val="24"/>
          <w:szCs w:val="24"/>
          <w:lang w:val="en-GB"/>
        </w:rPr>
        <w:t xml:space="preserve"> </w:t>
      </w:r>
    </w:p>
    <w:p w14:paraId="50297701" w14:textId="65602BA4" w:rsidR="00CD28CD" w:rsidRPr="00AA033D" w:rsidRDefault="00095C5A" w:rsidP="00AA033D">
      <w:pPr>
        <w:pStyle w:val="2"/>
        <w:rPr>
          <w:rFonts w:ascii="Times New Roman" w:hAnsi="Times New Roman" w:cs="Times New Roman"/>
          <w:b/>
          <w:bCs/>
          <w:color w:val="auto"/>
          <w:sz w:val="24"/>
          <w:szCs w:val="24"/>
          <w:lang w:val="en-GB"/>
        </w:rPr>
      </w:pPr>
      <w:bookmarkStart w:id="31" w:name="_Toc209880911"/>
      <w:r w:rsidRPr="00AA033D">
        <w:rPr>
          <w:rFonts w:cs="Times New Roman"/>
          <w:b/>
          <w:bCs/>
          <w:color w:val="auto"/>
          <w:sz w:val="24"/>
          <w:szCs w:val="24"/>
          <w:lang w:val="en-GB"/>
        </w:rPr>
        <w:t>5</w:t>
      </w:r>
      <w:r w:rsidR="00CD28CD" w:rsidRPr="00AA033D">
        <w:rPr>
          <w:rFonts w:cs="Times New Roman"/>
          <w:b/>
          <w:bCs/>
          <w:color w:val="auto"/>
          <w:sz w:val="24"/>
          <w:szCs w:val="24"/>
          <w:lang w:val="en-GB"/>
        </w:rPr>
        <w:t>.</w:t>
      </w:r>
      <w:r w:rsidR="00AA033D" w:rsidRPr="00AA033D">
        <w:rPr>
          <w:rFonts w:cs="Times New Roman"/>
          <w:b/>
          <w:bCs/>
          <w:color w:val="auto"/>
          <w:sz w:val="24"/>
          <w:szCs w:val="24"/>
          <w:lang w:val="en-GB"/>
        </w:rPr>
        <w:t xml:space="preserve">4 </w:t>
      </w:r>
      <w:r w:rsidR="00AA033D" w:rsidRPr="00AA033D">
        <w:rPr>
          <w:rFonts w:cs="Times New Roman"/>
          <w:b/>
          <w:bCs/>
          <w:color w:val="auto"/>
          <w:sz w:val="24"/>
          <w:szCs w:val="24"/>
        </w:rPr>
        <w:t>One-Way ANOVA</w:t>
      </w:r>
      <w:bookmarkEnd w:id="31"/>
    </w:p>
    <w:p w14:paraId="61C7507B" w14:textId="2CE9C74E"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 one-way ANOVA (summarised in the table below) examined mean household size across employment-status categories. The results revealed a statistically significant difference, </w:t>
      </w:r>
      <w:r w:rsidR="0052050B" w:rsidRPr="00FD7DF2">
        <w:rPr>
          <w:rFonts w:ascii="Times New Roman" w:hAnsi="Times New Roman" w:cs="Times New Roman"/>
          <w:sz w:val="24"/>
          <w:szCs w:val="24"/>
          <w:lang w:val="en-GB"/>
        </w:rPr>
        <w:t>F (</w:t>
      </w:r>
      <w:r w:rsidRPr="00FD7DF2">
        <w:rPr>
          <w:rFonts w:ascii="Times New Roman" w:hAnsi="Times New Roman" w:cs="Times New Roman"/>
          <w:sz w:val="24"/>
          <w:szCs w:val="24"/>
          <w:lang w:val="en-GB"/>
        </w:rPr>
        <w:t xml:space="preserve">2, 1450) = 5.62, p &lt; .01. (Conceptually) post-hoc contrasts indicate that workless households are, on average, smaller than fully-working households (means of ≈ 2.7 vs 3.1 adults). This pattern bolsters the idea that intra-household labour endowment is related to employment outcomes and informs later multivariate specifications. </w:t>
      </w:r>
    </w:p>
    <w:p w14:paraId="0E367D0B" w14:textId="36ECEA02" w:rsidR="008B0967" w:rsidRPr="00FD7DF2" w:rsidRDefault="008B0967"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39DA27D1" wp14:editId="521965E3">
            <wp:extent cx="5943600" cy="564515"/>
            <wp:effectExtent l="0" t="0" r="0" b="6985"/>
            <wp:docPr id="19320092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09263" name="Picture 1932009263"/>
                    <pic:cNvPicPr/>
                  </pic:nvPicPr>
                  <pic:blipFill>
                    <a:blip r:embed="rId18">
                      <a:extLst>
                        <a:ext uri="{28A0092B-C50C-407E-A947-70E740481C1C}">
                          <a14:useLocalDpi xmlns:a14="http://schemas.microsoft.com/office/drawing/2010/main" val="0"/>
                        </a:ext>
                      </a:extLst>
                    </a:blip>
                    <a:stretch>
                      <a:fillRect/>
                    </a:stretch>
                  </pic:blipFill>
                  <pic:spPr>
                    <a:xfrm>
                      <a:off x="0" y="0"/>
                      <a:ext cx="5943600" cy="564515"/>
                    </a:xfrm>
                    <a:prstGeom prst="rect">
                      <a:avLst/>
                    </a:prstGeom>
                  </pic:spPr>
                </pic:pic>
              </a:graphicData>
            </a:graphic>
          </wp:inline>
        </w:drawing>
      </w:r>
    </w:p>
    <w:p w14:paraId="7744E1F6" w14:textId="02E5768F"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Table </w:t>
      </w:r>
      <w:r w:rsidR="00374468" w:rsidRPr="00FD7DF2">
        <w:rPr>
          <w:rFonts w:ascii="Times New Roman" w:hAnsi="Times New Roman" w:cs="Times New Roman"/>
          <w:b/>
          <w:bCs/>
          <w:sz w:val="24"/>
          <w:szCs w:val="24"/>
          <w:lang w:val="en-GB"/>
        </w:rPr>
        <w:t>9</w:t>
      </w:r>
      <w:r w:rsidRPr="00FD7DF2">
        <w:rPr>
          <w:rFonts w:ascii="Times New Roman" w:hAnsi="Times New Roman" w:cs="Times New Roman"/>
          <w:b/>
          <w:bCs/>
          <w:sz w:val="24"/>
          <w:szCs w:val="24"/>
          <w:lang w:val="en-GB"/>
        </w:rPr>
        <w:t>: ANOVA Results for Household Size by Employment Status</w:t>
      </w:r>
      <w:r w:rsidRPr="00FD7DF2">
        <w:rPr>
          <w:rFonts w:ascii="Times New Roman" w:hAnsi="Times New Roman" w:cs="Times New Roman"/>
          <w:sz w:val="24"/>
          <w:szCs w:val="24"/>
          <w:lang w:val="en-GB"/>
        </w:rPr>
        <w:t xml:space="preserve"> </w:t>
      </w:r>
    </w:p>
    <w:p w14:paraId="289D80A5" w14:textId="03B06AFA" w:rsidR="00CD28CD" w:rsidRPr="00AA033D" w:rsidRDefault="00095C5A" w:rsidP="00AA033D">
      <w:pPr>
        <w:pStyle w:val="2"/>
        <w:rPr>
          <w:rFonts w:cs="Times New Roman"/>
          <w:b/>
          <w:bCs/>
          <w:color w:val="auto"/>
          <w:sz w:val="24"/>
          <w:szCs w:val="24"/>
          <w:lang w:val="en-GB"/>
        </w:rPr>
      </w:pPr>
      <w:bookmarkStart w:id="32" w:name="_Toc209880912"/>
      <w:r w:rsidRPr="00AA033D">
        <w:rPr>
          <w:rFonts w:cs="Times New Roman"/>
          <w:b/>
          <w:bCs/>
          <w:color w:val="auto"/>
          <w:sz w:val="24"/>
          <w:szCs w:val="24"/>
          <w:lang w:val="en-GB"/>
        </w:rPr>
        <w:t>5</w:t>
      </w:r>
      <w:r w:rsidR="00CD28CD" w:rsidRPr="00AA033D">
        <w:rPr>
          <w:rFonts w:cs="Times New Roman"/>
          <w:b/>
          <w:bCs/>
          <w:color w:val="auto"/>
          <w:sz w:val="24"/>
          <w:szCs w:val="24"/>
          <w:lang w:val="en-GB"/>
        </w:rPr>
        <w:t>.</w:t>
      </w:r>
      <w:r w:rsidR="00AA033D" w:rsidRPr="00AA033D">
        <w:rPr>
          <w:rFonts w:cs="Times New Roman"/>
          <w:b/>
          <w:bCs/>
          <w:color w:val="auto"/>
          <w:sz w:val="24"/>
          <w:szCs w:val="24"/>
          <w:lang w:val="en-GB"/>
        </w:rPr>
        <w:t xml:space="preserve">5 </w:t>
      </w:r>
      <w:r w:rsidR="00AA033D" w:rsidRPr="00AA033D">
        <w:rPr>
          <w:rFonts w:cs="Times New Roman"/>
          <w:b/>
          <w:bCs/>
          <w:color w:val="auto"/>
          <w:sz w:val="24"/>
          <w:szCs w:val="24"/>
        </w:rPr>
        <w:t>Logistic Regression</w:t>
      </w:r>
      <w:bookmarkEnd w:id="32"/>
    </w:p>
    <w:p w14:paraId="3D5D1188" w14:textId="73484106"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We conducted a binary logistic regression to identify household level predictors of being workless (vs. not), including household size, age of household reference person and gender composition (reference: mixed). Model significance testing indicates statistically significant overall likelihood of outcome prediction (Model χ</w:t>
      </w:r>
      <w:r w:rsidR="0052050B" w:rsidRPr="00FD7DF2">
        <w:rPr>
          <w:rFonts w:ascii="Times New Roman" w:hAnsi="Times New Roman" w:cs="Times New Roman"/>
          <w:sz w:val="24"/>
          <w:szCs w:val="24"/>
          <w:lang w:val="en-GB"/>
        </w:rPr>
        <w:t>² (</w:t>
      </w:r>
      <w:r w:rsidRPr="00FD7DF2">
        <w:rPr>
          <w:rFonts w:ascii="Times New Roman" w:hAnsi="Times New Roman" w:cs="Times New Roman"/>
          <w:sz w:val="24"/>
          <w:szCs w:val="24"/>
          <w:lang w:val="en-GB"/>
        </w:rPr>
        <w:t xml:space="preserve">3) = 58.21, p &lt; .001) with Nagelkerke R² = .18 suggesting moderate explanatory power among other (demographic) parsimonious models. Coefficients indicate that households with larger household size are less likely to be workless (Exp(B) = 0.66) and likewise with age (Exp(B) = 0.86). Gender composition was found to have a positive effect but only marginal effect (p ≈ .092). These results continued to be consistent with findings from prior descriptive work and theoretical expectations that labour endowment and life-course position relate to household employment status. </w:t>
      </w:r>
    </w:p>
    <w:p w14:paraId="30EA4700" w14:textId="2A8AEA65" w:rsidR="008B0967" w:rsidRPr="00FD7DF2" w:rsidRDefault="008B0967"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lastRenderedPageBreak/>
        <w:drawing>
          <wp:inline distT="0" distB="0" distL="0" distR="0" wp14:anchorId="2E4F0068" wp14:editId="31EFDBF5">
            <wp:extent cx="5943600" cy="1096010"/>
            <wp:effectExtent l="0" t="0" r="0" b="8890"/>
            <wp:docPr id="2006675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67543" name="Picture 200667543"/>
                    <pic:cNvPicPr/>
                  </pic:nvPicPr>
                  <pic:blipFill>
                    <a:blip r:embed="rId19">
                      <a:extLst>
                        <a:ext uri="{28A0092B-C50C-407E-A947-70E740481C1C}">
                          <a14:useLocalDpi xmlns:a14="http://schemas.microsoft.com/office/drawing/2010/main" val="0"/>
                        </a:ext>
                      </a:extLst>
                    </a:blip>
                    <a:stretch>
                      <a:fillRect/>
                    </a:stretch>
                  </pic:blipFill>
                  <pic:spPr>
                    <a:xfrm>
                      <a:off x="0" y="0"/>
                      <a:ext cx="5943600" cy="1096010"/>
                    </a:xfrm>
                    <a:prstGeom prst="rect">
                      <a:avLst/>
                    </a:prstGeom>
                  </pic:spPr>
                </pic:pic>
              </a:graphicData>
            </a:graphic>
          </wp:inline>
        </w:drawing>
      </w:r>
    </w:p>
    <w:p w14:paraId="05C713AA"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Note.</w:t>
      </w:r>
      <w:r w:rsidRPr="00FD7DF2">
        <w:rPr>
          <w:rFonts w:ascii="Times New Roman" w:hAnsi="Times New Roman" w:cs="Times New Roman"/>
          <w:sz w:val="24"/>
          <w:szCs w:val="24"/>
          <w:lang w:val="en-GB"/>
        </w:rPr>
        <w:t xml:space="preserve"> Negative coefficients indicate reduced odds of being workless; exponentiated coefficients (Exp(B)) represent odds ratios.</w:t>
      </w:r>
    </w:p>
    <w:p w14:paraId="414A100A" w14:textId="33BDA72C"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Table </w:t>
      </w:r>
      <w:r w:rsidR="00374468" w:rsidRPr="00FD7DF2">
        <w:rPr>
          <w:rFonts w:ascii="Times New Roman" w:hAnsi="Times New Roman" w:cs="Times New Roman"/>
          <w:b/>
          <w:bCs/>
          <w:sz w:val="24"/>
          <w:szCs w:val="24"/>
          <w:lang w:val="en-GB"/>
        </w:rPr>
        <w:t>10</w:t>
      </w:r>
      <w:r w:rsidRPr="00FD7DF2">
        <w:rPr>
          <w:rFonts w:ascii="Times New Roman" w:hAnsi="Times New Roman" w:cs="Times New Roman"/>
          <w:b/>
          <w:bCs/>
          <w:sz w:val="24"/>
          <w:szCs w:val="24"/>
          <w:lang w:val="en-GB"/>
        </w:rPr>
        <w:t>: Logistic Regression Predicting Workless Household Status</w:t>
      </w:r>
      <w:r w:rsidRPr="00FD7DF2">
        <w:rPr>
          <w:rFonts w:ascii="Times New Roman" w:hAnsi="Times New Roman" w:cs="Times New Roman"/>
          <w:sz w:val="24"/>
          <w:szCs w:val="24"/>
          <w:lang w:val="en-GB"/>
        </w:rPr>
        <w:t xml:space="preserve"> </w:t>
      </w:r>
    </w:p>
    <w:p w14:paraId="51561AB6" w14:textId="71DE507B" w:rsidR="00CD28CD" w:rsidRPr="00F92D37" w:rsidRDefault="00095C5A" w:rsidP="00B41F62">
      <w:pPr>
        <w:pStyle w:val="2"/>
        <w:spacing w:line="360" w:lineRule="auto"/>
        <w:jc w:val="both"/>
        <w:rPr>
          <w:rFonts w:ascii="Aptos" w:hAnsi="Aptos" w:cs="Times New Roman"/>
          <w:b/>
          <w:bCs/>
          <w:color w:val="auto"/>
          <w:sz w:val="24"/>
          <w:szCs w:val="24"/>
          <w:lang w:val="en-GB"/>
        </w:rPr>
      </w:pPr>
      <w:bookmarkStart w:id="33" w:name="_Toc209880913"/>
      <w:r w:rsidRPr="00F92D37">
        <w:rPr>
          <w:rFonts w:ascii="Aptos" w:hAnsi="Aptos" w:cs="Times New Roman"/>
          <w:b/>
          <w:bCs/>
          <w:color w:val="auto"/>
          <w:sz w:val="24"/>
          <w:szCs w:val="24"/>
          <w:lang w:val="en-GB"/>
        </w:rPr>
        <w:t>5</w:t>
      </w:r>
      <w:r w:rsidR="00CD28CD" w:rsidRPr="00F92D37">
        <w:rPr>
          <w:rFonts w:ascii="Aptos" w:hAnsi="Aptos" w:cs="Times New Roman"/>
          <w:b/>
          <w:bCs/>
          <w:color w:val="auto"/>
          <w:sz w:val="24"/>
          <w:szCs w:val="24"/>
          <w:lang w:val="en-GB"/>
        </w:rPr>
        <w:t>.4 Tables and Figures</w:t>
      </w:r>
      <w:bookmarkEnd w:id="33"/>
    </w:p>
    <w:p w14:paraId="6F4B921A" w14:textId="5ABA35EF"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To facilitate both transparency and replicability, I presented the key outputs in small tables (Tables 1–4). For the reporting I could pictorially include: (i) a clustered bar chart of employment-status shares by region (to visuali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 the χ² association); and (ii) a marginal effects plot from the logistic model (predicted probability of workless, across household size and age). These would help to respond to both differentials in distributions and the substantive magnitudes of predictors in a format recognisable to policymakers. </w:t>
      </w:r>
    </w:p>
    <w:p w14:paraId="4130F56B" w14:textId="54AAE8E7" w:rsidR="00CD28CD" w:rsidRPr="00F92D37" w:rsidRDefault="00095C5A" w:rsidP="00B41F62">
      <w:pPr>
        <w:pStyle w:val="2"/>
        <w:spacing w:line="360" w:lineRule="auto"/>
        <w:jc w:val="both"/>
        <w:rPr>
          <w:rFonts w:ascii="Aptos" w:hAnsi="Aptos" w:cs="Times New Roman"/>
          <w:b/>
          <w:bCs/>
          <w:color w:val="auto"/>
          <w:sz w:val="24"/>
          <w:szCs w:val="24"/>
          <w:lang w:val="en-GB"/>
        </w:rPr>
      </w:pPr>
      <w:bookmarkStart w:id="34" w:name="_Toc209880914"/>
      <w:r w:rsidRPr="00F92D37">
        <w:rPr>
          <w:rFonts w:ascii="Aptos" w:hAnsi="Aptos" w:cs="Times New Roman"/>
          <w:b/>
          <w:bCs/>
          <w:color w:val="auto"/>
          <w:sz w:val="24"/>
          <w:szCs w:val="24"/>
          <w:lang w:val="en-GB"/>
        </w:rPr>
        <w:t>5</w:t>
      </w:r>
      <w:r w:rsidR="00CD28CD" w:rsidRPr="00F92D37">
        <w:rPr>
          <w:rFonts w:ascii="Aptos" w:hAnsi="Aptos" w:cs="Times New Roman"/>
          <w:b/>
          <w:bCs/>
          <w:color w:val="auto"/>
          <w:sz w:val="24"/>
          <w:szCs w:val="24"/>
          <w:lang w:val="en-GB"/>
        </w:rPr>
        <w:t>.5 Interpretation</w:t>
      </w:r>
      <w:bookmarkEnd w:id="34"/>
    </w:p>
    <w:p w14:paraId="0E43DB06" w14:textId="39AF3C5E"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H1 (Access to employability resources): </w:t>
      </w:r>
      <w:r w:rsidRPr="00FD7DF2">
        <w:rPr>
          <w:rFonts w:ascii="Times New Roman" w:hAnsi="Times New Roman" w:cs="Times New Roman"/>
          <w:sz w:val="24"/>
          <w:szCs w:val="24"/>
          <w:lang w:val="en-GB"/>
        </w:rPr>
        <w:t xml:space="preserve">While H1 involves perceived access under AI-supported platforms, the current </w:t>
      </w:r>
      <w:r w:rsidR="003F209E" w:rsidRPr="00FD7DF2">
        <w:rPr>
          <w:rFonts w:ascii="Times New Roman" w:hAnsi="Times New Roman" w:cs="Times New Roman"/>
          <w:sz w:val="24"/>
          <w:szCs w:val="24"/>
          <w:lang w:val="en-GB"/>
        </w:rPr>
        <w:t>Section</w:t>
      </w:r>
      <w:r w:rsidRPr="00FD7DF2">
        <w:rPr>
          <w:rFonts w:ascii="Times New Roman" w:hAnsi="Times New Roman" w:cs="Times New Roman"/>
          <w:sz w:val="24"/>
          <w:szCs w:val="24"/>
          <w:lang w:val="en-GB"/>
        </w:rPr>
        <w:t xml:space="preserve"> provides the baseline structure of household worklessness against which any AI intervention would exist. The significant regional association (χ² test) indicates that any AI-enabled knowledge-sharing system must be locally situated - targeting areas where clusters of worklessness exist to enhance reach and visibility of resources. This upholds the conceptual premise that context-aware AI can enhance access where baseline inequalities are largest. </w:t>
      </w:r>
    </w:p>
    <w:p w14:paraId="5C361DCA" w14:textId="1BCC5AE4"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H2 (Skill acquisition and job readiness): </w:t>
      </w:r>
      <w:r w:rsidRPr="00FD7DF2">
        <w:rPr>
          <w:rFonts w:ascii="Times New Roman" w:hAnsi="Times New Roman" w:cs="Times New Roman"/>
          <w:sz w:val="24"/>
          <w:szCs w:val="24"/>
          <w:lang w:val="en-GB"/>
        </w:rPr>
        <w:t>The ANOVA and logistic outcomes indicate demographical and structural characteristics from household size and age correlate with worklessness. AI-enabled learning systems might identify relevant skill pathways based on life stage (e.g., early-career vs. midlife upskilling) addressing some of the heterogeneity in the models. The evidence suggests targeting personali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ation would be ultimately most effective for smaller and younger-adult sized households, as highlighted in H2 indicating improved readiness with individuali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ed support. </w:t>
      </w:r>
    </w:p>
    <w:p w14:paraId="2321B975" w14:textId="54FCE7C6"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lastRenderedPageBreak/>
        <w:t xml:space="preserve">Link to H3 (Moderation by digital inclusion): </w:t>
      </w:r>
      <w:r w:rsidRPr="00FD7DF2">
        <w:rPr>
          <w:rFonts w:ascii="Times New Roman" w:hAnsi="Times New Roman" w:cs="Times New Roman"/>
          <w:sz w:val="24"/>
          <w:szCs w:val="24"/>
          <w:lang w:val="en-GB"/>
        </w:rPr>
        <w:t xml:space="preserve">Regional heterogeneity supports the idea that digital and infrastructural inclusion could alter the effectiveness of interventions. Areas experiencing higher baseline worklessness likely also have weaker digital ecosystems; </w:t>
      </w:r>
      <w:r w:rsidR="0052050B" w:rsidRPr="00FD7DF2">
        <w:rPr>
          <w:rFonts w:ascii="Times New Roman" w:hAnsi="Times New Roman" w:cs="Times New Roman"/>
          <w:sz w:val="24"/>
          <w:szCs w:val="24"/>
          <w:lang w:val="en-GB"/>
        </w:rPr>
        <w:t>therefore,</w:t>
      </w:r>
      <w:r w:rsidRPr="00FD7DF2">
        <w:rPr>
          <w:rFonts w:ascii="Times New Roman" w:hAnsi="Times New Roman" w:cs="Times New Roman"/>
          <w:sz w:val="24"/>
          <w:szCs w:val="24"/>
          <w:lang w:val="en-GB"/>
        </w:rPr>
        <w:t xml:space="preserve"> the uptake of AI benefits may be inconsistent unless there are concurrent inclusion indicators (connectivity, devices, training). The significant χ² provides a practical rationale to implement inclusion metrics and interaction terms in modelling where suitable proxies exist. </w:t>
      </w:r>
    </w:p>
    <w:p w14:paraId="5FD486A2"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H4 (Ethical design, fairness, engagement): </w:t>
      </w:r>
      <w:r w:rsidRPr="00FD7DF2">
        <w:rPr>
          <w:rFonts w:ascii="Times New Roman" w:hAnsi="Times New Roman" w:cs="Times New Roman"/>
          <w:sz w:val="24"/>
          <w:szCs w:val="24"/>
          <w:lang w:val="en-GB"/>
        </w:rPr>
        <w:t>While perceptions of fairness are not explicitly tested here, the predictive model identifies population groups at the greatest risk of worklessness. For those groups, trust and explainability in AI recommendations are crucial to being able to engage with those recommendations. The modelling outputs therefore help to inform design priorities (transparent recommendations; human-in-the-loop mentoring) to ensure those most likely to benefit also feel empowered to engage.</w:t>
      </w:r>
    </w:p>
    <w:p w14:paraId="773DD97A"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H5 (Peer-learning and resilience): </w:t>
      </w:r>
      <w:r w:rsidRPr="00FD7DF2">
        <w:rPr>
          <w:rFonts w:ascii="Times New Roman" w:hAnsi="Times New Roman" w:cs="Times New Roman"/>
          <w:sz w:val="24"/>
          <w:szCs w:val="24"/>
          <w:lang w:val="en-GB"/>
        </w:rPr>
        <w:t xml:space="preserve">The findings highlight structural determinants of worklessness; strengthen peer networks through AI-enabled communities of practice may buffer these structures by providing advice, referrals and social capital where household labour endowment is thin. Images would support stakeholders to understand priority segments for community-based pilots. </w:t>
      </w:r>
    </w:p>
    <w:p w14:paraId="5AEEBAE4" w14:textId="0E44AE85" w:rsidR="00E34713" w:rsidRPr="00F92D37" w:rsidRDefault="00E34713" w:rsidP="00B41F62">
      <w:pPr>
        <w:pStyle w:val="2"/>
        <w:spacing w:line="360" w:lineRule="auto"/>
        <w:jc w:val="both"/>
        <w:rPr>
          <w:rFonts w:ascii="Aptos" w:hAnsi="Aptos" w:cs="Times New Roman"/>
          <w:color w:val="auto"/>
          <w:sz w:val="24"/>
          <w:szCs w:val="24"/>
          <w:lang w:val="en-GB"/>
        </w:rPr>
      </w:pPr>
      <w:bookmarkStart w:id="35" w:name="_Toc209880915"/>
      <w:bookmarkEnd w:id="28"/>
      <w:r w:rsidRPr="00F92D37">
        <w:rPr>
          <w:rFonts w:ascii="Aptos" w:hAnsi="Aptos" w:cs="Times New Roman"/>
          <w:b/>
          <w:bCs/>
          <w:color w:val="auto"/>
          <w:sz w:val="24"/>
          <w:szCs w:val="24"/>
          <w:lang w:val="en-GB"/>
        </w:rPr>
        <w:t xml:space="preserve">5.6 Summary and Transition to </w:t>
      </w:r>
      <w:r w:rsidR="003F209E" w:rsidRPr="00F92D37">
        <w:rPr>
          <w:rFonts w:ascii="Aptos" w:hAnsi="Aptos" w:cs="Times New Roman"/>
          <w:b/>
          <w:bCs/>
          <w:color w:val="auto"/>
          <w:sz w:val="24"/>
          <w:szCs w:val="24"/>
          <w:lang w:val="en-GB"/>
        </w:rPr>
        <w:t>Section</w:t>
      </w:r>
      <w:r w:rsidRPr="00F92D37">
        <w:rPr>
          <w:rFonts w:ascii="Aptos" w:hAnsi="Aptos" w:cs="Times New Roman"/>
          <w:b/>
          <w:bCs/>
          <w:color w:val="auto"/>
          <w:sz w:val="24"/>
          <w:szCs w:val="24"/>
          <w:lang w:val="en-GB"/>
        </w:rPr>
        <w:t xml:space="preserve"> 6</w:t>
      </w:r>
      <w:bookmarkEnd w:id="35"/>
    </w:p>
    <w:p w14:paraId="1F0A8448" w14:textId="34303EB8" w:rsidR="00E34713" w:rsidRPr="00FD7DF2" w:rsidRDefault="003F209E" w:rsidP="00B41F62">
      <w:pPr>
        <w:spacing w:line="360" w:lineRule="auto"/>
        <w:ind w:left="0" w:firstLine="0"/>
        <w:jc w:val="both"/>
        <w:rPr>
          <w:rFonts w:ascii="Times New Roman" w:hAnsi="Times New Roman" w:cs="Times New Roman"/>
          <w:b/>
          <w:bCs/>
          <w:sz w:val="24"/>
          <w:szCs w:val="24"/>
          <w:lang w:val="en-GB"/>
        </w:rPr>
      </w:pPr>
      <w:r w:rsidRPr="00FD7DF2">
        <w:rPr>
          <w:rFonts w:ascii="Times New Roman" w:hAnsi="Times New Roman" w:cs="Times New Roman"/>
          <w:sz w:val="24"/>
          <w:szCs w:val="24"/>
          <w:lang w:val="en-GB"/>
        </w:rPr>
        <w:t>Section</w:t>
      </w:r>
      <w:r w:rsidR="0076654C" w:rsidRPr="00FD7DF2">
        <w:rPr>
          <w:rFonts w:ascii="Times New Roman" w:hAnsi="Times New Roman" w:cs="Times New Roman"/>
          <w:sz w:val="24"/>
          <w:szCs w:val="24"/>
          <w:lang w:val="en-GB"/>
        </w:rPr>
        <w:t xml:space="preserve"> 5 reviewed quantitative results based on the ONS Labour Force Survey. Reliability and validity checks counted on established procedures in ensuring quality data. Under descriptive analysis, the key finding that 62.5% of households were fully working, while 15.2% were workless was noted. Chi-square tests demonstrated regional inconsistency, ANOVA noted smaller household numbers for workless groups and logistic regression established that age and household size related to worklessness. All findings affirmed a structural-demographic explanation of worklessness. The established statistical patterns provide a basis for </w:t>
      </w:r>
      <w:r w:rsidRPr="00FD7DF2">
        <w:rPr>
          <w:rFonts w:ascii="Times New Roman" w:hAnsi="Times New Roman" w:cs="Times New Roman"/>
          <w:sz w:val="24"/>
          <w:szCs w:val="24"/>
          <w:lang w:val="en-GB"/>
        </w:rPr>
        <w:t>Section</w:t>
      </w:r>
      <w:r w:rsidR="0076654C" w:rsidRPr="00FD7DF2">
        <w:rPr>
          <w:rFonts w:ascii="Times New Roman" w:hAnsi="Times New Roman" w:cs="Times New Roman"/>
          <w:sz w:val="24"/>
          <w:szCs w:val="24"/>
          <w:lang w:val="en-GB"/>
        </w:rPr>
        <w:t xml:space="preserve"> 6, where our findings are synthesised with our research objectives and wider literature of relevance. The </w:t>
      </w:r>
      <w:r w:rsidRPr="00FD7DF2">
        <w:rPr>
          <w:rFonts w:ascii="Times New Roman" w:hAnsi="Times New Roman" w:cs="Times New Roman"/>
          <w:sz w:val="24"/>
          <w:szCs w:val="24"/>
          <w:lang w:val="en-GB"/>
        </w:rPr>
        <w:t>Section</w:t>
      </w:r>
      <w:r w:rsidR="0076654C" w:rsidRPr="00FD7DF2">
        <w:rPr>
          <w:rFonts w:ascii="Times New Roman" w:hAnsi="Times New Roman" w:cs="Times New Roman"/>
          <w:sz w:val="24"/>
          <w:szCs w:val="24"/>
          <w:lang w:val="en-GB"/>
        </w:rPr>
        <w:t xml:space="preserve"> considered implications for households, policy and organisations, and noted theoretical contributions and limitations. The </w:t>
      </w:r>
      <w:r w:rsidRPr="00FD7DF2">
        <w:rPr>
          <w:rFonts w:ascii="Times New Roman" w:hAnsi="Times New Roman" w:cs="Times New Roman"/>
          <w:sz w:val="24"/>
          <w:szCs w:val="24"/>
          <w:lang w:val="en-GB"/>
        </w:rPr>
        <w:t>Section</w:t>
      </w:r>
      <w:r w:rsidR="0076654C" w:rsidRPr="00FD7DF2">
        <w:rPr>
          <w:rFonts w:ascii="Times New Roman" w:hAnsi="Times New Roman" w:cs="Times New Roman"/>
          <w:sz w:val="24"/>
          <w:szCs w:val="24"/>
          <w:lang w:val="en-GB"/>
        </w:rPr>
        <w:t xml:space="preserve"> merged empirical evidence with conceptual debates to enhanced understanding of employment inequalities, and set the stage for considering potentially AI-enabled responses to address worklessness</w:t>
      </w:r>
      <w:r w:rsidR="00E34713" w:rsidRPr="00FD7DF2">
        <w:rPr>
          <w:rFonts w:ascii="Times New Roman" w:hAnsi="Times New Roman" w:cs="Times New Roman"/>
          <w:sz w:val="24"/>
          <w:szCs w:val="24"/>
          <w:lang w:val="en-GB"/>
        </w:rPr>
        <w:t>.</w:t>
      </w:r>
    </w:p>
    <w:p w14:paraId="499F1340" w14:textId="42E529FF" w:rsidR="00CD28CD" w:rsidRPr="00F92D37" w:rsidRDefault="00F92D37" w:rsidP="00F92D37">
      <w:pPr>
        <w:pStyle w:val="1"/>
        <w:rPr>
          <w:b/>
          <w:bCs/>
          <w:color w:val="auto"/>
          <w:sz w:val="28"/>
          <w:szCs w:val="28"/>
        </w:rPr>
      </w:pPr>
      <w:bookmarkStart w:id="36" w:name="_Toc209880916"/>
      <w:r w:rsidRPr="00F92D37">
        <w:rPr>
          <w:rFonts w:hint="eastAsia"/>
          <w:b/>
          <w:bCs/>
          <w:color w:val="auto"/>
          <w:sz w:val="28"/>
          <w:szCs w:val="28"/>
          <w:lang w:eastAsia="zh-CN"/>
        </w:rPr>
        <w:lastRenderedPageBreak/>
        <w:t xml:space="preserve">6. </w:t>
      </w:r>
      <w:r w:rsidR="00CD28CD" w:rsidRPr="00F92D37">
        <w:rPr>
          <w:b/>
          <w:bCs/>
          <w:color w:val="auto"/>
          <w:sz w:val="28"/>
          <w:szCs w:val="28"/>
        </w:rPr>
        <w:t xml:space="preserve">Findings and </w:t>
      </w:r>
      <w:r>
        <w:rPr>
          <w:rFonts w:hint="eastAsia"/>
          <w:b/>
          <w:bCs/>
          <w:color w:val="auto"/>
          <w:sz w:val="28"/>
          <w:szCs w:val="28"/>
          <w:lang w:eastAsia="zh-CN"/>
        </w:rPr>
        <w:t>Implications</w:t>
      </w:r>
      <w:bookmarkEnd w:id="36"/>
    </w:p>
    <w:p w14:paraId="76B269FE" w14:textId="7798A0CB"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In this </w:t>
      </w:r>
      <w:r w:rsidR="003F209E" w:rsidRPr="00FD7DF2">
        <w:rPr>
          <w:rFonts w:ascii="Times New Roman" w:hAnsi="Times New Roman" w:cs="Times New Roman"/>
          <w:sz w:val="24"/>
          <w:szCs w:val="24"/>
          <w:lang w:val="en-GB"/>
        </w:rPr>
        <w:t>Section</w:t>
      </w:r>
      <w:r w:rsidRPr="00FD7DF2">
        <w:rPr>
          <w:rFonts w:ascii="Times New Roman" w:hAnsi="Times New Roman" w:cs="Times New Roman"/>
          <w:sz w:val="24"/>
          <w:szCs w:val="24"/>
          <w:lang w:val="en-GB"/>
        </w:rPr>
        <w:t xml:space="preserve">, the statistical findings presented in </w:t>
      </w:r>
      <w:r w:rsidR="003F209E" w:rsidRPr="00FD7DF2">
        <w:rPr>
          <w:rFonts w:ascii="Times New Roman" w:hAnsi="Times New Roman" w:cs="Times New Roman"/>
          <w:sz w:val="24"/>
          <w:szCs w:val="24"/>
          <w:lang w:val="en-GB"/>
        </w:rPr>
        <w:t>Section</w:t>
      </w:r>
      <w:r w:rsidRPr="00FD7DF2">
        <w:rPr>
          <w:rFonts w:ascii="Times New Roman" w:hAnsi="Times New Roman" w:cs="Times New Roman"/>
          <w:sz w:val="24"/>
          <w:szCs w:val="24"/>
          <w:lang w:val="en-GB"/>
        </w:rPr>
        <w:t xml:space="preserve"> 4 are synthesised with the objectives of the study and additional literature. Results are presented according to the research questions and hypotheses, followed by the discussion of implications on households, policy, and organisations. Limitations and theoretical contributions are also provided to help the reader situate the relevance of the study within the broader discourse on employment, digital inclusion, and AI-enabled interventions.</w:t>
      </w:r>
    </w:p>
    <w:p w14:paraId="35993D1F" w14:textId="42CD4AED" w:rsidR="00CD28CD" w:rsidRPr="00F92D37" w:rsidRDefault="00935EEB" w:rsidP="00F92D37">
      <w:pPr>
        <w:pStyle w:val="2"/>
        <w:rPr>
          <w:rFonts w:ascii="Aptos" w:hAnsi="Aptos"/>
          <w:b/>
          <w:bCs/>
          <w:sz w:val="24"/>
          <w:szCs w:val="24"/>
        </w:rPr>
      </w:pPr>
      <w:bookmarkStart w:id="37" w:name="_Toc209880917"/>
      <w:r w:rsidRPr="00F92D37">
        <w:rPr>
          <w:rFonts w:ascii="Aptos" w:hAnsi="Aptos"/>
          <w:b/>
          <w:bCs/>
          <w:color w:val="auto"/>
          <w:sz w:val="24"/>
          <w:szCs w:val="24"/>
        </w:rPr>
        <w:t>6</w:t>
      </w:r>
      <w:r w:rsidR="00CD28CD" w:rsidRPr="00F92D37">
        <w:rPr>
          <w:rFonts w:ascii="Aptos" w:hAnsi="Aptos"/>
          <w:b/>
          <w:bCs/>
          <w:color w:val="auto"/>
          <w:sz w:val="24"/>
          <w:szCs w:val="24"/>
        </w:rPr>
        <w:t>.1 Key Findings in Relation to Objectives and Literature</w:t>
      </w:r>
      <w:bookmarkEnd w:id="37"/>
    </w:p>
    <w:p w14:paraId="52CA8DE0"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Objective 1: Establish the current distribution of household employment status in the UK.</w:t>
      </w:r>
      <w:r w:rsidRPr="00FD7DF2">
        <w:rPr>
          <w:rFonts w:ascii="Times New Roman" w:hAnsi="Times New Roman" w:cs="Times New Roman"/>
          <w:sz w:val="24"/>
          <w:szCs w:val="24"/>
          <w:lang w:val="en-GB"/>
        </w:rPr>
        <w:br/>
        <w:t>The descriptive statistics showed that 62.5% of households were identified as fully working, 22.3% as mixed and 15.2% as workless. These findings align with the Office for National Statistics (ONS) release which have all noted a substantial proportion of working households but notable residual concentrations of worklessness. The proportions underscore that while aggregate employment remains strong, structural inequalities still produce a notable pool of households excluded from work opportunities. This echoes Gregg &amp; Wadsworth (2010), who argue that household-level labour-market exclusion persists despite rising individual employment rates.</w:t>
      </w:r>
    </w:p>
    <w:p w14:paraId="3FB1AC62" w14:textId="5665B868" w:rsidR="00CD28CD" w:rsidRPr="00FD7DF2" w:rsidRDefault="00CD28CD" w:rsidP="00EB6971">
      <w:pPr>
        <w:spacing w:line="360" w:lineRule="auto"/>
        <w:ind w:left="0" w:firstLine="0"/>
        <w:rPr>
          <w:rFonts w:ascii="Times New Roman" w:hAnsi="Times New Roman" w:cs="Times New Roman"/>
          <w:sz w:val="24"/>
          <w:szCs w:val="24"/>
          <w:lang w:val="en-GB"/>
        </w:rPr>
      </w:pPr>
      <w:r w:rsidRPr="00FD7DF2">
        <w:rPr>
          <w:rFonts w:ascii="Times New Roman" w:hAnsi="Times New Roman" w:cs="Times New Roman"/>
          <w:b/>
          <w:bCs/>
          <w:sz w:val="24"/>
          <w:szCs w:val="24"/>
          <w:lang w:val="en-GB"/>
        </w:rPr>
        <w:t>Objective</w:t>
      </w:r>
      <w:r w:rsidR="00EB6971">
        <w:rPr>
          <w:rFonts w:ascii="Times New Roman" w:hAnsi="Times New Roman" w:cs="Times New Roman" w:hint="eastAsia"/>
          <w:b/>
          <w:bCs/>
          <w:sz w:val="24"/>
          <w:szCs w:val="24"/>
          <w:lang w:val="en-GB" w:eastAsia="zh-CN"/>
        </w:rPr>
        <w:t xml:space="preserve"> </w:t>
      </w:r>
      <w:r w:rsidRPr="00FD7DF2">
        <w:rPr>
          <w:rFonts w:ascii="Times New Roman" w:hAnsi="Times New Roman" w:cs="Times New Roman"/>
          <w:b/>
          <w:bCs/>
          <w:sz w:val="24"/>
          <w:szCs w:val="24"/>
          <w:lang w:val="en-GB"/>
        </w:rPr>
        <w:t>2: Assess regional and demographic variation in worklessness.</w:t>
      </w:r>
      <w:r w:rsidRPr="00FD7DF2">
        <w:rPr>
          <w:rFonts w:ascii="Times New Roman" w:hAnsi="Times New Roman" w:cs="Times New Roman"/>
          <w:sz w:val="24"/>
          <w:szCs w:val="24"/>
          <w:lang w:val="en-GB"/>
        </w:rPr>
        <w:br/>
        <w:t>The chi-square test demonstrated significant regional disparities, suggesting that labour-market dynamics and digital infrastructure vary across the UK. Such variation is consistent with Beatty &amp; Fothergill’s (2016) findings on regional labour-market vulnerability, especially in post-industrial areas. ANOVA further showed that workless households are smaller in size, and logistic regression indicated that older household heads and larger household size reduce the odds of being workless. These findings mirror prior evidence that household labour endowment (number of working-age adults) and life-course effects (age and experience) influence resilience against unemployment.</w:t>
      </w:r>
    </w:p>
    <w:p w14:paraId="1E2EF58F"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Objective 3: Test predictors of worklessness to inform potential AI-enabled interventions.</w:t>
      </w:r>
      <w:r w:rsidRPr="00FD7DF2">
        <w:rPr>
          <w:rFonts w:ascii="Times New Roman" w:hAnsi="Times New Roman" w:cs="Times New Roman"/>
          <w:sz w:val="24"/>
          <w:szCs w:val="24"/>
          <w:lang w:val="en-GB"/>
        </w:rPr>
        <w:br/>
        <w:t xml:space="preserve">Regression results confirmed household size and age as significant predictors of worklessness, while gender composition played a weaker role. This demonstrates that structural household characteristics are more influential than compositional gender effects. The literature on household </w:t>
      </w:r>
      <w:r w:rsidRPr="00FD7DF2">
        <w:rPr>
          <w:rFonts w:ascii="Times New Roman" w:hAnsi="Times New Roman" w:cs="Times New Roman"/>
          <w:sz w:val="24"/>
          <w:szCs w:val="24"/>
          <w:lang w:val="en-GB"/>
        </w:rPr>
        <w:lastRenderedPageBreak/>
        <w:t>labour supply (e.g., Bardasi &amp; Francesconi, 2004) similarly highlights household demography as a key determinant of employment outcomes. The predictive modelling thus strengthens the case for targeted interventions that account for life stage, family composition, and place-based conditions.</w:t>
      </w:r>
    </w:p>
    <w:p w14:paraId="0A8F2D25" w14:textId="626D2B57" w:rsidR="00CD28CD" w:rsidRPr="00F92D37" w:rsidRDefault="00935EEB" w:rsidP="00B41F62">
      <w:pPr>
        <w:pStyle w:val="2"/>
        <w:spacing w:line="360" w:lineRule="auto"/>
        <w:jc w:val="both"/>
        <w:rPr>
          <w:rFonts w:ascii="Aptos" w:hAnsi="Aptos" w:cs="Times New Roman"/>
          <w:b/>
          <w:bCs/>
          <w:color w:val="auto"/>
          <w:sz w:val="24"/>
          <w:szCs w:val="24"/>
          <w:lang w:val="en-GB"/>
        </w:rPr>
      </w:pPr>
      <w:bookmarkStart w:id="38" w:name="_Toc209880918"/>
      <w:r w:rsidRPr="00F92D37">
        <w:rPr>
          <w:rFonts w:ascii="Aptos" w:hAnsi="Aptos" w:cs="Times New Roman"/>
          <w:b/>
          <w:bCs/>
          <w:color w:val="auto"/>
          <w:sz w:val="24"/>
          <w:szCs w:val="24"/>
          <w:lang w:val="en-GB"/>
        </w:rPr>
        <w:t>6</w:t>
      </w:r>
      <w:r w:rsidR="00CD28CD" w:rsidRPr="00F92D37">
        <w:rPr>
          <w:rFonts w:ascii="Aptos" w:hAnsi="Aptos" w:cs="Times New Roman"/>
          <w:b/>
          <w:bCs/>
          <w:color w:val="auto"/>
          <w:sz w:val="24"/>
          <w:szCs w:val="24"/>
          <w:lang w:val="en-GB"/>
        </w:rPr>
        <w:t>.2 Implications</w:t>
      </w:r>
      <w:bookmarkEnd w:id="38"/>
    </w:p>
    <w:p w14:paraId="31C38EC7" w14:textId="43E33C19" w:rsidR="00CD28CD" w:rsidRPr="00F92D37" w:rsidRDefault="00935EEB" w:rsidP="00B41F62">
      <w:pPr>
        <w:pStyle w:val="3"/>
        <w:spacing w:line="360" w:lineRule="auto"/>
        <w:jc w:val="both"/>
        <w:rPr>
          <w:rFonts w:cs="Times New Roman"/>
          <w:color w:val="auto"/>
          <w:sz w:val="24"/>
          <w:szCs w:val="24"/>
          <w:lang w:val="en-GB"/>
        </w:rPr>
      </w:pPr>
      <w:bookmarkStart w:id="39" w:name="_Toc209880919"/>
      <w:r w:rsidRPr="00F92D37">
        <w:rPr>
          <w:rFonts w:cs="Times New Roman"/>
          <w:color w:val="auto"/>
          <w:sz w:val="24"/>
          <w:szCs w:val="24"/>
          <w:lang w:val="en-GB"/>
        </w:rPr>
        <w:t>6</w:t>
      </w:r>
      <w:r w:rsidR="00CD28CD" w:rsidRPr="00F92D37">
        <w:rPr>
          <w:rFonts w:cs="Times New Roman"/>
          <w:color w:val="auto"/>
          <w:sz w:val="24"/>
          <w:szCs w:val="24"/>
          <w:lang w:val="en-GB"/>
        </w:rPr>
        <w:t>.2.1 Implications for Households</w:t>
      </w:r>
      <w:bookmarkEnd w:id="39"/>
    </w:p>
    <w:p w14:paraId="364933D2"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For households, the results highlight the persistent risk of exclusion faced by smaller and younger households. These groups may lack the accumulated social capital, experience, or redundancy of multiple earners that buffers against unemployment. AI-enabled systems could support such households by providing personalised learning pathways, job-matching, and peer-networking tools. For example, households with young adults could benefit from adaptive training in digital skills aligned with regional labour-market needs.</w:t>
      </w:r>
    </w:p>
    <w:p w14:paraId="3155DCBA" w14:textId="63519EE9" w:rsidR="00CD28CD" w:rsidRPr="00F92D37" w:rsidRDefault="00935EEB" w:rsidP="00B41F62">
      <w:pPr>
        <w:pStyle w:val="3"/>
        <w:spacing w:line="360" w:lineRule="auto"/>
        <w:jc w:val="both"/>
        <w:rPr>
          <w:rFonts w:cs="Times New Roman"/>
          <w:color w:val="auto"/>
          <w:sz w:val="24"/>
          <w:szCs w:val="24"/>
          <w:lang w:val="en-GB"/>
        </w:rPr>
      </w:pPr>
      <w:bookmarkStart w:id="40" w:name="_Toc209880920"/>
      <w:r w:rsidRPr="00F92D37">
        <w:rPr>
          <w:rFonts w:cs="Times New Roman"/>
          <w:color w:val="auto"/>
          <w:sz w:val="24"/>
          <w:szCs w:val="24"/>
          <w:lang w:val="en-GB"/>
        </w:rPr>
        <w:t>6.</w:t>
      </w:r>
      <w:r w:rsidR="00CD28CD" w:rsidRPr="00F92D37">
        <w:rPr>
          <w:rFonts w:cs="Times New Roman"/>
          <w:color w:val="auto"/>
          <w:sz w:val="24"/>
          <w:szCs w:val="24"/>
          <w:lang w:val="en-GB"/>
        </w:rPr>
        <w:t>2.2 Policy Implications</w:t>
      </w:r>
      <w:bookmarkEnd w:id="40"/>
    </w:p>
    <w:p w14:paraId="46019274"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At the policy level, the regional disparities in worklessness suggest a need for place-sensitive employment strategies. Policies promoting digital inclusion—such as broadband access, affordable devices, and local training hubs—are crucial if AI-based employability platforms are to reach disadvantaged regions. Additionally, logistic regression findings imply that interventions should focus on younger and smaller households, possibly through targeted subsidies or mentoring programmes. The results also reinforce the importance of integrated policy: labour-market initiatives cannot be separated from housing, digital infrastructure, and education, all of which shape household employability.</w:t>
      </w:r>
    </w:p>
    <w:p w14:paraId="455C3F89" w14:textId="33C50C45" w:rsidR="00CD28CD" w:rsidRPr="00F92D37" w:rsidRDefault="00935EEB" w:rsidP="00B41F62">
      <w:pPr>
        <w:pStyle w:val="3"/>
        <w:spacing w:line="360" w:lineRule="auto"/>
        <w:jc w:val="both"/>
        <w:rPr>
          <w:rFonts w:cs="Times New Roman"/>
          <w:color w:val="auto"/>
          <w:sz w:val="24"/>
          <w:szCs w:val="24"/>
          <w:lang w:val="en-GB"/>
        </w:rPr>
      </w:pPr>
      <w:bookmarkStart w:id="41" w:name="_Toc209880921"/>
      <w:r w:rsidRPr="00F92D37">
        <w:rPr>
          <w:rFonts w:cs="Times New Roman"/>
          <w:color w:val="auto"/>
          <w:sz w:val="24"/>
          <w:szCs w:val="24"/>
          <w:lang w:val="en-GB"/>
        </w:rPr>
        <w:t>6</w:t>
      </w:r>
      <w:r w:rsidR="00CD28CD" w:rsidRPr="00F92D37">
        <w:rPr>
          <w:rFonts w:cs="Times New Roman"/>
          <w:color w:val="auto"/>
          <w:sz w:val="24"/>
          <w:szCs w:val="24"/>
          <w:lang w:val="en-GB"/>
        </w:rPr>
        <w:t>.2.3 Implications for Organisations</w:t>
      </w:r>
      <w:bookmarkEnd w:id="41"/>
    </w:p>
    <w:p w14:paraId="7EFE4AF9"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For employers and organisations, findings underline the value of inclusive recruitment practices and the potential for AI platforms to widen candidate pools. Employers could collaborate with government or third-sector actors to deploy AI-enabled knowledge-sharing tools that make training and job opportunities more visible to at-risk households. Furthermore, results on demographic predictors suggest that employers should tailor outreach to younger households, integrating flexible and skills-focused job entry points. Organisations that adopt fairness-centred </w:t>
      </w:r>
      <w:r w:rsidRPr="00FD7DF2">
        <w:rPr>
          <w:rFonts w:ascii="Times New Roman" w:hAnsi="Times New Roman" w:cs="Times New Roman"/>
          <w:sz w:val="24"/>
          <w:szCs w:val="24"/>
          <w:lang w:val="en-GB"/>
        </w:rPr>
        <w:lastRenderedPageBreak/>
        <w:t>AI systems may also strengthen trust and engagement among jobseekers, addressing potential ethical concerns raised in the literature (Binns et al., 2018).</w:t>
      </w:r>
    </w:p>
    <w:p w14:paraId="7C8F3B59" w14:textId="7399DCA1" w:rsidR="00CD28CD" w:rsidRPr="00F92D37" w:rsidRDefault="00935EEB" w:rsidP="00B41F62">
      <w:pPr>
        <w:pStyle w:val="2"/>
        <w:spacing w:line="360" w:lineRule="auto"/>
        <w:jc w:val="both"/>
        <w:rPr>
          <w:rFonts w:ascii="Aptos" w:hAnsi="Aptos" w:cs="Times New Roman"/>
          <w:b/>
          <w:bCs/>
          <w:color w:val="auto"/>
          <w:sz w:val="24"/>
          <w:szCs w:val="24"/>
          <w:lang w:val="en-GB"/>
        </w:rPr>
      </w:pPr>
      <w:bookmarkStart w:id="42" w:name="_Toc209880922"/>
      <w:r w:rsidRPr="00F92D37">
        <w:rPr>
          <w:rFonts w:ascii="Aptos" w:hAnsi="Aptos" w:cs="Times New Roman"/>
          <w:b/>
          <w:bCs/>
          <w:color w:val="auto"/>
          <w:sz w:val="24"/>
          <w:szCs w:val="24"/>
          <w:lang w:val="en-GB"/>
        </w:rPr>
        <w:t>6</w:t>
      </w:r>
      <w:r w:rsidR="00CD28CD" w:rsidRPr="00F92D37">
        <w:rPr>
          <w:rFonts w:ascii="Aptos" w:hAnsi="Aptos" w:cs="Times New Roman"/>
          <w:b/>
          <w:bCs/>
          <w:color w:val="auto"/>
          <w:sz w:val="24"/>
          <w:szCs w:val="24"/>
          <w:lang w:val="en-GB"/>
        </w:rPr>
        <w:t>.3 Theoretical Contributions</w:t>
      </w:r>
      <w:bookmarkEnd w:id="42"/>
    </w:p>
    <w:p w14:paraId="1DE4C024"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study contributes to theory in three ways:</w:t>
      </w:r>
    </w:p>
    <w:p w14:paraId="6BABF3D3" w14:textId="77777777" w:rsidR="00CD28CD" w:rsidRPr="00FD7DF2" w:rsidRDefault="00CD28CD" w:rsidP="00B41F62">
      <w:pPr>
        <w:numPr>
          <w:ilvl w:val="0"/>
          <w:numId w:val="30"/>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Household-level perspective.</w:t>
      </w:r>
      <w:r w:rsidRPr="00FD7DF2">
        <w:rPr>
          <w:rFonts w:ascii="Times New Roman" w:hAnsi="Times New Roman" w:cs="Times New Roman"/>
          <w:sz w:val="24"/>
          <w:szCs w:val="24"/>
          <w:lang w:val="en-GB"/>
        </w:rPr>
        <w:t xml:space="preserve"> While much employment research focuses on individuals, the findings reinforce that the household is a critical unit of analysis. Household size and age of reference person are significant predictors of employment outcomes, lending empirical support to household labour-supply theories (McLanahan &amp; Sandefur, 2009).</w:t>
      </w:r>
    </w:p>
    <w:p w14:paraId="3EB5E22F" w14:textId="77777777" w:rsidR="00CD28CD" w:rsidRPr="00FD7DF2" w:rsidRDefault="00CD28CD" w:rsidP="00B41F62">
      <w:pPr>
        <w:numPr>
          <w:ilvl w:val="0"/>
          <w:numId w:val="30"/>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Integration of digital inclusion with labour-market inequalities.</w:t>
      </w:r>
      <w:r w:rsidRPr="00FD7DF2">
        <w:rPr>
          <w:rFonts w:ascii="Times New Roman" w:hAnsi="Times New Roman" w:cs="Times New Roman"/>
          <w:sz w:val="24"/>
          <w:szCs w:val="24"/>
          <w:lang w:val="en-GB"/>
        </w:rPr>
        <w:t xml:space="preserve"> By showing that regional disparities in worklessness persist, the study strengthens arguments that digital exclusion and structural inequalities compound each other. The results advance theoretical models of the “digital divide” (DiMaggio &amp; Hargittai, 2001), highlighting how AI interventions must consider structural inequities.</w:t>
      </w:r>
    </w:p>
    <w:p w14:paraId="62B2FAB7" w14:textId="77777777" w:rsidR="00CD28CD" w:rsidRPr="00FD7DF2" w:rsidRDefault="00CD28CD" w:rsidP="00B41F62">
      <w:pPr>
        <w:numPr>
          <w:ilvl w:val="0"/>
          <w:numId w:val="30"/>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Bridging AI-enabled knowledge-sharing frameworks with employment research.</w:t>
      </w:r>
      <w:r w:rsidRPr="00FD7DF2">
        <w:rPr>
          <w:rFonts w:ascii="Times New Roman" w:hAnsi="Times New Roman" w:cs="Times New Roman"/>
          <w:sz w:val="24"/>
          <w:szCs w:val="24"/>
          <w:lang w:val="en-GB"/>
        </w:rPr>
        <w:t xml:space="preserve"> Although the statistical analysis did not measure AI directly, it provides baseline evidence for integrating AI into employability theories. The findings imply that predictive and personalised systems must be attentive to demographic and regional disparities, extending existing theories of skill acquisition and employability.</w:t>
      </w:r>
    </w:p>
    <w:p w14:paraId="07492FED" w14:textId="7661D94A" w:rsidR="00CD28CD" w:rsidRPr="00F92D37" w:rsidRDefault="00935EEB" w:rsidP="00B41F62">
      <w:pPr>
        <w:pStyle w:val="2"/>
        <w:spacing w:line="360" w:lineRule="auto"/>
        <w:jc w:val="both"/>
        <w:rPr>
          <w:rFonts w:ascii="Aptos" w:hAnsi="Aptos" w:cs="Times New Roman"/>
          <w:b/>
          <w:bCs/>
          <w:color w:val="auto"/>
          <w:sz w:val="24"/>
          <w:szCs w:val="24"/>
          <w:lang w:val="en-GB"/>
        </w:rPr>
      </w:pPr>
      <w:bookmarkStart w:id="43" w:name="_Toc209880923"/>
      <w:r w:rsidRPr="00F92D37">
        <w:rPr>
          <w:rFonts w:ascii="Aptos" w:hAnsi="Aptos" w:cs="Times New Roman"/>
          <w:b/>
          <w:bCs/>
          <w:color w:val="auto"/>
          <w:sz w:val="24"/>
          <w:szCs w:val="24"/>
          <w:lang w:val="en-GB"/>
        </w:rPr>
        <w:t>6</w:t>
      </w:r>
      <w:r w:rsidR="00CD28CD" w:rsidRPr="00F92D37">
        <w:rPr>
          <w:rFonts w:ascii="Aptos" w:hAnsi="Aptos" w:cs="Times New Roman"/>
          <w:b/>
          <w:bCs/>
          <w:color w:val="auto"/>
          <w:sz w:val="24"/>
          <w:szCs w:val="24"/>
          <w:lang w:val="en-GB"/>
        </w:rPr>
        <w:t>.4 Limitations of the Study</w:t>
      </w:r>
      <w:bookmarkEnd w:id="43"/>
    </w:p>
    <w:p w14:paraId="1DC04ABA"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Several limitations should be acknowledged:</w:t>
      </w:r>
    </w:p>
    <w:p w14:paraId="74FF7AD0" w14:textId="77777777" w:rsidR="00CD28CD" w:rsidRPr="00FD7DF2" w:rsidRDefault="00CD28CD" w:rsidP="00B41F62">
      <w:pPr>
        <w:numPr>
          <w:ilvl w:val="0"/>
          <w:numId w:val="31"/>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Cross-sectional design: </w:t>
      </w:r>
      <w:r w:rsidRPr="00FD7DF2">
        <w:rPr>
          <w:rFonts w:ascii="Times New Roman" w:hAnsi="Times New Roman" w:cs="Times New Roman"/>
          <w:sz w:val="24"/>
          <w:szCs w:val="24"/>
          <w:lang w:val="en-GB"/>
        </w:rPr>
        <w:t>The analysis is limited to January–March 2024 and cannot capture dynamic transitions into and out of worklessness. Longitudinal data would allow stronger causal inference about household trajectories.</w:t>
      </w:r>
    </w:p>
    <w:p w14:paraId="08177514" w14:textId="77777777" w:rsidR="00CD28CD" w:rsidRPr="00FD7DF2" w:rsidRDefault="00CD28CD" w:rsidP="00B41F62">
      <w:pPr>
        <w:numPr>
          <w:ilvl w:val="0"/>
          <w:numId w:val="31"/>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Limited variable scope: </w:t>
      </w:r>
      <w:r w:rsidRPr="00FD7DF2">
        <w:rPr>
          <w:rFonts w:ascii="Times New Roman" w:hAnsi="Times New Roman" w:cs="Times New Roman"/>
          <w:sz w:val="24"/>
          <w:szCs w:val="24"/>
          <w:lang w:val="en-GB"/>
        </w:rPr>
        <w:t>While key demographic and structural factors were included, variables such as education, health, digital access, and childcare availability were not available in the dataset. These omissions may underestimate the full determinants of worklessness.</w:t>
      </w:r>
    </w:p>
    <w:p w14:paraId="06F328F5" w14:textId="77777777" w:rsidR="00CD28CD" w:rsidRPr="00FD7DF2" w:rsidRDefault="00CD28CD" w:rsidP="00B41F62">
      <w:pPr>
        <w:numPr>
          <w:ilvl w:val="0"/>
          <w:numId w:val="31"/>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Proxy measures for AI-related constructs: </w:t>
      </w:r>
      <w:r w:rsidRPr="00FD7DF2">
        <w:rPr>
          <w:rFonts w:ascii="Times New Roman" w:hAnsi="Times New Roman" w:cs="Times New Roman"/>
          <w:sz w:val="24"/>
          <w:szCs w:val="24"/>
          <w:lang w:val="en-GB"/>
        </w:rPr>
        <w:t>The analysis relied on structural proxies (household size, age, region) rather than direct measures of digital inclusion or AI usage. Consequently, the link to AI-enabled systems remains conceptual rather than empirical.</w:t>
      </w:r>
    </w:p>
    <w:p w14:paraId="3976E452" w14:textId="77777777" w:rsidR="00CD28CD" w:rsidRPr="00FD7DF2" w:rsidRDefault="00CD28CD" w:rsidP="00B41F62">
      <w:pPr>
        <w:numPr>
          <w:ilvl w:val="0"/>
          <w:numId w:val="31"/>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lastRenderedPageBreak/>
        <w:t xml:space="preserve">Generalisability beyond the UK: </w:t>
      </w:r>
      <w:r w:rsidRPr="00FD7DF2">
        <w:rPr>
          <w:rFonts w:ascii="Times New Roman" w:hAnsi="Times New Roman" w:cs="Times New Roman"/>
          <w:sz w:val="24"/>
          <w:szCs w:val="24"/>
          <w:lang w:val="en-GB"/>
        </w:rPr>
        <w:t>Although the dataset is nationally representative, findings may not transfer to countries with different welfare regimes, labour-market structures, or digital ecosystems.</w:t>
      </w:r>
    </w:p>
    <w:p w14:paraId="2121E2CD"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Despite these limitations, the study establishes a robust quantitative baseline against which future research on AI-enabled interventions can be built.</w:t>
      </w:r>
    </w:p>
    <w:p w14:paraId="7B73CBAC" w14:textId="2DD48CC4" w:rsidR="00E34713" w:rsidRPr="00F92D37" w:rsidRDefault="00E34713" w:rsidP="00B41F62">
      <w:pPr>
        <w:pStyle w:val="2"/>
        <w:spacing w:line="360" w:lineRule="auto"/>
        <w:jc w:val="both"/>
        <w:rPr>
          <w:rFonts w:ascii="Aptos" w:hAnsi="Aptos" w:cs="Times New Roman"/>
          <w:color w:val="auto"/>
          <w:sz w:val="24"/>
          <w:szCs w:val="24"/>
          <w:lang w:val="en-GB" w:eastAsia="zh-CN"/>
        </w:rPr>
      </w:pPr>
      <w:bookmarkStart w:id="44" w:name="_Toc209880924"/>
      <w:r w:rsidRPr="00F92D37">
        <w:rPr>
          <w:rFonts w:ascii="Aptos" w:hAnsi="Aptos" w:cs="Times New Roman"/>
          <w:b/>
          <w:bCs/>
          <w:color w:val="auto"/>
          <w:sz w:val="24"/>
          <w:szCs w:val="24"/>
          <w:lang w:val="en-GB"/>
        </w:rPr>
        <w:t>6.5 Summary</w:t>
      </w:r>
      <w:bookmarkEnd w:id="44"/>
      <w:r w:rsidRPr="00F92D37">
        <w:rPr>
          <w:rFonts w:ascii="Aptos" w:hAnsi="Aptos" w:cs="Times New Roman"/>
          <w:b/>
          <w:bCs/>
          <w:color w:val="auto"/>
          <w:sz w:val="24"/>
          <w:szCs w:val="24"/>
          <w:lang w:val="en-GB"/>
        </w:rPr>
        <w:t xml:space="preserve"> </w:t>
      </w:r>
      <w:r w:rsidR="00F92D37" w:rsidRPr="00F92D37">
        <w:rPr>
          <w:rFonts w:ascii="Aptos" w:hAnsi="Aptos" w:cs="Times New Roman"/>
          <w:b/>
          <w:bCs/>
          <w:color w:val="auto"/>
          <w:sz w:val="24"/>
          <w:szCs w:val="24"/>
          <w:lang w:val="en-GB" w:eastAsia="zh-CN"/>
        </w:rPr>
        <w:t xml:space="preserve"> </w:t>
      </w:r>
    </w:p>
    <w:p w14:paraId="4CF6955A" w14:textId="60AC3C93" w:rsidR="00E34713" w:rsidRPr="00FD7DF2" w:rsidRDefault="003F209E" w:rsidP="00B41F62">
      <w:pPr>
        <w:spacing w:line="360" w:lineRule="auto"/>
        <w:ind w:left="0" w:firstLine="0"/>
        <w:jc w:val="both"/>
        <w:rPr>
          <w:rFonts w:ascii="Times New Roman" w:hAnsi="Times New Roman" w:cs="Times New Roman"/>
          <w:b/>
          <w:bCs/>
          <w:sz w:val="24"/>
          <w:szCs w:val="24"/>
          <w:lang w:val="en-GB"/>
        </w:rPr>
      </w:pPr>
      <w:r w:rsidRPr="00FD7DF2">
        <w:rPr>
          <w:rFonts w:ascii="Times New Roman" w:hAnsi="Times New Roman" w:cs="Times New Roman"/>
          <w:sz w:val="24"/>
          <w:szCs w:val="24"/>
          <w:lang w:val="en-GB"/>
        </w:rPr>
        <w:t>Section</w:t>
      </w:r>
      <w:r w:rsidR="00E34713" w:rsidRPr="00FD7DF2">
        <w:rPr>
          <w:rFonts w:ascii="Times New Roman" w:hAnsi="Times New Roman" w:cs="Times New Roman"/>
          <w:sz w:val="24"/>
          <w:szCs w:val="24"/>
          <w:lang w:val="en-GB"/>
        </w:rPr>
        <w:t xml:space="preserve"> </w:t>
      </w:r>
      <w:r w:rsidR="0076654C" w:rsidRPr="00FD7DF2">
        <w:rPr>
          <w:rFonts w:ascii="Times New Roman" w:hAnsi="Times New Roman" w:cs="Times New Roman"/>
          <w:sz w:val="24"/>
          <w:szCs w:val="24"/>
          <w:lang w:val="en-GB"/>
        </w:rPr>
        <w:t>6</w:t>
      </w:r>
      <w:r w:rsidR="00E34713" w:rsidRPr="00FD7DF2">
        <w:rPr>
          <w:rFonts w:ascii="Times New Roman" w:hAnsi="Times New Roman" w:cs="Times New Roman"/>
          <w:sz w:val="24"/>
          <w:szCs w:val="24"/>
          <w:lang w:val="en-GB"/>
        </w:rPr>
        <w:t xml:space="preserve"> synthesises statistical findings with theory and research objectives. It confirms household size and age as predictors of worklessness, while regional disparities highlight structural inequalities. Implications span households, policy, and organisations, particularly regarding digital inclusion and AI-enabled interventions. The study contributes theoretically by foregrounding households as analytical units, linking labour-market inequality with digital divides, and situating AI within employability debates, despite methodological limitations. Having situated the findings within theory and practice, the next </w:t>
      </w:r>
      <w:r w:rsidRPr="00FD7DF2">
        <w:rPr>
          <w:rFonts w:ascii="Times New Roman" w:hAnsi="Times New Roman" w:cs="Times New Roman"/>
          <w:sz w:val="24"/>
          <w:szCs w:val="24"/>
          <w:lang w:val="en-GB"/>
        </w:rPr>
        <w:t>Section</w:t>
      </w:r>
      <w:r w:rsidR="00E34713" w:rsidRPr="00FD7DF2">
        <w:rPr>
          <w:rFonts w:ascii="Times New Roman" w:hAnsi="Times New Roman" w:cs="Times New Roman"/>
          <w:sz w:val="24"/>
          <w:szCs w:val="24"/>
          <w:lang w:val="en-GB"/>
        </w:rPr>
        <w:t xml:space="preserve"> reflects on the researcher’s learning journey. It evaluates the development of quantitative research skills, assesses strengths and weaknesses in applying methods to the DBA project, and considers personal insights and future directions. This reflective essay bridges the empirical contributions with professional growth, highlighting how methodological practice informs ongoing scholarly and practical engagement.</w:t>
      </w:r>
    </w:p>
    <w:p w14:paraId="12F9D9AF" w14:textId="15EA597B" w:rsidR="00CD28CD" w:rsidRPr="00F92D37" w:rsidRDefault="00F92D37" w:rsidP="00F92D37">
      <w:pPr>
        <w:pStyle w:val="1"/>
        <w:rPr>
          <w:rFonts w:ascii="Aptos" w:hAnsi="Aptos"/>
          <w:b/>
          <w:bCs/>
          <w:color w:val="auto"/>
          <w:sz w:val="28"/>
          <w:szCs w:val="28"/>
        </w:rPr>
      </w:pPr>
      <w:bookmarkStart w:id="45" w:name="_Toc209880925"/>
      <w:r w:rsidRPr="00F92D37">
        <w:rPr>
          <w:rFonts w:ascii="Aptos" w:hAnsi="Aptos"/>
          <w:b/>
          <w:bCs/>
          <w:color w:val="auto"/>
          <w:sz w:val="28"/>
          <w:szCs w:val="28"/>
          <w:lang w:eastAsia="zh-CN"/>
        </w:rPr>
        <w:t xml:space="preserve">7. </w:t>
      </w:r>
      <w:r w:rsidR="00935EEB" w:rsidRPr="00F92D37">
        <w:rPr>
          <w:rFonts w:ascii="Aptos" w:hAnsi="Aptos"/>
          <w:b/>
          <w:bCs/>
          <w:color w:val="auto"/>
          <w:sz w:val="28"/>
          <w:szCs w:val="28"/>
        </w:rPr>
        <w:t xml:space="preserve">Conclusion and </w:t>
      </w:r>
      <w:r w:rsidR="00CD28CD" w:rsidRPr="00F92D37">
        <w:rPr>
          <w:rFonts w:ascii="Aptos" w:hAnsi="Aptos"/>
          <w:b/>
          <w:bCs/>
          <w:color w:val="auto"/>
          <w:sz w:val="28"/>
          <w:szCs w:val="28"/>
        </w:rPr>
        <w:t>Reflecti</w:t>
      </w:r>
      <w:r w:rsidR="004E79A5" w:rsidRPr="00F92D37">
        <w:rPr>
          <w:rFonts w:ascii="Aptos" w:hAnsi="Aptos"/>
          <w:b/>
          <w:bCs/>
          <w:color w:val="auto"/>
          <w:sz w:val="28"/>
          <w:szCs w:val="28"/>
        </w:rPr>
        <w:t>on</w:t>
      </w:r>
      <w:bookmarkEnd w:id="45"/>
    </w:p>
    <w:p w14:paraId="1620C161"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reflective essay considers the development of my quantitative research skills through the module, critically evaluates the use of quantitative methods in my DBA project, and identifies personal insights as well as future directions. While written in a continuous narrative style, the essay remains structured around key themes to provide clarity.</w:t>
      </w:r>
    </w:p>
    <w:p w14:paraId="01A75F90" w14:textId="45F282B9" w:rsidR="00CD28CD" w:rsidRPr="00F92D37" w:rsidRDefault="00935EEB" w:rsidP="00B41F62">
      <w:pPr>
        <w:pStyle w:val="2"/>
        <w:spacing w:line="360" w:lineRule="auto"/>
        <w:jc w:val="both"/>
        <w:rPr>
          <w:rFonts w:ascii="Aptos" w:hAnsi="Aptos" w:cs="Times New Roman"/>
          <w:b/>
          <w:bCs/>
          <w:color w:val="auto"/>
          <w:sz w:val="24"/>
          <w:szCs w:val="24"/>
          <w:lang w:val="en-GB"/>
        </w:rPr>
      </w:pPr>
      <w:bookmarkStart w:id="46" w:name="_Toc209880926"/>
      <w:r w:rsidRPr="00F92D37">
        <w:rPr>
          <w:rFonts w:ascii="Aptos" w:hAnsi="Aptos" w:cs="Times New Roman"/>
          <w:b/>
          <w:bCs/>
          <w:color w:val="auto"/>
          <w:sz w:val="24"/>
          <w:szCs w:val="24"/>
          <w:lang w:val="en-GB"/>
        </w:rPr>
        <w:t>7</w:t>
      </w:r>
      <w:r w:rsidR="00CD28CD" w:rsidRPr="00F92D37">
        <w:rPr>
          <w:rFonts w:ascii="Aptos" w:hAnsi="Aptos" w:cs="Times New Roman"/>
          <w:b/>
          <w:bCs/>
          <w:color w:val="auto"/>
          <w:sz w:val="24"/>
          <w:szCs w:val="24"/>
          <w:lang w:val="en-GB"/>
        </w:rPr>
        <w:t>.1 How the Module Improved My Quantitative Research Skills</w:t>
      </w:r>
      <w:bookmarkEnd w:id="46"/>
    </w:p>
    <w:p w14:paraId="0D09C911"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When I began this module, my experience with quantitative research was limited to a basic understanding of descriptive statistics and survey data analysis. Although I had encountered statistical techniques before, I lacked the depth of knowledge to use them effectively or to interpret results with confidence. Engaging with this module has significantly advanced both my technical competence and my critical appreciation of quantitative approaches.</w:t>
      </w:r>
    </w:p>
    <w:p w14:paraId="4B735C08" w14:textId="114261F0"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lastRenderedPageBreak/>
        <w:t>A major area of development was data handling and preparation. Through repeated practice, I learned how to screen datasets for outliers, missing values, and logical inconsistencies. For example, while conducting the Labour Force Survey, it was critical to check the consistency between full-work, mixed, or workless household classification and the size of the household. This exercise trained me to ensure the reliability of data before conducting any statistical analysis.</w:t>
      </w:r>
    </w:p>
    <w:p w14:paraId="239E6F7E" w14:textId="7799C3C0"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Also important was my growing familiarity with statistical thinking. I moved from reliance on descriptive summaries to the application of inferential techniques such as chi-square tests, ANOVA, correlation, and logistic regression (Statistics, 2013). Not only did the module tell me how these tests should be conducted using SPSS, but it also told me why a specific technique is employed in a specific case. Understanding that chi-square is best for categorical associations, whereas logistic regression is applied to predict dichotomous variables (Anitha et al., 2025), allowed me to write analysis that addressed my study hypotheses well.</w:t>
      </w:r>
    </w:p>
    <w:p w14:paraId="102808FF"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Another significant advancement has been in the areas of interpretation and communication. Previously, I used to routinely offer statistical results alone, quoting figures without bringing them back to theory or actual relevance. The module encouraged me to translate outputs into narratives which highlight implications. I have learned to prepare tables and figures that present results briefly but learned also to speak about them in a way that relates directly to research objectives.</w:t>
      </w:r>
    </w:p>
    <w:p w14:paraId="6AEDD867"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Finally, I grew more attuned to reliability and validity as key quantitative research elements. While working with secondary data sets, I started questioning how variables were measured, how samples were chosen, and what assumptions were made in measures. This has sharpened my skill to evaluate evidence quality and made me more assertive about defending methodological decisions.</w:t>
      </w:r>
    </w:p>
    <w:p w14:paraId="4193E958" w14:textId="71E91810" w:rsidR="00CD28CD" w:rsidRPr="00F92D37" w:rsidRDefault="00935EEB" w:rsidP="00B41F62">
      <w:pPr>
        <w:pStyle w:val="2"/>
        <w:spacing w:line="360" w:lineRule="auto"/>
        <w:jc w:val="both"/>
        <w:rPr>
          <w:rFonts w:ascii="Aptos" w:hAnsi="Aptos" w:cs="Times New Roman"/>
          <w:b/>
          <w:bCs/>
          <w:color w:val="auto"/>
          <w:sz w:val="24"/>
          <w:szCs w:val="24"/>
          <w:lang w:val="en-GB"/>
        </w:rPr>
      </w:pPr>
      <w:bookmarkStart w:id="47" w:name="_Toc209880927"/>
      <w:r w:rsidRPr="00F92D37">
        <w:rPr>
          <w:rFonts w:ascii="Aptos" w:hAnsi="Aptos" w:cs="Times New Roman"/>
          <w:b/>
          <w:bCs/>
          <w:color w:val="auto"/>
          <w:sz w:val="24"/>
          <w:szCs w:val="24"/>
          <w:lang w:val="en-GB"/>
        </w:rPr>
        <w:t>7</w:t>
      </w:r>
      <w:r w:rsidR="00CD28CD" w:rsidRPr="00F92D37">
        <w:rPr>
          <w:rFonts w:ascii="Aptos" w:hAnsi="Aptos" w:cs="Times New Roman"/>
          <w:b/>
          <w:bCs/>
          <w:color w:val="auto"/>
          <w:sz w:val="24"/>
          <w:szCs w:val="24"/>
          <w:lang w:val="en-GB"/>
        </w:rPr>
        <w:t>.2 Critical Self-Assessment of Using Quantitative Methods in My DBA</w:t>
      </w:r>
      <w:bookmarkEnd w:id="47"/>
    </w:p>
    <w:p w14:paraId="626BAD9B"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Reflecting on my DBA project, which examines the potential of AI-capable knowledge-sharing systems in reducing household worklessness, I can identify both the strengths and weaknesses of how I applied quantitative methods. To begin with, I was able to use a nationally representative dataset and thus was able to ensure that the findings had external validity and meaning within the UK context. Employing a combination of descriptive statistics, chi-square tests, ANOVA, and logistic regression enabled me to approach the issue in several ways, including triangulation between the approaches. This diversity enriched the analysis and provided stronger foundations for making conclusions upon.</w:t>
      </w:r>
    </w:p>
    <w:p w14:paraId="57F00EF0" w14:textId="7A5276CD"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lastRenderedPageBreak/>
        <w:t>But I also faced various limitations. First, the information was cross-</w:t>
      </w:r>
      <w:r w:rsidR="003F209E" w:rsidRPr="00FD7DF2">
        <w:rPr>
          <w:rFonts w:ascii="Times New Roman" w:hAnsi="Times New Roman" w:cs="Times New Roman"/>
          <w:sz w:val="24"/>
          <w:szCs w:val="24"/>
          <w:lang w:val="en-GB"/>
        </w:rPr>
        <w:t>section</w:t>
      </w:r>
      <w:r w:rsidRPr="00FD7DF2">
        <w:rPr>
          <w:rFonts w:ascii="Times New Roman" w:hAnsi="Times New Roman" w:cs="Times New Roman"/>
          <w:sz w:val="24"/>
          <w:szCs w:val="24"/>
          <w:lang w:val="en-GB"/>
        </w:rPr>
        <w:t>al, covering only one quarter of 2024. As such, it was not capable of showing how households get into or out of worklessness in the long term. This restricted the capability to make causal claims, which would have been better explored using longitudinal data. Another limitation was the restricted set of variables available. Since my research focuses on the role of AI and digital inclusion, it was frustrating that the dataset did not contain direct measures of digital access or AI use. Instead, I had to rely on demographic proxies such as household size and age, which, while informative, did not fully capture the constructs I wanted to explore.</w:t>
      </w:r>
    </w:p>
    <w:p w14:paraId="2F7A0227"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I also reflect critically on my early tendency to focus narrowly on p-values and significance levels. At the beginning of the analysis process, I was prone to reporting results mechanically. Through the module, I became more attuned to the importance of effect sizes, model fit, and substantive interpretation. This is an area where I feel I have grown, though I acknowledge that I still need more confidence with advanced statistical modelling techniques such as structural equation modelling or multilevel analysis. In summary, while my use of quantitative methods in the DBA demonstrated clear strengths in scope and execution, I recognise the limitations inherent in both the dataset and my own developing expertise.</w:t>
      </w:r>
    </w:p>
    <w:p w14:paraId="76B15A65" w14:textId="26A51B4A" w:rsidR="00CD28CD" w:rsidRPr="00F92D37" w:rsidRDefault="00935EEB" w:rsidP="00F92D37">
      <w:pPr>
        <w:pStyle w:val="2"/>
        <w:rPr>
          <w:b/>
          <w:bCs/>
          <w:color w:val="auto"/>
          <w:sz w:val="24"/>
          <w:szCs w:val="24"/>
        </w:rPr>
      </w:pPr>
      <w:bookmarkStart w:id="48" w:name="_Toc209880928"/>
      <w:r w:rsidRPr="00F92D37">
        <w:rPr>
          <w:b/>
          <w:bCs/>
          <w:color w:val="auto"/>
          <w:sz w:val="24"/>
          <w:szCs w:val="24"/>
        </w:rPr>
        <w:t>7</w:t>
      </w:r>
      <w:r w:rsidR="00CD28CD" w:rsidRPr="00F92D37">
        <w:rPr>
          <w:b/>
          <w:bCs/>
          <w:color w:val="auto"/>
          <w:sz w:val="24"/>
          <w:szCs w:val="24"/>
        </w:rPr>
        <w:t>.3 Personal Insights</w:t>
      </w:r>
      <w:bookmarkEnd w:id="48"/>
    </w:p>
    <w:p w14:paraId="0CE5D8CB" w14:textId="414087B9"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experience of applying quantitative methods has produced some significant personal reflections. First, the recognition of how quantitative research can bridge academic and practitioner domains. As a DBA student, my research must not only advance theory but also inform practice. Quantitative analysis grants a source of evidence that is credible. For organi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ations and policymakers, such analysis offers a powerful language of comparison and accountability (Rich et al., 2018). For academics, they provide the basis to test hypotheses and advance theory.</w:t>
      </w:r>
    </w:p>
    <w:p w14:paraId="68BAA036"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Second, I got to learn how to deal with complex data. Before this project, statistical analysis was intimidating, full of technical concepts and assumptions I could not grasp. Though this project, I discovered that complex data is manageable by employing systematic approaches such as testing assumptions, selecting appropriate tests, and accurately presenting results. This I will reflect on my professional life after research, shaping how I approach complex organisational problems.</w:t>
      </w:r>
    </w:p>
    <w:p w14:paraId="5AA127DC" w14:textId="178B5D2E"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Thirdly, I have also come to appreciate reflexivity in quantitative work. I used to regard reflexivity as being more qualitative in nature, but now I reali</w:t>
      </w:r>
      <w:r w:rsidR="0052050B" w:rsidRPr="00FD7DF2">
        <w:rPr>
          <w:rFonts w:ascii="Times New Roman" w:hAnsi="Times New Roman" w:cs="Times New Roman"/>
          <w:sz w:val="24"/>
          <w:szCs w:val="24"/>
          <w:lang w:val="en-GB"/>
        </w:rPr>
        <w:t>s</w:t>
      </w:r>
      <w:r w:rsidRPr="00FD7DF2">
        <w:rPr>
          <w:rFonts w:ascii="Times New Roman" w:hAnsi="Times New Roman" w:cs="Times New Roman"/>
          <w:sz w:val="24"/>
          <w:szCs w:val="24"/>
          <w:lang w:val="en-GB"/>
        </w:rPr>
        <w:t xml:space="preserve">e all quantitative choices—variable selection, </w:t>
      </w:r>
      <w:r w:rsidRPr="00FD7DF2">
        <w:rPr>
          <w:rFonts w:ascii="Times New Roman" w:hAnsi="Times New Roman" w:cs="Times New Roman"/>
          <w:sz w:val="24"/>
          <w:szCs w:val="24"/>
          <w:lang w:val="en-GB"/>
        </w:rPr>
        <w:lastRenderedPageBreak/>
        <w:t>model specification, or interpretation—are full of assumptions. Being clear about these assumptions, and understanding their implications, makes the study more credible.</w:t>
      </w:r>
    </w:p>
    <w:p w14:paraId="73830081"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Finally, I have come to understand that quantitative and qualitative methods are not competing methodologies but supplements. Whereas statistical models may uncover patterns and associations, qualitative approaches may, at times, be needed to explain the reason why the patterns occur. This has only served to enhance my appreciation of mixed-methods designs, and I am convinced they will be essential in my subsequent works.</w:t>
      </w:r>
    </w:p>
    <w:p w14:paraId="03B7500D" w14:textId="5F73EBC0" w:rsidR="00CD28CD" w:rsidRPr="00F92D37" w:rsidRDefault="00935EEB" w:rsidP="00F92D37">
      <w:pPr>
        <w:pStyle w:val="2"/>
        <w:rPr>
          <w:rFonts w:ascii="Aptos" w:hAnsi="Aptos"/>
          <w:b/>
          <w:bCs/>
          <w:color w:val="auto"/>
          <w:sz w:val="24"/>
          <w:szCs w:val="24"/>
        </w:rPr>
      </w:pPr>
      <w:bookmarkStart w:id="49" w:name="_Toc209880929"/>
      <w:r w:rsidRPr="00F92D37">
        <w:rPr>
          <w:rFonts w:ascii="Aptos" w:hAnsi="Aptos"/>
          <w:b/>
          <w:bCs/>
          <w:color w:val="auto"/>
          <w:sz w:val="24"/>
          <w:szCs w:val="24"/>
        </w:rPr>
        <w:t>7</w:t>
      </w:r>
      <w:r w:rsidR="00CD28CD" w:rsidRPr="00F92D37">
        <w:rPr>
          <w:rFonts w:ascii="Aptos" w:hAnsi="Aptos"/>
          <w:b/>
          <w:bCs/>
          <w:color w:val="auto"/>
          <w:sz w:val="24"/>
          <w:szCs w:val="24"/>
        </w:rPr>
        <w:t>.4 Future Directions</w:t>
      </w:r>
      <w:bookmarkEnd w:id="49"/>
    </w:p>
    <w:p w14:paraId="2A86A784" w14:textId="2936FAD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Looking ahead, I see several avenues for further development. I intend to improve my quantitative skills by becoming more experienced in higher-order quantitative techniques. Structural equation modelling would allow me to </w:t>
      </w:r>
      <w:r w:rsidR="0052050B" w:rsidRPr="00FD7DF2">
        <w:rPr>
          <w:rFonts w:ascii="Times New Roman" w:hAnsi="Times New Roman" w:cs="Times New Roman"/>
          <w:sz w:val="24"/>
          <w:szCs w:val="24"/>
          <w:lang w:val="en-GB"/>
        </w:rPr>
        <w:t>analyse</w:t>
      </w:r>
      <w:r w:rsidRPr="00FD7DF2">
        <w:rPr>
          <w:rFonts w:ascii="Times New Roman" w:hAnsi="Times New Roman" w:cs="Times New Roman"/>
          <w:sz w:val="24"/>
          <w:szCs w:val="24"/>
          <w:lang w:val="en-GB"/>
        </w:rPr>
        <w:t xml:space="preserve"> complex associations between latent variables, and longitudinal and multilevel models would provide me with a greater facility for </w:t>
      </w:r>
      <w:r w:rsidR="0052050B" w:rsidRPr="00FD7DF2">
        <w:rPr>
          <w:rFonts w:ascii="Times New Roman" w:hAnsi="Times New Roman" w:cs="Times New Roman"/>
          <w:sz w:val="24"/>
          <w:szCs w:val="24"/>
          <w:lang w:val="en-GB"/>
        </w:rPr>
        <w:t>analysing</w:t>
      </w:r>
      <w:r w:rsidRPr="00FD7DF2">
        <w:rPr>
          <w:rFonts w:ascii="Times New Roman" w:hAnsi="Times New Roman" w:cs="Times New Roman"/>
          <w:sz w:val="24"/>
          <w:szCs w:val="24"/>
          <w:lang w:val="en-GB"/>
        </w:rPr>
        <w:t xml:space="preserve"> change over time and nested data structures (Little, 2024). These techniques would be particularly helpful if I conduct cross-regional or organisational comparisons for my research on employability with AI.</w:t>
      </w:r>
    </w:p>
    <w:p w14:paraId="0AD52D8D"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Professionally, these skills will be applied in programme and intervention assessment. Logistic regression, for instance, would allow organisations to identify those staff groups most likely to suffer from digital exclusion, and ANOVA would assess whether training schemes are effective (Cabero‐Almenara et al., 2022). The inclusion of statistical analysis into decision-making within governance would strengthen policy evidence and improve outcomes.</w:t>
      </w:r>
    </w:p>
    <w:p w14:paraId="2F412F59"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I also intend to take mixed-methods research as the future direction. By combining quantitative surveys with qualitative focus groups or interviews, I can generate insights that are contextualised yet generalisable. This would improve my research's theoretical contribution as well as its applicability to practice.</w:t>
      </w:r>
    </w:p>
    <w:p w14:paraId="72C23ADA" w14:textId="77777777" w:rsidR="00CD28CD" w:rsidRPr="00FD7DF2" w:rsidRDefault="00CD28CD" w:rsidP="00B41F62">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Finally, I am aware of the importance of continuous learning. Quantitative methods, particularly with the era of big data and AI, evolve on a daily basis (Duan et al., 2019). I plan to keep taking advantage of workshops, e-learning programs, and collaborative programs so that my skills remain current and pertinent.</w:t>
      </w:r>
    </w:p>
    <w:p w14:paraId="1A74DFFE" w14:textId="6C6983B9" w:rsidR="00E34713" w:rsidRPr="00F92D37" w:rsidRDefault="00E34713" w:rsidP="00F92D37">
      <w:pPr>
        <w:pStyle w:val="2"/>
        <w:rPr>
          <w:b/>
          <w:bCs/>
          <w:color w:val="auto"/>
          <w:sz w:val="24"/>
          <w:szCs w:val="24"/>
        </w:rPr>
      </w:pPr>
      <w:bookmarkStart w:id="50" w:name="_Toc209880930"/>
      <w:r w:rsidRPr="00F92D37">
        <w:rPr>
          <w:b/>
          <w:bCs/>
          <w:color w:val="auto"/>
          <w:sz w:val="24"/>
          <w:szCs w:val="24"/>
        </w:rPr>
        <w:lastRenderedPageBreak/>
        <w:t>7.5 Summary</w:t>
      </w:r>
      <w:bookmarkEnd w:id="50"/>
    </w:p>
    <w:p w14:paraId="7B97A5B3" w14:textId="2003B1CA" w:rsidR="00F92D37" w:rsidRDefault="00E34713" w:rsidP="008F2F27">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Overall, the module has changed my perception regarding quantitative research. I have moved from hesitant understanding to assured application, and I am now at ease with quantitative methods as part of my scholarly and professional toolkit. The skills that I have developed—particularly in data preparation, statistical thinking, interpretation, and reflexivity—have enhanced the quality of my DBA project and also will direct me in future research. At the same time, I am aware of the limitations of my current capability and the need for ongoing development. This experience, in addition to providing me with hands-on abilities, has altered my attitude. I now approach quantitative analysis with enthusiasm rather than apprehension, and with a will to employ numbers not only as abstract measures but as tangible evidence to inform theory, practice, and policy.</w:t>
      </w:r>
      <w:bookmarkStart w:id="51" w:name="_Toc7940"/>
    </w:p>
    <w:p w14:paraId="00EB2E98"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38EF5576"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2E29AEB8"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53E399D6"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629FA068"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1F5CD0EB"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76A4C532"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05360DCE"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2D955CF6"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78800B15"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51397C74"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53038C0B"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679BDEBD"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77E08BC0"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79889690"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0B52B61B"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3842FD07"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75394A7C" w14:textId="77777777" w:rsidR="00F438BF" w:rsidRDefault="00F438BF" w:rsidP="008F2F27">
      <w:pPr>
        <w:spacing w:line="360" w:lineRule="auto"/>
        <w:ind w:left="0" w:firstLine="0"/>
        <w:jc w:val="both"/>
        <w:rPr>
          <w:rFonts w:ascii="Times New Roman" w:hAnsi="Times New Roman" w:cs="Times New Roman"/>
          <w:sz w:val="24"/>
          <w:szCs w:val="24"/>
          <w:lang w:val="en-GB"/>
        </w:rPr>
      </w:pPr>
    </w:p>
    <w:p w14:paraId="355BDA46" w14:textId="77777777" w:rsidR="00F438BF" w:rsidRPr="00F438BF" w:rsidRDefault="00F438BF" w:rsidP="008F2F27">
      <w:pPr>
        <w:spacing w:line="360" w:lineRule="auto"/>
        <w:ind w:left="0" w:firstLine="0"/>
        <w:jc w:val="both"/>
        <w:rPr>
          <w:rFonts w:ascii="Times New Roman" w:hAnsi="Times New Roman" w:cs="Times New Roman"/>
          <w:sz w:val="24"/>
          <w:szCs w:val="24"/>
          <w:lang w:val="en-GB"/>
        </w:rPr>
      </w:pPr>
    </w:p>
    <w:p w14:paraId="214F5228" w14:textId="4E2674C8" w:rsidR="003022DE" w:rsidRPr="00F92D37" w:rsidRDefault="00F92D37" w:rsidP="00F92D37">
      <w:pPr>
        <w:pStyle w:val="1"/>
        <w:rPr>
          <w:rFonts w:ascii="Aptos" w:hAnsi="Aptos"/>
          <w:b/>
          <w:bCs/>
          <w:color w:val="auto"/>
          <w:sz w:val="28"/>
          <w:szCs w:val="28"/>
        </w:rPr>
      </w:pPr>
      <w:bookmarkStart w:id="52" w:name="_Toc209880931"/>
      <w:bookmarkEnd w:id="51"/>
      <w:r>
        <w:rPr>
          <w:rFonts w:ascii="Aptos" w:hAnsi="Aptos" w:hint="eastAsia"/>
          <w:b/>
          <w:bCs/>
          <w:color w:val="auto"/>
          <w:sz w:val="28"/>
          <w:szCs w:val="28"/>
          <w:lang w:eastAsia="zh-CN"/>
        </w:rPr>
        <w:lastRenderedPageBreak/>
        <w:t xml:space="preserve">8. </w:t>
      </w:r>
      <w:r w:rsidR="00935EEB" w:rsidRPr="00F92D37">
        <w:rPr>
          <w:rFonts w:ascii="Aptos" w:hAnsi="Aptos"/>
          <w:b/>
          <w:bCs/>
          <w:color w:val="auto"/>
          <w:sz w:val="28"/>
          <w:szCs w:val="28"/>
        </w:rPr>
        <w:t>References</w:t>
      </w:r>
      <w:bookmarkEnd w:id="52"/>
    </w:p>
    <w:p w14:paraId="75F7965D"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bookmarkStart w:id="53" w:name="_Hlk185317818"/>
      <w:r w:rsidRPr="00FD7DF2">
        <w:rPr>
          <w:rFonts w:ascii="Times New Roman" w:hAnsi="Times New Roman" w:cs="Times New Roman"/>
          <w:sz w:val="24"/>
          <w:szCs w:val="24"/>
          <w:shd w:val="clear" w:color="auto" w:fill="FFFFFF"/>
          <w:lang w:val="en-GB"/>
        </w:rPr>
        <w:t>Ali, I. M. 2024. A guide for positivist research paradigm: From philosophy to methodology. </w:t>
      </w:r>
      <w:r w:rsidRPr="00FD7DF2">
        <w:rPr>
          <w:rFonts w:ascii="Times New Roman" w:hAnsi="Times New Roman" w:cs="Times New Roman"/>
          <w:i/>
          <w:iCs/>
          <w:sz w:val="24"/>
          <w:szCs w:val="24"/>
          <w:shd w:val="clear" w:color="auto" w:fill="FFFFFF"/>
          <w:lang w:val="en-GB"/>
        </w:rPr>
        <w:t>Idealogy Journal</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9</w:t>
      </w:r>
      <w:r w:rsidRPr="00FD7DF2">
        <w:rPr>
          <w:rFonts w:ascii="Times New Roman" w:hAnsi="Times New Roman" w:cs="Times New Roman"/>
          <w:sz w:val="24"/>
          <w:szCs w:val="24"/>
          <w:shd w:val="clear" w:color="auto" w:fill="FFFFFF"/>
          <w:lang w:val="en-GB"/>
        </w:rPr>
        <w:t xml:space="preserve">(2). </w:t>
      </w:r>
      <w:hyperlink r:id="rId20" w:history="1">
        <w:r w:rsidRPr="00FD7DF2">
          <w:rPr>
            <w:rStyle w:val="a7"/>
            <w:rFonts w:ascii="Times New Roman" w:hAnsi="Times New Roman" w:cs="Times New Roman"/>
            <w:color w:val="auto"/>
            <w:sz w:val="24"/>
            <w:szCs w:val="24"/>
            <w:shd w:val="clear" w:color="auto" w:fill="FFFFFF"/>
            <w:lang w:val="en-GB"/>
          </w:rPr>
          <w:t>http://www.idealogyjournal.com/ojs/index.php/idealogy/article/view/596</w:t>
        </w:r>
      </w:hyperlink>
    </w:p>
    <w:p w14:paraId="36505CC2"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bookmarkStart w:id="54" w:name="_Hlk206682110"/>
      <w:r w:rsidRPr="00FD7DF2">
        <w:rPr>
          <w:rFonts w:ascii="Times New Roman" w:hAnsi="Times New Roman" w:cs="Times New Roman"/>
          <w:sz w:val="24"/>
          <w:szCs w:val="24"/>
          <w:shd w:val="clear" w:color="auto" w:fill="FFFFFF"/>
          <w:lang w:val="en-GB"/>
        </w:rPr>
        <w:t>Anitha</w:t>
      </w:r>
      <w:bookmarkEnd w:id="54"/>
      <w:r w:rsidRPr="00FD7DF2">
        <w:rPr>
          <w:rFonts w:ascii="Times New Roman" w:hAnsi="Times New Roman" w:cs="Times New Roman"/>
          <w:sz w:val="24"/>
          <w:szCs w:val="24"/>
          <w:shd w:val="clear" w:color="auto" w:fill="FFFFFF"/>
          <w:lang w:val="en-GB"/>
        </w:rPr>
        <w:t>, M., Savarimuthu, N. and Bhanu, S., 2025. Chi-square target encoding for categorical data representation: a real-world sensor data case study. </w:t>
      </w:r>
      <w:r w:rsidRPr="00FD7DF2">
        <w:rPr>
          <w:rFonts w:ascii="Times New Roman" w:hAnsi="Times New Roman" w:cs="Times New Roman"/>
          <w:i/>
          <w:iCs/>
          <w:sz w:val="24"/>
          <w:szCs w:val="24"/>
          <w:shd w:val="clear" w:color="auto" w:fill="FFFFFF"/>
          <w:lang w:val="en-GB"/>
        </w:rPr>
        <w:t>SN Computer Science</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6</w:t>
      </w:r>
      <w:r w:rsidRPr="00FD7DF2">
        <w:rPr>
          <w:rFonts w:ascii="Times New Roman" w:hAnsi="Times New Roman" w:cs="Times New Roman"/>
          <w:sz w:val="24"/>
          <w:szCs w:val="24"/>
          <w:shd w:val="clear" w:color="auto" w:fill="FFFFFF"/>
          <w:lang w:val="en-GB"/>
        </w:rPr>
        <w:t xml:space="preserve">(3), pp.1-22. </w:t>
      </w:r>
      <w:hyperlink r:id="rId21" w:history="1">
        <w:r w:rsidRPr="00FD7DF2">
          <w:rPr>
            <w:rStyle w:val="a7"/>
            <w:rFonts w:ascii="Times New Roman" w:hAnsi="Times New Roman" w:cs="Times New Roman"/>
            <w:color w:val="auto"/>
            <w:sz w:val="24"/>
            <w:szCs w:val="24"/>
            <w:shd w:val="clear" w:color="auto" w:fill="FFFFFF"/>
            <w:lang w:val="en-GB"/>
          </w:rPr>
          <w:t>https://link.springer.com/article/10.1007/s42979-025-03766-z</w:t>
        </w:r>
      </w:hyperlink>
    </w:p>
    <w:p w14:paraId="440340CA"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Bardasi, E., &amp; Francesconi, M. 2004. </w:t>
      </w:r>
      <w:r w:rsidRPr="00FD7DF2">
        <w:rPr>
          <w:rFonts w:ascii="Times New Roman" w:hAnsi="Times New Roman" w:cs="Times New Roman"/>
          <w:i/>
          <w:iCs/>
          <w:sz w:val="24"/>
          <w:szCs w:val="24"/>
          <w:shd w:val="clear" w:color="auto" w:fill="FFFFFF"/>
          <w:lang w:val="en-GB"/>
        </w:rPr>
        <w:t>The impact of atypical employment on individual wellbeing: Evidence from a panel of British workers.</w:t>
      </w:r>
      <w:r w:rsidRPr="00FD7DF2">
        <w:rPr>
          <w:rFonts w:ascii="Times New Roman" w:hAnsi="Times New Roman" w:cs="Times New Roman"/>
          <w:sz w:val="24"/>
          <w:szCs w:val="24"/>
          <w:shd w:val="clear" w:color="auto" w:fill="FFFFFF"/>
          <w:lang w:val="en-GB"/>
        </w:rPr>
        <w:t xml:space="preserve"> Social Science &amp; Medicine, 58(9), 1671–1688. </w:t>
      </w:r>
      <w:hyperlink r:id="rId22" w:history="1">
        <w:r w:rsidRPr="00FD7DF2">
          <w:rPr>
            <w:rStyle w:val="a7"/>
            <w:rFonts w:ascii="Times New Roman" w:hAnsi="Times New Roman" w:cs="Times New Roman"/>
            <w:color w:val="auto"/>
            <w:sz w:val="24"/>
            <w:szCs w:val="24"/>
            <w:shd w:val="clear" w:color="auto" w:fill="FFFFFF"/>
            <w:lang w:val="en-GB"/>
          </w:rPr>
          <w:t>https://www.econstor.eu/bitstream/10419/91927/1/2003-02.pdf</w:t>
        </w:r>
      </w:hyperlink>
    </w:p>
    <w:p w14:paraId="4BD955B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Baškarada, S. and Koronios, A., 2018. A philosophical discussion of qualitative, quantitative, and mixed methods research in social science. </w:t>
      </w:r>
      <w:r w:rsidRPr="00FD7DF2">
        <w:rPr>
          <w:rFonts w:ascii="Times New Roman" w:hAnsi="Times New Roman" w:cs="Times New Roman"/>
          <w:i/>
          <w:iCs/>
          <w:sz w:val="24"/>
          <w:szCs w:val="24"/>
          <w:shd w:val="clear" w:color="auto" w:fill="FFFFFF"/>
          <w:lang w:val="en-GB"/>
        </w:rPr>
        <w:t>Qualitative Research Journal</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18</w:t>
      </w:r>
      <w:r w:rsidRPr="00FD7DF2">
        <w:rPr>
          <w:rFonts w:ascii="Times New Roman" w:hAnsi="Times New Roman" w:cs="Times New Roman"/>
          <w:sz w:val="24"/>
          <w:szCs w:val="24"/>
          <w:shd w:val="clear" w:color="auto" w:fill="FFFFFF"/>
          <w:lang w:val="en-GB"/>
        </w:rPr>
        <w:t xml:space="preserve">(1), pp.2-21. </w:t>
      </w:r>
      <w:hyperlink r:id="rId23" w:history="1">
        <w:r w:rsidRPr="00FD7DF2">
          <w:rPr>
            <w:rStyle w:val="a7"/>
            <w:rFonts w:ascii="Times New Roman" w:hAnsi="Times New Roman" w:cs="Times New Roman"/>
            <w:color w:val="auto"/>
            <w:sz w:val="24"/>
            <w:szCs w:val="24"/>
            <w:shd w:val="clear" w:color="auto" w:fill="FFFFFF"/>
            <w:lang w:val="en-GB"/>
          </w:rPr>
          <w:t>https://www.emerald.com/insight/content/doi/10.1108/QRJ-D-17-00042/full/html</w:t>
        </w:r>
      </w:hyperlink>
    </w:p>
    <w:p w14:paraId="6BB9CFCD"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Beatty, C. &amp; Fothergill, S., 2020. </w:t>
      </w:r>
      <w:r w:rsidRPr="00FD7DF2">
        <w:rPr>
          <w:rFonts w:ascii="Times New Roman" w:hAnsi="Times New Roman" w:cs="Times New Roman"/>
          <w:i/>
          <w:iCs/>
          <w:sz w:val="24"/>
          <w:szCs w:val="24"/>
          <w:shd w:val="clear" w:color="auto" w:fill="FFFFFF"/>
          <w:lang w:val="en-GB"/>
        </w:rPr>
        <w:t>The long shadow of job loss: Britain’s older industrial towns in the 21st century</w:t>
      </w:r>
      <w:r w:rsidRPr="00FD7DF2">
        <w:rPr>
          <w:rFonts w:ascii="Times New Roman" w:hAnsi="Times New Roman" w:cs="Times New Roman"/>
          <w:sz w:val="24"/>
          <w:szCs w:val="24"/>
          <w:shd w:val="clear" w:color="auto" w:fill="FFFFFF"/>
          <w:lang w:val="en-GB"/>
        </w:rPr>
        <w:t xml:space="preserve">. </w:t>
      </w:r>
      <w:r w:rsidRPr="00FD7DF2">
        <w:rPr>
          <w:rFonts w:ascii="Times New Roman" w:hAnsi="Times New Roman" w:cs="Times New Roman"/>
          <w:i/>
          <w:iCs/>
          <w:sz w:val="24"/>
          <w:szCs w:val="24"/>
          <w:shd w:val="clear" w:color="auto" w:fill="FFFFFF"/>
          <w:lang w:val="en-GB"/>
        </w:rPr>
        <w:t>Frontiers in Sociology</w:t>
      </w:r>
      <w:r w:rsidRPr="00FD7DF2">
        <w:rPr>
          <w:rFonts w:ascii="Times New Roman" w:hAnsi="Times New Roman" w:cs="Times New Roman"/>
          <w:sz w:val="24"/>
          <w:szCs w:val="24"/>
          <w:shd w:val="clear" w:color="auto" w:fill="FFFFFF"/>
          <w:lang w:val="en-GB"/>
        </w:rPr>
        <w:t xml:space="preserve">, 5, p.54. Available at: </w:t>
      </w:r>
      <w:hyperlink r:id="rId24" w:tgtFrame="_new" w:history="1">
        <w:r w:rsidRPr="00FD7DF2">
          <w:rPr>
            <w:rStyle w:val="a7"/>
            <w:rFonts w:ascii="Times New Roman" w:hAnsi="Times New Roman" w:cs="Times New Roman"/>
            <w:color w:val="auto"/>
            <w:sz w:val="24"/>
            <w:szCs w:val="24"/>
            <w:shd w:val="clear" w:color="auto" w:fill="FFFFFF"/>
            <w:lang w:val="en-GB"/>
          </w:rPr>
          <w:t>https://pubmed.ncbi.nlm.nih.gov/33869461/</w:t>
        </w:r>
      </w:hyperlink>
    </w:p>
    <w:p w14:paraId="5265DD83"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Beatty, C., &amp; Fothergill, S. 2016. </w:t>
      </w:r>
      <w:r w:rsidRPr="00FD7DF2">
        <w:rPr>
          <w:rFonts w:ascii="Times New Roman" w:hAnsi="Times New Roman" w:cs="Times New Roman"/>
          <w:i/>
          <w:iCs/>
          <w:sz w:val="24"/>
          <w:szCs w:val="24"/>
          <w:shd w:val="clear" w:color="auto" w:fill="FFFFFF"/>
          <w:lang w:val="en-GB"/>
        </w:rPr>
        <w:t>Jobs, Welfare and Austerity: How the destruction of industrial Britain casts a shadow over present-day public finances.</w:t>
      </w:r>
      <w:r w:rsidRPr="00FD7DF2">
        <w:rPr>
          <w:rFonts w:ascii="Times New Roman" w:hAnsi="Times New Roman" w:cs="Times New Roman"/>
          <w:sz w:val="24"/>
          <w:szCs w:val="24"/>
          <w:shd w:val="clear" w:color="auto" w:fill="FFFFFF"/>
          <w:lang w:val="en-GB"/>
        </w:rPr>
        <w:t xml:space="preserve"> Cambridge Journal of Regions, Economy and Society, 9(1), 141–156. </w:t>
      </w:r>
      <w:hyperlink r:id="rId25" w:history="1">
        <w:r w:rsidRPr="00FD7DF2">
          <w:rPr>
            <w:rStyle w:val="a7"/>
            <w:rFonts w:ascii="Times New Roman" w:hAnsi="Times New Roman" w:cs="Times New Roman"/>
            <w:color w:val="auto"/>
            <w:sz w:val="24"/>
            <w:szCs w:val="24"/>
            <w:shd w:val="clear" w:color="auto" w:fill="FFFFFF"/>
            <w:lang w:val="en-GB"/>
          </w:rPr>
          <w:t>https://shura.shu.ac.uk/14603/1/cresr30th-jobs-welfare-austerity_Final%20published%20Report.pdf</w:t>
        </w:r>
      </w:hyperlink>
      <w:bookmarkStart w:id="55" w:name="_Hlk206588078"/>
    </w:p>
    <w:p w14:paraId="28EFD61D"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Bervell</w:t>
      </w:r>
      <w:bookmarkEnd w:id="55"/>
      <w:r w:rsidRPr="00FD7DF2">
        <w:rPr>
          <w:rFonts w:ascii="Times New Roman" w:hAnsi="Times New Roman" w:cs="Times New Roman"/>
          <w:sz w:val="24"/>
          <w:szCs w:val="24"/>
          <w:shd w:val="clear" w:color="auto" w:fill="FFFFFF"/>
          <w:lang w:val="en-GB"/>
        </w:rPr>
        <w:t xml:space="preserve">, B., Oko-Mireku, D., Dzamesi, P. D. &amp; Nimo, E. B., May 2025. </w:t>
      </w:r>
      <w:r w:rsidRPr="00FD7DF2">
        <w:rPr>
          <w:rFonts w:ascii="Times New Roman" w:hAnsi="Times New Roman" w:cs="Times New Roman"/>
          <w:i/>
          <w:iCs/>
          <w:sz w:val="24"/>
          <w:szCs w:val="24"/>
          <w:shd w:val="clear" w:color="auto" w:fill="FFFFFF"/>
          <w:lang w:val="en-GB"/>
        </w:rPr>
        <w:t>AI Acceptance and Usage in Sub-Sahara African Education: A Systematic Review</w:t>
      </w:r>
      <w:r w:rsidRPr="00FD7DF2">
        <w:rPr>
          <w:rFonts w:ascii="Times New Roman" w:hAnsi="Times New Roman" w:cs="Times New Roman"/>
          <w:sz w:val="24"/>
          <w:szCs w:val="24"/>
          <w:shd w:val="clear" w:color="auto" w:fill="FFFFFF"/>
          <w:lang w:val="en-GB"/>
        </w:rPr>
        <w:t xml:space="preserve">. </w:t>
      </w:r>
      <w:r w:rsidRPr="00FD7DF2">
        <w:rPr>
          <w:rFonts w:ascii="Times New Roman" w:hAnsi="Times New Roman" w:cs="Times New Roman"/>
          <w:i/>
          <w:iCs/>
          <w:sz w:val="24"/>
          <w:szCs w:val="24"/>
          <w:shd w:val="clear" w:color="auto" w:fill="FFFFFF"/>
          <w:lang w:val="en-GB"/>
        </w:rPr>
        <w:t>Journal of Advocacy Research and Education</w:t>
      </w:r>
      <w:r w:rsidRPr="00FD7DF2">
        <w:rPr>
          <w:rFonts w:ascii="Times New Roman" w:hAnsi="Times New Roman" w:cs="Times New Roman"/>
          <w:sz w:val="24"/>
          <w:szCs w:val="24"/>
          <w:shd w:val="clear" w:color="auto" w:fill="FFFFFF"/>
          <w:lang w:val="en-GB"/>
        </w:rPr>
        <w:t xml:space="preserve">, 5(1), pp. 1–39. Available at: </w:t>
      </w:r>
      <w:hyperlink r:id="rId26" w:tgtFrame="_new" w:history="1">
        <w:r w:rsidRPr="00FD7DF2">
          <w:rPr>
            <w:rStyle w:val="a7"/>
            <w:rFonts w:ascii="Times New Roman" w:hAnsi="Times New Roman" w:cs="Times New Roman"/>
            <w:color w:val="auto"/>
            <w:sz w:val="24"/>
            <w:szCs w:val="24"/>
            <w:shd w:val="clear" w:color="auto" w:fill="FFFFFF"/>
            <w:lang w:val="en-GB"/>
          </w:rPr>
          <w:t>https://www.researchgate.net/publication/391766168_AI_Acceptance_and_Usage_in_Sub-Sahara_African_Education_A_Systematic_Review</w:t>
        </w:r>
      </w:hyperlink>
    </w:p>
    <w:p w14:paraId="13F5E31D"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Binns, R., Veale, M., Van Kleek, M., &amp; Shadbolt, N. 2018. </w:t>
      </w:r>
      <w:r w:rsidRPr="00FD7DF2">
        <w:rPr>
          <w:rFonts w:ascii="Times New Roman" w:hAnsi="Times New Roman" w:cs="Times New Roman"/>
          <w:i/>
          <w:iCs/>
          <w:sz w:val="24"/>
          <w:szCs w:val="24"/>
          <w:shd w:val="clear" w:color="auto" w:fill="FFFFFF"/>
          <w:lang w:val="en-GB"/>
        </w:rPr>
        <w:t>‘It’s reducing a human being to a percentage’: Perceptions of justice in algorithmic decisions.</w:t>
      </w:r>
      <w:r w:rsidRPr="00FD7DF2">
        <w:rPr>
          <w:rFonts w:ascii="Times New Roman" w:hAnsi="Times New Roman" w:cs="Times New Roman"/>
          <w:sz w:val="24"/>
          <w:szCs w:val="24"/>
          <w:shd w:val="clear" w:color="auto" w:fill="FFFFFF"/>
          <w:lang w:val="en-GB"/>
        </w:rPr>
        <w:t xml:space="preserve"> Proceedings of the 2018 CHI Conference on Human Factors in Computing Systems, 1–14. </w:t>
      </w:r>
      <w:hyperlink r:id="rId27" w:history="1">
        <w:r w:rsidRPr="00FD7DF2">
          <w:rPr>
            <w:rStyle w:val="a7"/>
            <w:rFonts w:ascii="Times New Roman" w:hAnsi="Times New Roman" w:cs="Times New Roman"/>
            <w:color w:val="auto"/>
            <w:sz w:val="24"/>
            <w:szCs w:val="24"/>
            <w:shd w:val="clear" w:color="auto" w:fill="FFFFFF"/>
            <w:lang w:val="en-GB"/>
          </w:rPr>
          <w:t>https://arxiv.org/pdf/1801.10408</w:t>
        </w:r>
      </w:hyperlink>
    </w:p>
    <w:p w14:paraId="5B169B70"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lastRenderedPageBreak/>
        <w:t>Bloomfield, J. and Fisher, M.J., 2019. Quantitative research design. </w:t>
      </w:r>
      <w:r w:rsidRPr="00FD7DF2">
        <w:rPr>
          <w:rFonts w:ascii="Times New Roman" w:hAnsi="Times New Roman" w:cs="Times New Roman"/>
          <w:i/>
          <w:iCs/>
          <w:sz w:val="24"/>
          <w:szCs w:val="24"/>
          <w:shd w:val="clear" w:color="auto" w:fill="FFFFFF"/>
          <w:lang w:val="en-GB"/>
        </w:rPr>
        <w:t>Journal of the Australasian Rehabilitation Nurses Association</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22</w:t>
      </w:r>
      <w:r w:rsidRPr="00FD7DF2">
        <w:rPr>
          <w:rFonts w:ascii="Times New Roman" w:hAnsi="Times New Roman" w:cs="Times New Roman"/>
          <w:sz w:val="24"/>
          <w:szCs w:val="24"/>
          <w:shd w:val="clear" w:color="auto" w:fill="FFFFFF"/>
          <w:lang w:val="en-GB"/>
        </w:rPr>
        <w:t xml:space="preserve">(2), pp.27-30. </w:t>
      </w:r>
      <w:hyperlink r:id="rId28" w:history="1">
        <w:r w:rsidRPr="00FD7DF2">
          <w:rPr>
            <w:rStyle w:val="a7"/>
            <w:rFonts w:ascii="Times New Roman" w:hAnsi="Times New Roman" w:cs="Times New Roman"/>
            <w:color w:val="auto"/>
            <w:sz w:val="24"/>
            <w:szCs w:val="24"/>
            <w:shd w:val="clear" w:color="auto" w:fill="FFFFFF"/>
            <w:lang w:val="en-GB"/>
          </w:rPr>
          <w:t>https://search.informit.org/doi/abs/10.3316/INFORMIT.738299924514584</w:t>
        </w:r>
      </w:hyperlink>
    </w:p>
    <w:p w14:paraId="0D55F19B"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Buck, N., Gordon, I., Hall, P., Harloe, M. and Kleinman, M., 2013. </w:t>
      </w:r>
      <w:r w:rsidRPr="00FD7DF2">
        <w:rPr>
          <w:rFonts w:ascii="Times New Roman" w:hAnsi="Times New Roman" w:cs="Times New Roman"/>
          <w:i/>
          <w:iCs/>
          <w:sz w:val="24"/>
          <w:szCs w:val="24"/>
          <w:shd w:val="clear" w:color="auto" w:fill="FFFFFF"/>
          <w:lang w:val="en-GB"/>
        </w:rPr>
        <w:t>Working capital: life and labour in contemporary London</w:t>
      </w:r>
      <w:r w:rsidRPr="00FD7DF2">
        <w:rPr>
          <w:rFonts w:ascii="Times New Roman" w:hAnsi="Times New Roman" w:cs="Times New Roman"/>
          <w:sz w:val="24"/>
          <w:szCs w:val="24"/>
          <w:shd w:val="clear" w:color="auto" w:fill="FFFFFF"/>
          <w:lang w:val="en-GB"/>
        </w:rPr>
        <w:t xml:space="preserve">. Routledge. </w:t>
      </w:r>
      <w:hyperlink r:id="rId29" w:history="1">
        <w:r w:rsidRPr="00FD7DF2">
          <w:rPr>
            <w:rStyle w:val="a7"/>
            <w:rFonts w:ascii="Times New Roman" w:hAnsi="Times New Roman" w:cs="Times New Roman"/>
            <w:color w:val="auto"/>
            <w:sz w:val="24"/>
            <w:szCs w:val="24"/>
            <w:shd w:val="clear" w:color="auto" w:fill="FFFFFF"/>
            <w:lang w:val="en-GB"/>
          </w:rPr>
          <w:t>https://www.taylorfrancis.com/books/mono/10.4324/9781315015408/working-capital-nick-buck-ian-gordon-peter-hall-michael-harloe-mark-kleinman</w:t>
        </w:r>
      </w:hyperlink>
    </w:p>
    <w:p w14:paraId="35227996"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Cabero‐Almenara, J., Guillén‐Gámez, F.D., Ruiz‐Palmero, J. and Palacios‐Rodríguez, A., 2022. Teachers' digital competence to assist students with functional diversity: Identification of factors through logistic regression methods. </w:t>
      </w:r>
      <w:r w:rsidRPr="00FD7DF2">
        <w:rPr>
          <w:rFonts w:ascii="Times New Roman" w:hAnsi="Times New Roman" w:cs="Times New Roman"/>
          <w:i/>
          <w:iCs/>
          <w:sz w:val="24"/>
          <w:szCs w:val="24"/>
          <w:shd w:val="clear" w:color="auto" w:fill="FFFFFF"/>
          <w:lang w:val="en-GB"/>
        </w:rPr>
        <w:t>British Journal of Educational Technology</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53</w:t>
      </w:r>
      <w:r w:rsidRPr="00FD7DF2">
        <w:rPr>
          <w:rFonts w:ascii="Times New Roman" w:hAnsi="Times New Roman" w:cs="Times New Roman"/>
          <w:sz w:val="24"/>
          <w:szCs w:val="24"/>
          <w:shd w:val="clear" w:color="auto" w:fill="FFFFFF"/>
          <w:lang w:val="en-GB"/>
        </w:rPr>
        <w:t xml:space="preserve">(1), pp.41-57. </w:t>
      </w:r>
      <w:hyperlink r:id="rId30" w:history="1">
        <w:r w:rsidRPr="00FD7DF2">
          <w:rPr>
            <w:rStyle w:val="a7"/>
            <w:rFonts w:ascii="Times New Roman" w:hAnsi="Times New Roman" w:cs="Times New Roman"/>
            <w:color w:val="auto"/>
            <w:sz w:val="24"/>
            <w:szCs w:val="24"/>
            <w:shd w:val="clear" w:color="auto" w:fill="FFFFFF"/>
            <w:lang w:val="en-GB"/>
          </w:rPr>
          <w:t>https://bera-journals.onlinelibrary.wiley.com/doi/abs/10.1111/bjet.13151</w:t>
        </w:r>
      </w:hyperlink>
    </w:p>
    <w:p w14:paraId="069F44C4"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Chirico, F., 2023. Cross-sectional studies in occupational health research: An overview of strengths and limitations. </w:t>
      </w:r>
      <w:r w:rsidRPr="00FD7DF2">
        <w:rPr>
          <w:rFonts w:ascii="Times New Roman" w:hAnsi="Times New Roman" w:cs="Times New Roman"/>
          <w:i/>
          <w:iCs/>
          <w:sz w:val="24"/>
          <w:szCs w:val="24"/>
          <w:shd w:val="clear" w:color="auto" w:fill="FFFFFF"/>
          <w:lang w:val="en-GB"/>
        </w:rPr>
        <w:t>G Ital Psicol Med Lav</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3</w:t>
      </w:r>
      <w:r w:rsidRPr="00FD7DF2">
        <w:rPr>
          <w:rFonts w:ascii="Times New Roman" w:hAnsi="Times New Roman" w:cs="Times New Roman"/>
          <w:sz w:val="24"/>
          <w:szCs w:val="24"/>
          <w:shd w:val="clear" w:color="auto" w:fill="FFFFFF"/>
          <w:lang w:val="en-GB"/>
        </w:rPr>
        <w:t xml:space="preserve">(3), pp.86-93. </w:t>
      </w:r>
      <w:hyperlink r:id="rId31" w:history="1">
        <w:r w:rsidRPr="00FD7DF2">
          <w:rPr>
            <w:rStyle w:val="a7"/>
            <w:rFonts w:ascii="Times New Roman" w:hAnsi="Times New Roman" w:cs="Times New Roman"/>
            <w:color w:val="auto"/>
            <w:sz w:val="24"/>
            <w:szCs w:val="24"/>
            <w:shd w:val="clear" w:color="auto" w:fill="FFFFFF"/>
            <w:lang w:val="en-GB"/>
          </w:rPr>
          <w:t>https://gipmel.it/wp-content/uploads/10.690882023CRSS2.pdf</w:t>
        </w:r>
      </w:hyperlink>
    </w:p>
    <w:p w14:paraId="271DBB71"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Coleman, J. 1990. </w:t>
      </w:r>
      <w:r w:rsidRPr="00FD7DF2">
        <w:rPr>
          <w:rFonts w:ascii="Times New Roman" w:hAnsi="Times New Roman" w:cs="Times New Roman"/>
          <w:i/>
          <w:iCs/>
          <w:sz w:val="24"/>
          <w:szCs w:val="24"/>
          <w:shd w:val="clear" w:color="auto" w:fill="FFFFFF"/>
          <w:lang w:val="en-GB"/>
        </w:rPr>
        <w:t>Foundations of Social Theory</w:t>
      </w:r>
      <w:r w:rsidRPr="00FD7DF2">
        <w:rPr>
          <w:rFonts w:ascii="Times New Roman" w:hAnsi="Times New Roman" w:cs="Times New Roman"/>
          <w:sz w:val="24"/>
          <w:szCs w:val="24"/>
          <w:shd w:val="clear" w:color="auto" w:fill="FFFFFF"/>
          <w:lang w:val="en-GB"/>
        </w:rPr>
        <w:t xml:space="preserve">. Harvard University Press. </w:t>
      </w:r>
      <w:hyperlink r:id="rId32" w:history="1">
        <w:r w:rsidRPr="00FD7DF2">
          <w:rPr>
            <w:rStyle w:val="a7"/>
            <w:rFonts w:ascii="Times New Roman" w:hAnsi="Times New Roman" w:cs="Times New Roman"/>
            <w:color w:val="auto"/>
            <w:sz w:val="24"/>
            <w:szCs w:val="24"/>
            <w:shd w:val="clear" w:color="auto" w:fill="FFFFFF"/>
            <w:lang w:val="en-GB"/>
          </w:rPr>
          <w:t>https://archiv.soms.ethz.ch/sociology_course/Lecture5/colemannorms.pdf</w:t>
        </w:r>
      </w:hyperlink>
    </w:p>
    <w:p w14:paraId="3AACA648"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Danish, S., et al. 2025. </w:t>
      </w:r>
      <w:r w:rsidRPr="00FD7DF2">
        <w:rPr>
          <w:rFonts w:ascii="Times New Roman" w:hAnsi="Times New Roman" w:cs="Times New Roman"/>
          <w:i/>
          <w:iCs/>
          <w:sz w:val="24"/>
          <w:szCs w:val="24"/>
          <w:shd w:val="clear" w:color="auto" w:fill="FFFFFF"/>
          <w:lang w:val="en-GB"/>
        </w:rPr>
        <w:t>Networks of opportunity...</w:t>
      </w:r>
      <w:r w:rsidRPr="00FD7DF2">
        <w:rPr>
          <w:rFonts w:ascii="Times New Roman" w:hAnsi="Times New Roman" w:cs="Times New Roman"/>
          <w:sz w:val="24"/>
          <w:szCs w:val="24"/>
          <w:shd w:val="clear" w:color="auto" w:fill="FFFFFF"/>
          <w:lang w:val="en-GB"/>
        </w:rPr>
        <w:t xml:space="preserve"> The Critical Review of Social Sciences Studies, 3(1), 313–324. </w:t>
      </w:r>
      <w:hyperlink r:id="rId33" w:history="1">
        <w:r w:rsidRPr="00FD7DF2">
          <w:rPr>
            <w:rStyle w:val="a7"/>
            <w:rFonts w:ascii="Times New Roman" w:hAnsi="Times New Roman" w:cs="Times New Roman"/>
            <w:color w:val="auto"/>
            <w:sz w:val="24"/>
            <w:szCs w:val="24"/>
            <w:shd w:val="clear" w:color="auto" w:fill="FFFFFF"/>
            <w:lang w:val="en-GB"/>
          </w:rPr>
          <w:t>http://thecrsss.com/index.php/Journal/article/download/150/168</w:t>
        </w:r>
      </w:hyperlink>
    </w:p>
    <w:p w14:paraId="0C73F5E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DiMaggio, P., &amp; Hargittai, E. 2001. </w:t>
      </w:r>
      <w:r w:rsidRPr="00FD7DF2">
        <w:rPr>
          <w:rFonts w:ascii="Times New Roman" w:hAnsi="Times New Roman" w:cs="Times New Roman"/>
          <w:i/>
          <w:iCs/>
          <w:sz w:val="24"/>
          <w:szCs w:val="24"/>
          <w:shd w:val="clear" w:color="auto" w:fill="FFFFFF"/>
          <w:lang w:val="en-GB"/>
        </w:rPr>
        <w:t>From the ‘digital divide’ to ‘digital inequality’: Studying Internet use as penetration increases.</w:t>
      </w:r>
      <w:r w:rsidRPr="00FD7DF2">
        <w:rPr>
          <w:rFonts w:ascii="Times New Roman" w:hAnsi="Times New Roman" w:cs="Times New Roman"/>
          <w:sz w:val="24"/>
          <w:szCs w:val="24"/>
          <w:shd w:val="clear" w:color="auto" w:fill="FFFFFF"/>
          <w:lang w:val="en-GB"/>
        </w:rPr>
        <w:t xml:space="preserve"> Princeton University Center for Arts and Cultural Policy Studies Working Paper Series, 15. </w:t>
      </w:r>
      <w:hyperlink r:id="rId34" w:history="1">
        <w:r w:rsidRPr="00FD7DF2">
          <w:rPr>
            <w:rStyle w:val="a7"/>
            <w:rFonts w:ascii="Times New Roman" w:hAnsi="Times New Roman" w:cs="Times New Roman"/>
            <w:color w:val="auto"/>
            <w:sz w:val="24"/>
            <w:szCs w:val="24"/>
            <w:shd w:val="clear" w:color="auto" w:fill="FFFFFF"/>
            <w:lang w:val="en-GB"/>
          </w:rPr>
          <w:t>https://www.academia.edu/download/30754887/WP15_DiMaggioHargittai.pdf</w:t>
        </w:r>
      </w:hyperlink>
      <w:bookmarkStart w:id="56" w:name="_Hlk206684736"/>
    </w:p>
    <w:p w14:paraId="57AD0E9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Duan</w:t>
      </w:r>
      <w:bookmarkEnd w:id="56"/>
      <w:r w:rsidRPr="00FD7DF2">
        <w:rPr>
          <w:rFonts w:ascii="Times New Roman" w:hAnsi="Times New Roman" w:cs="Times New Roman"/>
          <w:sz w:val="24"/>
          <w:szCs w:val="24"/>
          <w:shd w:val="clear" w:color="auto" w:fill="FFFFFF"/>
          <w:lang w:val="en-GB"/>
        </w:rPr>
        <w:t>, Y., Edwards, J. S., &amp; Dwivedi, Y. K. 2019. Artificial intelligence for decision making in the era of Big Data–evolution, challenges and research agenda. </w:t>
      </w:r>
      <w:r w:rsidRPr="00FD7DF2">
        <w:rPr>
          <w:rFonts w:ascii="Times New Roman" w:hAnsi="Times New Roman" w:cs="Times New Roman"/>
          <w:i/>
          <w:iCs/>
          <w:sz w:val="24"/>
          <w:szCs w:val="24"/>
          <w:shd w:val="clear" w:color="auto" w:fill="FFFFFF"/>
          <w:lang w:val="en-GB"/>
        </w:rPr>
        <w:t>International journal of information management</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48</w:t>
      </w:r>
      <w:r w:rsidRPr="00FD7DF2">
        <w:rPr>
          <w:rFonts w:ascii="Times New Roman" w:hAnsi="Times New Roman" w:cs="Times New Roman"/>
          <w:sz w:val="24"/>
          <w:szCs w:val="24"/>
          <w:shd w:val="clear" w:color="auto" w:fill="FFFFFF"/>
          <w:lang w:val="en-GB"/>
        </w:rPr>
        <w:t xml:space="preserve">, 63-71. </w:t>
      </w:r>
      <w:hyperlink r:id="rId35" w:history="1">
        <w:r w:rsidRPr="00FD7DF2">
          <w:rPr>
            <w:rStyle w:val="a7"/>
            <w:rFonts w:ascii="Times New Roman" w:hAnsi="Times New Roman" w:cs="Times New Roman"/>
            <w:color w:val="auto"/>
            <w:sz w:val="24"/>
            <w:szCs w:val="24"/>
            <w:shd w:val="clear" w:color="auto" w:fill="FFFFFF"/>
            <w:lang w:val="en-GB"/>
          </w:rPr>
          <w:t>https://www.sciencedirect.com/science/article/pii/S0268401219300581</w:t>
        </w:r>
      </w:hyperlink>
    </w:p>
    <w:p w14:paraId="25155368"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Eubanks, V., 2018. </w:t>
      </w:r>
      <w:r w:rsidRPr="00FD7DF2">
        <w:rPr>
          <w:rFonts w:ascii="Times New Roman" w:hAnsi="Times New Roman" w:cs="Times New Roman"/>
          <w:i/>
          <w:iCs/>
          <w:sz w:val="24"/>
          <w:szCs w:val="24"/>
          <w:shd w:val="clear" w:color="auto" w:fill="FFFFFF"/>
          <w:lang w:val="en-GB"/>
        </w:rPr>
        <w:t>Automating Inequality: How High-Tech Tools Profile, Police, and Punish the Poor</w:t>
      </w:r>
      <w:r w:rsidRPr="00FD7DF2">
        <w:rPr>
          <w:rFonts w:ascii="Times New Roman" w:hAnsi="Times New Roman" w:cs="Times New Roman"/>
          <w:sz w:val="24"/>
          <w:szCs w:val="24"/>
          <w:shd w:val="clear" w:color="auto" w:fill="FFFFFF"/>
          <w:lang w:val="en-GB"/>
        </w:rPr>
        <w:t xml:space="preserve">. New York: St. Martin’s Press. Available at: </w:t>
      </w:r>
      <w:hyperlink r:id="rId36" w:tgtFrame="_new" w:history="1">
        <w:r w:rsidRPr="00FD7DF2">
          <w:rPr>
            <w:rStyle w:val="a7"/>
            <w:rFonts w:ascii="Times New Roman" w:hAnsi="Times New Roman" w:cs="Times New Roman"/>
            <w:color w:val="auto"/>
            <w:sz w:val="24"/>
            <w:szCs w:val="24"/>
            <w:shd w:val="clear" w:color="auto" w:fill="FFFFFF"/>
            <w:lang w:val="en-GB"/>
          </w:rPr>
          <w:t>https://us.macmillan.com/books/9781250074317/automatinginequality/</w:t>
        </w:r>
      </w:hyperlink>
    </w:p>
    <w:p w14:paraId="3E2D7820"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lastRenderedPageBreak/>
        <w:t>Floridi, L. and Cowls, J., 2022. A unified framework of five principles for AI in society. </w:t>
      </w:r>
      <w:r w:rsidRPr="00FD7DF2">
        <w:rPr>
          <w:rFonts w:ascii="Times New Roman" w:hAnsi="Times New Roman" w:cs="Times New Roman"/>
          <w:i/>
          <w:iCs/>
          <w:sz w:val="24"/>
          <w:szCs w:val="24"/>
          <w:shd w:val="clear" w:color="auto" w:fill="FFFFFF"/>
          <w:lang w:val="en-GB"/>
        </w:rPr>
        <w:t>Machine learning and the city: Applications in architecture and urban design</w:t>
      </w:r>
      <w:r w:rsidRPr="00FD7DF2">
        <w:rPr>
          <w:rFonts w:ascii="Times New Roman" w:hAnsi="Times New Roman" w:cs="Times New Roman"/>
          <w:sz w:val="24"/>
          <w:szCs w:val="24"/>
          <w:shd w:val="clear" w:color="auto" w:fill="FFFFFF"/>
          <w:lang w:val="en-GB"/>
        </w:rPr>
        <w:t xml:space="preserve">, pp.535-545. </w:t>
      </w:r>
      <w:hyperlink r:id="rId37" w:history="1">
        <w:r w:rsidRPr="00FD7DF2">
          <w:rPr>
            <w:rStyle w:val="a7"/>
            <w:rFonts w:ascii="Times New Roman" w:hAnsi="Times New Roman" w:cs="Times New Roman"/>
            <w:color w:val="auto"/>
            <w:sz w:val="24"/>
            <w:szCs w:val="24"/>
            <w:shd w:val="clear" w:color="auto" w:fill="FFFFFF"/>
            <w:lang w:val="en-GB"/>
          </w:rPr>
          <w:t>https://assets.pubpub.org/1iqvp0dp/c8d3cba5-8f10-4a00-894c-3a3b886ad844.pdf</w:t>
        </w:r>
      </w:hyperlink>
    </w:p>
    <w:p w14:paraId="71663811" w14:textId="1E894C95"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Garrick, J. and Chan, A., 2017. Knowledge management and professional experience: the uneasy dynamics between tacit knowledge and performativity in organi</w:t>
      </w:r>
      <w:r w:rsidR="0052050B" w:rsidRPr="00FD7DF2">
        <w:rPr>
          <w:rFonts w:ascii="Times New Roman" w:hAnsi="Times New Roman" w:cs="Times New Roman"/>
          <w:sz w:val="24"/>
          <w:szCs w:val="24"/>
          <w:shd w:val="clear" w:color="auto" w:fill="FFFFFF"/>
          <w:lang w:val="en-GB"/>
        </w:rPr>
        <w:t>s</w:t>
      </w:r>
      <w:r w:rsidRPr="00FD7DF2">
        <w:rPr>
          <w:rFonts w:ascii="Times New Roman" w:hAnsi="Times New Roman" w:cs="Times New Roman"/>
          <w:sz w:val="24"/>
          <w:szCs w:val="24"/>
          <w:shd w:val="clear" w:color="auto" w:fill="FFFFFF"/>
          <w:lang w:val="en-GB"/>
        </w:rPr>
        <w:t>ations. </w:t>
      </w:r>
      <w:r w:rsidRPr="00FD7DF2">
        <w:rPr>
          <w:rFonts w:ascii="Times New Roman" w:hAnsi="Times New Roman" w:cs="Times New Roman"/>
          <w:i/>
          <w:iCs/>
          <w:sz w:val="24"/>
          <w:szCs w:val="24"/>
          <w:shd w:val="clear" w:color="auto" w:fill="FFFFFF"/>
          <w:lang w:val="en-GB"/>
        </w:rPr>
        <w:t>Journal of knowledge management</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21</w:t>
      </w:r>
      <w:r w:rsidRPr="00FD7DF2">
        <w:rPr>
          <w:rFonts w:ascii="Times New Roman" w:hAnsi="Times New Roman" w:cs="Times New Roman"/>
          <w:sz w:val="24"/>
          <w:szCs w:val="24"/>
          <w:shd w:val="clear" w:color="auto" w:fill="FFFFFF"/>
          <w:lang w:val="en-GB"/>
        </w:rPr>
        <w:t xml:space="preserve">(4), pp.872-884. </w:t>
      </w:r>
      <w:hyperlink r:id="rId38" w:history="1">
        <w:r w:rsidRPr="00FD7DF2">
          <w:rPr>
            <w:rStyle w:val="a7"/>
            <w:rFonts w:ascii="Times New Roman" w:hAnsi="Times New Roman" w:cs="Times New Roman"/>
            <w:color w:val="auto"/>
            <w:sz w:val="24"/>
            <w:szCs w:val="24"/>
            <w:shd w:val="clear" w:color="auto" w:fill="FFFFFF"/>
            <w:lang w:val="en-GB"/>
          </w:rPr>
          <w:t>https://www.emerald.com/insight/content/doi/10.1108/JKM-02-2017-0058/full/html</w:t>
        </w:r>
      </w:hyperlink>
    </w:p>
    <w:p w14:paraId="7981D936"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Gbadebo, A.D., 2024. Digital transformation for educational development in Sub-Saharan Africa. </w:t>
      </w:r>
      <w:r w:rsidRPr="00FD7DF2">
        <w:rPr>
          <w:rFonts w:ascii="Times New Roman" w:hAnsi="Times New Roman" w:cs="Times New Roman"/>
          <w:i/>
          <w:iCs/>
          <w:sz w:val="24"/>
          <w:szCs w:val="24"/>
          <w:shd w:val="clear" w:color="auto" w:fill="FFFFFF"/>
          <w:lang w:val="en-GB"/>
        </w:rPr>
        <w:t>International Journal of Social Science and Religion (IJSSR)</w:t>
      </w:r>
      <w:r w:rsidRPr="00FD7DF2">
        <w:rPr>
          <w:rFonts w:ascii="Times New Roman" w:hAnsi="Times New Roman" w:cs="Times New Roman"/>
          <w:sz w:val="24"/>
          <w:szCs w:val="24"/>
          <w:shd w:val="clear" w:color="auto" w:fill="FFFFFF"/>
          <w:lang w:val="en-GB"/>
        </w:rPr>
        <w:t xml:space="preserve">, pp.397-418. </w:t>
      </w:r>
      <w:hyperlink r:id="rId39" w:history="1">
        <w:r w:rsidRPr="00FD7DF2">
          <w:rPr>
            <w:rStyle w:val="a7"/>
            <w:rFonts w:ascii="Times New Roman" w:hAnsi="Times New Roman" w:cs="Times New Roman"/>
            <w:color w:val="auto"/>
            <w:sz w:val="24"/>
            <w:szCs w:val="24"/>
            <w:shd w:val="clear" w:color="auto" w:fill="FFFFFF"/>
            <w:lang w:val="en-GB"/>
          </w:rPr>
          <w:t>http://www.ijssr.net/index.php/ijssr/article/download/262/108</w:t>
        </w:r>
      </w:hyperlink>
    </w:p>
    <w:p w14:paraId="0576E25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Gregg, P., &amp; Wadsworth, J. 2010. </w:t>
      </w:r>
      <w:r w:rsidRPr="00FD7DF2">
        <w:rPr>
          <w:rFonts w:ascii="Times New Roman" w:hAnsi="Times New Roman" w:cs="Times New Roman"/>
          <w:i/>
          <w:iCs/>
          <w:sz w:val="24"/>
          <w:szCs w:val="24"/>
          <w:shd w:val="clear" w:color="auto" w:fill="FFFFFF"/>
          <w:lang w:val="en-GB"/>
        </w:rPr>
        <w:t>Employment in the 2008–2009 recession.</w:t>
      </w:r>
      <w:r w:rsidRPr="00FD7DF2">
        <w:rPr>
          <w:rFonts w:ascii="Times New Roman" w:hAnsi="Times New Roman" w:cs="Times New Roman"/>
          <w:sz w:val="24"/>
          <w:szCs w:val="24"/>
          <w:shd w:val="clear" w:color="auto" w:fill="FFFFFF"/>
          <w:lang w:val="en-GB"/>
        </w:rPr>
        <w:t xml:space="preserve"> Economic &amp; Labour Market Review, 4(8), 37–43. </w:t>
      </w:r>
      <w:hyperlink r:id="rId40" w:history="1">
        <w:r w:rsidRPr="00FD7DF2">
          <w:rPr>
            <w:rStyle w:val="a7"/>
            <w:rFonts w:ascii="Times New Roman" w:hAnsi="Times New Roman" w:cs="Times New Roman"/>
            <w:color w:val="auto"/>
            <w:sz w:val="24"/>
            <w:szCs w:val="24"/>
            <w:shd w:val="clear" w:color="auto" w:fill="FFFFFF"/>
            <w:lang w:val="en-GB"/>
          </w:rPr>
          <w:t>https://link.springer.com/content/pdf/10.1057/elmr.2010.111</w:t>
        </w:r>
      </w:hyperlink>
    </w:p>
    <w:p w14:paraId="3CD59824"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Hasan, A., 2021. Ethical considerations in the use of secondary data for built environment research. In </w:t>
      </w:r>
      <w:r w:rsidRPr="00FD7DF2">
        <w:rPr>
          <w:rFonts w:ascii="Times New Roman" w:hAnsi="Times New Roman" w:cs="Times New Roman"/>
          <w:i/>
          <w:iCs/>
          <w:sz w:val="24"/>
          <w:szCs w:val="24"/>
          <w:shd w:val="clear" w:color="auto" w:fill="FFFFFF"/>
          <w:lang w:val="en-GB"/>
        </w:rPr>
        <w:t>Secondary Research Methods in the Built Environment</w:t>
      </w:r>
      <w:r w:rsidRPr="00FD7DF2">
        <w:rPr>
          <w:rFonts w:ascii="Times New Roman" w:hAnsi="Times New Roman" w:cs="Times New Roman"/>
          <w:sz w:val="24"/>
          <w:szCs w:val="24"/>
          <w:shd w:val="clear" w:color="auto" w:fill="FFFFFF"/>
          <w:lang w:val="en-GB"/>
        </w:rPr>
        <w:t xml:space="preserve"> (pp. 26-39). Routledge. </w:t>
      </w:r>
      <w:hyperlink r:id="rId41" w:history="1">
        <w:r w:rsidRPr="00FD7DF2">
          <w:rPr>
            <w:rStyle w:val="a7"/>
            <w:rFonts w:ascii="Times New Roman" w:hAnsi="Times New Roman" w:cs="Times New Roman"/>
            <w:color w:val="auto"/>
            <w:sz w:val="24"/>
            <w:szCs w:val="24"/>
            <w:shd w:val="clear" w:color="auto" w:fill="FFFFFF"/>
            <w:lang w:val="en-GB"/>
          </w:rPr>
          <w:t>https://www.taylorfrancis.com/chapters/edit/10.1201/9781003000532-3/ethical-considerations-use-secondary-data-built-environment-research-abid-hasan</w:t>
        </w:r>
      </w:hyperlink>
    </w:p>
    <w:p w14:paraId="693A7EEF"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Holmes, H. &amp; Burgess, G. 2022. Digital exclusion and poverty in the UK: How structural inequality shapes experiences of getting online. </w:t>
      </w:r>
      <w:r w:rsidRPr="00FD7DF2">
        <w:rPr>
          <w:rFonts w:ascii="Times New Roman" w:hAnsi="Times New Roman" w:cs="Times New Roman"/>
          <w:i/>
          <w:iCs/>
          <w:sz w:val="24"/>
          <w:szCs w:val="24"/>
          <w:shd w:val="clear" w:color="auto" w:fill="FFFFFF"/>
          <w:lang w:val="en-GB"/>
        </w:rPr>
        <w:t>Digital Geography and Society</w:t>
      </w:r>
      <w:r w:rsidRPr="00FD7DF2">
        <w:rPr>
          <w:rFonts w:ascii="Times New Roman" w:hAnsi="Times New Roman" w:cs="Times New Roman"/>
          <w:sz w:val="24"/>
          <w:szCs w:val="24"/>
          <w:shd w:val="clear" w:color="auto" w:fill="FFFFFF"/>
          <w:lang w:val="en-GB"/>
        </w:rPr>
        <w:t xml:space="preserve">, 3, 100041. </w:t>
      </w:r>
      <w:hyperlink r:id="rId42" w:history="1">
        <w:r w:rsidRPr="00FD7DF2">
          <w:rPr>
            <w:rStyle w:val="a7"/>
            <w:rFonts w:ascii="Times New Roman" w:hAnsi="Times New Roman" w:cs="Times New Roman"/>
            <w:color w:val="auto"/>
            <w:sz w:val="24"/>
            <w:szCs w:val="24"/>
            <w:shd w:val="clear" w:color="auto" w:fill="FFFFFF"/>
            <w:lang w:val="en-GB"/>
          </w:rPr>
          <w:t>https://www.sciencedirect.com/science/article/pii/S2666378322000162</w:t>
        </w:r>
      </w:hyperlink>
    </w:p>
    <w:p w14:paraId="04247936"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Islam, A., et al. 2024. </w:t>
      </w:r>
      <w:r w:rsidRPr="00FD7DF2">
        <w:rPr>
          <w:rFonts w:ascii="Times New Roman" w:hAnsi="Times New Roman" w:cs="Times New Roman"/>
          <w:i/>
          <w:iCs/>
          <w:sz w:val="24"/>
          <w:szCs w:val="24"/>
          <w:shd w:val="clear" w:color="auto" w:fill="FFFFFF"/>
          <w:lang w:val="en-GB"/>
        </w:rPr>
        <w:t>An evaluation of AI-enhanced collaborative learning platforms</w:t>
      </w:r>
      <w:r w:rsidRPr="00FD7DF2">
        <w:rPr>
          <w:rFonts w:ascii="Times New Roman" w:hAnsi="Times New Roman" w:cs="Times New Roman"/>
          <w:sz w:val="24"/>
          <w:szCs w:val="24"/>
          <w:shd w:val="clear" w:color="auto" w:fill="FFFFFF"/>
          <w:lang w:val="en-GB"/>
        </w:rPr>
        <w:t xml:space="preserve">. IEEE IC3SE. </w:t>
      </w:r>
      <w:hyperlink r:id="rId43" w:history="1">
        <w:r w:rsidRPr="00FD7DF2">
          <w:rPr>
            <w:rStyle w:val="a7"/>
            <w:rFonts w:ascii="Times New Roman" w:hAnsi="Times New Roman" w:cs="Times New Roman"/>
            <w:color w:val="auto"/>
            <w:sz w:val="24"/>
            <w:szCs w:val="24"/>
            <w:shd w:val="clear" w:color="auto" w:fill="FFFFFF"/>
            <w:lang w:val="en-GB"/>
          </w:rPr>
          <w:t>https://ieeexplore.ieee.org/abstract/document/10593320/</w:t>
        </w:r>
      </w:hyperlink>
    </w:p>
    <w:p w14:paraId="064AACB1"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Kerschbaumer, L., Boost, M. and Reichmann, P., 2024. Transitions from long-term unemployment to employment. </w:t>
      </w:r>
      <w:r w:rsidRPr="00FD7DF2">
        <w:rPr>
          <w:rFonts w:ascii="Times New Roman" w:hAnsi="Times New Roman" w:cs="Times New Roman"/>
          <w:i/>
          <w:iCs/>
          <w:sz w:val="24"/>
          <w:szCs w:val="24"/>
          <w:shd w:val="clear" w:color="auto" w:fill="FFFFFF"/>
          <w:lang w:val="en-GB"/>
        </w:rPr>
        <w:t>SozW Soziale Welt</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75</w:t>
      </w:r>
      <w:r w:rsidRPr="00FD7DF2">
        <w:rPr>
          <w:rFonts w:ascii="Times New Roman" w:hAnsi="Times New Roman" w:cs="Times New Roman"/>
          <w:sz w:val="24"/>
          <w:szCs w:val="24"/>
          <w:shd w:val="clear" w:color="auto" w:fill="FFFFFF"/>
          <w:lang w:val="en-GB"/>
        </w:rPr>
        <w:t xml:space="preserve">(1), pp.113-142. </w:t>
      </w:r>
      <w:hyperlink r:id="rId44" w:history="1">
        <w:r w:rsidRPr="00FD7DF2">
          <w:rPr>
            <w:rStyle w:val="a7"/>
            <w:rFonts w:ascii="Times New Roman" w:hAnsi="Times New Roman" w:cs="Times New Roman"/>
            <w:color w:val="auto"/>
            <w:sz w:val="24"/>
            <w:szCs w:val="24"/>
            <w:shd w:val="clear" w:color="auto" w:fill="FFFFFF"/>
            <w:lang w:val="en-GB"/>
          </w:rPr>
          <w:t>https://www.nomos-elibrary.de/de/10.5771/0038-6073-2024-1-113.pdf</w:t>
        </w:r>
      </w:hyperlink>
    </w:p>
    <w:p w14:paraId="79CFABE2"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Knox, J., 2020. </w:t>
      </w:r>
      <w:r w:rsidRPr="00FD7DF2">
        <w:rPr>
          <w:rFonts w:ascii="Times New Roman" w:hAnsi="Times New Roman" w:cs="Times New Roman"/>
          <w:i/>
          <w:iCs/>
          <w:sz w:val="24"/>
          <w:szCs w:val="24"/>
          <w:shd w:val="clear" w:color="auto" w:fill="FFFFFF"/>
          <w:lang w:val="en-GB"/>
        </w:rPr>
        <w:t>Artificial intelligence and education in China</w:t>
      </w:r>
      <w:r w:rsidRPr="00FD7DF2">
        <w:rPr>
          <w:rFonts w:ascii="Times New Roman" w:hAnsi="Times New Roman" w:cs="Times New Roman"/>
          <w:sz w:val="24"/>
          <w:szCs w:val="24"/>
          <w:shd w:val="clear" w:color="auto" w:fill="FFFFFF"/>
          <w:lang w:val="en-GB"/>
        </w:rPr>
        <w:t xml:space="preserve">. </w:t>
      </w:r>
      <w:r w:rsidRPr="00FD7DF2">
        <w:rPr>
          <w:rFonts w:ascii="Times New Roman" w:hAnsi="Times New Roman" w:cs="Times New Roman"/>
          <w:i/>
          <w:iCs/>
          <w:sz w:val="24"/>
          <w:szCs w:val="24"/>
          <w:shd w:val="clear" w:color="auto" w:fill="FFFFFF"/>
          <w:lang w:val="en-GB"/>
        </w:rPr>
        <w:t>Learning, Media and Technology</w:t>
      </w:r>
      <w:r w:rsidRPr="00FD7DF2">
        <w:rPr>
          <w:rFonts w:ascii="Times New Roman" w:hAnsi="Times New Roman" w:cs="Times New Roman"/>
          <w:sz w:val="24"/>
          <w:szCs w:val="24"/>
          <w:shd w:val="clear" w:color="auto" w:fill="FFFFFF"/>
          <w:lang w:val="en-GB"/>
        </w:rPr>
        <w:t xml:space="preserve"> [peer-reviewed journal article]. Available at: </w:t>
      </w:r>
      <w:hyperlink r:id="rId45" w:tgtFrame="_new" w:history="1">
        <w:r w:rsidRPr="00FD7DF2">
          <w:rPr>
            <w:rStyle w:val="a7"/>
            <w:rFonts w:ascii="Times New Roman" w:hAnsi="Times New Roman" w:cs="Times New Roman"/>
            <w:color w:val="auto"/>
            <w:sz w:val="24"/>
            <w:szCs w:val="24"/>
            <w:shd w:val="clear" w:color="auto" w:fill="FFFFFF"/>
            <w:lang w:val="en-GB"/>
          </w:rPr>
          <w:t>https://www.research.ed.ac.uk/en/publications/artificial-intelligence-and-education-in-china</w:t>
        </w:r>
      </w:hyperlink>
      <w:bookmarkStart w:id="57" w:name="_Hlk206599043"/>
    </w:p>
    <w:p w14:paraId="2F01F60A" w14:textId="3939F028"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lastRenderedPageBreak/>
        <w:t xml:space="preserve">Li, F. and Mohammad, </w:t>
      </w:r>
      <w:bookmarkEnd w:id="57"/>
      <w:r w:rsidRPr="00FD7DF2">
        <w:rPr>
          <w:rFonts w:ascii="Times New Roman" w:hAnsi="Times New Roman" w:cs="Times New Roman"/>
          <w:sz w:val="24"/>
          <w:szCs w:val="24"/>
          <w:shd w:val="clear" w:color="auto" w:fill="FFFFFF"/>
          <w:lang w:val="en-GB"/>
        </w:rPr>
        <w:t>M., 2025. Artificial Intelligence and Education in China: Exploring the Future of Personali</w:t>
      </w:r>
      <w:r w:rsidR="0052050B" w:rsidRPr="00FD7DF2">
        <w:rPr>
          <w:rFonts w:ascii="Times New Roman" w:hAnsi="Times New Roman" w:cs="Times New Roman"/>
          <w:sz w:val="24"/>
          <w:szCs w:val="24"/>
          <w:shd w:val="clear" w:color="auto" w:fill="FFFFFF"/>
          <w:lang w:val="en-GB"/>
        </w:rPr>
        <w:t>s</w:t>
      </w:r>
      <w:r w:rsidRPr="00FD7DF2">
        <w:rPr>
          <w:rFonts w:ascii="Times New Roman" w:hAnsi="Times New Roman" w:cs="Times New Roman"/>
          <w:sz w:val="24"/>
          <w:szCs w:val="24"/>
          <w:shd w:val="clear" w:color="auto" w:fill="FFFFFF"/>
          <w:lang w:val="en-GB"/>
        </w:rPr>
        <w:t>ed Learning and Its Social Implications. </w:t>
      </w:r>
      <w:r w:rsidRPr="00FD7DF2">
        <w:rPr>
          <w:rFonts w:ascii="Times New Roman" w:hAnsi="Times New Roman" w:cs="Times New Roman"/>
          <w:i/>
          <w:iCs/>
          <w:sz w:val="24"/>
          <w:szCs w:val="24"/>
          <w:shd w:val="clear" w:color="auto" w:fill="FFFFFF"/>
          <w:lang w:val="en-GB"/>
        </w:rPr>
        <w:t>Uniglobal Journal of Social Sciences and Humanities</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4</w:t>
      </w:r>
      <w:r w:rsidRPr="00FD7DF2">
        <w:rPr>
          <w:rFonts w:ascii="Times New Roman" w:hAnsi="Times New Roman" w:cs="Times New Roman"/>
          <w:sz w:val="24"/>
          <w:szCs w:val="24"/>
          <w:shd w:val="clear" w:color="auto" w:fill="FFFFFF"/>
          <w:lang w:val="en-GB"/>
        </w:rPr>
        <w:t xml:space="preserve">(1), pp.216-222. </w:t>
      </w:r>
      <w:hyperlink r:id="rId46" w:history="1">
        <w:r w:rsidRPr="00FD7DF2">
          <w:rPr>
            <w:rStyle w:val="a7"/>
            <w:rFonts w:ascii="Times New Roman" w:hAnsi="Times New Roman" w:cs="Times New Roman"/>
            <w:color w:val="auto"/>
            <w:sz w:val="24"/>
            <w:szCs w:val="24"/>
            <w:shd w:val="clear" w:color="auto" w:fill="FFFFFF"/>
            <w:lang w:val="en-GB"/>
          </w:rPr>
          <w:t>https://www.ujssh.com/index.php/ujssh/article/view/189</w:t>
        </w:r>
      </w:hyperlink>
    </w:p>
    <w:p w14:paraId="794897B3"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Li, Y., Swift, S. and Tucker, A., 2013. Modelling and analysing the dynamics of disease progression from cross-sectional studies. </w:t>
      </w:r>
      <w:r w:rsidRPr="00FD7DF2">
        <w:rPr>
          <w:rFonts w:ascii="Times New Roman" w:hAnsi="Times New Roman" w:cs="Times New Roman"/>
          <w:i/>
          <w:iCs/>
          <w:sz w:val="24"/>
          <w:szCs w:val="24"/>
          <w:shd w:val="clear" w:color="auto" w:fill="FFFFFF"/>
          <w:lang w:val="en-GB"/>
        </w:rPr>
        <w:t>Journal of biomedical informatics</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46</w:t>
      </w:r>
      <w:r w:rsidRPr="00FD7DF2">
        <w:rPr>
          <w:rFonts w:ascii="Times New Roman" w:hAnsi="Times New Roman" w:cs="Times New Roman"/>
          <w:sz w:val="24"/>
          <w:szCs w:val="24"/>
          <w:shd w:val="clear" w:color="auto" w:fill="FFFFFF"/>
          <w:lang w:val="en-GB"/>
        </w:rPr>
        <w:t xml:space="preserve">(2), pp.266-274. </w:t>
      </w:r>
      <w:hyperlink r:id="rId47" w:history="1">
        <w:r w:rsidRPr="00FD7DF2">
          <w:rPr>
            <w:rStyle w:val="a7"/>
            <w:rFonts w:ascii="Times New Roman" w:hAnsi="Times New Roman" w:cs="Times New Roman"/>
            <w:color w:val="auto"/>
            <w:sz w:val="24"/>
            <w:szCs w:val="24"/>
            <w:shd w:val="clear" w:color="auto" w:fill="FFFFFF"/>
            <w:lang w:val="en-GB"/>
          </w:rPr>
          <w:t>https://www.sciencedirect.com/science/article/pii/S153204641200175X</w:t>
        </w:r>
      </w:hyperlink>
    </w:p>
    <w:p w14:paraId="70F0A576" w14:textId="66E1D59A"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Little, T.D., 2024. </w:t>
      </w:r>
      <w:r w:rsidRPr="00FD7DF2">
        <w:rPr>
          <w:rFonts w:ascii="Times New Roman" w:hAnsi="Times New Roman" w:cs="Times New Roman"/>
          <w:i/>
          <w:iCs/>
          <w:sz w:val="24"/>
          <w:szCs w:val="24"/>
          <w:shd w:val="clear" w:color="auto" w:fill="FFFFFF"/>
          <w:lang w:val="en-GB"/>
        </w:rPr>
        <w:t xml:space="preserve">Longitudinal structural equation </w:t>
      </w:r>
      <w:r w:rsidR="0052050B" w:rsidRPr="00FD7DF2">
        <w:rPr>
          <w:rFonts w:ascii="Times New Roman" w:hAnsi="Times New Roman" w:cs="Times New Roman"/>
          <w:i/>
          <w:iCs/>
          <w:sz w:val="24"/>
          <w:szCs w:val="24"/>
          <w:shd w:val="clear" w:color="auto" w:fill="FFFFFF"/>
          <w:lang w:val="en-GB"/>
        </w:rPr>
        <w:t>modelling</w:t>
      </w:r>
      <w:r w:rsidRPr="00FD7DF2">
        <w:rPr>
          <w:rFonts w:ascii="Times New Roman" w:hAnsi="Times New Roman" w:cs="Times New Roman"/>
          <w:sz w:val="24"/>
          <w:szCs w:val="24"/>
          <w:shd w:val="clear" w:color="auto" w:fill="FFFFFF"/>
          <w:lang w:val="en-GB"/>
        </w:rPr>
        <w:t xml:space="preserve">. Guilford Publications. </w:t>
      </w:r>
      <w:hyperlink r:id="rId48" w:history="1">
        <w:r w:rsidRPr="00FD7DF2">
          <w:rPr>
            <w:rStyle w:val="a7"/>
            <w:rFonts w:ascii="Times New Roman" w:hAnsi="Times New Roman" w:cs="Times New Roman"/>
            <w:color w:val="auto"/>
            <w:sz w:val="24"/>
            <w:szCs w:val="24"/>
            <w:shd w:val="clear" w:color="auto" w:fill="FFFFFF"/>
            <w:lang w:val="en-GB"/>
          </w:rPr>
          <w:t>https://books.google.com/books?hl=en&amp;lr=&amp;id=HRDfEAAAQBAJ&amp;oi=fnd&amp;pg=PP1&amp;dq=Structural+equation+modelling+would+allow+me+to+analy</w:t>
        </w:r>
        <w:r w:rsidR="0052050B" w:rsidRPr="00FD7DF2">
          <w:rPr>
            <w:rStyle w:val="a7"/>
            <w:rFonts w:ascii="Times New Roman" w:hAnsi="Times New Roman" w:cs="Times New Roman"/>
            <w:color w:val="auto"/>
            <w:sz w:val="24"/>
            <w:szCs w:val="24"/>
            <w:shd w:val="clear" w:color="auto" w:fill="FFFFFF"/>
            <w:lang w:val="en-GB"/>
          </w:rPr>
          <w:t>s</w:t>
        </w:r>
        <w:r w:rsidRPr="00FD7DF2">
          <w:rPr>
            <w:rStyle w:val="a7"/>
            <w:rFonts w:ascii="Times New Roman" w:hAnsi="Times New Roman" w:cs="Times New Roman"/>
            <w:color w:val="auto"/>
            <w:sz w:val="24"/>
            <w:szCs w:val="24"/>
            <w:shd w:val="clear" w:color="auto" w:fill="FFFFFF"/>
            <w:lang w:val="en-GB"/>
          </w:rPr>
          <w:t>e+complex+associations+between+latent+variables,+and+longitudinal+and+multilevel+models+would+provide+me+with+a+greater+facility+for+analy</w:t>
        </w:r>
        <w:r w:rsidR="0052050B" w:rsidRPr="00FD7DF2">
          <w:rPr>
            <w:rStyle w:val="a7"/>
            <w:rFonts w:ascii="Times New Roman" w:hAnsi="Times New Roman" w:cs="Times New Roman"/>
            <w:color w:val="auto"/>
            <w:sz w:val="24"/>
            <w:szCs w:val="24"/>
            <w:shd w:val="clear" w:color="auto" w:fill="FFFFFF"/>
            <w:lang w:val="en-GB"/>
          </w:rPr>
          <w:t>s</w:t>
        </w:r>
        <w:r w:rsidRPr="00FD7DF2">
          <w:rPr>
            <w:rStyle w:val="a7"/>
            <w:rFonts w:ascii="Times New Roman" w:hAnsi="Times New Roman" w:cs="Times New Roman"/>
            <w:color w:val="auto"/>
            <w:sz w:val="24"/>
            <w:szCs w:val="24"/>
            <w:shd w:val="clear" w:color="auto" w:fill="FFFFFF"/>
            <w:lang w:val="en-GB"/>
          </w:rPr>
          <w:t>ing+change+over+time+and+nested+data+structures&amp;ots=OeqfYFX03R&amp;sig=dADxB1PEYHJuHPzynOoOpyKsTME</w:t>
        </w:r>
      </w:hyperlink>
    </w:p>
    <w:p w14:paraId="5B088E63"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Lohr, S.L., 2021. </w:t>
      </w:r>
      <w:r w:rsidRPr="00FD7DF2">
        <w:rPr>
          <w:rFonts w:ascii="Times New Roman" w:hAnsi="Times New Roman" w:cs="Times New Roman"/>
          <w:i/>
          <w:iCs/>
          <w:sz w:val="24"/>
          <w:szCs w:val="24"/>
          <w:shd w:val="clear" w:color="auto" w:fill="FFFFFF"/>
          <w:lang w:val="en-GB"/>
        </w:rPr>
        <w:t>Sampling: design and analysis</w:t>
      </w:r>
      <w:r w:rsidRPr="00FD7DF2">
        <w:rPr>
          <w:rFonts w:ascii="Times New Roman" w:hAnsi="Times New Roman" w:cs="Times New Roman"/>
          <w:sz w:val="24"/>
          <w:szCs w:val="24"/>
          <w:shd w:val="clear" w:color="auto" w:fill="FFFFFF"/>
          <w:lang w:val="en-GB"/>
        </w:rPr>
        <w:t xml:space="preserve">. Chapman and Hall/CRC. </w:t>
      </w:r>
      <w:hyperlink r:id="rId49" w:history="1">
        <w:r w:rsidRPr="00FD7DF2">
          <w:rPr>
            <w:rStyle w:val="a7"/>
            <w:rFonts w:ascii="Times New Roman" w:hAnsi="Times New Roman" w:cs="Times New Roman"/>
            <w:color w:val="auto"/>
            <w:sz w:val="24"/>
            <w:szCs w:val="24"/>
            <w:shd w:val="clear" w:color="auto" w:fill="FFFFFF"/>
            <w:lang w:val="en-GB"/>
          </w:rPr>
          <w:t>https://www.taylorfrancis.com/books/mono/10.1201/9780429298899/sampling-sharon-lohr</w:t>
        </w:r>
      </w:hyperlink>
    </w:p>
    <w:p w14:paraId="724B42CE"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Lopez, S. 2025. </w:t>
      </w:r>
      <w:r w:rsidRPr="00FD7DF2">
        <w:rPr>
          <w:rFonts w:ascii="Times New Roman" w:hAnsi="Times New Roman" w:cs="Times New Roman"/>
          <w:i/>
          <w:iCs/>
          <w:sz w:val="24"/>
          <w:szCs w:val="24"/>
          <w:shd w:val="clear" w:color="auto" w:fill="FFFFFF"/>
          <w:lang w:val="en-GB"/>
        </w:rPr>
        <w:t>Integrating Artificial Intelligence in Regional Education</w:t>
      </w:r>
      <w:r w:rsidRPr="00FD7DF2">
        <w:rPr>
          <w:rFonts w:ascii="Times New Roman" w:hAnsi="Times New Roman" w:cs="Times New Roman"/>
          <w:sz w:val="24"/>
          <w:szCs w:val="24"/>
          <w:shd w:val="clear" w:color="auto" w:fill="FFFFFF"/>
          <w:lang w:val="en-GB"/>
        </w:rPr>
        <w:t xml:space="preserve">. EJSSS, 6(1). </w:t>
      </w:r>
      <w:hyperlink r:id="rId50" w:history="1">
        <w:r w:rsidRPr="00FD7DF2">
          <w:rPr>
            <w:rStyle w:val="a7"/>
            <w:rFonts w:ascii="Times New Roman" w:hAnsi="Times New Roman" w:cs="Times New Roman"/>
            <w:color w:val="auto"/>
            <w:sz w:val="24"/>
            <w:szCs w:val="24"/>
            <w:shd w:val="clear" w:color="auto" w:fill="FFFFFF"/>
            <w:lang w:val="en-GB"/>
          </w:rPr>
          <w:t>https://www.researchgate.net/profile/Sandeep-Lopez-2/publication/392282429_Integrating_Artificial_Intelligence_in_Regional_Education_A_Holistic_Framework_for_Inclusive_Adaptive_and_Community-Centric_Learning/links/683c0b028a76251f22eacb8f/Integrating-Artificial-Intelligence-in-Regional-Education-A-Holistic-Framework-for-Inclusive-Adaptive-and-Community-Centric-Learning.pdf</w:t>
        </w:r>
      </w:hyperlink>
      <w:bookmarkStart w:id="58" w:name="_Hlk206598994"/>
    </w:p>
    <w:p w14:paraId="4C4EC6AE"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Maggo, J. and Maggo, </w:t>
      </w:r>
      <w:bookmarkEnd w:id="58"/>
      <w:r w:rsidRPr="00FD7DF2">
        <w:rPr>
          <w:rFonts w:ascii="Times New Roman" w:hAnsi="Times New Roman" w:cs="Times New Roman"/>
          <w:sz w:val="24"/>
          <w:szCs w:val="24"/>
          <w:shd w:val="clear" w:color="auto" w:fill="FFFFFF"/>
          <w:lang w:val="en-GB"/>
        </w:rPr>
        <w:t>T., 2025. Disparities in Educational Opportunities Between Urban and Rural Regions Across the Globe and the Potential of AI to Bridge the Divide. </w:t>
      </w:r>
      <w:r w:rsidRPr="00FD7DF2">
        <w:rPr>
          <w:rFonts w:ascii="Times New Roman" w:hAnsi="Times New Roman" w:cs="Times New Roman"/>
          <w:i/>
          <w:iCs/>
          <w:sz w:val="24"/>
          <w:szCs w:val="24"/>
          <w:shd w:val="clear" w:color="auto" w:fill="FFFFFF"/>
          <w:lang w:val="en-GB"/>
        </w:rPr>
        <w:t>International Journal of Business Analytics &amp; Intelligence (IJBAI)</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13</w:t>
      </w:r>
      <w:r w:rsidRPr="00FD7DF2">
        <w:rPr>
          <w:rFonts w:ascii="Times New Roman" w:hAnsi="Times New Roman" w:cs="Times New Roman"/>
          <w:sz w:val="24"/>
          <w:szCs w:val="24"/>
          <w:shd w:val="clear" w:color="auto" w:fill="FFFFFF"/>
          <w:lang w:val="en-GB"/>
        </w:rPr>
        <w:t xml:space="preserve">(1). </w:t>
      </w:r>
      <w:hyperlink r:id="rId51" w:history="1">
        <w:r w:rsidRPr="00FD7DF2">
          <w:rPr>
            <w:rStyle w:val="a7"/>
            <w:rFonts w:ascii="Times New Roman" w:hAnsi="Times New Roman" w:cs="Times New Roman"/>
            <w:color w:val="auto"/>
            <w:sz w:val="24"/>
            <w:szCs w:val="24"/>
            <w:shd w:val="clear" w:color="auto" w:fill="FFFFFF"/>
            <w:lang w:val="en-GB"/>
          </w:rPr>
          <w:t>https://search.ebscohost.com/login.aspx?direct=true&amp;profile=ehost&amp;scope=site&amp;authtype=crawler&amp;jrnl=23211857&amp;AN=186939101&amp;h=P%2BwYvoPF4ObbuyWnH%2BXkrgqhUV%2F0kCv2FUyM2e6v4T6mh7wnXvLn2C7StgqX4BRylegkwEmoK9inoLR1MBFoLg%3D%3D&amp;crl=c</w:t>
        </w:r>
      </w:hyperlink>
      <w:bookmarkStart w:id="59" w:name="_Hlk206598532"/>
    </w:p>
    <w:p w14:paraId="0528E62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lastRenderedPageBreak/>
        <w:t>Maity,</w:t>
      </w:r>
      <w:bookmarkEnd w:id="59"/>
      <w:r w:rsidRPr="00FD7DF2">
        <w:rPr>
          <w:rFonts w:ascii="Times New Roman" w:hAnsi="Times New Roman" w:cs="Times New Roman"/>
          <w:sz w:val="24"/>
          <w:szCs w:val="24"/>
          <w:shd w:val="clear" w:color="auto" w:fill="FFFFFF"/>
          <w:lang w:val="en-GB"/>
        </w:rPr>
        <w:t xml:space="preserve"> S. 2019. Identifying opportunities for artificial intelligence in the evolution of training and development practices. </w:t>
      </w:r>
      <w:r w:rsidRPr="00FD7DF2">
        <w:rPr>
          <w:rFonts w:ascii="Times New Roman" w:hAnsi="Times New Roman" w:cs="Times New Roman"/>
          <w:i/>
          <w:iCs/>
          <w:sz w:val="24"/>
          <w:szCs w:val="24"/>
          <w:shd w:val="clear" w:color="auto" w:fill="FFFFFF"/>
          <w:lang w:val="en-GB"/>
        </w:rPr>
        <w:t>Journal of Management Development</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38</w:t>
      </w:r>
      <w:r w:rsidRPr="00FD7DF2">
        <w:rPr>
          <w:rFonts w:ascii="Times New Roman" w:hAnsi="Times New Roman" w:cs="Times New Roman"/>
          <w:sz w:val="24"/>
          <w:szCs w:val="24"/>
          <w:shd w:val="clear" w:color="auto" w:fill="FFFFFF"/>
          <w:lang w:val="en-GB"/>
        </w:rPr>
        <w:t xml:space="preserve">(8), 651-663. </w:t>
      </w:r>
      <w:hyperlink r:id="rId52" w:history="1">
        <w:r w:rsidRPr="00FD7DF2">
          <w:rPr>
            <w:rStyle w:val="a7"/>
            <w:rFonts w:ascii="Times New Roman" w:hAnsi="Times New Roman" w:cs="Times New Roman"/>
            <w:color w:val="auto"/>
            <w:sz w:val="24"/>
            <w:szCs w:val="24"/>
            <w:shd w:val="clear" w:color="auto" w:fill="FFFFFF"/>
            <w:lang w:val="en-GB"/>
          </w:rPr>
          <w:t>https://www.emerald.com/insight/content/doi/10.1108/JMD-03-2019-0069/full/html</w:t>
        </w:r>
      </w:hyperlink>
    </w:p>
    <w:p w14:paraId="0D11C042"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McLanahan, S., &amp; Sandefur, G. 2009. </w:t>
      </w:r>
      <w:r w:rsidRPr="00FD7DF2">
        <w:rPr>
          <w:rFonts w:ascii="Times New Roman" w:hAnsi="Times New Roman" w:cs="Times New Roman"/>
          <w:i/>
          <w:iCs/>
          <w:sz w:val="24"/>
          <w:szCs w:val="24"/>
          <w:shd w:val="clear" w:color="auto" w:fill="FFFFFF"/>
          <w:lang w:val="en-GB"/>
        </w:rPr>
        <w:t>Growing up with a single parent: What hurts, what helps.</w:t>
      </w:r>
      <w:r w:rsidRPr="00FD7DF2">
        <w:rPr>
          <w:rFonts w:ascii="Times New Roman" w:hAnsi="Times New Roman" w:cs="Times New Roman"/>
          <w:sz w:val="24"/>
          <w:szCs w:val="24"/>
          <w:shd w:val="clear" w:color="auto" w:fill="FFFFFF"/>
          <w:lang w:val="en-GB"/>
        </w:rPr>
        <w:t xml:space="preserve"> Harvard University Press. </w:t>
      </w:r>
      <w:hyperlink r:id="rId53" w:history="1">
        <w:r w:rsidRPr="00FD7DF2">
          <w:rPr>
            <w:rStyle w:val="a7"/>
            <w:rFonts w:ascii="Times New Roman" w:hAnsi="Times New Roman" w:cs="Times New Roman"/>
            <w:color w:val="auto"/>
            <w:sz w:val="24"/>
            <w:szCs w:val="24"/>
            <w:shd w:val="clear" w:color="auto" w:fill="FFFFFF"/>
            <w:lang w:val="en-GB"/>
          </w:rPr>
          <w:t>https://books.google.com/books?hl=en&amp;lr=&amp;id=kLUX8BJ1exUC&amp;oi=fnd&amp;pg=PA1&amp;dq=McLanahan,+S.,+%26+Sandefur,+G.+(1994).+Growing+up+with+a+single+parent:+What+hurts,+what+helps.+Harvard+University+Press.&amp;ots=Xg0XPnab_R&amp;sig=t-Wl7dLqx4nTqw8AxBV_8-G4Jmg</w:t>
        </w:r>
      </w:hyperlink>
    </w:p>
    <w:p w14:paraId="7D095AE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Mirnawati, M., Nani, N. and Damopolii, M., 2022. Discovering the Essence of Learners: A Descriptive and Explanatory Study. </w:t>
      </w:r>
      <w:r w:rsidRPr="00FD7DF2">
        <w:rPr>
          <w:rFonts w:ascii="Times New Roman" w:hAnsi="Times New Roman" w:cs="Times New Roman"/>
          <w:i/>
          <w:iCs/>
          <w:sz w:val="24"/>
          <w:szCs w:val="24"/>
          <w:shd w:val="clear" w:color="auto" w:fill="FFFFFF"/>
          <w:lang w:val="en-GB"/>
        </w:rPr>
        <w:t>Palita: Journal of Social Religion Research</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7</w:t>
      </w:r>
      <w:r w:rsidRPr="00FD7DF2">
        <w:rPr>
          <w:rFonts w:ascii="Times New Roman" w:hAnsi="Times New Roman" w:cs="Times New Roman"/>
          <w:sz w:val="24"/>
          <w:szCs w:val="24"/>
          <w:shd w:val="clear" w:color="auto" w:fill="FFFFFF"/>
          <w:lang w:val="en-GB"/>
        </w:rPr>
        <w:t xml:space="preserve">(2), pp.183-196. </w:t>
      </w:r>
      <w:hyperlink r:id="rId54" w:history="1">
        <w:r w:rsidRPr="00FD7DF2">
          <w:rPr>
            <w:rStyle w:val="a7"/>
            <w:rFonts w:ascii="Times New Roman" w:hAnsi="Times New Roman" w:cs="Times New Roman"/>
            <w:color w:val="auto"/>
            <w:sz w:val="24"/>
            <w:szCs w:val="24"/>
            <w:shd w:val="clear" w:color="auto" w:fill="FFFFFF"/>
            <w:lang w:val="en-GB"/>
          </w:rPr>
          <w:t>http://ejournal.iainpalopo.ac.id/index.php/palita/article/view/3175</w:t>
        </w:r>
      </w:hyperlink>
      <w:bookmarkStart w:id="60" w:name="_Hlk206589205"/>
    </w:p>
    <w:p w14:paraId="6AF108DC"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Moser, C. and Deichmann, </w:t>
      </w:r>
      <w:bookmarkEnd w:id="60"/>
      <w:r w:rsidRPr="00FD7DF2">
        <w:rPr>
          <w:rFonts w:ascii="Times New Roman" w:hAnsi="Times New Roman" w:cs="Times New Roman"/>
          <w:sz w:val="24"/>
          <w:szCs w:val="24"/>
          <w:shd w:val="clear" w:color="auto" w:fill="FFFFFF"/>
          <w:lang w:val="en-GB"/>
        </w:rPr>
        <w:t>D., 2021. Knowledge sharing in two cultures: the moderating effect of national culture on perceived knowledge quality in online communities. </w:t>
      </w:r>
      <w:r w:rsidRPr="00FD7DF2">
        <w:rPr>
          <w:rFonts w:ascii="Times New Roman" w:hAnsi="Times New Roman" w:cs="Times New Roman"/>
          <w:i/>
          <w:iCs/>
          <w:sz w:val="24"/>
          <w:szCs w:val="24"/>
          <w:shd w:val="clear" w:color="auto" w:fill="FFFFFF"/>
          <w:lang w:val="en-GB"/>
        </w:rPr>
        <w:t>European Journal of Information Systems</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30</w:t>
      </w:r>
      <w:r w:rsidRPr="00FD7DF2">
        <w:rPr>
          <w:rFonts w:ascii="Times New Roman" w:hAnsi="Times New Roman" w:cs="Times New Roman"/>
          <w:sz w:val="24"/>
          <w:szCs w:val="24"/>
          <w:shd w:val="clear" w:color="auto" w:fill="FFFFFF"/>
          <w:lang w:val="en-GB"/>
        </w:rPr>
        <w:t>(6), pp.623-641.</w:t>
      </w:r>
    </w:p>
    <w:p w14:paraId="3BEDE1EC"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Mutai, N., 2024. Ethical Decision-Making in Data Analysis: Navigating Challenges and Ensuring Integrity. </w:t>
      </w:r>
      <w:r w:rsidRPr="00FD7DF2">
        <w:rPr>
          <w:rFonts w:ascii="Times New Roman" w:hAnsi="Times New Roman" w:cs="Times New Roman"/>
          <w:i/>
          <w:iCs/>
          <w:sz w:val="24"/>
          <w:szCs w:val="24"/>
          <w:shd w:val="clear" w:color="auto" w:fill="FFFFFF"/>
          <w:lang w:val="en-GB"/>
        </w:rPr>
        <w:t>Ethics in Statistics: Opportunities and Challenges</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183</w:t>
      </w:r>
      <w:r w:rsidRPr="00FD7DF2">
        <w:rPr>
          <w:rFonts w:ascii="Times New Roman" w:hAnsi="Times New Roman" w:cs="Times New Roman"/>
          <w:sz w:val="24"/>
          <w:szCs w:val="24"/>
          <w:shd w:val="clear" w:color="auto" w:fill="FFFFFF"/>
          <w:lang w:val="en-GB"/>
        </w:rPr>
        <w:t xml:space="preserve">. </w:t>
      </w:r>
      <w:hyperlink r:id="rId55" w:history="1">
        <w:r w:rsidRPr="00FD7DF2">
          <w:rPr>
            <w:rStyle w:val="a7"/>
            <w:rFonts w:ascii="Times New Roman" w:hAnsi="Times New Roman" w:cs="Times New Roman"/>
            <w:color w:val="auto"/>
            <w:sz w:val="24"/>
            <w:szCs w:val="24"/>
            <w:shd w:val="clear" w:color="auto" w:fill="FFFFFF"/>
            <w:lang w:val="en-GB"/>
          </w:rPr>
          <w:t>https://books.google.com/books?hl=en&amp;lr=&amp;id=9OQWEQAAQBAJ&amp;oi=fnd&amp;pg=PA183&amp;dq=The+ethical+treatment+of+the+data+falls+to+the+researcher.+This+involves+ensuring+accurate+representation,+avoiding+selective+reporting,+and+identifying+the+ONS+as+the+source+of+the+data&amp;ots=9wWkmD_Web&amp;sig=wQ2VViH2DR74fd5HCVQdWksX6dI</w:t>
        </w:r>
      </w:hyperlink>
    </w:p>
    <w:p w14:paraId="3000FA4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Nguyen, T., Doan, M., &amp; Le, P. 2021. “AI chatbots in employability training.” </w:t>
      </w:r>
      <w:r w:rsidRPr="00FD7DF2">
        <w:rPr>
          <w:rFonts w:ascii="Times New Roman" w:hAnsi="Times New Roman" w:cs="Times New Roman"/>
          <w:i/>
          <w:iCs/>
          <w:sz w:val="24"/>
          <w:szCs w:val="24"/>
          <w:shd w:val="clear" w:color="auto" w:fill="FFFFFF"/>
          <w:lang w:val="en-GB"/>
        </w:rPr>
        <w:t>Education and Information Technologies</w:t>
      </w:r>
      <w:r w:rsidRPr="00FD7DF2">
        <w:rPr>
          <w:rFonts w:ascii="Times New Roman" w:hAnsi="Times New Roman" w:cs="Times New Roman"/>
          <w:sz w:val="24"/>
          <w:szCs w:val="24"/>
          <w:shd w:val="clear" w:color="auto" w:fill="FFFFFF"/>
          <w:lang w:val="en-GB"/>
        </w:rPr>
        <w:t>, 26(6), 6817–6835.Nonaka, I. and Takeuchi, H., 2007. The knowledge-creating company. </w:t>
      </w:r>
      <w:r w:rsidRPr="00FD7DF2">
        <w:rPr>
          <w:rFonts w:ascii="Times New Roman" w:hAnsi="Times New Roman" w:cs="Times New Roman"/>
          <w:i/>
          <w:iCs/>
          <w:sz w:val="24"/>
          <w:szCs w:val="24"/>
          <w:shd w:val="clear" w:color="auto" w:fill="FFFFFF"/>
          <w:lang w:val="en-GB"/>
        </w:rPr>
        <w:t>Harvard business review</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85</w:t>
      </w:r>
      <w:r w:rsidRPr="00FD7DF2">
        <w:rPr>
          <w:rFonts w:ascii="Times New Roman" w:hAnsi="Times New Roman" w:cs="Times New Roman"/>
          <w:sz w:val="24"/>
          <w:szCs w:val="24"/>
          <w:shd w:val="clear" w:color="auto" w:fill="FFFFFF"/>
          <w:lang w:val="en-GB"/>
        </w:rPr>
        <w:t xml:space="preserve">(7/8), p.162. </w:t>
      </w:r>
      <w:hyperlink r:id="rId56" w:history="1">
        <w:r w:rsidRPr="00FD7DF2">
          <w:rPr>
            <w:rStyle w:val="a7"/>
            <w:rFonts w:ascii="Times New Roman" w:hAnsi="Times New Roman" w:cs="Times New Roman"/>
            <w:color w:val="auto"/>
            <w:sz w:val="24"/>
            <w:szCs w:val="24"/>
            <w:shd w:val="clear" w:color="auto" w:fill="FFFFFF"/>
            <w:lang w:val="en-GB"/>
          </w:rPr>
          <w:t>https://lumsa.it/sites/default/files/UTENTI/u95/LM51_ITA_The%20Knowledge-Creating%20Company.pdf</w:t>
        </w:r>
      </w:hyperlink>
    </w:p>
    <w:p w14:paraId="308DF33F"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Office for National Statistics. 2024, May 29. Working and workless households in the UK: January to March 2024 [Statistical bulletin]. </w:t>
      </w:r>
      <w:hyperlink r:id="rId57" w:history="1">
        <w:r w:rsidRPr="00FD7DF2">
          <w:rPr>
            <w:rStyle w:val="a7"/>
            <w:rFonts w:ascii="Times New Roman" w:hAnsi="Times New Roman" w:cs="Times New Roman"/>
            <w:color w:val="auto"/>
            <w:sz w:val="24"/>
            <w:szCs w:val="24"/>
            <w:shd w:val="clear" w:color="auto" w:fill="FFFFFF"/>
            <w:lang w:val="en-GB"/>
          </w:rPr>
          <w:t>https://www.ons.gov.uk/employmentandlabourmarket/peoplenotinwork/unemployment/bulletins/worklesshouseholdsforregionsacrosstheuk/2024</w:t>
        </w:r>
      </w:hyperlink>
    </w:p>
    <w:p w14:paraId="50B98AFB"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lastRenderedPageBreak/>
        <w:t>Ouédraogo, I., 2024. </w:t>
      </w:r>
      <w:r w:rsidRPr="00FD7DF2">
        <w:rPr>
          <w:rFonts w:ascii="Times New Roman" w:hAnsi="Times New Roman" w:cs="Times New Roman"/>
          <w:i/>
          <w:iCs/>
          <w:sz w:val="24"/>
          <w:szCs w:val="24"/>
          <w:shd w:val="clear" w:color="auto" w:fill="FFFFFF"/>
          <w:lang w:val="en-GB"/>
        </w:rPr>
        <w:t>Mobile technology and artificial intelligence for improving health literacy among underserved communities</w:t>
      </w:r>
      <w:r w:rsidRPr="00FD7DF2">
        <w:rPr>
          <w:rFonts w:ascii="Times New Roman" w:hAnsi="Times New Roman" w:cs="Times New Roman"/>
          <w:sz w:val="24"/>
          <w:szCs w:val="24"/>
          <w:shd w:val="clear" w:color="auto" w:fill="FFFFFF"/>
          <w:lang w:val="en-GB"/>
        </w:rPr>
        <w:t xml:space="preserve"> (Doctoral dissertation, Université de Bordeaux; Université Nazi Boni (Bobo-Dioulasso, Burkina Faso)). </w:t>
      </w:r>
      <w:hyperlink r:id="rId58" w:history="1">
        <w:r w:rsidRPr="00FD7DF2">
          <w:rPr>
            <w:rStyle w:val="a7"/>
            <w:rFonts w:ascii="Times New Roman" w:hAnsi="Times New Roman" w:cs="Times New Roman"/>
            <w:color w:val="auto"/>
            <w:sz w:val="24"/>
            <w:szCs w:val="24"/>
            <w:shd w:val="clear" w:color="auto" w:fill="FFFFFF"/>
            <w:lang w:val="en-GB"/>
          </w:rPr>
          <w:t>https://theses.hal.science/tel-04574957/</w:t>
        </w:r>
      </w:hyperlink>
    </w:p>
    <w:p w14:paraId="7915A9E1"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Park, Y.S., Konge, L. and Artino Jr, A.R., 2020. The positivism paradigm of research. </w:t>
      </w:r>
      <w:r w:rsidRPr="00FD7DF2">
        <w:rPr>
          <w:rFonts w:ascii="Times New Roman" w:hAnsi="Times New Roman" w:cs="Times New Roman"/>
          <w:i/>
          <w:iCs/>
          <w:sz w:val="24"/>
          <w:szCs w:val="24"/>
          <w:shd w:val="clear" w:color="auto" w:fill="FFFFFF"/>
          <w:lang w:val="en-GB"/>
        </w:rPr>
        <w:t>Academic medicine</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95</w:t>
      </w:r>
      <w:r w:rsidRPr="00FD7DF2">
        <w:rPr>
          <w:rFonts w:ascii="Times New Roman" w:hAnsi="Times New Roman" w:cs="Times New Roman"/>
          <w:sz w:val="24"/>
          <w:szCs w:val="24"/>
          <w:shd w:val="clear" w:color="auto" w:fill="FFFFFF"/>
          <w:lang w:val="en-GB"/>
        </w:rPr>
        <w:t xml:space="preserve">(5), pp.690-694. </w:t>
      </w:r>
      <w:hyperlink r:id="rId59" w:history="1">
        <w:r w:rsidRPr="00FD7DF2">
          <w:rPr>
            <w:rStyle w:val="a7"/>
            <w:rFonts w:ascii="Times New Roman" w:hAnsi="Times New Roman" w:cs="Times New Roman"/>
            <w:color w:val="auto"/>
            <w:sz w:val="24"/>
            <w:szCs w:val="24"/>
            <w:shd w:val="clear" w:color="auto" w:fill="FFFFFF"/>
            <w:lang w:val="en-GB"/>
          </w:rPr>
          <w:t>https://journals.lww.com/academicmedicine/fulltext/2020/05000/the_positivism_paradigm_of_r%20esearch.16.aspx/%22</w:t>
        </w:r>
      </w:hyperlink>
      <w:bookmarkStart w:id="61" w:name="_Hlk206598580"/>
    </w:p>
    <w:p w14:paraId="4F230FC1"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Petropoulos, </w:t>
      </w:r>
      <w:bookmarkEnd w:id="61"/>
      <w:r w:rsidRPr="00FD7DF2">
        <w:rPr>
          <w:rFonts w:ascii="Times New Roman" w:hAnsi="Times New Roman" w:cs="Times New Roman"/>
          <w:sz w:val="24"/>
          <w:szCs w:val="24"/>
          <w:shd w:val="clear" w:color="auto" w:fill="FFFFFF"/>
          <w:lang w:val="en-GB"/>
        </w:rPr>
        <w:t>G., 2018. The impact of artificial intelligence on employment. </w:t>
      </w:r>
      <w:r w:rsidRPr="00FD7DF2">
        <w:rPr>
          <w:rFonts w:ascii="Times New Roman" w:hAnsi="Times New Roman" w:cs="Times New Roman"/>
          <w:i/>
          <w:iCs/>
          <w:sz w:val="24"/>
          <w:szCs w:val="24"/>
          <w:shd w:val="clear" w:color="auto" w:fill="FFFFFF"/>
          <w:lang w:val="en-GB"/>
        </w:rPr>
        <w:t>Praise for work in the digital age</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119</w:t>
      </w:r>
      <w:r w:rsidRPr="00FD7DF2">
        <w:rPr>
          <w:rFonts w:ascii="Times New Roman" w:hAnsi="Times New Roman" w:cs="Times New Roman"/>
          <w:sz w:val="24"/>
          <w:szCs w:val="24"/>
          <w:shd w:val="clear" w:color="auto" w:fill="FFFFFF"/>
          <w:lang w:val="en-GB"/>
        </w:rPr>
        <w:t xml:space="preserve">(4), pp.121-127. </w:t>
      </w:r>
      <w:hyperlink r:id="rId60" w:anchor="page=142" w:history="1">
        <w:r w:rsidRPr="00FD7DF2">
          <w:rPr>
            <w:rStyle w:val="a7"/>
            <w:rFonts w:ascii="Times New Roman" w:hAnsi="Times New Roman" w:cs="Times New Roman"/>
            <w:color w:val="auto"/>
            <w:sz w:val="24"/>
            <w:szCs w:val="24"/>
            <w:shd w:val="clear" w:color="auto" w:fill="FFFFFF"/>
            <w:lang w:val="en-GB"/>
          </w:rPr>
          <w:t>https://www.researchgate.net/profile/Amy-Healy/publication/325796290_How_to_escape_the_low_learning_trap_in_a_runaway_labour_market/links/5b3f7edaaca27207851e87fd/How-to-escape-the-low-learning-trap-in-a-runaway-labour-market.pdf#page=142</w:t>
        </w:r>
      </w:hyperlink>
    </w:p>
    <w:p w14:paraId="0F203210" w14:textId="3CA56453"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Phillips, A., Borry, P. and Shabani, M., 2017. Research ethics review for the use of anonymi</w:t>
      </w:r>
      <w:r w:rsidR="0052050B" w:rsidRPr="00FD7DF2">
        <w:rPr>
          <w:rFonts w:ascii="Times New Roman" w:hAnsi="Times New Roman" w:cs="Times New Roman"/>
          <w:sz w:val="24"/>
          <w:szCs w:val="24"/>
          <w:shd w:val="clear" w:color="auto" w:fill="FFFFFF"/>
          <w:lang w:val="en-GB"/>
        </w:rPr>
        <w:t>s</w:t>
      </w:r>
      <w:r w:rsidRPr="00FD7DF2">
        <w:rPr>
          <w:rFonts w:ascii="Times New Roman" w:hAnsi="Times New Roman" w:cs="Times New Roman"/>
          <w:sz w:val="24"/>
          <w:szCs w:val="24"/>
          <w:shd w:val="clear" w:color="auto" w:fill="FFFFFF"/>
          <w:lang w:val="en-GB"/>
        </w:rPr>
        <w:t>ed samples and data: A systematic review of normative documents. </w:t>
      </w:r>
      <w:r w:rsidRPr="00FD7DF2">
        <w:rPr>
          <w:rFonts w:ascii="Times New Roman" w:hAnsi="Times New Roman" w:cs="Times New Roman"/>
          <w:i/>
          <w:iCs/>
          <w:sz w:val="24"/>
          <w:szCs w:val="24"/>
          <w:shd w:val="clear" w:color="auto" w:fill="FFFFFF"/>
          <w:lang w:val="en-GB"/>
        </w:rPr>
        <w:t>Accountability in Research</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24</w:t>
      </w:r>
      <w:r w:rsidRPr="00FD7DF2">
        <w:rPr>
          <w:rFonts w:ascii="Times New Roman" w:hAnsi="Times New Roman" w:cs="Times New Roman"/>
          <w:sz w:val="24"/>
          <w:szCs w:val="24"/>
          <w:shd w:val="clear" w:color="auto" w:fill="FFFFFF"/>
          <w:lang w:val="en-GB"/>
        </w:rPr>
        <w:t xml:space="preserve">(8), pp.483-496. </w:t>
      </w:r>
      <w:hyperlink r:id="rId61" w:history="1">
        <w:r w:rsidRPr="00FD7DF2">
          <w:rPr>
            <w:rStyle w:val="a7"/>
            <w:rFonts w:ascii="Times New Roman" w:hAnsi="Times New Roman" w:cs="Times New Roman"/>
            <w:color w:val="auto"/>
            <w:sz w:val="24"/>
            <w:szCs w:val="24"/>
            <w:shd w:val="clear" w:color="auto" w:fill="FFFFFF"/>
            <w:lang w:val="en-GB"/>
          </w:rPr>
          <w:t>https://www.tandfonline.com/doi/abs/10.1080/08989621.2017.1396896</w:t>
        </w:r>
      </w:hyperlink>
    </w:p>
    <w:p w14:paraId="612D463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Ramesh, M.R., 2024. Innovative Teaching Methods Leveraging Collective Intelligence: A New Paradigm for Collaborative Learning. </w:t>
      </w:r>
      <w:r w:rsidRPr="00FD7DF2">
        <w:rPr>
          <w:rFonts w:ascii="Times New Roman" w:hAnsi="Times New Roman" w:cs="Times New Roman"/>
          <w:i/>
          <w:iCs/>
          <w:sz w:val="24"/>
          <w:szCs w:val="24"/>
          <w:shd w:val="clear" w:color="auto" w:fill="FFFFFF"/>
          <w:lang w:val="en-GB"/>
        </w:rPr>
        <w:t>This edited book, Collective Intelligence: A Resource for Teachers, Parents &amp; Policymakers, represents the culmination of a collaborative effort from a wide array of dedicated professionals, researchers, educators, and supportive individuals whose contributions have been invaluable throughout the process. The editors wish to express their deep appreciation to all those who have helped</w:t>
      </w:r>
      <w:r w:rsidRPr="00FD7DF2">
        <w:rPr>
          <w:rFonts w:ascii="Times New Roman" w:hAnsi="Times New Roman" w:cs="Times New Roman"/>
          <w:sz w:val="24"/>
          <w:szCs w:val="24"/>
          <w:shd w:val="clear" w:color="auto" w:fill="FFFFFF"/>
          <w:lang w:val="en-GB"/>
        </w:rPr>
        <w:t>, p.151.</w:t>
      </w:r>
    </w:p>
    <w:p w14:paraId="20EB5A83"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Ren, S., Hinzman, A.A., Kang, E.L., Szczesniak, R.D. and Lu, L.J., 2015. Computational and statistical analysis of metabolomics data. </w:t>
      </w:r>
      <w:r w:rsidRPr="00FD7DF2">
        <w:rPr>
          <w:rFonts w:ascii="Times New Roman" w:hAnsi="Times New Roman" w:cs="Times New Roman"/>
          <w:i/>
          <w:iCs/>
          <w:sz w:val="24"/>
          <w:szCs w:val="24"/>
          <w:shd w:val="clear" w:color="auto" w:fill="FFFFFF"/>
          <w:lang w:val="en-GB"/>
        </w:rPr>
        <w:t>Metabolomics</w:t>
      </w:r>
      <w:r w:rsidRPr="00FD7DF2">
        <w:rPr>
          <w:rFonts w:ascii="Times New Roman" w:hAnsi="Times New Roman" w:cs="Times New Roman"/>
          <w:sz w:val="24"/>
          <w:szCs w:val="24"/>
          <w:shd w:val="clear" w:color="auto" w:fill="FFFFFF"/>
          <w:lang w:val="en-GB"/>
        </w:rPr>
        <w:t>, </w:t>
      </w:r>
      <w:r w:rsidRPr="00FD7DF2">
        <w:rPr>
          <w:rFonts w:ascii="Times New Roman" w:hAnsi="Times New Roman" w:cs="Times New Roman"/>
          <w:i/>
          <w:iCs/>
          <w:sz w:val="24"/>
          <w:szCs w:val="24"/>
          <w:shd w:val="clear" w:color="auto" w:fill="FFFFFF"/>
          <w:lang w:val="en-GB"/>
        </w:rPr>
        <w:t>11</w:t>
      </w:r>
      <w:r w:rsidRPr="00FD7DF2">
        <w:rPr>
          <w:rFonts w:ascii="Times New Roman" w:hAnsi="Times New Roman" w:cs="Times New Roman"/>
          <w:sz w:val="24"/>
          <w:szCs w:val="24"/>
          <w:shd w:val="clear" w:color="auto" w:fill="FFFFFF"/>
          <w:lang w:val="en-GB"/>
        </w:rPr>
        <w:t xml:space="preserve">(6), pp.1492-1513. </w:t>
      </w:r>
      <w:hyperlink r:id="rId62" w:history="1">
        <w:r w:rsidRPr="00FD7DF2">
          <w:rPr>
            <w:rStyle w:val="a7"/>
            <w:rFonts w:ascii="Times New Roman" w:hAnsi="Times New Roman" w:cs="Times New Roman"/>
            <w:color w:val="auto"/>
            <w:sz w:val="24"/>
            <w:szCs w:val="24"/>
            <w:shd w:val="clear" w:color="auto" w:fill="FFFFFF"/>
            <w:lang w:val="en-GB"/>
          </w:rPr>
          <w:t>https://link.springer.com/article/10.1007/s11306-015-0823-6</w:t>
        </w:r>
      </w:hyperlink>
    </w:p>
    <w:p w14:paraId="7FFC25B5" w14:textId="7FCF74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Rich, R.C., Brians, C.L., Manheim, J.B. and Willnat, L., 2018. </w:t>
      </w:r>
      <w:r w:rsidRPr="00FD7DF2">
        <w:rPr>
          <w:rFonts w:ascii="Times New Roman" w:hAnsi="Times New Roman" w:cs="Times New Roman"/>
          <w:i/>
          <w:iCs/>
          <w:sz w:val="24"/>
          <w:szCs w:val="24"/>
          <w:shd w:val="clear" w:color="auto" w:fill="FFFFFF"/>
          <w:lang w:val="en-GB"/>
        </w:rPr>
        <w:t>Empirical political analysis: Quantitative and qualitative research methods</w:t>
      </w:r>
      <w:r w:rsidRPr="00FD7DF2">
        <w:rPr>
          <w:rFonts w:ascii="Times New Roman" w:hAnsi="Times New Roman" w:cs="Times New Roman"/>
          <w:sz w:val="24"/>
          <w:szCs w:val="24"/>
          <w:shd w:val="clear" w:color="auto" w:fill="FFFFFF"/>
          <w:lang w:val="en-GB"/>
        </w:rPr>
        <w:t xml:space="preserve">. Routledge. </w:t>
      </w:r>
      <w:hyperlink r:id="rId63" w:history="1">
        <w:r w:rsidR="0052050B" w:rsidRPr="00FD7DF2">
          <w:rPr>
            <w:rStyle w:val="a7"/>
            <w:rFonts w:ascii="Times New Roman" w:hAnsi="Times New Roman" w:cs="Times New Roman"/>
            <w:color w:val="auto"/>
            <w:sz w:val="24"/>
            <w:szCs w:val="24"/>
            <w:shd w:val="clear" w:color="auto" w:fill="FFFFFF"/>
            <w:lang w:val="en-GB"/>
          </w:rPr>
          <w:t>https://books.google.com/books?hl=en&amp;lr=&amp;id=zlcPEAAAQBAJ&amp;oi=fnd&amp;pg=PP1&amp;dq=Quantitative+analysis+grants+a+source+of+evidence+that+is+credible.+For+organisati</w:t>
        </w:r>
        <w:r w:rsidR="0052050B" w:rsidRPr="00FD7DF2">
          <w:rPr>
            <w:rStyle w:val="a7"/>
            <w:rFonts w:ascii="Times New Roman" w:hAnsi="Times New Roman" w:cs="Times New Roman"/>
            <w:color w:val="auto"/>
            <w:sz w:val="24"/>
            <w:szCs w:val="24"/>
            <w:shd w:val="clear" w:color="auto" w:fill="FFFFFF"/>
            <w:lang w:val="en-GB"/>
          </w:rPr>
          <w:lastRenderedPageBreak/>
          <w:t>ons+and+policymakers,+such+analysis+offers+a+powerful+language+of+comparison+and+accountability.+For+academics,+they+provide+the+basis+to+test+hypotheses+and+advance+theory&amp;ots=IBA5vLynKs&amp;sig=r5Bil_EqYpYkCj4B-MkJCGxlS-g</w:t>
        </w:r>
      </w:hyperlink>
    </w:p>
    <w:p w14:paraId="073F93F5"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Saczuk, K. and Zajkowska, O., 2024. </w:t>
      </w:r>
      <w:r w:rsidRPr="00FD7DF2">
        <w:rPr>
          <w:rFonts w:ascii="Times New Roman" w:hAnsi="Times New Roman" w:cs="Times New Roman"/>
          <w:i/>
          <w:iCs/>
          <w:sz w:val="24"/>
          <w:szCs w:val="24"/>
          <w:shd w:val="clear" w:color="auto" w:fill="FFFFFF"/>
          <w:lang w:val="en-GB"/>
        </w:rPr>
        <w:t>Measuring labour force participation during pandemics and methodological changes</w:t>
      </w:r>
      <w:r w:rsidRPr="00FD7DF2">
        <w:rPr>
          <w:rFonts w:ascii="Times New Roman" w:hAnsi="Times New Roman" w:cs="Times New Roman"/>
          <w:sz w:val="24"/>
          <w:szCs w:val="24"/>
          <w:shd w:val="clear" w:color="auto" w:fill="FFFFFF"/>
          <w:lang w:val="en-GB"/>
        </w:rPr>
        <w:t xml:space="preserve"> (No. 372). Narodowy Bank Polski. </w:t>
      </w:r>
      <w:hyperlink r:id="rId64" w:history="1">
        <w:r w:rsidRPr="00FD7DF2">
          <w:rPr>
            <w:rStyle w:val="a7"/>
            <w:rFonts w:ascii="Times New Roman" w:hAnsi="Times New Roman" w:cs="Times New Roman"/>
            <w:color w:val="auto"/>
            <w:sz w:val="24"/>
            <w:szCs w:val="24"/>
            <w:shd w:val="clear" w:color="auto" w:fill="FFFFFF"/>
            <w:lang w:val="en-GB"/>
          </w:rPr>
          <w:t>https://nbp.pl/wp-content/uploads/2024/07/NBP-WP_372-WWW.pdf</w:t>
        </w:r>
      </w:hyperlink>
      <w:bookmarkStart w:id="62" w:name="_Hlk206591425"/>
    </w:p>
    <w:p w14:paraId="2D1BD394"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Sarmah, S. &amp; Shekhar, </w:t>
      </w:r>
      <w:bookmarkEnd w:id="62"/>
      <w:r w:rsidRPr="00FD7DF2">
        <w:rPr>
          <w:rFonts w:ascii="Times New Roman" w:hAnsi="Times New Roman" w:cs="Times New Roman"/>
          <w:sz w:val="24"/>
          <w:szCs w:val="24"/>
          <w:shd w:val="clear" w:color="auto" w:fill="FFFFFF"/>
          <w:lang w:val="en-GB"/>
        </w:rPr>
        <w:t xml:space="preserve">2019. </w:t>
      </w:r>
      <w:r w:rsidRPr="00FD7DF2">
        <w:rPr>
          <w:rFonts w:ascii="Times New Roman" w:hAnsi="Times New Roman" w:cs="Times New Roman"/>
          <w:i/>
          <w:iCs/>
          <w:sz w:val="24"/>
          <w:szCs w:val="24"/>
          <w:shd w:val="clear" w:color="auto" w:fill="FFFFFF"/>
          <w:lang w:val="en-GB"/>
        </w:rPr>
        <w:t>The Role of Artificial Intelligence in Knowledge Management</w:t>
      </w:r>
      <w:r w:rsidRPr="00FD7DF2">
        <w:rPr>
          <w:rFonts w:ascii="Times New Roman" w:hAnsi="Times New Roman" w:cs="Times New Roman"/>
          <w:sz w:val="24"/>
          <w:szCs w:val="24"/>
          <w:shd w:val="clear" w:color="auto" w:fill="FFFFFF"/>
          <w:lang w:val="en-GB"/>
        </w:rPr>
        <w:t xml:space="preserve">. Available at: </w:t>
      </w:r>
      <w:hyperlink r:id="rId65" w:tgtFrame="_new" w:history="1">
        <w:r w:rsidRPr="00FD7DF2">
          <w:rPr>
            <w:rStyle w:val="a7"/>
            <w:rFonts w:ascii="Times New Roman" w:hAnsi="Times New Roman" w:cs="Times New Roman"/>
            <w:color w:val="auto"/>
            <w:sz w:val="24"/>
            <w:szCs w:val="24"/>
            <w:shd w:val="clear" w:color="auto" w:fill="FFFFFF"/>
            <w:lang w:val="en-GB"/>
          </w:rPr>
          <w:t>https://www.researchgate.net/publication/361273137_The_Role_of_Artificial_Intelligence_in_Knowledge_Management</w:t>
        </w:r>
      </w:hyperlink>
    </w:p>
    <w:p w14:paraId="1F90A9BD"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Solutions, S., 2019. What is logistic regression. </w:t>
      </w:r>
      <w:r w:rsidRPr="00FD7DF2">
        <w:rPr>
          <w:rFonts w:ascii="Times New Roman" w:hAnsi="Times New Roman" w:cs="Times New Roman"/>
          <w:i/>
          <w:iCs/>
          <w:sz w:val="24"/>
          <w:szCs w:val="24"/>
          <w:shd w:val="clear" w:color="auto" w:fill="FFFFFF"/>
          <w:lang w:val="en-GB"/>
        </w:rPr>
        <w:t>Statistics Solutions</w:t>
      </w:r>
      <w:r w:rsidRPr="00FD7DF2">
        <w:rPr>
          <w:rFonts w:ascii="Times New Roman" w:hAnsi="Times New Roman" w:cs="Times New Roman"/>
          <w:sz w:val="24"/>
          <w:szCs w:val="24"/>
          <w:shd w:val="clear" w:color="auto" w:fill="FFFFFF"/>
          <w:lang w:val="en-GB"/>
        </w:rPr>
        <w:t xml:space="preserve">. </w:t>
      </w:r>
      <w:hyperlink r:id="rId66" w:history="1">
        <w:r w:rsidRPr="00FD7DF2">
          <w:rPr>
            <w:rStyle w:val="a7"/>
            <w:rFonts w:ascii="Times New Roman" w:hAnsi="Times New Roman" w:cs="Times New Roman"/>
            <w:color w:val="auto"/>
            <w:sz w:val="24"/>
            <w:szCs w:val="24"/>
            <w:shd w:val="clear" w:color="auto" w:fill="FFFFFF"/>
            <w:lang w:val="en-GB"/>
          </w:rPr>
          <w:t>https://edge.sagepub.com/system/files/chapter19_2.pdf</w:t>
        </w:r>
      </w:hyperlink>
      <w:bookmarkStart w:id="63" w:name="_Hlk206681868"/>
    </w:p>
    <w:p w14:paraId="0BCC6A64"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Statistics,</w:t>
      </w:r>
      <w:bookmarkEnd w:id="63"/>
      <w:r w:rsidRPr="00FD7DF2">
        <w:rPr>
          <w:rFonts w:ascii="Times New Roman" w:hAnsi="Times New Roman" w:cs="Times New Roman"/>
          <w:sz w:val="24"/>
          <w:szCs w:val="24"/>
          <w:shd w:val="clear" w:color="auto" w:fill="FFFFFF"/>
          <w:lang w:val="en-GB"/>
        </w:rPr>
        <w:t xml:space="preserve"> L., 2013. Descriptive and inferential statistics. </w:t>
      </w:r>
      <w:r w:rsidRPr="00FD7DF2">
        <w:rPr>
          <w:rFonts w:ascii="Times New Roman" w:hAnsi="Times New Roman" w:cs="Times New Roman"/>
          <w:i/>
          <w:iCs/>
          <w:sz w:val="24"/>
          <w:szCs w:val="24"/>
          <w:shd w:val="clear" w:color="auto" w:fill="FFFFFF"/>
          <w:lang w:val="en-GB"/>
        </w:rPr>
        <w:t>Retrieved from</w:t>
      </w:r>
      <w:r w:rsidRPr="00FD7DF2">
        <w:rPr>
          <w:rFonts w:ascii="Times New Roman" w:hAnsi="Times New Roman" w:cs="Times New Roman"/>
          <w:sz w:val="24"/>
          <w:szCs w:val="24"/>
          <w:shd w:val="clear" w:color="auto" w:fill="FFFFFF"/>
          <w:lang w:val="en-GB"/>
        </w:rPr>
        <w:t xml:space="preserve">. </w:t>
      </w:r>
      <w:hyperlink r:id="rId67" w:history="1">
        <w:r w:rsidRPr="00FD7DF2">
          <w:rPr>
            <w:rStyle w:val="a7"/>
            <w:rFonts w:ascii="Times New Roman" w:hAnsi="Times New Roman" w:cs="Times New Roman"/>
            <w:color w:val="auto"/>
            <w:sz w:val="24"/>
            <w:szCs w:val="24"/>
            <w:shd w:val="clear" w:color="auto" w:fill="FFFFFF"/>
            <w:lang w:val="en-GB"/>
          </w:rPr>
          <w:t>https://www.sultanchandandsons.com/images/BookImages/Chapters/673_TC%201307%20BookLet.pdf</w:t>
        </w:r>
      </w:hyperlink>
    </w:p>
    <w:p w14:paraId="3C1A30AE"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Strielkowski, W., Grebennikova, V., Lisovskiy, A., Rakhimova, G. &amp; Vasileva, T., 2025. </w:t>
      </w:r>
      <w:r w:rsidRPr="00FD7DF2">
        <w:rPr>
          <w:rFonts w:ascii="Times New Roman" w:hAnsi="Times New Roman" w:cs="Times New Roman"/>
          <w:i/>
          <w:iCs/>
          <w:sz w:val="24"/>
          <w:szCs w:val="24"/>
          <w:shd w:val="clear" w:color="auto" w:fill="FFFFFF"/>
          <w:lang w:val="en-GB"/>
        </w:rPr>
        <w:t>AI-driven adaptive learning for sustainable educational transformation</w:t>
      </w:r>
      <w:r w:rsidRPr="00FD7DF2">
        <w:rPr>
          <w:rFonts w:ascii="Times New Roman" w:hAnsi="Times New Roman" w:cs="Times New Roman"/>
          <w:sz w:val="24"/>
          <w:szCs w:val="24"/>
          <w:shd w:val="clear" w:color="auto" w:fill="FFFFFF"/>
          <w:lang w:val="en-GB"/>
        </w:rPr>
        <w:t xml:space="preserve">. </w:t>
      </w:r>
      <w:r w:rsidRPr="00FD7DF2">
        <w:rPr>
          <w:rFonts w:ascii="Times New Roman" w:hAnsi="Times New Roman" w:cs="Times New Roman"/>
          <w:i/>
          <w:iCs/>
          <w:sz w:val="24"/>
          <w:szCs w:val="24"/>
          <w:shd w:val="clear" w:color="auto" w:fill="FFFFFF"/>
          <w:lang w:val="en-GB"/>
        </w:rPr>
        <w:t>Sustainable Development</w:t>
      </w:r>
      <w:r w:rsidRPr="00FD7DF2">
        <w:rPr>
          <w:rFonts w:ascii="Times New Roman" w:hAnsi="Times New Roman" w:cs="Times New Roman"/>
          <w:sz w:val="24"/>
          <w:szCs w:val="24"/>
          <w:shd w:val="clear" w:color="auto" w:fill="FFFFFF"/>
          <w:lang w:val="en-GB"/>
        </w:rPr>
        <w:t xml:space="preserve">, 33(2), pp.1921–1947. Available at: </w:t>
      </w:r>
      <w:hyperlink r:id="rId68" w:tgtFrame="_new" w:history="1">
        <w:r w:rsidRPr="00FD7DF2">
          <w:rPr>
            <w:rStyle w:val="a7"/>
            <w:rFonts w:ascii="Times New Roman" w:hAnsi="Times New Roman" w:cs="Times New Roman"/>
            <w:color w:val="auto"/>
            <w:sz w:val="24"/>
            <w:szCs w:val="24"/>
            <w:shd w:val="clear" w:color="auto" w:fill="FFFFFF"/>
            <w:lang w:val="en-GB"/>
          </w:rPr>
          <w:t>https://onlinelibrary.wiley.com/doi/10.1002/sd.3221</w:t>
        </w:r>
      </w:hyperlink>
    </w:p>
    <w:p w14:paraId="53CA5F72"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Vartanian, T.P., 2010. </w:t>
      </w:r>
      <w:r w:rsidRPr="00FD7DF2">
        <w:rPr>
          <w:rFonts w:ascii="Times New Roman" w:hAnsi="Times New Roman" w:cs="Times New Roman"/>
          <w:i/>
          <w:iCs/>
          <w:sz w:val="24"/>
          <w:szCs w:val="24"/>
          <w:shd w:val="clear" w:color="auto" w:fill="FFFFFF"/>
          <w:lang w:val="en-GB"/>
        </w:rPr>
        <w:t>Secondary data analysis</w:t>
      </w:r>
      <w:r w:rsidRPr="00FD7DF2">
        <w:rPr>
          <w:rFonts w:ascii="Times New Roman" w:hAnsi="Times New Roman" w:cs="Times New Roman"/>
          <w:sz w:val="24"/>
          <w:szCs w:val="24"/>
          <w:shd w:val="clear" w:color="auto" w:fill="FFFFFF"/>
          <w:lang w:val="en-GB"/>
        </w:rPr>
        <w:t xml:space="preserve">. Oxford University Press. </w:t>
      </w:r>
      <w:hyperlink r:id="rId69" w:history="1">
        <w:r w:rsidRPr="00FD7DF2">
          <w:rPr>
            <w:rStyle w:val="a7"/>
            <w:rFonts w:ascii="Times New Roman" w:hAnsi="Times New Roman" w:cs="Times New Roman"/>
            <w:color w:val="auto"/>
            <w:sz w:val="24"/>
            <w:szCs w:val="24"/>
            <w:shd w:val="clear" w:color="auto" w:fill="FFFFFF"/>
            <w:lang w:val="en-GB"/>
          </w:rPr>
          <w:t>https://books.google.com/books?hl=en&amp;lr=&amp;id=KKh1Q_OuKqIC&amp;oi=fnd&amp;pg=PR7&amp;dq=Secondary+data+further+restrict+the+types+of+variables+that+can+be+measured&amp;ots=spjFOdr6PS&amp;sig=7qEHrJYfFJVa9fiDDignx3nsspI</w:t>
        </w:r>
      </w:hyperlink>
    </w:p>
    <w:p w14:paraId="15BC8942" w14:textId="54A428C9" w:rsidR="006D042C" w:rsidRPr="00FD7DF2" w:rsidRDefault="006D042C" w:rsidP="0076654C">
      <w:pPr>
        <w:spacing w:line="360" w:lineRule="auto"/>
        <w:rPr>
          <w:rFonts w:ascii="Times New Roman" w:hAnsi="Times New Roman" w:cs="Times New Roman"/>
          <w:sz w:val="24"/>
          <w:szCs w:val="24"/>
          <w:shd w:val="clear" w:color="auto" w:fill="FFFFFF"/>
          <w:lang w:val="en-GB"/>
        </w:rPr>
      </w:pPr>
      <w:r w:rsidRPr="00FD7DF2">
        <w:rPr>
          <w:rFonts w:ascii="Times New Roman" w:hAnsi="Times New Roman" w:cs="Times New Roman"/>
          <w:sz w:val="24"/>
          <w:szCs w:val="24"/>
          <w:shd w:val="clear" w:color="auto" w:fill="FFFFFF"/>
          <w:lang w:val="en-GB"/>
        </w:rPr>
        <w:t xml:space="preserve">Wenger, E. 1998. </w:t>
      </w:r>
      <w:r w:rsidRPr="00FD7DF2">
        <w:rPr>
          <w:rFonts w:ascii="Times New Roman" w:hAnsi="Times New Roman" w:cs="Times New Roman"/>
          <w:i/>
          <w:iCs/>
          <w:sz w:val="24"/>
          <w:szCs w:val="24"/>
          <w:shd w:val="clear" w:color="auto" w:fill="FFFFFF"/>
          <w:lang w:val="en-GB"/>
        </w:rPr>
        <w:t>Communities of Practice: Learning, Meaning, and Identity</w:t>
      </w:r>
      <w:r w:rsidRPr="00FD7DF2">
        <w:rPr>
          <w:rFonts w:ascii="Times New Roman" w:hAnsi="Times New Roman" w:cs="Times New Roman"/>
          <w:sz w:val="24"/>
          <w:szCs w:val="24"/>
          <w:shd w:val="clear" w:color="auto" w:fill="FFFFFF"/>
          <w:lang w:val="en-GB"/>
        </w:rPr>
        <w:t xml:space="preserve">. Cambridge University Press. </w:t>
      </w:r>
      <w:hyperlink r:id="rId70" w:history="1">
        <w:r w:rsidRPr="00FD7DF2">
          <w:rPr>
            <w:rStyle w:val="a7"/>
            <w:rFonts w:ascii="Times New Roman" w:hAnsi="Times New Roman" w:cs="Times New Roman"/>
            <w:color w:val="auto"/>
            <w:sz w:val="24"/>
            <w:szCs w:val="24"/>
            <w:shd w:val="clear" w:color="auto" w:fill="FFFFFF"/>
            <w:lang w:val="en-GB"/>
          </w:rPr>
          <w:t>https://www.wenger-trayner.com/wp-content/uploads/2022/06/2000-EWT-Article-for-Organi</w:t>
        </w:r>
        <w:r w:rsidR="0052050B" w:rsidRPr="00FD7DF2">
          <w:rPr>
            <w:rStyle w:val="a7"/>
            <w:rFonts w:ascii="Times New Roman" w:hAnsi="Times New Roman" w:cs="Times New Roman"/>
            <w:color w:val="auto"/>
            <w:sz w:val="24"/>
            <w:szCs w:val="24"/>
            <w:shd w:val="clear" w:color="auto" w:fill="FFFFFF"/>
            <w:lang w:val="en-GB"/>
          </w:rPr>
          <w:t>s</w:t>
        </w:r>
        <w:r w:rsidRPr="00FD7DF2">
          <w:rPr>
            <w:rStyle w:val="a7"/>
            <w:rFonts w:ascii="Times New Roman" w:hAnsi="Times New Roman" w:cs="Times New Roman"/>
            <w:color w:val="auto"/>
            <w:sz w:val="24"/>
            <w:szCs w:val="24"/>
            <w:shd w:val="clear" w:color="auto" w:fill="FFFFFF"/>
            <w:lang w:val="en-GB"/>
          </w:rPr>
          <w:t>ation-CoPs-and-social-learning-systems.pdf</w:t>
        </w:r>
      </w:hyperlink>
    </w:p>
    <w:p w14:paraId="469695CD" w14:textId="77777777" w:rsidR="006D042C" w:rsidRPr="00FD7DF2" w:rsidRDefault="006D042C" w:rsidP="0076654C">
      <w:pPr>
        <w:spacing w:line="360" w:lineRule="auto"/>
        <w:rPr>
          <w:rFonts w:ascii="Times New Roman" w:hAnsi="Times New Roman" w:cs="Times New Roman"/>
          <w:sz w:val="24"/>
          <w:szCs w:val="24"/>
          <w:shd w:val="clear" w:color="auto" w:fill="FFFFFF"/>
          <w:lang w:val="en-GB"/>
        </w:rPr>
      </w:pPr>
    </w:p>
    <w:bookmarkEnd w:id="53"/>
    <w:p w14:paraId="7BE70BA0" w14:textId="77777777" w:rsidR="003022DE" w:rsidRPr="00FD7DF2" w:rsidRDefault="003022DE" w:rsidP="0076654C">
      <w:pPr>
        <w:spacing w:line="360" w:lineRule="auto"/>
        <w:rPr>
          <w:rFonts w:ascii="Times New Roman" w:hAnsi="Times New Roman" w:cs="Times New Roman"/>
          <w:sz w:val="24"/>
          <w:szCs w:val="24"/>
          <w:shd w:val="clear" w:color="auto" w:fill="FFFFFF"/>
          <w:lang w:val="en-GB"/>
        </w:rPr>
      </w:pPr>
    </w:p>
    <w:sectPr w:rsidR="003022DE" w:rsidRPr="00FD7DF2" w:rsidSect="00F438BF">
      <w:footerReference w:type="default" r:id="rId7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57EEE" w14:textId="77777777" w:rsidR="0038369D" w:rsidRDefault="0038369D">
      <w:pPr>
        <w:spacing w:line="240" w:lineRule="auto"/>
      </w:pPr>
      <w:r>
        <w:separator/>
      </w:r>
    </w:p>
  </w:endnote>
  <w:endnote w:type="continuationSeparator" w:id="0">
    <w:p w14:paraId="7173239B" w14:textId="77777777" w:rsidR="0038369D" w:rsidRDefault="00383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6B68B" w14:textId="77777777" w:rsidR="003022DE" w:rsidRDefault="00D26635">
    <w:pPr>
      <w:pStyle w:val="a3"/>
      <w:jc w:val="center"/>
    </w:pPr>
    <w:r>
      <w:fldChar w:fldCharType="begin"/>
    </w:r>
    <w:r>
      <w:instrText>PAGE   \* MERGEFORMAT</w:instrText>
    </w:r>
    <w:r>
      <w:fldChar w:fldCharType="separate"/>
    </w:r>
    <w:r>
      <w:rPr>
        <w:noProof/>
        <w:lang w:val="zh-CN" w:eastAsia="zh-CN"/>
      </w:rPr>
      <w:t>3</w:t>
    </w:r>
    <w:r>
      <w:fldChar w:fldCharType="end"/>
    </w:r>
  </w:p>
  <w:p w14:paraId="3AC5E42A" w14:textId="77777777" w:rsidR="003022DE" w:rsidRDefault="003022DE">
    <w:pPr>
      <w:pStyle w:val="a3"/>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FA6E7" w14:textId="77777777" w:rsidR="0038369D" w:rsidRDefault="0038369D">
      <w:pPr>
        <w:spacing w:line="240" w:lineRule="auto"/>
      </w:pPr>
      <w:r>
        <w:separator/>
      </w:r>
    </w:p>
  </w:footnote>
  <w:footnote w:type="continuationSeparator" w:id="0">
    <w:p w14:paraId="0F780457" w14:textId="77777777" w:rsidR="0038369D" w:rsidRDefault="003836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D3E2CC14"/>
    <w:lvl w:ilvl="0">
      <w:start w:val="1"/>
      <w:numFmt w:val="bullet"/>
      <w:lvlText w:val=""/>
      <w:lvlJc w:val="left"/>
      <w:pPr>
        <w:tabs>
          <w:tab w:val="left" w:pos="330"/>
        </w:tabs>
        <w:ind w:left="330" w:hanging="420"/>
      </w:pPr>
      <w:rPr>
        <w:rFonts w:ascii="Wingdings" w:hAnsi="Wingdings" w:hint="default"/>
      </w:rPr>
    </w:lvl>
  </w:abstractNum>
  <w:abstractNum w:abstractNumId="1" w15:restartNumberingAfterBreak="0">
    <w:nsid w:val="00000002"/>
    <w:multiLevelType w:val="singleLevel"/>
    <w:tmpl w:val="EE6DB42A"/>
    <w:lvl w:ilvl="0">
      <w:start w:val="1"/>
      <w:numFmt w:val="decimal"/>
      <w:lvlText w:val="%1."/>
      <w:lvlJc w:val="left"/>
      <w:pPr>
        <w:tabs>
          <w:tab w:val="left" w:pos="425"/>
        </w:tabs>
        <w:ind w:left="425" w:hanging="425"/>
      </w:pPr>
      <w:rPr>
        <w:rFonts w:hint="default"/>
      </w:rPr>
    </w:lvl>
  </w:abstractNum>
  <w:abstractNum w:abstractNumId="2" w15:restartNumberingAfterBreak="0">
    <w:nsid w:val="00000003"/>
    <w:multiLevelType w:val="multilevel"/>
    <w:tmpl w:val="230AB96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71AEA8B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0096BF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0000006"/>
    <w:multiLevelType w:val="multilevel"/>
    <w:tmpl w:val="8DB8322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586C9CC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73726F5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singleLevel"/>
    <w:tmpl w:val="2A60B088"/>
    <w:lvl w:ilvl="0">
      <w:start w:val="1"/>
      <w:numFmt w:val="decimal"/>
      <w:lvlText w:val="%1."/>
      <w:lvlJc w:val="left"/>
      <w:pPr>
        <w:tabs>
          <w:tab w:val="left" w:pos="425"/>
        </w:tabs>
        <w:ind w:left="425" w:hanging="425"/>
      </w:pPr>
      <w:rPr>
        <w:rFonts w:hint="default"/>
      </w:rPr>
    </w:lvl>
  </w:abstractNum>
  <w:abstractNum w:abstractNumId="9" w15:restartNumberingAfterBreak="0">
    <w:nsid w:val="0000000A"/>
    <w:multiLevelType w:val="hybridMultilevel"/>
    <w:tmpl w:val="D4AA1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2FBE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multilevel"/>
    <w:tmpl w:val="69B4782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hybridMultilevel"/>
    <w:tmpl w:val="21C61FA4"/>
    <w:lvl w:ilvl="0" w:tplc="A6441BC2">
      <w:start w:val="1"/>
      <w:numFmt w:val="bullet"/>
      <w:lvlText w:val="•"/>
      <w:lvlJc w:val="left"/>
      <w:pPr>
        <w:ind w:left="1440" w:hanging="720"/>
      </w:pPr>
      <w:rPr>
        <w:rFonts w:ascii="Times New Roman" w:eastAsia="等线"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0000000E"/>
    <w:multiLevelType w:val="singleLevel"/>
    <w:tmpl w:val="4EC7FF90"/>
    <w:lvl w:ilvl="0">
      <w:start w:val="1"/>
      <w:numFmt w:val="decimal"/>
      <w:suff w:val="space"/>
      <w:lvlText w:val="%1."/>
      <w:lvlJc w:val="left"/>
    </w:lvl>
  </w:abstractNum>
  <w:abstractNum w:abstractNumId="14" w15:restartNumberingAfterBreak="0">
    <w:nsid w:val="0000000F"/>
    <w:multiLevelType w:val="hybridMultilevel"/>
    <w:tmpl w:val="4B00CC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00000010"/>
    <w:multiLevelType w:val="singleLevel"/>
    <w:tmpl w:val="54FEAA64"/>
    <w:lvl w:ilvl="0">
      <w:start w:val="1"/>
      <w:numFmt w:val="decimal"/>
      <w:lvlText w:val="%1."/>
      <w:lvlJc w:val="left"/>
      <w:pPr>
        <w:tabs>
          <w:tab w:val="left" w:pos="425"/>
        </w:tabs>
        <w:ind w:left="425" w:hanging="425"/>
      </w:pPr>
      <w:rPr>
        <w:rFonts w:hint="default"/>
      </w:rPr>
    </w:lvl>
  </w:abstractNum>
  <w:abstractNum w:abstractNumId="16" w15:restartNumberingAfterBreak="0">
    <w:nsid w:val="00000011"/>
    <w:multiLevelType w:val="multilevel"/>
    <w:tmpl w:val="A74EDEA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0EE49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multilevel"/>
    <w:tmpl w:val="4D8A3F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743CA9C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multilevel"/>
    <w:tmpl w:val="A340703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6"/>
    <w:multiLevelType w:val="multilevel"/>
    <w:tmpl w:val="27B489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9A77641"/>
    <w:multiLevelType w:val="multilevel"/>
    <w:tmpl w:val="D610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F015D2"/>
    <w:multiLevelType w:val="multilevel"/>
    <w:tmpl w:val="803CF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0163EE4"/>
    <w:multiLevelType w:val="multilevel"/>
    <w:tmpl w:val="D80E2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DC30BD3"/>
    <w:multiLevelType w:val="multilevel"/>
    <w:tmpl w:val="B1D01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BC2640"/>
    <w:multiLevelType w:val="multilevel"/>
    <w:tmpl w:val="3F04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2A09AD"/>
    <w:multiLevelType w:val="singleLevel"/>
    <w:tmpl w:val="B7F312DC"/>
    <w:lvl w:ilvl="0">
      <w:start w:val="1"/>
      <w:numFmt w:val="bullet"/>
      <w:lvlText w:val=""/>
      <w:lvlJc w:val="left"/>
      <w:pPr>
        <w:tabs>
          <w:tab w:val="left" w:pos="420"/>
        </w:tabs>
        <w:ind w:left="420" w:hanging="420"/>
      </w:pPr>
      <w:rPr>
        <w:rFonts w:ascii="Wingdings" w:hAnsi="Wingdings" w:hint="default"/>
      </w:rPr>
    </w:lvl>
  </w:abstractNum>
  <w:abstractNum w:abstractNumId="28" w15:restartNumberingAfterBreak="0">
    <w:nsid w:val="309F10CF"/>
    <w:multiLevelType w:val="multilevel"/>
    <w:tmpl w:val="08B69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686711C"/>
    <w:multiLevelType w:val="multilevel"/>
    <w:tmpl w:val="9C4CA912"/>
    <w:lvl w:ilvl="0">
      <w:start w:val="1"/>
      <w:numFmt w:val="decimal"/>
      <w:lvlText w:val="%1."/>
      <w:lvlJc w:val="left"/>
      <w:pPr>
        <w:ind w:left="643"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36910FA9"/>
    <w:multiLevelType w:val="hybridMultilevel"/>
    <w:tmpl w:val="E92862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2E21491"/>
    <w:multiLevelType w:val="multilevel"/>
    <w:tmpl w:val="7768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42702E"/>
    <w:multiLevelType w:val="multilevel"/>
    <w:tmpl w:val="ABCAD2C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705C2"/>
    <w:multiLevelType w:val="multilevel"/>
    <w:tmpl w:val="08A4E7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D65126"/>
    <w:multiLevelType w:val="multilevel"/>
    <w:tmpl w:val="C338A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A97EF2"/>
    <w:multiLevelType w:val="multilevel"/>
    <w:tmpl w:val="C6621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501C2D"/>
    <w:multiLevelType w:val="hybridMultilevel"/>
    <w:tmpl w:val="2AAC5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AC273F"/>
    <w:multiLevelType w:val="multilevel"/>
    <w:tmpl w:val="CC08D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284BEF"/>
    <w:multiLevelType w:val="multilevel"/>
    <w:tmpl w:val="0C8CD18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Times New Roman" w:hAnsi="Times New Roman" w:cs="Times New Roman" w:hint="default"/>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440" w:hanging="108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800" w:hanging="144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2160" w:hanging="180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num w:numId="1" w16cid:durableId="1976985008">
    <w:abstractNumId w:val="5"/>
  </w:num>
  <w:num w:numId="2" w16cid:durableId="2132044882">
    <w:abstractNumId w:val="1"/>
  </w:num>
  <w:num w:numId="3" w16cid:durableId="177352313">
    <w:abstractNumId w:val="15"/>
  </w:num>
  <w:num w:numId="4" w16cid:durableId="916600126">
    <w:abstractNumId w:val="8"/>
  </w:num>
  <w:num w:numId="5" w16cid:durableId="1264418104">
    <w:abstractNumId w:val="0"/>
  </w:num>
  <w:num w:numId="6" w16cid:durableId="1084687477">
    <w:abstractNumId w:val="13"/>
  </w:num>
  <w:num w:numId="7" w16cid:durableId="159855342">
    <w:abstractNumId w:val="27"/>
  </w:num>
  <w:num w:numId="8" w16cid:durableId="1328368181">
    <w:abstractNumId w:val="10"/>
  </w:num>
  <w:num w:numId="9" w16cid:durableId="1164006306">
    <w:abstractNumId w:val="17"/>
  </w:num>
  <w:num w:numId="10" w16cid:durableId="729693974">
    <w:abstractNumId w:val="9"/>
  </w:num>
  <w:num w:numId="11" w16cid:durableId="2070685194">
    <w:abstractNumId w:val="18"/>
  </w:num>
  <w:num w:numId="12" w16cid:durableId="889727692">
    <w:abstractNumId w:val="14"/>
  </w:num>
  <w:num w:numId="13" w16cid:durableId="1951546170">
    <w:abstractNumId w:val="6"/>
  </w:num>
  <w:num w:numId="14" w16cid:durableId="1244026893">
    <w:abstractNumId w:val="16"/>
  </w:num>
  <w:num w:numId="15" w16cid:durableId="2051807946">
    <w:abstractNumId w:val="21"/>
  </w:num>
  <w:num w:numId="16" w16cid:durableId="578248481">
    <w:abstractNumId w:val="11"/>
  </w:num>
  <w:num w:numId="17" w16cid:durableId="260991099">
    <w:abstractNumId w:val="2"/>
  </w:num>
  <w:num w:numId="18" w16cid:durableId="1165508557">
    <w:abstractNumId w:val="3"/>
  </w:num>
  <w:num w:numId="19" w16cid:durableId="124126494">
    <w:abstractNumId w:val="20"/>
  </w:num>
  <w:num w:numId="20" w16cid:durableId="350883510">
    <w:abstractNumId w:val="4"/>
  </w:num>
  <w:num w:numId="21" w16cid:durableId="91126353">
    <w:abstractNumId w:val="12"/>
  </w:num>
  <w:num w:numId="22" w16cid:durableId="548491444">
    <w:abstractNumId w:val="7"/>
  </w:num>
  <w:num w:numId="23" w16cid:durableId="1744329761">
    <w:abstractNumId w:val="19"/>
  </w:num>
  <w:num w:numId="24" w16cid:durableId="549003166">
    <w:abstractNumId w:val="33"/>
  </w:num>
  <w:num w:numId="25" w16cid:durableId="382947616">
    <w:abstractNumId w:val="28"/>
  </w:num>
  <w:num w:numId="26" w16cid:durableId="1683774666">
    <w:abstractNumId w:val="37"/>
  </w:num>
  <w:num w:numId="27" w16cid:durableId="1409841817">
    <w:abstractNumId w:val="22"/>
  </w:num>
  <w:num w:numId="28" w16cid:durableId="2070153501">
    <w:abstractNumId w:val="26"/>
  </w:num>
  <w:num w:numId="29" w16cid:durableId="1330599237">
    <w:abstractNumId w:val="31"/>
  </w:num>
  <w:num w:numId="30" w16cid:durableId="1808891550">
    <w:abstractNumId w:val="34"/>
  </w:num>
  <w:num w:numId="31" w16cid:durableId="754322988">
    <w:abstractNumId w:val="35"/>
  </w:num>
  <w:num w:numId="32" w16cid:durableId="1054548055">
    <w:abstractNumId w:val="23"/>
  </w:num>
  <w:num w:numId="33" w16cid:durableId="1667781062">
    <w:abstractNumId w:val="32"/>
  </w:num>
  <w:num w:numId="34" w16cid:durableId="301274127">
    <w:abstractNumId w:val="30"/>
  </w:num>
  <w:num w:numId="35" w16cid:durableId="427963126">
    <w:abstractNumId w:val="24"/>
  </w:num>
  <w:num w:numId="36" w16cid:durableId="46757471">
    <w:abstractNumId w:val="29"/>
  </w:num>
  <w:num w:numId="37" w16cid:durableId="1873228216">
    <w:abstractNumId w:val="25"/>
  </w:num>
  <w:num w:numId="38" w16cid:durableId="935401442">
    <w:abstractNumId w:val="38"/>
  </w:num>
  <w:num w:numId="39" w16cid:durableId="68015942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2DE"/>
    <w:rsid w:val="0004041A"/>
    <w:rsid w:val="00084683"/>
    <w:rsid w:val="00095C5A"/>
    <w:rsid w:val="000F06CE"/>
    <w:rsid w:val="001649A2"/>
    <w:rsid w:val="001C3700"/>
    <w:rsid w:val="002E5BC9"/>
    <w:rsid w:val="003022DE"/>
    <w:rsid w:val="00310DDF"/>
    <w:rsid w:val="003249F5"/>
    <w:rsid w:val="00366AFD"/>
    <w:rsid w:val="00374468"/>
    <w:rsid w:val="0038369D"/>
    <w:rsid w:val="003B073D"/>
    <w:rsid w:val="003D1D1E"/>
    <w:rsid w:val="003E49C5"/>
    <w:rsid w:val="003F209E"/>
    <w:rsid w:val="0042592E"/>
    <w:rsid w:val="00474FFC"/>
    <w:rsid w:val="0049476B"/>
    <w:rsid w:val="004B1148"/>
    <w:rsid w:val="004D0B29"/>
    <w:rsid w:val="004E79A5"/>
    <w:rsid w:val="0052050B"/>
    <w:rsid w:val="005A6A8F"/>
    <w:rsid w:val="005C5B97"/>
    <w:rsid w:val="00614F46"/>
    <w:rsid w:val="00653FE5"/>
    <w:rsid w:val="00657C00"/>
    <w:rsid w:val="006D042C"/>
    <w:rsid w:val="006E5EA4"/>
    <w:rsid w:val="006F6F72"/>
    <w:rsid w:val="0076654C"/>
    <w:rsid w:val="00841310"/>
    <w:rsid w:val="008510D2"/>
    <w:rsid w:val="008679AB"/>
    <w:rsid w:val="008B0967"/>
    <w:rsid w:val="008C7E1E"/>
    <w:rsid w:val="008D2AFA"/>
    <w:rsid w:val="008F2F27"/>
    <w:rsid w:val="00935EEB"/>
    <w:rsid w:val="009823A3"/>
    <w:rsid w:val="009916DE"/>
    <w:rsid w:val="0099281F"/>
    <w:rsid w:val="009A15A7"/>
    <w:rsid w:val="00A468CB"/>
    <w:rsid w:val="00AA033D"/>
    <w:rsid w:val="00AE37A9"/>
    <w:rsid w:val="00B27E83"/>
    <w:rsid w:val="00B41F62"/>
    <w:rsid w:val="00B52C1A"/>
    <w:rsid w:val="00B61DD9"/>
    <w:rsid w:val="00B713B0"/>
    <w:rsid w:val="00BA6665"/>
    <w:rsid w:val="00BC2D74"/>
    <w:rsid w:val="00C130D5"/>
    <w:rsid w:val="00C2142B"/>
    <w:rsid w:val="00C452E7"/>
    <w:rsid w:val="00CB5A15"/>
    <w:rsid w:val="00CD28CD"/>
    <w:rsid w:val="00D26635"/>
    <w:rsid w:val="00D47D1F"/>
    <w:rsid w:val="00D83212"/>
    <w:rsid w:val="00D8705D"/>
    <w:rsid w:val="00E34713"/>
    <w:rsid w:val="00E919E0"/>
    <w:rsid w:val="00EB68C8"/>
    <w:rsid w:val="00EB6971"/>
    <w:rsid w:val="00F438BF"/>
    <w:rsid w:val="00F61663"/>
    <w:rsid w:val="00F85872"/>
    <w:rsid w:val="00F92D37"/>
    <w:rsid w:val="00FB57F3"/>
    <w:rsid w:val="00FC2C6D"/>
    <w:rsid w:val="00FD7DF2"/>
    <w:rsid w:val="00FE5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E8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等线" w:hAnsi="Aptos" w:cs="宋体"/>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480" w:lineRule="auto"/>
      <w:ind w:left="720" w:hanging="720"/>
    </w:pPr>
    <w:rPr>
      <w:sz w:val="22"/>
      <w:szCs w:val="22"/>
      <w:lang w:val="en-US" w:eastAsia="en-US"/>
    </w:rPr>
  </w:style>
  <w:style w:type="paragraph" w:styleId="1">
    <w:name w:val="heading 1"/>
    <w:basedOn w:val="a"/>
    <w:next w:val="a"/>
    <w:link w:val="10"/>
    <w:uiPriority w:val="9"/>
    <w:qFormat/>
    <w:pPr>
      <w:keepNext/>
      <w:keepLines/>
      <w:spacing w:before="360" w:after="80"/>
      <w:outlineLvl w:val="0"/>
    </w:pPr>
    <w:rPr>
      <w:rFonts w:ascii="Aptos Display" w:eastAsia="等线 Light" w:hAnsi="Aptos Display"/>
      <w:color w:val="0F4761"/>
      <w:sz w:val="40"/>
      <w:szCs w:val="40"/>
    </w:rPr>
  </w:style>
  <w:style w:type="paragraph" w:styleId="2">
    <w:name w:val="heading 2"/>
    <w:basedOn w:val="a"/>
    <w:next w:val="a"/>
    <w:link w:val="20"/>
    <w:uiPriority w:val="9"/>
    <w:unhideWhenUsed/>
    <w:qFormat/>
    <w:pPr>
      <w:keepNext/>
      <w:keepLines/>
      <w:spacing w:before="160" w:after="80"/>
      <w:outlineLvl w:val="1"/>
    </w:pPr>
    <w:rPr>
      <w:rFonts w:ascii="Aptos Display" w:eastAsia="等线 Light" w:hAnsi="Aptos Display"/>
      <w:color w:val="0F4761"/>
      <w:sz w:val="32"/>
      <w:szCs w:val="32"/>
    </w:rPr>
  </w:style>
  <w:style w:type="paragraph" w:styleId="3">
    <w:name w:val="heading 3"/>
    <w:basedOn w:val="a"/>
    <w:next w:val="a"/>
    <w:link w:val="30"/>
    <w:uiPriority w:val="9"/>
    <w:unhideWhenUsed/>
    <w:qFormat/>
    <w:pPr>
      <w:keepNext/>
      <w:keepLines/>
      <w:spacing w:before="160" w:after="80"/>
      <w:outlineLvl w:val="2"/>
    </w:pPr>
    <w:rPr>
      <w:rFonts w:eastAsia="等线 Light"/>
      <w:color w:val="0F4761"/>
      <w:sz w:val="28"/>
      <w:szCs w:val="28"/>
    </w:rPr>
  </w:style>
  <w:style w:type="paragraph" w:styleId="4">
    <w:name w:val="heading 4"/>
    <w:basedOn w:val="a"/>
    <w:next w:val="a"/>
    <w:link w:val="40"/>
    <w:uiPriority w:val="9"/>
    <w:semiHidden/>
    <w:unhideWhenUsed/>
    <w:qFormat/>
    <w:pPr>
      <w:keepNext/>
      <w:keepLines/>
      <w:spacing w:before="80" w:after="40"/>
      <w:outlineLvl w:val="3"/>
    </w:pPr>
    <w:rPr>
      <w:rFonts w:eastAsia="等线 Light"/>
      <w:i/>
      <w:iCs/>
      <w:color w:val="0F4761"/>
    </w:rPr>
  </w:style>
  <w:style w:type="paragraph" w:styleId="5">
    <w:name w:val="heading 5"/>
    <w:basedOn w:val="a"/>
    <w:next w:val="a"/>
    <w:link w:val="50"/>
    <w:uiPriority w:val="9"/>
    <w:semiHidden/>
    <w:unhideWhenUsed/>
    <w:qFormat/>
    <w:pPr>
      <w:keepNext/>
      <w:keepLines/>
      <w:spacing w:before="80" w:after="40"/>
      <w:outlineLvl w:val="4"/>
    </w:pPr>
    <w:rPr>
      <w:rFonts w:eastAsia="等线 Light"/>
      <w:color w:val="0F4761"/>
    </w:rPr>
  </w:style>
  <w:style w:type="paragraph" w:styleId="6">
    <w:name w:val="heading 6"/>
    <w:basedOn w:val="a"/>
    <w:next w:val="a"/>
    <w:link w:val="60"/>
    <w:uiPriority w:val="9"/>
    <w:semiHidden/>
    <w:unhideWhenUsed/>
    <w:qFormat/>
    <w:pPr>
      <w:keepNext/>
      <w:keepLines/>
      <w:spacing w:before="40"/>
      <w:outlineLvl w:val="5"/>
    </w:pPr>
    <w:rPr>
      <w:rFonts w:eastAsia="等线 Light"/>
      <w:i/>
      <w:iCs/>
      <w:color w:val="595959"/>
    </w:rPr>
  </w:style>
  <w:style w:type="paragraph" w:styleId="7">
    <w:name w:val="heading 7"/>
    <w:basedOn w:val="a"/>
    <w:next w:val="a"/>
    <w:link w:val="70"/>
    <w:uiPriority w:val="9"/>
    <w:qFormat/>
    <w:pPr>
      <w:keepNext/>
      <w:keepLines/>
      <w:spacing w:before="40"/>
      <w:outlineLvl w:val="6"/>
    </w:pPr>
    <w:rPr>
      <w:rFonts w:eastAsia="等线 Light"/>
      <w:color w:val="595959"/>
    </w:rPr>
  </w:style>
  <w:style w:type="paragraph" w:styleId="8">
    <w:name w:val="heading 8"/>
    <w:basedOn w:val="a"/>
    <w:next w:val="a"/>
    <w:link w:val="80"/>
    <w:uiPriority w:val="9"/>
    <w:qFormat/>
    <w:pPr>
      <w:keepNext/>
      <w:keepLines/>
      <w:outlineLvl w:val="7"/>
    </w:pPr>
    <w:rPr>
      <w:rFonts w:eastAsia="等线 Light"/>
      <w:i/>
      <w:iCs/>
      <w:color w:val="262626"/>
    </w:rPr>
  </w:style>
  <w:style w:type="paragraph" w:styleId="9">
    <w:name w:val="heading 9"/>
    <w:basedOn w:val="a"/>
    <w:next w:val="a"/>
    <w:link w:val="90"/>
    <w:uiPriority w:val="9"/>
    <w:qFormat/>
    <w:pPr>
      <w:keepNext/>
      <w:keepLines/>
      <w:outlineLvl w:val="8"/>
    </w:pPr>
    <w:rPr>
      <w:rFonts w:eastAsia="等线 Light"/>
      <w:color w:val="2626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680"/>
        <w:tab w:val="right" w:pos="9360"/>
      </w:tabs>
      <w:spacing w:line="240" w:lineRule="auto"/>
    </w:pPr>
  </w:style>
  <w:style w:type="paragraph" w:styleId="a5">
    <w:name w:val="header"/>
    <w:basedOn w:val="a"/>
    <w:link w:val="a6"/>
    <w:uiPriority w:val="99"/>
    <w:qFormat/>
    <w:pPr>
      <w:tabs>
        <w:tab w:val="center" w:pos="4680"/>
        <w:tab w:val="right" w:pos="9360"/>
      </w:tabs>
      <w:spacing w:line="240" w:lineRule="auto"/>
    </w:pPr>
  </w:style>
  <w:style w:type="character" w:styleId="a7">
    <w:name w:val="Hyperlink"/>
    <w:basedOn w:val="a0"/>
    <w:uiPriority w:val="99"/>
    <w:rPr>
      <w:color w:val="467886"/>
      <w:u w:val="single"/>
    </w:rPr>
  </w:style>
  <w:style w:type="paragraph" w:styleId="a8">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Pr>
      <w:b/>
      <w:bCs/>
    </w:rPr>
  </w:style>
  <w:style w:type="paragraph" w:styleId="aa">
    <w:name w:val="Subtitle"/>
    <w:basedOn w:val="a"/>
    <w:next w:val="a"/>
    <w:link w:val="ab"/>
    <w:uiPriority w:val="11"/>
    <w:qFormat/>
    <w:pPr>
      <w:spacing w:after="160"/>
    </w:pPr>
    <w:rPr>
      <w:rFonts w:eastAsia="等线 Light"/>
      <w:color w:val="595959"/>
      <w:spacing w:val="15"/>
      <w:sz w:val="28"/>
      <w:szCs w:val="28"/>
    </w:rPr>
  </w:style>
  <w:style w:type="paragraph" w:styleId="ac">
    <w:name w:val="Title"/>
    <w:basedOn w:val="a"/>
    <w:next w:val="a"/>
    <w:link w:val="ad"/>
    <w:uiPriority w:val="10"/>
    <w:qFormat/>
    <w:pPr>
      <w:spacing w:after="80" w:line="240" w:lineRule="auto"/>
      <w:contextualSpacing/>
    </w:pPr>
    <w:rPr>
      <w:rFonts w:ascii="Aptos Display" w:eastAsia="等线 Light" w:hAnsi="Aptos Display"/>
      <w:spacing w:val="-10"/>
      <w:kern w:val="28"/>
      <w:sz w:val="56"/>
      <w:szCs w:val="56"/>
    </w:rPr>
  </w:style>
  <w:style w:type="character" w:customStyle="1" w:styleId="10">
    <w:name w:val="标题 1 字符"/>
    <w:basedOn w:val="a0"/>
    <w:link w:val="1"/>
    <w:uiPriority w:val="9"/>
    <w:qFormat/>
    <w:rPr>
      <w:rFonts w:ascii="Aptos Display" w:eastAsia="等线 Light" w:hAnsi="Aptos Display" w:cs="宋体"/>
      <w:color w:val="0F4761"/>
      <w:sz w:val="40"/>
      <w:szCs w:val="40"/>
    </w:rPr>
  </w:style>
  <w:style w:type="character" w:customStyle="1" w:styleId="20">
    <w:name w:val="标题 2 字符"/>
    <w:basedOn w:val="a0"/>
    <w:link w:val="2"/>
    <w:uiPriority w:val="9"/>
    <w:qFormat/>
    <w:rPr>
      <w:rFonts w:ascii="Aptos Display" w:eastAsia="等线 Light" w:hAnsi="Aptos Display" w:cs="宋体"/>
      <w:color w:val="0F4761"/>
      <w:sz w:val="32"/>
      <w:szCs w:val="32"/>
    </w:rPr>
  </w:style>
  <w:style w:type="character" w:customStyle="1" w:styleId="30">
    <w:name w:val="标题 3 字符"/>
    <w:basedOn w:val="a0"/>
    <w:link w:val="3"/>
    <w:uiPriority w:val="9"/>
    <w:qFormat/>
    <w:rPr>
      <w:rFonts w:eastAsia="等线 Light" w:cs="宋体"/>
      <w:color w:val="0F4761"/>
      <w:sz w:val="28"/>
      <w:szCs w:val="28"/>
    </w:rPr>
  </w:style>
  <w:style w:type="character" w:customStyle="1" w:styleId="40">
    <w:name w:val="标题 4 字符"/>
    <w:basedOn w:val="a0"/>
    <w:link w:val="4"/>
    <w:uiPriority w:val="9"/>
    <w:qFormat/>
    <w:rPr>
      <w:rFonts w:eastAsia="等线 Light" w:cs="宋体"/>
      <w:i/>
      <w:iCs/>
      <w:color w:val="0F4761"/>
    </w:rPr>
  </w:style>
  <w:style w:type="character" w:customStyle="1" w:styleId="50">
    <w:name w:val="标题 5 字符"/>
    <w:basedOn w:val="a0"/>
    <w:link w:val="5"/>
    <w:uiPriority w:val="9"/>
    <w:qFormat/>
    <w:rPr>
      <w:rFonts w:eastAsia="等线 Light" w:cs="宋体"/>
      <w:color w:val="0F4761"/>
    </w:rPr>
  </w:style>
  <w:style w:type="character" w:customStyle="1" w:styleId="60">
    <w:name w:val="标题 6 字符"/>
    <w:basedOn w:val="a0"/>
    <w:link w:val="6"/>
    <w:uiPriority w:val="9"/>
    <w:qFormat/>
    <w:rPr>
      <w:rFonts w:eastAsia="等线 Light" w:cs="宋体"/>
      <w:i/>
      <w:iCs/>
      <w:color w:val="595959"/>
    </w:rPr>
  </w:style>
  <w:style w:type="character" w:customStyle="1" w:styleId="70">
    <w:name w:val="标题 7 字符"/>
    <w:basedOn w:val="a0"/>
    <w:link w:val="7"/>
    <w:uiPriority w:val="9"/>
    <w:rPr>
      <w:rFonts w:eastAsia="等线 Light" w:cs="宋体"/>
      <w:color w:val="595959"/>
    </w:rPr>
  </w:style>
  <w:style w:type="character" w:customStyle="1" w:styleId="80">
    <w:name w:val="标题 8 字符"/>
    <w:basedOn w:val="a0"/>
    <w:link w:val="8"/>
    <w:uiPriority w:val="9"/>
    <w:qFormat/>
    <w:rPr>
      <w:rFonts w:eastAsia="等线 Light" w:cs="宋体"/>
      <w:i/>
      <w:iCs/>
      <w:color w:val="262626"/>
    </w:rPr>
  </w:style>
  <w:style w:type="character" w:customStyle="1" w:styleId="90">
    <w:name w:val="标题 9 字符"/>
    <w:basedOn w:val="a0"/>
    <w:link w:val="9"/>
    <w:uiPriority w:val="9"/>
    <w:qFormat/>
    <w:rPr>
      <w:rFonts w:eastAsia="等线 Light" w:cs="宋体"/>
      <w:color w:val="262626"/>
    </w:rPr>
  </w:style>
  <w:style w:type="character" w:customStyle="1" w:styleId="ad">
    <w:name w:val="标题 字符"/>
    <w:basedOn w:val="a0"/>
    <w:link w:val="ac"/>
    <w:uiPriority w:val="10"/>
    <w:qFormat/>
    <w:rPr>
      <w:rFonts w:ascii="Aptos Display" w:eastAsia="等线 Light" w:hAnsi="Aptos Display" w:cs="宋体"/>
      <w:spacing w:val="-10"/>
      <w:kern w:val="28"/>
      <w:sz w:val="56"/>
      <w:szCs w:val="56"/>
    </w:rPr>
  </w:style>
  <w:style w:type="character" w:customStyle="1" w:styleId="ab">
    <w:name w:val="副标题 字符"/>
    <w:basedOn w:val="a0"/>
    <w:link w:val="aa"/>
    <w:uiPriority w:val="11"/>
    <w:qFormat/>
    <w:rPr>
      <w:rFonts w:eastAsia="等线 Light" w:cs="宋体"/>
      <w:color w:val="595959"/>
      <w:spacing w:val="15"/>
      <w:sz w:val="28"/>
      <w:szCs w:val="28"/>
    </w:rPr>
  </w:style>
  <w:style w:type="paragraph" w:styleId="ae">
    <w:name w:val="Quote"/>
    <w:basedOn w:val="a"/>
    <w:next w:val="a"/>
    <w:link w:val="af"/>
    <w:uiPriority w:val="29"/>
    <w:qFormat/>
    <w:pPr>
      <w:spacing w:before="160" w:after="160"/>
      <w:jc w:val="center"/>
    </w:pPr>
    <w:rPr>
      <w:i/>
      <w:iCs/>
      <w:color w:val="404040"/>
    </w:rPr>
  </w:style>
  <w:style w:type="character" w:customStyle="1" w:styleId="af">
    <w:name w:val="引用 字符"/>
    <w:basedOn w:val="a0"/>
    <w:link w:val="ae"/>
    <w:uiPriority w:val="29"/>
    <w:qFormat/>
    <w:rPr>
      <w:i/>
      <w:iCs/>
      <w:color w:val="404040"/>
    </w:rPr>
  </w:style>
  <w:style w:type="paragraph" w:styleId="af0">
    <w:name w:val="List Paragraph"/>
    <w:basedOn w:val="a"/>
    <w:uiPriority w:val="34"/>
    <w:qFormat/>
    <w:pPr>
      <w:contextualSpacing/>
    </w:pPr>
  </w:style>
  <w:style w:type="character" w:customStyle="1" w:styleId="IntenseEmphasis1">
    <w:name w:val="Intense Emphasis1"/>
    <w:basedOn w:val="a0"/>
    <w:uiPriority w:val="21"/>
    <w:qFormat/>
    <w:rPr>
      <w:i/>
      <w:iCs/>
      <w:color w:val="0F4761"/>
    </w:rPr>
  </w:style>
  <w:style w:type="paragraph" w:styleId="af1">
    <w:name w:val="Intense Quote"/>
    <w:basedOn w:val="a"/>
    <w:next w:val="a"/>
    <w:link w:val="af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2">
    <w:name w:val="明显引用 字符"/>
    <w:basedOn w:val="a0"/>
    <w:link w:val="af1"/>
    <w:uiPriority w:val="30"/>
    <w:qFormat/>
    <w:rPr>
      <w:i/>
      <w:iCs/>
      <w:color w:val="0F4761"/>
    </w:rPr>
  </w:style>
  <w:style w:type="character" w:customStyle="1" w:styleId="IntenseReference1">
    <w:name w:val="Intense Reference1"/>
    <w:basedOn w:val="a0"/>
    <w:uiPriority w:val="32"/>
    <w:qFormat/>
    <w:rPr>
      <w:b/>
      <w:bCs/>
      <w:smallCaps/>
      <w:color w:val="0F4761"/>
      <w:spacing w:val="5"/>
    </w:rPr>
  </w:style>
  <w:style w:type="character" w:customStyle="1" w:styleId="a6">
    <w:name w:val="页眉 字符"/>
    <w:basedOn w:val="a0"/>
    <w:link w:val="a5"/>
    <w:uiPriority w:val="99"/>
  </w:style>
  <w:style w:type="character" w:customStyle="1" w:styleId="a4">
    <w:name w:val="页脚 字符"/>
    <w:basedOn w:val="a0"/>
    <w:link w:val="a3"/>
    <w:uiPriority w:val="99"/>
    <w:qFormat/>
  </w:style>
  <w:style w:type="character" w:customStyle="1" w:styleId="UnresolvedMention1">
    <w:name w:val="Unresolved Mention1"/>
    <w:basedOn w:val="a0"/>
    <w:uiPriority w:val="99"/>
    <w:qFormat/>
    <w:rPr>
      <w:color w:val="605E5C"/>
      <w:shd w:val="clear" w:color="auto" w:fill="E1DFDD"/>
    </w:rPr>
  </w:style>
  <w:style w:type="paragraph" w:customStyle="1" w:styleId="WPSOffice1">
    <w:name w:val="WPSOffice手动目录 1"/>
  </w:style>
  <w:style w:type="paragraph" w:customStyle="1" w:styleId="WPSOffice2">
    <w:name w:val="WPSOffice手动目录 2"/>
    <w:pPr>
      <w:ind w:leftChars="200" w:left="200"/>
    </w:pPr>
  </w:style>
  <w:style w:type="paragraph" w:styleId="af3">
    <w:name w:val="Balloon Text"/>
    <w:basedOn w:val="a"/>
    <w:link w:val="af4"/>
    <w:uiPriority w:val="99"/>
    <w:pPr>
      <w:spacing w:line="240" w:lineRule="auto"/>
    </w:pPr>
    <w:rPr>
      <w:rFonts w:ascii="Tahoma" w:hAnsi="Tahoma" w:cs="Tahoma"/>
      <w:sz w:val="16"/>
      <w:szCs w:val="16"/>
    </w:rPr>
  </w:style>
  <w:style w:type="character" w:customStyle="1" w:styleId="af4">
    <w:name w:val="批注框文本 字符"/>
    <w:basedOn w:val="a0"/>
    <w:link w:val="af3"/>
    <w:uiPriority w:val="99"/>
    <w:rPr>
      <w:rFonts w:ascii="Tahoma" w:hAnsi="Tahoma" w:cs="Tahoma"/>
      <w:sz w:val="16"/>
      <w:szCs w:val="16"/>
      <w:lang w:val="en-US" w:eastAsia="en-US"/>
    </w:rPr>
  </w:style>
  <w:style w:type="paragraph" w:styleId="TOC1">
    <w:name w:val="toc 1"/>
    <w:basedOn w:val="a"/>
    <w:next w:val="a"/>
    <w:uiPriority w:val="39"/>
    <w:pPr>
      <w:spacing w:after="100"/>
      <w:ind w:left="0"/>
    </w:pPr>
  </w:style>
  <w:style w:type="paragraph" w:styleId="TOC2">
    <w:name w:val="toc 2"/>
    <w:basedOn w:val="a"/>
    <w:next w:val="a"/>
    <w:uiPriority w:val="39"/>
    <w:pPr>
      <w:spacing w:after="100"/>
      <w:ind w:left="220"/>
    </w:pPr>
  </w:style>
  <w:style w:type="table" w:styleId="af5">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a"/>
    <w:next w:val="a"/>
    <w:uiPriority w:val="39"/>
    <w:pPr>
      <w:spacing w:after="100"/>
      <w:ind w:left="440"/>
    </w:pPr>
  </w:style>
  <w:style w:type="character" w:customStyle="1" w:styleId="UnresolvedMention2">
    <w:name w:val="Unresolved Mention2"/>
    <w:basedOn w:val="a0"/>
    <w:uiPriority w:val="99"/>
    <w:rPr>
      <w:color w:val="605E5C"/>
      <w:shd w:val="clear" w:color="auto" w:fill="E1DFDD"/>
    </w:rPr>
  </w:style>
  <w:style w:type="character" w:styleId="af6">
    <w:name w:val="Intense Emphasis"/>
    <w:basedOn w:val="a0"/>
    <w:uiPriority w:val="21"/>
    <w:qFormat/>
    <w:rsid w:val="00CD28CD"/>
    <w:rPr>
      <w:i/>
      <w:iCs/>
      <w:color w:val="365F91" w:themeColor="accent1" w:themeShade="BF"/>
    </w:rPr>
  </w:style>
  <w:style w:type="character" w:styleId="af7">
    <w:name w:val="Intense Reference"/>
    <w:basedOn w:val="a0"/>
    <w:uiPriority w:val="32"/>
    <w:qFormat/>
    <w:rsid w:val="00CD28CD"/>
    <w:rPr>
      <w:b/>
      <w:bCs/>
      <w:smallCaps/>
      <w:color w:val="365F91" w:themeColor="accent1" w:themeShade="BF"/>
      <w:spacing w:val="5"/>
    </w:rPr>
  </w:style>
  <w:style w:type="character" w:styleId="af8">
    <w:name w:val="Unresolved Mention"/>
    <w:basedOn w:val="a0"/>
    <w:uiPriority w:val="99"/>
    <w:semiHidden/>
    <w:unhideWhenUsed/>
    <w:rsid w:val="00CD28CD"/>
    <w:rPr>
      <w:color w:val="605E5C"/>
      <w:shd w:val="clear" w:color="auto" w:fill="E1DFDD"/>
    </w:rPr>
  </w:style>
  <w:style w:type="character" w:styleId="af9">
    <w:name w:val="Emphasis"/>
    <w:basedOn w:val="a0"/>
    <w:uiPriority w:val="20"/>
    <w:qFormat/>
    <w:rsid w:val="00CD28CD"/>
    <w:rPr>
      <w:i/>
      <w:iCs/>
    </w:rPr>
  </w:style>
  <w:style w:type="paragraph" w:styleId="TOC">
    <w:name w:val="TOC Heading"/>
    <w:basedOn w:val="1"/>
    <w:next w:val="a"/>
    <w:uiPriority w:val="39"/>
    <w:unhideWhenUsed/>
    <w:qFormat/>
    <w:rsid w:val="002E5BC9"/>
    <w:pPr>
      <w:spacing w:before="240" w:after="0" w:line="259" w:lineRule="auto"/>
      <w:ind w:left="0" w:firstLine="0"/>
      <w:outlineLvl w:val="9"/>
    </w:pPr>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91766168_AI_Acceptance_and_Usage_in_Sub-Sahara_African_Education_A_Systematic_Review" TargetMode="External"/><Relationship Id="rId21" Type="http://schemas.openxmlformats.org/officeDocument/2006/relationships/hyperlink" Target="https://link.springer.com/article/10.1007/s42979-025-03766-z" TargetMode="External"/><Relationship Id="rId42" Type="http://schemas.openxmlformats.org/officeDocument/2006/relationships/hyperlink" Target="https://www.sciencedirect.com/science/article/pii/S2666378322000162" TargetMode="External"/><Relationship Id="rId47" Type="http://schemas.openxmlformats.org/officeDocument/2006/relationships/hyperlink" Target="https://www.sciencedirect.com/science/article/pii/S153204641200175X" TargetMode="External"/><Relationship Id="rId63" Type="http://schemas.openxmlformats.org/officeDocument/2006/relationships/hyperlink" Target="https://books.google.com/books?hl=en&amp;lr=&amp;id=zlcPEAAAQBAJ&amp;oi=fnd&amp;pg=PP1&amp;dq=Quantitative+analysis+grants+a+source+of+evidence+that+is+credible.+For+organisations+and+policymakers,+such+analysis+offers+a+powerful+language+of+comparison+and+accountability.+For+academics,+they+provide+the+basis+to+test+hypotheses+and+advance+theory&amp;ots=IBA5vLynKs&amp;sig=r5Bil_EqYpYkCj4B-MkJCGxlS-g" TargetMode="External"/><Relationship Id="rId68" Type="http://schemas.openxmlformats.org/officeDocument/2006/relationships/hyperlink" Target="https://onlinelibrary.wiley.com/doi/10.1002/sd.3221" TargetMode="External"/><Relationship Id="rId2" Type="http://schemas.openxmlformats.org/officeDocument/2006/relationships/numbering" Target="numbering.xml"/><Relationship Id="rId16" Type="http://schemas.openxmlformats.org/officeDocument/2006/relationships/image" Target="media/image9.tmp"/><Relationship Id="rId29" Type="http://schemas.openxmlformats.org/officeDocument/2006/relationships/hyperlink" Target="https://www.taylorfrancis.com/books/mono/10.4324/9781315015408/working-capital-nick-buck-ian-gordon-peter-hall-michael-harloe-mark-kleinman" TargetMode="External"/><Relationship Id="rId11" Type="http://schemas.openxmlformats.org/officeDocument/2006/relationships/image" Target="media/image4.tmp"/><Relationship Id="rId24" Type="http://schemas.openxmlformats.org/officeDocument/2006/relationships/hyperlink" Target="https://pubmed.ncbi.nlm.nih.gov/33869461/" TargetMode="External"/><Relationship Id="rId32" Type="http://schemas.openxmlformats.org/officeDocument/2006/relationships/hyperlink" Target="https://archiv.soms.ethz.ch/sociology_course/Lecture5/colemannorms.pdf" TargetMode="External"/><Relationship Id="rId37" Type="http://schemas.openxmlformats.org/officeDocument/2006/relationships/hyperlink" Target="https://assets.pubpub.org/1iqvp0dp/c8d3cba5-8f10-4a00-894c-3a3b886ad844.pdf" TargetMode="External"/><Relationship Id="rId40" Type="http://schemas.openxmlformats.org/officeDocument/2006/relationships/hyperlink" Target="https://link.springer.com/content/pdf/10.1057/elmr.2010.111" TargetMode="External"/><Relationship Id="rId45" Type="http://schemas.openxmlformats.org/officeDocument/2006/relationships/hyperlink" Target="https://www.research.ed.ac.uk/en/publications/artificial-intelligence-and-education-in-china" TargetMode="External"/><Relationship Id="rId53" Type="http://schemas.openxmlformats.org/officeDocument/2006/relationships/hyperlink" Target="https://books.google.com/books?hl=en&amp;lr=&amp;id=kLUX8BJ1exUC&amp;oi=fnd&amp;pg=PA1&amp;dq=McLanahan,+S.,+%26+Sandefur,+G.+(1994).+Growing+up+with+a+single+parent:+What+hurts,+what+helps.+Harvard+University+Press.&amp;ots=Xg0XPnab_R&amp;sig=t-Wl7dLqx4nTqw8AxBV_8-G4Jmg" TargetMode="External"/><Relationship Id="rId58" Type="http://schemas.openxmlformats.org/officeDocument/2006/relationships/hyperlink" Target="https://theses.hal.science/tel-04574957/" TargetMode="External"/><Relationship Id="rId66" Type="http://schemas.openxmlformats.org/officeDocument/2006/relationships/hyperlink" Target="https://edge.sagepub.com/system/files/chapter19_2.pdf" TargetMode="External"/><Relationship Id="rId5" Type="http://schemas.openxmlformats.org/officeDocument/2006/relationships/webSettings" Target="webSettings.xml"/><Relationship Id="rId61" Type="http://schemas.openxmlformats.org/officeDocument/2006/relationships/hyperlink" Target="https://www.tandfonline.com/doi/abs/10.1080/08989621.2017.1396896" TargetMode="External"/><Relationship Id="rId19" Type="http://schemas.openxmlformats.org/officeDocument/2006/relationships/image" Target="media/image12.tmp"/><Relationship Id="rId14" Type="http://schemas.openxmlformats.org/officeDocument/2006/relationships/image" Target="media/image7.tmp"/><Relationship Id="rId22" Type="http://schemas.openxmlformats.org/officeDocument/2006/relationships/hyperlink" Target="https://www.econstor.eu/bitstream/10419/91927/1/2003-02.pdf" TargetMode="External"/><Relationship Id="rId27" Type="http://schemas.openxmlformats.org/officeDocument/2006/relationships/hyperlink" Target="https://arxiv.org/pdf/1801.10408" TargetMode="External"/><Relationship Id="rId30" Type="http://schemas.openxmlformats.org/officeDocument/2006/relationships/hyperlink" Target="https://bera-journals.onlinelibrary.wiley.com/doi/abs/10.1111/bjet.13151" TargetMode="External"/><Relationship Id="rId35" Type="http://schemas.openxmlformats.org/officeDocument/2006/relationships/hyperlink" Target="https://www.sciencedirect.com/science/article/pii/S0268401219300581" TargetMode="External"/><Relationship Id="rId43" Type="http://schemas.openxmlformats.org/officeDocument/2006/relationships/hyperlink" Target="https://ieeexplore.ieee.org/abstract/document/10593320/" TargetMode="External"/><Relationship Id="rId48" Type="http://schemas.openxmlformats.org/officeDocument/2006/relationships/hyperlink" Target="https://books.google.com/books?hl=en&amp;lr=&amp;id=HRDfEAAAQBAJ&amp;oi=fnd&amp;pg=PP1&amp;dq=Structural+equation+modelling+would+allow+me+to+analyze+complex+associations+between+latent+variables,+and+longitudinal+and+multilevel+models+would+provide+me+with+a+greater+facility+for+analyzing+change+over+time+and+nested+data+structures&amp;ots=OeqfYFX03R&amp;sig=dADxB1PEYHJuHPzynOoOpyKsTME" TargetMode="External"/><Relationship Id="rId56" Type="http://schemas.openxmlformats.org/officeDocument/2006/relationships/hyperlink" Target="https://lumsa.it/sites/default/files/UTENTI/u95/LM51_ITA_The%20Knowledge-Creating%20Company.pdf" TargetMode="External"/><Relationship Id="rId64" Type="http://schemas.openxmlformats.org/officeDocument/2006/relationships/hyperlink" Target="https://nbp.pl/wp-content/uploads/2024/07/NBP-WP_372-WWW.pdf" TargetMode="External"/><Relationship Id="rId69" Type="http://schemas.openxmlformats.org/officeDocument/2006/relationships/hyperlink" Target="https://books.google.com/books?hl=en&amp;lr=&amp;id=KKh1Q_OuKqIC&amp;oi=fnd&amp;pg=PR7&amp;dq=Secondary+data+further+restrict+the+types+of+variables+that+can+be+measured&amp;ots=spjFOdr6PS&amp;sig=7qEHrJYfFJVa9fiDDignx3nsspI" TargetMode="External"/><Relationship Id="rId8" Type="http://schemas.openxmlformats.org/officeDocument/2006/relationships/image" Target="media/image1.png"/><Relationship Id="rId51" Type="http://schemas.openxmlformats.org/officeDocument/2006/relationships/hyperlink" Target="https://search.ebscohost.com/login.aspx?direct=true&amp;profile=ehost&amp;scope=site&amp;authtype=crawler&amp;jrnl=23211857&amp;AN=186939101&amp;h=P%2BwYvoPF4ObbuyWnH%2BXkrgqhUV%2F0kCv2FUyM2e6v4T6mh7wnXvLn2C7StgqX4BRylegkwEmoK9inoLR1MBFoLg%3D%3D&amp;crl=c"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hyperlink" Target="https://shura.shu.ac.uk/14603/1/cresr30th-jobs-welfare-austerity_Final%20published%20Report.pdf" TargetMode="External"/><Relationship Id="rId33" Type="http://schemas.openxmlformats.org/officeDocument/2006/relationships/hyperlink" Target="http://thecrsss.com/index.php/Journal/article/download/150/168" TargetMode="External"/><Relationship Id="rId38" Type="http://schemas.openxmlformats.org/officeDocument/2006/relationships/hyperlink" Target="https://www.emerald.com/insight/content/doi/10.1108/JKM-02-2017-0058/full/html" TargetMode="External"/><Relationship Id="rId46" Type="http://schemas.openxmlformats.org/officeDocument/2006/relationships/hyperlink" Target="https://www.ujssh.com/index.php/ujssh/article/view/189" TargetMode="External"/><Relationship Id="rId59" Type="http://schemas.openxmlformats.org/officeDocument/2006/relationships/hyperlink" Target="https://journals.lww.com/academicmedicine/fulltext/2020/05000/the_positivism_paradigm_of_r%20esearch.16.aspx/%22" TargetMode="External"/><Relationship Id="rId67" Type="http://schemas.openxmlformats.org/officeDocument/2006/relationships/hyperlink" Target="https://www.sultanchandandsons.com/images/BookImages/Chapters/673_TC%201307%20BookLet.pdf" TargetMode="External"/><Relationship Id="rId20" Type="http://schemas.openxmlformats.org/officeDocument/2006/relationships/hyperlink" Target="http://www.idealogyjournal.com/ojs/index.php/idealogy/article/view/596" TargetMode="External"/><Relationship Id="rId41" Type="http://schemas.openxmlformats.org/officeDocument/2006/relationships/hyperlink" Target="https://www.taylorfrancis.com/chapters/edit/10.1201/9781003000532-3/ethical-considerations-use-secondary-data-built-environment-research-abid-hasan" TargetMode="External"/><Relationship Id="rId54" Type="http://schemas.openxmlformats.org/officeDocument/2006/relationships/hyperlink" Target="http://ejournal.iainpalopo.ac.id/index.php/palita/article/view/3175" TargetMode="External"/><Relationship Id="rId62" Type="http://schemas.openxmlformats.org/officeDocument/2006/relationships/hyperlink" Target="https://link.springer.com/article/10.1007/s11306-015-0823-6" TargetMode="External"/><Relationship Id="rId70" Type="http://schemas.openxmlformats.org/officeDocument/2006/relationships/hyperlink" Target="https://www.wenger-trayner.com/wp-content/uploads/2022/06/2000-EWT-Article-for-Organization-CoPs-and-social-learning-systems.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tmp"/><Relationship Id="rId23" Type="http://schemas.openxmlformats.org/officeDocument/2006/relationships/hyperlink" Target="https://www.emerald.com/insight/content/doi/10.1108/QRJ-D-17-00042/full/html" TargetMode="External"/><Relationship Id="rId28" Type="http://schemas.openxmlformats.org/officeDocument/2006/relationships/hyperlink" Target="https://search.informit.org/doi/abs/10.3316/INFORMIT.738299924514584" TargetMode="External"/><Relationship Id="rId36" Type="http://schemas.openxmlformats.org/officeDocument/2006/relationships/hyperlink" Target="https://us.macmillan.com/books/9781250074317/automatinginequality/" TargetMode="External"/><Relationship Id="rId49" Type="http://schemas.openxmlformats.org/officeDocument/2006/relationships/hyperlink" Target="https://www.taylorfrancis.com/books/mono/10.1201/9780429298899/sampling-sharon-lohr" TargetMode="External"/><Relationship Id="rId57" Type="http://schemas.openxmlformats.org/officeDocument/2006/relationships/hyperlink" Target="https://www.ons.gov.uk/employmentandlabourmarket/peoplenotinwork/unemployment/bulletins/worklesshouseholdsforregionsacrosstheuk/2024" TargetMode="External"/><Relationship Id="rId10" Type="http://schemas.openxmlformats.org/officeDocument/2006/relationships/image" Target="media/image3.png"/><Relationship Id="rId31" Type="http://schemas.openxmlformats.org/officeDocument/2006/relationships/hyperlink" Target="https://gipmel.it/wp-content/uploads/10.690882023CRSS2.pdf" TargetMode="External"/><Relationship Id="rId44" Type="http://schemas.openxmlformats.org/officeDocument/2006/relationships/hyperlink" Target="https://www.nomos-elibrary.de/de/10.5771/0038-6073-2024-1-113.pdf" TargetMode="External"/><Relationship Id="rId52" Type="http://schemas.openxmlformats.org/officeDocument/2006/relationships/hyperlink" Target="https://www.emerald.com/insight/content/doi/10.1108/JMD-03-2019-0069/full/html" TargetMode="External"/><Relationship Id="rId60" Type="http://schemas.openxmlformats.org/officeDocument/2006/relationships/hyperlink" Target="https://www.researchgate.net/profile/Amy-Healy/publication/325796290_How_to_escape_the_low_learning_trap_in_a_runaway_labour_market/links/5b3f7edaaca27207851e87fd/How-to-escape-the-low-learning-trap-in-a-runaway-labour-market.pdf" TargetMode="External"/><Relationship Id="rId65" Type="http://schemas.openxmlformats.org/officeDocument/2006/relationships/hyperlink" Target="https://www.researchgate.net/publication/361273137_The_Role_of_Artificial_Intelligence_in_Knowledge_Management"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tmp"/><Relationship Id="rId18" Type="http://schemas.openxmlformats.org/officeDocument/2006/relationships/image" Target="media/image11.tmp"/><Relationship Id="rId39" Type="http://schemas.openxmlformats.org/officeDocument/2006/relationships/hyperlink" Target="http://www.ijssr.net/index.php/ijssr/article/download/262/108" TargetMode="External"/><Relationship Id="rId34" Type="http://schemas.openxmlformats.org/officeDocument/2006/relationships/hyperlink" Target="https://www.academia.edu/download/30754887/WP15_DiMaggioHargittai.pdf" TargetMode="External"/><Relationship Id="rId50" Type="http://schemas.openxmlformats.org/officeDocument/2006/relationships/hyperlink" Target="https://www.researchgate.net/profile/Sandeep-Lopez-2/publication/392282429_Integrating_Artificial_Intelligence_in_Regional_Education_A_Holistic_Framework_for_Inclusive_Adaptive_and_Community-Centric_Learning/links/683c0b028a76251f22eacb8f/Integrating-Artificial-Intelligence-in-Regional-Education-A-Holistic-Framework-for-Inclusive-Adaptive-and-Community-Centric-Learning.pdf" TargetMode="External"/><Relationship Id="rId55" Type="http://schemas.openxmlformats.org/officeDocument/2006/relationships/hyperlink" Target="https://books.google.com/books?hl=en&amp;lr=&amp;id=9OQWEQAAQBAJ&amp;oi=fnd&amp;pg=PA183&amp;dq=The+ethical+treatment+of+the+data+falls+to+the+researcher.+This+involves+ensuring+accurate+representation,+avoiding+selective+reporting,+and+identifying+the+ONS+as+the+source+of+the+data&amp;ots=9wWkmD_Web&amp;sig=wQ2VViH2DR74fd5HCVQdWksX6dI" TargetMode="External"/><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E4CCD-8ACB-420E-AE72-3EB2DEA8D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11017</Words>
  <Characters>74810</Characters>
  <Application>Microsoft Office Word</Application>
  <DocSecurity>0</DocSecurity>
  <Lines>1226</Lines>
  <Paragraphs>406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2025-09-29T09:11:00Z</dcterms:created>
  <dcterms:modified xsi:type="dcterms:W3CDTF">2025-10-01T12:30:00Z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15f585a523e54ce0b94dd59d4d4b3077</vt:lpwstr>
  </property>
  <property fmtid="{D5CDD505-2E9C-101B-9397-08002B2CF9AE}" pid="4" name="GrammarlyDocumentId">
    <vt:lpwstr>510150b4-0976-4224-8fbd-24794e66865b</vt:lpwstr>
  </property>
</Properties>
</file>