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8E805" w14:textId="16382904" w:rsidR="006A52C2" w:rsidRDefault="006A52C2" w:rsidP="001817B8">
      <w:pPr>
        <w:ind w:firstLine="0"/>
        <w:contextualSpacing/>
        <w:rPr>
          <w:rFonts w:ascii="Arial" w:hAnsi="Arial" w:cs="Arial"/>
          <w:b/>
          <w:bCs/>
          <w:color w:val="000000" w:themeColor="text1"/>
          <w:szCs w:val="24"/>
        </w:rPr>
      </w:pPr>
    </w:p>
    <w:p w14:paraId="038A494F" w14:textId="6B2B20C8" w:rsidR="001817B8" w:rsidRDefault="001817B8" w:rsidP="001817B8">
      <w:pPr>
        <w:ind w:firstLine="0"/>
        <w:contextualSpacing/>
        <w:rPr>
          <w:rFonts w:ascii="Arial" w:hAnsi="Arial" w:cs="Arial"/>
          <w:b/>
          <w:bCs/>
          <w:color w:val="000000" w:themeColor="text1"/>
          <w:szCs w:val="24"/>
        </w:rPr>
      </w:pPr>
    </w:p>
    <w:p w14:paraId="709584A0" w14:textId="330DE496" w:rsidR="001817B8" w:rsidRDefault="001817B8" w:rsidP="001817B8">
      <w:pPr>
        <w:ind w:firstLine="0"/>
        <w:contextualSpacing/>
        <w:rPr>
          <w:rFonts w:ascii="Arial" w:hAnsi="Arial" w:cs="Arial"/>
          <w:b/>
          <w:bCs/>
          <w:color w:val="000000" w:themeColor="text1"/>
          <w:szCs w:val="24"/>
        </w:rPr>
      </w:pPr>
    </w:p>
    <w:p w14:paraId="37072F13" w14:textId="77777777" w:rsidR="001817B8" w:rsidRPr="00E66589" w:rsidRDefault="001817B8" w:rsidP="001817B8">
      <w:pPr>
        <w:ind w:firstLine="0"/>
        <w:contextualSpacing/>
        <w:rPr>
          <w:rFonts w:ascii="Arial" w:hAnsi="Arial" w:cs="Arial"/>
          <w:b/>
          <w:bCs/>
          <w:color w:val="000000" w:themeColor="text1"/>
          <w:szCs w:val="24"/>
        </w:rPr>
      </w:pPr>
    </w:p>
    <w:p w14:paraId="5085100E" w14:textId="1F9F1DDB" w:rsidR="00500AFD" w:rsidRPr="00265CD3" w:rsidRDefault="00500AFD" w:rsidP="001817B8">
      <w:pPr>
        <w:ind w:firstLine="0"/>
        <w:contextualSpacing/>
        <w:jc w:val="center"/>
        <w:rPr>
          <w:rFonts w:ascii="Arial" w:hAnsi="Arial" w:cs="Arial"/>
          <w:b/>
          <w:color w:val="000000" w:themeColor="text1"/>
          <w:szCs w:val="24"/>
        </w:rPr>
      </w:pPr>
      <w:r w:rsidRPr="00265CD3">
        <w:rPr>
          <w:rFonts w:ascii="Arial" w:hAnsi="Arial" w:cs="Arial"/>
          <w:b/>
          <w:color w:val="000000" w:themeColor="text1"/>
          <w:szCs w:val="24"/>
        </w:rPr>
        <w:t>The title of the essay – How to Engage Employees throughout the Employee Lifecycle</w:t>
      </w:r>
    </w:p>
    <w:p w14:paraId="581DA7AE" w14:textId="77777777" w:rsidR="00500AFD" w:rsidRPr="00265CD3" w:rsidRDefault="00500AFD" w:rsidP="00500AFD">
      <w:pPr>
        <w:ind w:firstLine="0"/>
        <w:contextualSpacing/>
        <w:jc w:val="center"/>
        <w:rPr>
          <w:rFonts w:ascii="Arial" w:hAnsi="Arial" w:cs="Arial"/>
          <w:b/>
          <w:color w:val="000000" w:themeColor="text1"/>
          <w:szCs w:val="24"/>
        </w:rPr>
      </w:pPr>
    </w:p>
    <w:p w14:paraId="7E45AE2C" w14:textId="01C9F43D" w:rsidR="00500AFD" w:rsidRPr="00265CD3" w:rsidRDefault="00500AFD" w:rsidP="00500AFD">
      <w:pPr>
        <w:ind w:firstLine="0"/>
        <w:contextualSpacing/>
        <w:jc w:val="center"/>
        <w:rPr>
          <w:rFonts w:ascii="Arial" w:hAnsi="Arial" w:cs="Arial"/>
          <w:b/>
          <w:color w:val="000000" w:themeColor="text1"/>
          <w:szCs w:val="24"/>
        </w:rPr>
      </w:pPr>
      <w:r w:rsidRPr="00265CD3">
        <w:rPr>
          <w:rFonts w:ascii="Arial" w:hAnsi="Arial" w:cs="Arial"/>
          <w:b/>
          <w:color w:val="000000" w:themeColor="text1"/>
          <w:szCs w:val="24"/>
        </w:rPr>
        <w:t xml:space="preserve">Student </w:t>
      </w:r>
      <w:proofErr w:type="gramStart"/>
      <w:r w:rsidR="00793319" w:rsidRPr="00265CD3">
        <w:rPr>
          <w:rFonts w:ascii="Arial" w:hAnsi="Arial" w:cs="Arial"/>
          <w:b/>
          <w:color w:val="000000" w:themeColor="text1"/>
          <w:szCs w:val="24"/>
        </w:rPr>
        <w:t>n</w:t>
      </w:r>
      <w:r w:rsidRPr="00265CD3">
        <w:rPr>
          <w:rFonts w:ascii="Arial" w:hAnsi="Arial" w:cs="Arial"/>
          <w:b/>
          <w:color w:val="000000" w:themeColor="text1"/>
          <w:szCs w:val="24"/>
        </w:rPr>
        <w:t>ame</w:t>
      </w:r>
      <w:r w:rsidR="004C1CE6" w:rsidRPr="00265CD3">
        <w:rPr>
          <w:rFonts w:ascii="Arial" w:hAnsi="Arial" w:cs="Arial"/>
          <w:b/>
          <w:color w:val="000000" w:themeColor="text1"/>
          <w:szCs w:val="24"/>
        </w:rPr>
        <w:t xml:space="preserve"> </w:t>
      </w:r>
      <w:r w:rsidR="00793319" w:rsidRPr="00265CD3">
        <w:rPr>
          <w:rFonts w:ascii="Arial" w:hAnsi="Arial" w:cs="Arial"/>
          <w:b/>
          <w:color w:val="000000" w:themeColor="text1"/>
          <w:szCs w:val="24"/>
        </w:rPr>
        <w:t>:</w:t>
      </w:r>
      <w:proofErr w:type="gramEnd"/>
      <w:r w:rsidR="004C1CE6" w:rsidRPr="00265CD3">
        <w:rPr>
          <w:rFonts w:ascii="Arial" w:hAnsi="Arial" w:cs="Arial"/>
          <w:b/>
          <w:color w:val="000000" w:themeColor="text1"/>
          <w:szCs w:val="24"/>
        </w:rPr>
        <w:t xml:space="preserve"> Marius Stroe</w:t>
      </w:r>
      <w:r w:rsidR="004851B2" w:rsidRPr="00265CD3">
        <w:rPr>
          <w:rFonts w:ascii="Arial" w:hAnsi="Arial" w:cs="Arial"/>
          <w:b/>
          <w:color w:val="000000" w:themeColor="text1"/>
          <w:szCs w:val="24"/>
        </w:rPr>
        <w:t xml:space="preserve"> (</w:t>
      </w:r>
      <w:r w:rsidR="001817B8" w:rsidRPr="00265CD3">
        <w:rPr>
          <w:rFonts w:ascii="Arial" w:hAnsi="Arial" w:cs="Arial"/>
          <w:b/>
          <w:color w:val="000000" w:themeColor="text1"/>
          <w:szCs w:val="24"/>
        </w:rPr>
        <w:t>2117199)</w:t>
      </w:r>
    </w:p>
    <w:p w14:paraId="6D4FCCBE" w14:textId="77777777" w:rsidR="00500AFD" w:rsidRPr="00265CD3" w:rsidRDefault="00500AFD" w:rsidP="00500AFD">
      <w:pPr>
        <w:ind w:firstLine="0"/>
        <w:contextualSpacing/>
        <w:jc w:val="center"/>
        <w:rPr>
          <w:rFonts w:ascii="Arial" w:hAnsi="Arial" w:cs="Arial"/>
          <w:b/>
          <w:color w:val="000000" w:themeColor="text1"/>
          <w:szCs w:val="24"/>
        </w:rPr>
      </w:pPr>
    </w:p>
    <w:p w14:paraId="011EC866" w14:textId="5446E46F" w:rsidR="00500AFD" w:rsidRPr="00265CD3" w:rsidRDefault="00500AFD" w:rsidP="00500AFD">
      <w:pPr>
        <w:ind w:firstLine="0"/>
        <w:contextualSpacing/>
        <w:jc w:val="center"/>
        <w:rPr>
          <w:rFonts w:ascii="Arial" w:hAnsi="Arial" w:cs="Arial"/>
          <w:b/>
          <w:color w:val="000000" w:themeColor="text1"/>
          <w:szCs w:val="24"/>
        </w:rPr>
      </w:pPr>
      <w:r w:rsidRPr="00265CD3">
        <w:rPr>
          <w:rFonts w:ascii="Arial" w:hAnsi="Arial" w:cs="Arial"/>
          <w:b/>
          <w:color w:val="000000" w:themeColor="text1"/>
          <w:szCs w:val="24"/>
        </w:rPr>
        <w:t xml:space="preserve">The module title and module </w:t>
      </w:r>
      <w:proofErr w:type="gramStart"/>
      <w:r w:rsidRPr="00265CD3">
        <w:rPr>
          <w:rFonts w:ascii="Arial" w:hAnsi="Arial" w:cs="Arial"/>
          <w:b/>
          <w:color w:val="000000" w:themeColor="text1"/>
          <w:szCs w:val="24"/>
        </w:rPr>
        <w:t>code</w:t>
      </w:r>
      <w:r w:rsidR="006F378F" w:rsidRPr="00265CD3">
        <w:rPr>
          <w:rFonts w:ascii="Arial" w:hAnsi="Arial" w:cs="Arial"/>
          <w:b/>
          <w:color w:val="000000" w:themeColor="text1"/>
          <w:szCs w:val="24"/>
        </w:rPr>
        <w:t xml:space="preserve"> :</w:t>
      </w:r>
      <w:proofErr w:type="gramEnd"/>
      <w:r w:rsidR="006F378F" w:rsidRPr="00265CD3">
        <w:rPr>
          <w:rFonts w:ascii="Arial" w:hAnsi="Arial" w:cs="Arial"/>
          <w:b/>
          <w:color w:val="000000" w:themeColor="text1"/>
          <w:szCs w:val="24"/>
        </w:rPr>
        <w:t xml:space="preserve"> </w:t>
      </w:r>
    </w:p>
    <w:p w14:paraId="1251448B" w14:textId="48214CA4" w:rsidR="00500AFD" w:rsidRPr="00265CD3" w:rsidRDefault="004C1CE6" w:rsidP="00500AFD">
      <w:pPr>
        <w:ind w:firstLine="0"/>
        <w:contextualSpacing/>
        <w:jc w:val="center"/>
        <w:rPr>
          <w:rFonts w:ascii="Arial" w:hAnsi="Arial" w:cs="Arial"/>
          <w:b/>
          <w:color w:val="000000" w:themeColor="text1"/>
          <w:szCs w:val="24"/>
        </w:rPr>
      </w:pPr>
      <w:r w:rsidRPr="00265CD3">
        <w:rPr>
          <w:rFonts w:ascii="Arial" w:hAnsi="Arial" w:cs="Arial"/>
          <w:b/>
          <w:color w:val="000000" w:themeColor="text1"/>
          <w:szCs w:val="24"/>
        </w:rPr>
        <w:t>BMIH5005</w:t>
      </w:r>
    </w:p>
    <w:p w14:paraId="703E3141" w14:textId="189FC94C" w:rsidR="006445CF" w:rsidRPr="00265CD3" w:rsidRDefault="00500AFD" w:rsidP="00500AFD">
      <w:pPr>
        <w:ind w:firstLine="0"/>
        <w:contextualSpacing/>
        <w:jc w:val="center"/>
        <w:rPr>
          <w:rFonts w:ascii="Arial" w:hAnsi="Arial" w:cs="Arial"/>
          <w:b/>
          <w:color w:val="000000" w:themeColor="text1"/>
          <w:szCs w:val="24"/>
        </w:rPr>
      </w:pPr>
      <w:r w:rsidRPr="00265CD3">
        <w:rPr>
          <w:rFonts w:ascii="Arial" w:hAnsi="Arial" w:cs="Arial"/>
          <w:b/>
          <w:color w:val="000000" w:themeColor="text1"/>
          <w:szCs w:val="24"/>
        </w:rPr>
        <w:t>Lecturer’s name</w:t>
      </w:r>
      <w:r w:rsidR="004C1CE6" w:rsidRPr="00265CD3">
        <w:rPr>
          <w:rFonts w:ascii="Arial" w:hAnsi="Arial" w:cs="Arial"/>
          <w:b/>
          <w:color w:val="000000" w:themeColor="text1"/>
          <w:szCs w:val="24"/>
        </w:rPr>
        <w:t xml:space="preserve"> </w:t>
      </w:r>
      <w:r w:rsidR="006F378F" w:rsidRPr="00265CD3">
        <w:rPr>
          <w:rFonts w:ascii="Arial" w:hAnsi="Arial" w:cs="Arial"/>
          <w:b/>
          <w:color w:val="000000" w:themeColor="text1"/>
          <w:szCs w:val="24"/>
        </w:rPr>
        <w:t xml:space="preserve">: </w:t>
      </w:r>
      <w:r w:rsidR="00461E32" w:rsidRPr="00265CD3">
        <w:rPr>
          <w:rFonts w:ascii="Arial" w:hAnsi="Arial" w:cs="Arial"/>
          <w:b/>
          <w:color w:val="000000" w:themeColor="text1"/>
          <w:szCs w:val="24"/>
        </w:rPr>
        <w:t>Chris</w:t>
      </w:r>
      <w:r w:rsidR="008A1A8D">
        <w:rPr>
          <w:rFonts w:ascii="Arial" w:hAnsi="Arial" w:cs="Arial"/>
          <w:b/>
          <w:color w:val="000000" w:themeColor="text1"/>
          <w:szCs w:val="24"/>
        </w:rPr>
        <w:t>topher Wilkin</w:t>
      </w:r>
    </w:p>
    <w:p w14:paraId="646FB9DB" w14:textId="719C5CD7" w:rsidR="00500AFD" w:rsidRPr="00E66589" w:rsidRDefault="006445CF" w:rsidP="006445CF">
      <w:pPr>
        <w:spacing w:after="160" w:line="259" w:lineRule="auto"/>
        <w:ind w:firstLine="0"/>
        <w:jc w:val="left"/>
        <w:rPr>
          <w:rFonts w:ascii="Arial" w:hAnsi="Arial" w:cs="Arial"/>
          <w:b/>
          <w:color w:val="000000" w:themeColor="text1"/>
          <w:szCs w:val="24"/>
        </w:rPr>
      </w:pPr>
      <w:r w:rsidRPr="00E66589">
        <w:rPr>
          <w:rFonts w:ascii="Arial" w:hAnsi="Arial" w:cs="Arial"/>
          <w:b/>
          <w:color w:val="000000" w:themeColor="text1"/>
          <w:szCs w:val="24"/>
        </w:rPr>
        <w:br w:type="page"/>
      </w:r>
    </w:p>
    <w:p w14:paraId="592BD751" w14:textId="129DD3DE" w:rsidR="00586BD1" w:rsidRPr="00E66589" w:rsidRDefault="00736CD0" w:rsidP="007B7543">
      <w:pPr>
        <w:pStyle w:val="Heading1"/>
        <w:spacing w:before="0"/>
        <w:contextualSpacing/>
        <w:rPr>
          <w:rFonts w:ascii="Arial" w:hAnsi="Arial" w:cs="Arial"/>
          <w:i/>
          <w:color w:val="000000" w:themeColor="text1"/>
          <w:szCs w:val="24"/>
        </w:rPr>
      </w:pPr>
      <w:bookmarkStart w:id="0" w:name="_Toc123308563"/>
      <w:bookmarkStart w:id="1" w:name="_Toc126618697"/>
      <w:r w:rsidRPr="00E66589">
        <w:rPr>
          <w:rFonts w:ascii="Arial" w:hAnsi="Arial" w:cs="Arial"/>
          <w:color w:val="000000" w:themeColor="text1"/>
          <w:szCs w:val="24"/>
        </w:rPr>
        <w:lastRenderedPageBreak/>
        <w:t>Introduction</w:t>
      </w:r>
      <w:bookmarkEnd w:id="0"/>
      <w:bookmarkEnd w:id="1"/>
      <w:r w:rsidR="009F6878" w:rsidRPr="00E66589">
        <w:rPr>
          <w:rFonts w:ascii="Arial" w:hAnsi="Arial" w:cs="Arial"/>
          <w:color w:val="000000" w:themeColor="text1"/>
          <w:szCs w:val="24"/>
        </w:rPr>
        <w:t xml:space="preserve"> </w:t>
      </w:r>
      <w:r w:rsidR="0085048B" w:rsidRPr="00E66589">
        <w:rPr>
          <w:rFonts w:ascii="Arial" w:hAnsi="Arial" w:cs="Arial"/>
          <w:color w:val="000000" w:themeColor="text1"/>
          <w:szCs w:val="24"/>
        </w:rPr>
        <w:t xml:space="preserve"> </w:t>
      </w:r>
    </w:p>
    <w:p w14:paraId="30034FA7" w14:textId="7C68E3A0" w:rsidR="003C7959" w:rsidRPr="00E66589" w:rsidRDefault="00080F57" w:rsidP="00912B1C">
      <w:pPr>
        <w:contextualSpacing/>
        <w:rPr>
          <w:rFonts w:ascii="Arial" w:hAnsi="Arial" w:cs="Arial"/>
          <w:color w:val="000000" w:themeColor="text1"/>
          <w:szCs w:val="24"/>
        </w:rPr>
      </w:pPr>
      <w:r w:rsidRPr="00E66589">
        <w:rPr>
          <w:rFonts w:ascii="Arial" w:hAnsi="Arial" w:cs="Arial"/>
          <w:color w:val="000000" w:themeColor="text1"/>
          <w:szCs w:val="24"/>
        </w:rPr>
        <w:t>A useful framework for organising a worker</w:t>
      </w:r>
      <w:r w:rsidR="00C90829" w:rsidRPr="00E66589">
        <w:rPr>
          <w:rFonts w:ascii="Arial" w:hAnsi="Arial" w:cs="Arial"/>
          <w:color w:val="000000" w:themeColor="text1"/>
          <w:szCs w:val="24"/>
        </w:rPr>
        <w:t>’</w:t>
      </w:r>
      <w:r w:rsidRPr="00E66589">
        <w:rPr>
          <w:rFonts w:ascii="Arial" w:hAnsi="Arial" w:cs="Arial"/>
          <w:color w:val="000000" w:themeColor="text1"/>
          <w:szCs w:val="24"/>
        </w:rPr>
        <w:t>s time spent at work is the employee life cycle. It</w:t>
      </w:r>
      <w:r w:rsidR="00C90829" w:rsidRPr="00E66589">
        <w:rPr>
          <w:rFonts w:ascii="Arial" w:hAnsi="Arial" w:cs="Arial"/>
          <w:color w:val="000000" w:themeColor="text1"/>
          <w:szCs w:val="24"/>
        </w:rPr>
        <w:t>’</w:t>
      </w:r>
      <w:r w:rsidRPr="00E66589">
        <w:rPr>
          <w:rFonts w:ascii="Arial" w:hAnsi="Arial" w:cs="Arial"/>
          <w:color w:val="000000" w:themeColor="text1"/>
          <w:szCs w:val="24"/>
        </w:rPr>
        <w:t xml:space="preserve">s a model that </w:t>
      </w:r>
      <w:proofErr w:type="gramStart"/>
      <w:r w:rsidRPr="00E66589">
        <w:rPr>
          <w:rFonts w:ascii="Arial" w:hAnsi="Arial" w:cs="Arial"/>
          <w:color w:val="000000" w:themeColor="text1"/>
          <w:szCs w:val="24"/>
        </w:rPr>
        <w:t>takes into account</w:t>
      </w:r>
      <w:proofErr w:type="gramEnd"/>
      <w:r w:rsidRPr="00E66589">
        <w:rPr>
          <w:rFonts w:ascii="Arial" w:hAnsi="Arial" w:cs="Arial"/>
          <w:color w:val="000000" w:themeColor="text1"/>
          <w:szCs w:val="24"/>
        </w:rPr>
        <w:t xml:space="preserve"> everything an employee goes through during their time working for a company</w:t>
      </w:r>
      <w:r w:rsidR="003B67DA" w:rsidRPr="00E66589">
        <w:rPr>
          <w:rFonts w:ascii="Arial" w:hAnsi="Arial" w:cs="Arial"/>
          <w:color w:val="000000" w:themeColor="text1"/>
          <w:szCs w:val="24"/>
        </w:rPr>
        <w:t xml:space="preserve"> (</w:t>
      </w:r>
      <w:proofErr w:type="spellStart"/>
      <w:r w:rsidR="003B67DA" w:rsidRPr="00E66589">
        <w:rPr>
          <w:rFonts w:ascii="Arial" w:hAnsi="Arial" w:cs="Arial"/>
          <w:color w:val="000000" w:themeColor="text1"/>
          <w:szCs w:val="24"/>
        </w:rPr>
        <w:t>Hinzmann</w:t>
      </w:r>
      <w:proofErr w:type="spellEnd"/>
      <w:r w:rsidR="003B67DA" w:rsidRPr="00E66589">
        <w:rPr>
          <w:rFonts w:ascii="Arial" w:hAnsi="Arial" w:cs="Arial"/>
          <w:color w:val="000000" w:themeColor="text1"/>
          <w:szCs w:val="24"/>
        </w:rPr>
        <w:t xml:space="preserve"> et al. 2019)</w:t>
      </w:r>
      <w:r w:rsidRPr="00E66589">
        <w:rPr>
          <w:rFonts w:ascii="Arial" w:hAnsi="Arial" w:cs="Arial"/>
          <w:color w:val="000000" w:themeColor="text1"/>
          <w:szCs w:val="24"/>
        </w:rPr>
        <w:t>. Employee engagement is an important component of the employee lifecycle that may help a firm make the most of its workforce</w:t>
      </w:r>
      <w:r w:rsidR="00C90829" w:rsidRPr="00E66589">
        <w:rPr>
          <w:rFonts w:ascii="Arial" w:hAnsi="Arial" w:cs="Arial"/>
          <w:color w:val="000000" w:themeColor="text1"/>
          <w:szCs w:val="24"/>
        </w:rPr>
        <w:t>’</w:t>
      </w:r>
      <w:r w:rsidRPr="00E66589">
        <w:rPr>
          <w:rFonts w:ascii="Arial" w:hAnsi="Arial" w:cs="Arial"/>
          <w:color w:val="000000" w:themeColor="text1"/>
          <w:szCs w:val="24"/>
        </w:rPr>
        <w:t xml:space="preserve">s talents, yet it is often overlooked by major corporations. The term </w:t>
      </w:r>
      <w:r w:rsidR="00C90829" w:rsidRPr="00E66589">
        <w:rPr>
          <w:rFonts w:ascii="Arial" w:hAnsi="Arial" w:cs="Arial"/>
          <w:color w:val="000000" w:themeColor="text1"/>
          <w:szCs w:val="24"/>
        </w:rPr>
        <w:t>“</w:t>
      </w:r>
      <w:r w:rsidRPr="00E66589">
        <w:rPr>
          <w:rFonts w:ascii="Arial" w:hAnsi="Arial" w:cs="Arial"/>
          <w:color w:val="000000" w:themeColor="text1"/>
          <w:szCs w:val="24"/>
        </w:rPr>
        <w:t>employee engagement</w:t>
      </w:r>
      <w:r w:rsidR="00C90829" w:rsidRPr="00E66589">
        <w:rPr>
          <w:rFonts w:ascii="Arial" w:hAnsi="Arial" w:cs="Arial"/>
          <w:color w:val="000000" w:themeColor="text1"/>
          <w:szCs w:val="24"/>
        </w:rPr>
        <w:t>”</w:t>
      </w:r>
      <w:r w:rsidRPr="00E66589">
        <w:rPr>
          <w:rFonts w:ascii="Arial" w:hAnsi="Arial" w:cs="Arial"/>
          <w:color w:val="000000" w:themeColor="text1"/>
          <w:szCs w:val="24"/>
        </w:rPr>
        <w:t xml:space="preserve"> refers to the degree to which workers have an investment in their jobs, their teams, and their employers. According to Sun and </w:t>
      </w:r>
      <w:proofErr w:type="spellStart"/>
      <w:r w:rsidRPr="00E66589">
        <w:rPr>
          <w:rFonts w:ascii="Arial" w:hAnsi="Arial" w:cs="Arial"/>
          <w:color w:val="000000" w:themeColor="text1"/>
          <w:szCs w:val="24"/>
        </w:rPr>
        <w:t>Bunchapattanasakda</w:t>
      </w:r>
      <w:proofErr w:type="spellEnd"/>
      <w:r w:rsidRPr="00E66589">
        <w:rPr>
          <w:rFonts w:ascii="Arial" w:hAnsi="Arial" w:cs="Arial"/>
          <w:color w:val="000000" w:themeColor="text1"/>
          <w:szCs w:val="24"/>
        </w:rPr>
        <w:t xml:space="preserve"> (2019), employees who have a strong sense of belonging to their organisation are more likely to put in extra effort, remain with the company for the long haul, and even try to persuade others to join their cause.</w:t>
      </w:r>
      <w:r w:rsidR="003B67DA" w:rsidRPr="00E66589">
        <w:rPr>
          <w:rFonts w:ascii="Arial" w:hAnsi="Arial" w:cs="Arial"/>
          <w:color w:val="000000" w:themeColor="text1"/>
          <w:szCs w:val="24"/>
        </w:rPr>
        <w:t xml:space="preserve"> O</w:t>
      </w:r>
      <w:r w:rsidRPr="00E66589">
        <w:rPr>
          <w:rFonts w:ascii="Arial" w:hAnsi="Arial" w:cs="Arial"/>
          <w:color w:val="000000" w:themeColor="text1"/>
          <w:szCs w:val="24"/>
        </w:rPr>
        <w:t xml:space="preserve">ver 90% of company executives believe that engaged people work better, which benefits the success of the team and the success of the </w:t>
      </w:r>
      <w:proofErr w:type="gramStart"/>
      <w:r w:rsidRPr="00E66589">
        <w:rPr>
          <w:rFonts w:ascii="Arial" w:hAnsi="Arial" w:cs="Arial"/>
          <w:color w:val="000000" w:themeColor="text1"/>
          <w:szCs w:val="24"/>
        </w:rPr>
        <w:t>organisation as a whole</w:t>
      </w:r>
      <w:proofErr w:type="gramEnd"/>
      <w:r w:rsidR="003B67DA" w:rsidRPr="00E66589">
        <w:rPr>
          <w:rFonts w:ascii="Arial" w:hAnsi="Arial" w:cs="Arial"/>
          <w:color w:val="000000" w:themeColor="text1"/>
          <w:szCs w:val="24"/>
        </w:rPr>
        <w:t xml:space="preserve"> (Ewing et al. 2019)</w:t>
      </w:r>
      <w:r w:rsidRPr="00E66589">
        <w:rPr>
          <w:rFonts w:ascii="Arial" w:hAnsi="Arial" w:cs="Arial"/>
          <w:color w:val="000000" w:themeColor="text1"/>
          <w:szCs w:val="24"/>
        </w:rPr>
        <w:t>. This essay examines the employee lifecycle from recruitment to retirement, focusing on Hilton Hotels as a successful case study.</w:t>
      </w:r>
    </w:p>
    <w:p w14:paraId="4BFDD79D" w14:textId="77777777" w:rsidR="00912B1C" w:rsidRPr="00E66589" w:rsidRDefault="00912B1C" w:rsidP="00912B1C">
      <w:pPr>
        <w:contextualSpacing/>
        <w:rPr>
          <w:rFonts w:ascii="Arial" w:hAnsi="Arial" w:cs="Arial"/>
          <w:color w:val="000000" w:themeColor="text1"/>
          <w:szCs w:val="24"/>
        </w:rPr>
      </w:pPr>
    </w:p>
    <w:p w14:paraId="08B3906B" w14:textId="6A0890F5" w:rsidR="00912B1C" w:rsidRPr="00E66589" w:rsidRDefault="00912B1C" w:rsidP="00215A2B">
      <w:pPr>
        <w:pStyle w:val="Heading1"/>
        <w:spacing w:before="0"/>
        <w:contextualSpacing/>
        <w:rPr>
          <w:rFonts w:ascii="Arial" w:eastAsia="Times New Roman" w:hAnsi="Arial" w:cs="Arial"/>
          <w:color w:val="000000" w:themeColor="text1"/>
          <w:szCs w:val="24"/>
          <w:lang w:val="en-US"/>
        </w:rPr>
      </w:pPr>
      <w:bookmarkStart w:id="2" w:name="_Toc126618698"/>
      <w:bookmarkStart w:id="3" w:name="_Toc123308565"/>
      <w:r w:rsidRPr="00E66589">
        <w:rPr>
          <w:rFonts w:ascii="Arial" w:eastAsia="Times New Roman" w:hAnsi="Arial" w:cs="Arial"/>
          <w:color w:val="000000" w:themeColor="text1"/>
          <w:szCs w:val="24"/>
          <w:lang w:val="en-US"/>
        </w:rPr>
        <w:t>Main body</w:t>
      </w:r>
      <w:bookmarkEnd w:id="2"/>
      <w:r w:rsidRPr="00E66589">
        <w:rPr>
          <w:rFonts w:ascii="Arial" w:eastAsia="Times New Roman" w:hAnsi="Arial" w:cs="Arial"/>
          <w:color w:val="000000" w:themeColor="text1"/>
          <w:szCs w:val="24"/>
          <w:lang w:val="en-US"/>
        </w:rPr>
        <w:t xml:space="preserve"> </w:t>
      </w:r>
    </w:p>
    <w:p w14:paraId="73C6D79B" w14:textId="0C3D38BA"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Employees are the only ones who can represent a company since customer service is the lifeblood of the hospitality industry (Book</w:t>
      </w:r>
      <w:r w:rsidR="003B67DA" w:rsidRPr="00E66589">
        <w:rPr>
          <w:rFonts w:ascii="Arial" w:hAnsi="Arial" w:cs="Arial"/>
          <w:color w:val="000000" w:themeColor="text1"/>
          <w:szCs w:val="24"/>
        </w:rPr>
        <w:t xml:space="preserve"> et al. </w:t>
      </w:r>
      <w:r w:rsidRPr="00E66589">
        <w:rPr>
          <w:rFonts w:ascii="Arial" w:hAnsi="Arial" w:cs="Arial"/>
          <w:color w:val="000000" w:themeColor="text1"/>
          <w:szCs w:val="24"/>
        </w:rPr>
        <w:t xml:space="preserve">2019). Any unhappy customer might have been avoided with a little more care. When employees believe they are valuable </w:t>
      </w:r>
      <w:r w:rsidR="00AB0EC0" w:rsidRPr="00E66589">
        <w:rPr>
          <w:rFonts w:ascii="Arial" w:hAnsi="Arial" w:cs="Arial"/>
          <w:color w:val="000000" w:themeColor="text1"/>
          <w:szCs w:val="24"/>
        </w:rPr>
        <w:t>members</w:t>
      </w:r>
      <w:r w:rsidRPr="00E66589">
        <w:rPr>
          <w:rFonts w:ascii="Arial" w:hAnsi="Arial" w:cs="Arial"/>
          <w:color w:val="000000" w:themeColor="text1"/>
          <w:szCs w:val="24"/>
        </w:rPr>
        <w:t xml:space="preserve"> of the team, they take greater pride in their work and are more invested in the company’s success. The importance of employee engagement cannot be overstated, especially in HR departments such as those of international hotel management </w:t>
      </w:r>
      <w:r w:rsidR="003B67DA" w:rsidRPr="00E66589">
        <w:rPr>
          <w:rFonts w:ascii="Arial" w:hAnsi="Arial" w:cs="Arial"/>
          <w:color w:val="000000" w:themeColor="text1"/>
          <w:szCs w:val="24"/>
        </w:rPr>
        <w:t>(Kurtzman, 2017)</w:t>
      </w:r>
      <w:r w:rsidRPr="00E66589">
        <w:rPr>
          <w:rFonts w:ascii="Arial" w:hAnsi="Arial" w:cs="Arial"/>
          <w:color w:val="000000" w:themeColor="text1"/>
          <w:szCs w:val="24"/>
        </w:rPr>
        <w:t xml:space="preserve">. At least </w:t>
      </w:r>
      <w:r w:rsidR="00AB0EC0" w:rsidRPr="00E66589">
        <w:rPr>
          <w:rFonts w:ascii="Arial" w:hAnsi="Arial" w:cs="Arial"/>
          <w:color w:val="000000" w:themeColor="text1"/>
          <w:szCs w:val="24"/>
        </w:rPr>
        <w:t>50%</w:t>
      </w:r>
      <w:r w:rsidRPr="00E66589">
        <w:rPr>
          <w:rFonts w:ascii="Arial" w:hAnsi="Arial" w:cs="Arial"/>
          <w:color w:val="000000" w:themeColor="text1"/>
          <w:szCs w:val="24"/>
        </w:rPr>
        <w:t xml:space="preserve"> of the world’s labour force shows no enthusiasm for their employment. This demonstrates the worldwide crisis in employee engagement (Mayne, 2017). These startling figures illustrate why employee engagement is critical for a company’s top management and HR department. It’s because of these factors that employment in employee engagement, consulting, and research is on the rise.</w:t>
      </w:r>
    </w:p>
    <w:p w14:paraId="2E4A37D7" w14:textId="305277A8"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To begin, HR plays a critical role at every level in motivating employees to work hard (Half, 2022). Everyone in HR should be considering employee engagement, </w:t>
      </w:r>
      <w:proofErr w:type="gramStart"/>
      <w:r w:rsidRPr="00E66589">
        <w:rPr>
          <w:rFonts w:ascii="Arial" w:hAnsi="Arial" w:cs="Arial"/>
          <w:color w:val="000000" w:themeColor="text1"/>
          <w:szCs w:val="24"/>
        </w:rPr>
        <w:t>despite the fact that</w:t>
      </w:r>
      <w:proofErr w:type="gramEnd"/>
      <w:r w:rsidRPr="00E66589">
        <w:rPr>
          <w:rFonts w:ascii="Arial" w:hAnsi="Arial" w:cs="Arial"/>
          <w:color w:val="000000" w:themeColor="text1"/>
          <w:szCs w:val="24"/>
        </w:rPr>
        <w:t xml:space="preserve"> there are a variety of employee engagement programmes and dedicated </w:t>
      </w:r>
      <w:r w:rsidRPr="00E66589">
        <w:rPr>
          <w:rFonts w:ascii="Arial" w:hAnsi="Arial" w:cs="Arial"/>
          <w:color w:val="000000" w:themeColor="text1"/>
          <w:szCs w:val="24"/>
        </w:rPr>
        <w:lastRenderedPageBreak/>
        <w:t xml:space="preserve">roles. The fundamentals of HR must be executed properly to achieve optimal levels of employee engagement (Bhardwaj </w:t>
      </w:r>
      <w:r w:rsidR="003B67DA" w:rsidRPr="00E66589">
        <w:rPr>
          <w:rFonts w:ascii="Arial" w:hAnsi="Arial" w:cs="Arial"/>
          <w:color w:val="000000" w:themeColor="text1"/>
          <w:szCs w:val="24"/>
        </w:rPr>
        <w:t>and</w:t>
      </w:r>
      <w:r w:rsidRPr="00E66589">
        <w:rPr>
          <w:rFonts w:ascii="Arial" w:hAnsi="Arial" w:cs="Arial"/>
          <w:color w:val="000000" w:themeColor="text1"/>
          <w:szCs w:val="24"/>
        </w:rPr>
        <w:t xml:space="preserve"> Kalia, 2021). Because it touches nearly every aspect of HR, employee engagement is a more nuanced issue than it may seem at first glance. The contract between the employer and the employee </w:t>
      </w:r>
      <w:proofErr w:type="gramStart"/>
      <w:r w:rsidRPr="00E66589">
        <w:rPr>
          <w:rFonts w:ascii="Arial" w:hAnsi="Arial" w:cs="Arial"/>
          <w:color w:val="000000" w:themeColor="text1"/>
          <w:szCs w:val="24"/>
        </w:rPr>
        <w:t>as a whole must</w:t>
      </w:r>
      <w:proofErr w:type="gramEnd"/>
      <w:r w:rsidRPr="00E66589">
        <w:rPr>
          <w:rFonts w:ascii="Arial" w:hAnsi="Arial" w:cs="Arial"/>
          <w:color w:val="000000" w:themeColor="text1"/>
          <w:szCs w:val="24"/>
        </w:rPr>
        <w:t xml:space="preserve"> be understood by the HR department if strong employee engagement is to be achieved. </w:t>
      </w:r>
      <w:proofErr w:type="gramStart"/>
      <w:r w:rsidRPr="00E66589">
        <w:rPr>
          <w:rFonts w:ascii="Arial" w:hAnsi="Arial" w:cs="Arial"/>
          <w:color w:val="000000" w:themeColor="text1"/>
          <w:szCs w:val="24"/>
        </w:rPr>
        <w:t>In order for</w:t>
      </w:r>
      <w:proofErr w:type="gramEnd"/>
      <w:r w:rsidRPr="00E66589">
        <w:rPr>
          <w:rFonts w:ascii="Arial" w:hAnsi="Arial" w:cs="Arial"/>
          <w:color w:val="000000" w:themeColor="text1"/>
          <w:szCs w:val="24"/>
        </w:rPr>
        <w:t xml:space="preserve"> employees to perform their tasks effectively, HR must ensure they have access to the necessary resources</w:t>
      </w:r>
      <w:r w:rsidR="003B67DA" w:rsidRPr="00E66589">
        <w:rPr>
          <w:rFonts w:ascii="Arial" w:hAnsi="Arial" w:cs="Arial"/>
          <w:color w:val="000000" w:themeColor="text1"/>
          <w:szCs w:val="24"/>
        </w:rPr>
        <w:t xml:space="preserve"> (Liu et al. 2022)</w:t>
      </w:r>
      <w:r w:rsidRPr="00E66589">
        <w:rPr>
          <w:rFonts w:ascii="Arial" w:hAnsi="Arial" w:cs="Arial"/>
          <w:color w:val="000000" w:themeColor="text1"/>
          <w:szCs w:val="24"/>
        </w:rPr>
        <w:t>.</w:t>
      </w:r>
    </w:p>
    <w:p w14:paraId="704D078C" w14:textId="5A0E12FD"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To maintain the levels of employee engagement that have been established, HR must also continue developing employees. Employees need to know how to advance in their professions, so the company must ensure this (Sun </w:t>
      </w:r>
      <w:r w:rsidR="003B67DA" w:rsidRPr="00E66589">
        <w:rPr>
          <w:rFonts w:ascii="Arial" w:hAnsi="Arial" w:cs="Arial"/>
          <w:color w:val="000000" w:themeColor="text1"/>
          <w:szCs w:val="24"/>
        </w:rPr>
        <w:t>and</w:t>
      </w:r>
      <w:r w:rsidRPr="00E66589">
        <w:rPr>
          <w:rFonts w:ascii="Arial" w:hAnsi="Arial" w:cs="Arial"/>
          <w:color w:val="000000" w:themeColor="text1"/>
          <w:szCs w:val="24"/>
        </w:rPr>
        <w:t xml:space="preserve"> </w:t>
      </w:r>
      <w:proofErr w:type="spellStart"/>
      <w:r w:rsidRPr="00E66589">
        <w:rPr>
          <w:rFonts w:ascii="Arial" w:hAnsi="Arial" w:cs="Arial"/>
          <w:color w:val="000000" w:themeColor="text1"/>
          <w:szCs w:val="24"/>
        </w:rPr>
        <w:t>Bunchapattanasakda</w:t>
      </w:r>
      <w:proofErr w:type="spellEnd"/>
      <w:r w:rsidRPr="00E66589">
        <w:rPr>
          <w:rFonts w:ascii="Arial" w:hAnsi="Arial" w:cs="Arial"/>
          <w:color w:val="000000" w:themeColor="text1"/>
          <w:szCs w:val="24"/>
        </w:rPr>
        <w:t>, 2019). Engaged workers understand their roles and responsibilities and put out effort to achieve both their personal and the company’s objectives (</w:t>
      </w:r>
      <w:proofErr w:type="spellStart"/>
      <w:r w:rsidRPr="00E66589">
        <w:rPr>
          <w:rFonts w:ascii="Arial" w:hAnsi="Arial" w:cs="Arial"/>
          <w:color w:val="000000" w:themeColor="text1"/>
          <w:szCs w:val="24"/>
        </w:rPr>
        <w:t>Rabiul</w:t>
      </w:r>
      <w:proofErr w:type="spellEnd"/>
      <w:r w:rsidRPr="00E66589">
        <w:rPr>
          <w:rFonts w:ascii="Arial" w:hAnsi="Arial" w:cs="Arial"/>
          <w:color w:val="000000" w:themeColor="text1"/>
          <w:szCs w:val="24"/>
        </w:rPr>
        <w:t xml:space="preserve"> et al. 2021).</w:t>
      </w:r>
    </w:p>
    <w:p w14:paraId="43A298E7" w14:textId="100BED42"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To increase productivity, customer satisfaction, and customer retention, businesses must first understand the value of employee engagement and then develop strategies for increasing it. The best strateg</w:t>
      </w:r>
      <w:r w:rsidR="003B67DA" w:rsidRPr="00E66589">
        <w:rPr>
          <w:rFonts w:ascii="Arial" w:hAnsi="Arial" w:cs="Arial"/>
          <w:color w:val="000000" w:themeColor="text1"/>
          <w:szCs w:val="24"/>
        </w:rPr>
        <w:t>y to keep employees interested</w:t>
      </w:r>
      <w:r w:rsidRPr="00E66589">
        <w:rPr>
          <w:rFonts w:ascii="Arial" w:hAnsi="Arial" w:cs="Arial"/>
          <w:color w:val="000000" w:themeColor="text1"/>
          <w:szCs w:val="24"/>
        </w:rPr>
        <w:t xml:space="preserve"> is to keep in touch with the company</w:t>
      </w:r>
      <w:r w:rsidR="003B67DA" w:rsidRPr="00E66589">
        <w:rPr>
          <w:rFonts w:ascii="Arial" w:hAnsi="Arial" w:cs="Arial"/>
          <w:color w:val="000000" w:themeColor="text1"/>
          <w:szCs w:val="24"/>
        </w:rPr>
        <w:t xml:space="preserve"> (George et al. 2020)</w:t>
      </w:r>
      <w:r w:rsidRPr="00E66589">
        <w:rPr>
          <w:rFonts w:ascii="Arial" w:hAnsi="Arial" w:cs="Arial"/>
          <w:color w:val="000000" w:themeColor="text1"/>
          <w:szCs w:val="24"/>
        </w:rPr>
        <w:t xml:space="preserve">. Employees will be forced to make their own decisions about the company if crucial company information is withheld, whether on intention or by accident. The company’s financial performance, its goals, and the reasons why these things matter to the </w:t>
      </w:r>
      <w:r w:rsidR="00AB0EC0" w:rsidRPr="00E66589">
        <w:rPr>
          <w:rFonts w:ascii="Arial" w:hAnsi="Arial" w:cs="Arial"/>
          <w:color w:val="000000" w:themeColor="text1"/>
          <w:szCs w:val="24"/>
        </w:rPr>
        <w:t>person</w:t>
      </w:r>
      <w:r w:rsidRPr="00E66589">
        <w:rPr>
          <w:rFonts w:ascii="Arial" w:hAnsi="Arial" w:cs="Arial"/>
          <w:color w:val="000000" w:themeColor="text1"/>
          <w:szCs w:val="24"/>
        </w:rPr>
        <w:t xml:space="preserve"> should be communicated to them as frequently as feasible </w:t>
      </w:r>
      <w:r w:rsidR="003B67DA" w:rsidRPr="00E66589">
        <w:rPr>
          <w:rFonts w:ascii="Arial" w:hAnsi="Arial" w:cs="Arial"/>
          <w:color w:val="000000" w:themeColor="text1"/>
          <w:szCs w:val="24"/>
        </w:rPr>
        <w:t>(George et al. 2020)</w:t>
      </w:r>
      <w:r w:rsidRPr="00E66589">
        <w:rPr>
          <w:rFonts w:ascii="Arial" w:hAnsi="Arial" w:cs="Arial"/>
          <w:color w:val="000000" w:themeColor="text1"/>
          <w:szCs w:val="24"/>
        </w:rPr>
        <w:t xml:space="preserve">. Members of the team are more invested in the company </w:t>
      </w:r>
      <w:proofErr w:type="gramStart"/>
      <w:r w:rsidRPr="00E66589">
        <w:rPr>
          <w:rFonts w:ascii="Arial" w:hAnsi="Arial" w:cs="Arial"/>
          <w:color w:val="000000" w:themeColor="text1"/>
          <w:szCs w:val="24"/>
        </w:rPr>
        <w:t>as a whole if</w:t>
      </w:r>
      <w:proofErr w:type="gramEnd"/>
      <w:r w:rsidRPr="00E66589">
        <w:rPr>
          <w:rFonts w:ascii="Arial" w:hAnsi="Arial" w:cs="Arial"/>
          <w:color w:val="000000" w:themeColor="text1"/>
          <w:szCs w:val="24"/>
        </w:rPr>
        <w:t xml:space="preserve"> they are kept informed of its progress.</w:t>
      </w:r>
    </w:p>
    <w:p w14:paraId="4FD0BD78" w14:textId="4E81F0A3"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Employee engagement can be significantly increased by providing employees with a clear understanding of what to anticipate (Sun </w:t>
      </w:r>
      <w:r w:rsidR="003B67DA" w:rsidRPr="00E66589">
        <w:rPr>
          <w:rFonts w:ascii="Arial" w:hAnsi="Arial" w:cs="Arial"/>
          <w:color w:val="000000" w:themeColor="text1"/>
          <w:szCs w:val="24"/>
        </w:rPr>
        <w:t>and</w:t>
      </w:r>
      <w:r w:rsidRPr="00E66589">
        <w:rPr>
          <w:rFonts w:ascii="Arial" w:hAnsi="Arial" w:cs="Arial"/>
          <w:color w:val="000000" w:themeColor="text1"/>
          <w:szCs w:val="24"/>
        </w:rPr>
        <w:t xml:space="preserve"> </w:t>
      </w:r>
      <w:proofErr w:type="spellStart"/>
      <w:r w:rsidRPr="00E66589">
        <w:rPr>
          <w:rFonts w:ascii="Arial" w:hAnsi="Arial" w:cs="Arial"/>
          <w:color w:val="000000" w:themeColor="text1"/>
          <w:szCs w:val="24"/>
        </w:rPr>
        <w:t>Bunchapattanasakda</w:t>
      </w:r>
      <w:proofErr w:type="spellEnd"/>
      <w:r w:rsidRPr="00E66589">
        <w:rPr>
          <w:rFonts w:ascii="Arial" w:hAnsi="Arial" w:cs="Arial"/>
          <w:color w:val="000000" w:themeColor="text1"/>
          <w:szCs w:val="24"/>
        </w:rPr>
        <w:t>, 2019). For instance, if employees aren’t clear on their roles and the steps they need to take to complete the project, it can be difficult to get them motivated. When assigning a task to an employee, it’s important to provide them with all the information they</w:t>
      </w:r>
      <w:r w:rsidR="003B67DA" w:rsidRPr="00E66589">
        <w:rPr>
          <w:rFonts w:ascii="Arial" w:hAnsi="Arial" w:cs="Arial"/>
          <w:color w:val="000000" w:themeColor="text1"/>
          <w:szCs w:val="24"/>
        </w:rPr>
        <w:t xml:space="preserve"> wi</w:t>
      </w:r>
      <w:r w:rsidRPr="00E66589">
        <w:rPr>
          <w:rFonts w:ascii="Arial" w:hAnsi="Arial" w:cs="Arial"/>
          <w:color w:val="000000" w:themeColor="text1"/>
          <w:szCs w:val="24"/>
        </w:rPr>
        <w:t xml:space="preserve">ll need and double-check that they understand their responsibilities. Individuals should be allowed to ask questions and gain clarity on how the project contributes to the company’s overall objectives. Since not all jobs are enjoyable, McBain (2007) suggests never embellishing the positive aspects of a task just to make it sound better than it is. Companies should be </w:t>
      </w:r>
      <w:r w:rsidRPr="00E66589">
        <w:rPr>
          <w:rFonts w:ascii="Arial" w:hAnsi="Arial" w:cs="Arial"/>
          <w:color w:val="000000" w:themeColor="text1"/>
          <w:szCs w:val="24"/>
        </w:rPr>
        <w:lastRenderedPageBreak/>
        <w:t>transparent about the scope of such assignments before assigning them. No organisation wants to give the impression that they are dishonest about the efforts they are making.</w:t>
      </w:r>
    </w:p>
    <w:p w14:paraId="16017F7C" w14:textId="41B44EB7"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Particularly when it comes to employees, consistency is crucial in work. Every employee has the right to be treated like an employee, and the organisation must meet the varying demands of its staff (Pandey</w:t>
      </w:r>
      <w:r w:rsidR="003B67DA" w:rsidRPr="00E66589">
        <w:rPr>
          <w:rFonts w:ascii="Arial" w:hAnsi="Arial" w:cs="Arial"/>
          <w:color w:val="000000" w:themeColor="text1"/>
          <w:szCs w:val="24"/>
        </w:rPr>
        <w:t xml:space="preserve"> et al. </w:t>
      </w:r>
      <w:r w:rsidRPr="00E66589">
        <w:rPr>
          <w:rFonts w:ascii="Arial" w:hAnsi="Arial" w:cs="Arial"/>
          <w:color w:val="000000" w:themeColor="text1"/>
          <w:szCs w:val="24"/>
        </w:rPr>
        <w:t xml:space="preserve">2020). Equal treatment for all employees is one method to maintain consistency. Management that appears to favour some individuals may not be popular. Being a good example goes hand in hand with this aspect of </w:t>
      </w:r>
      <w:r w:rsidR="003B67DA" w:rsidRPr="00E66589">
        <w:rPr>
          <w:rFonts w:ascii="Arial" w:hAnsi="Arial" w:cs="Arial"/>
          <w:color w:val="000000" w:themeColor="text1"/>
          <w:szCs w:val="24"/>
        </w:rPr>
        <w:t>piquing</w:t>
      </w:r>
      <w:r w:rsidRPr="00E66589">
        <w:rPr>
          <w:rFonts w:ascii="Arial" w:hAnsi="Arial" w:cs="Arial"/>
          <w:color w:val="000000" w:themeColor="text1"/>
          <w:szCs w:val="24"/>
        </w:rPr>
        <w:t xml:space="preserve"> employees’ interest in the business.</w:t>
      </w:r>
    </w:p>
    <w:p w14:paraId="5284782F" w14:textId="0FB0A435"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The advantages of having engaged employees are discussed in greater </w:t>
      </w:r>
      <w:r w:rsidR="003B67DA" w:rsidRPr="00E66589">
        <w:rPr>
          <w:rFonts w:ascii="Arial" w:hAnsi="Arial" w:cs="Arial"/>
          <w:color w:val="000000" w:themeColor="text1"/>
          <w:szCs w:val="24"/>
        </w:rPr>
        <w:t xml:space="preserve">(Herman, </w:t>
      </w:r>
      <w:r w:rsidRPr="00E66589">
        <w:rPr>
          <w:rFonts w:ascii="Arial" w:hAnsi="Arial" w:cs="Arial"/>
          <w:color w:val="000000" w:themeColor="text1"/>
          <w:szCs w:val="24"/>
        </w:rPr>
        <w:t xml:space="preserve">2022). One of the most significant advantages is a decrease in absenteeism. Absenteeism is a widespread issue </w:t>
      </w:r>
      <w:proofErr w:type="gramStart"/>
      <w:r w:rsidRPr="00E66589">
        <w:rPr>
          <w:rFonts w:ascii="Arial" w:hAnsi="Arial" w:cs="Arial"/>
          <w:color w:val="000000" w:themeColor="text1"/>
          <w:szCs w:val="24"/>
        </w:rPr>
        <w:t>despite the fact that</w:t>
      </w:r>
      <w:proofErr w:type="gramEnd"/>
      <w:r w:rsidRPr="00E66589">
        <w:rPr>
          <w:rFonts w:ascii="Arial" w:hAnsi="Arial" w:cs="Arial"/>
          <w:color w:val="000000" w:themeColor="text1"/>
          <w:szCs w:val="24"/>
        </w:rPr>
        <w:t xml:space="preserve"> every company is unique. The issue is not with an individual but with the </w:t>
      </w:r>
      <w:proofErr w:type="gramStart"/>
      <w:r w:rsidRPr="00E66589">
        <w:rPr>
          <w:rFonts w:ascii="Arial" w:hAnsi="Arial" w:cs="Arial"/>
          <w:color w:val="000000" w:themeColor="text1"/>
          <w:szCs w:val="24"/>
        </w:rPr>
        <w:t>system as a whole</w:t>
      </w:r>
      <w:proofErr w:type="gramEnd"/>
      <w:r w:rsidRPr="00E66589">
        <w:rPr>
          <w:rFonts w:ascii="Arial" w:hAnsi="Arial" w:cs="Arial"/>
          <w:color w:val="000000" w:themeColor="text1"/>
          <w:szCs w:val="24"/>
        </w:rPr>
        <w:t>. There’s a risk that if nothing is done, it will spiral out of control and end up costing the company a lot of money. Employees’ motivation, contentment, and engagement should be included in the fight against absenteeism</w:t>
      </w:r>
      <w:r w:rsidR="003B67DA" w:rsidRPr="00E66589">
        <w:rPr>
          <w:rFonts w:ascii="Arial" w:hAnsi="Arial" w:cs="Arial"/>
          <w:color w:val="000000" w:themeColor="text1"/>
          <w:szCs w:val="24"/>
        </w:rPr>
        <w:t xml:space="preserve"> (Herman, 2022)</w:t>
      </w:r>
      <w:r w:rsidRPr="00E66589">
        <w:rPr>
          <w:rFonts w:ascii="Arial" w:hAnsi="Arial" w:cs="Arial"/>
          <w:color w:val="000000" w:themeColor="text1"/>
          <w:szCs w:val="24"/>
        </w:rPr>
        <w:t xml:space="preserve">. </w:t>
      </w:r>
      <w:r w:rsidR="00AB0EC0" w:rsidRPr="00E66589">
        <w:rPr>
          <w:rFonts w:ascii="Arial" w:hAnsi="Arial" w:cs="Arial"/>
          <w:color w:val="000000" w:themeColor="text1"/>
          <w:szCs w:val="24"/>
        </w:rPr>
        <w:t>I</w:t>
      </w:r>
      <w:r w:rsidRPr="00E66589">
        <w:rPr>
          <w:rFonts w:ascii="Arial" w:hAnsi="Arial" w:cs="Arial"/>
          <w:color w:val="000000" w:themeColor="text1"/>
          <w:szCs w:val="24"/>
        </w:rPr>
        <w:t xml:space="preserve">ncreasing workplace participation amongst employees can reduce absenteeism by as much as 40%. This could aid the business in achieving its goals by making employees </w:t>
      </w:r>
      <w:r w:rsidR="003B67DA" w:rsidRPr="00E66589">
        <w:rPr>
          <w:rFonts w:ascii="Arial" w:hAnsi="Arial" w:cs="Arial"/>
          <w:color w:val="000000" w:themeColor="text1"/>
          <w:szCs w:val="24"/>
        </w:rPr>
        <w:t>happier (Anthony-</w:t>
      </w:r>
      <w:proofErr w:type="spellStart"/>
      <w:r w:rsidR="003B67DA" w:rsidRPr="00E66589">
        <w:rPr>
          <w:rFonts w:ascii="Arial" w:hAnsi="Arial" w:cs="Arial"/>
          <w:color w:val="000000" w:themeColor="text1"/>
          <w:szCs w:val="24"/>
        </w:rPr>
        <w:t>McMannn</w:t>
      </w:r>
      <w:proofErr w:type="spellEnd"/>
      <w:r w:rsidR="003B67DA" w:rsidRPr="00E66589">
        <w:rPr>
          <w:rFonts w:ascii="Arial" w:hAnsi="Arial" w:cs="Arial"/>
          <w:color w:val="000000" w:themeColor="text1"/>
          <w:szCs w:val="24"/>
        </w:rPr>
        <w:t xml:space="preserve"> et al.</w:t>
      </w:r>
      <w:r w:rsidRPr="00E66589">
        <w:rPr>
          <w:rFonts w:ascii="Arial" w:hAnsi="Arial" w:cs="Arial"/>
          <w:color w:val="000000" w:themeColor="text1"/>
          <w:szCs w:val="24"/>
        </w:rPr>
        <w:t xml:space="preserve"> 2017).</w:t>
      </w:r>
    </w:p>
    <w:p w14:paraId="3F038F7F" w14:textId="087D2241"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When employees are involved, many things will get better, including safety (Herman, 2022). Workers who are ready to show up and put in </w:t>
      </w:r>
      <w:r w:rsidR="00CA7E44" w:rsidRPr="00E66589">
        <w:rPr>
          <w:rFonts w:ascii="Arial" w:hAnsi="Arial" w:cs="Arial"/>
          <w:color w:val="000000" w:themeColor="text1"/>
          <w:szCs w:val="24"/>
        </w:rPr>
        <w:t xml:space="preserve">the </w:t>
      </w:r>
      <w:r w:rsidRPr="00E66589">
        <w:rPr>
          <w:rFonts w:ascii="Arial" w:hAnsi="Arial" w:cs="Arial"/>
          <w:color w:val="000000" w:themeColor="text1"/>
          <w:szCs w:val="24"/>
        </w:rPr>
        <w:t>effort are also more likely to be concerned with workplace safety and quality (</w:t>
      </w:r>
      <w:proofErr w:type="spellStart"/>
      <w:r w:rsidRPr="00E66589">
        <w:rPr>
          <w:rFonts w:ascii="Arial" w:hAnsi="Arial" w:cs="Arial"/>
          <w:color w:val="000000" w:themeColor="text1"/>
          <w:szCs w:val="24"/>
        </w:rPr>
        <w:t>Hinzman</w:t>
      </w:r>
      <w:proofErr w:type="spellEnd"/>
      <w:r w:rsidR="003B67DA" w:rsidRPr="00E66589">
        <w:rPr>
          <w:rFonts w:ascii="Arial" w:hAnsi="Arial" w:cs="Arial"/>
          <w:color w:val="000000" w:themeColor="text1"/>
          <w:szCs w:val="24"/>
        </w:rPr>
        <w:t xml:space="preserve"> et al. </w:t>
      </w:r>
      <w:r w:rsidRPr="00E66589">
        <w:rPr>
          <w:rFonts w:ascii="Arial" w:hAnsi="Arial" w:cs="Arial"/>
          <w:color w:val="000000" w:themeColor="text1"/>
          <w:szCs w:val="24"/>
        </w:rPr>
        <w:t xml:space="preserve">2019). They are less prone to make careless errors that could cause mishaps on the job when they are relaxed and in a good mood. Working for a more reliable and stable organisation tends to make employees more engaged in their work. Up to 70% fewer safety incidents may occur </w:t>
      </w:r>
      <w:proofErr w:type="gramStart"/>
      <w:r w:rsidRPr="00E66589">
        <w:rPr>
          <w:rFonts w:ascii="Arial" w:hAnsi="Arial" w:cs="Arial"/>
          <w:color w:val="000000" w:themeColor="text1"/>
          <w:szCs w:val="24"/>
        </w:rPr>
        <w:t>as a result of</w:t>
      </w:r>
      <w:proofErr w:type="gramEnd"/>
      <w:r w:rsidRPr="00E66589">
        <w:rPr>
          <w:rFonts w:ascii="Arial" w:hAnsi="Arial" w:cs="Arial"/>
          <w:color w:val="000000" w:themeColor="text1"/>
          <w:szCs w:val="24"/>
        </w:rPr>
        <w:t xml:space="preserve"> this. </w:t>
      </w:r>
      <w:r w:rsidR="00CA7E44" w:rsidRPr="00E66589">
        <w:rPr>
          <w:rFonts w:ascii="Arial" w:hAnsi="Arial" w:cs="Arial"/>
          <w:color w:val="000000" w:themeColor="text1"/>
          <w:szCs w:val="24"/>
        </w:rPr>
        <w:t>An</w:t>
      </w:r>
      <w:r w:rsidRPr="00E66589">
        <w:rPr>
          <w:rFonts w:ascii="Arial" w:hAnsi="Arial" w:cs="Arial"/>
          <w:color w:val="000000" w:themeColor="text1"/>
          <w:szCs w:val="24"/>
        </w:rPr>
        <w:t xml:space="preserve"> excellent illustration of how companies in the hospitality sector engage their employees is Hilton Hotels, one of the top hotels in the world.</w:t>
      </w:r>
    </w:p>
    <w:p w14:paraId="06A4CE9C" w14:textId="03DF0535"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The former Hilton Hotels Corporation is now known as Hilton Worldwide Holdings and has a </w:t>
      </w:r>
      <w:r w:rsidR="003B67DA" w:rsidRPr="00E66589">
        <w:rPr>
          <w:rFonts w:ascii="Arial" w:hAnsi="Arial" w:cs="Arial"/>
          <w:color w:val="000000" w:themeColor="text1"/>
          <w:szCs w:val="24"/>
        </w:rPr>
        <w:t>sizable</w:t>
      </w:r>
      <w:r w:rsidRPr="00E66589">
        <w:rPr>
          <w:rFonts w:ascii="Arial" w:hAnsi="Arial" w:cs="Arial"/>
          <w:color w:val="000000" w:themeColor="text1"/>
          <w:szCs w:val="24"/>
        </w:rPr>
        <w:t xml:space="preserve"> portfolio of hotels with a significant presence in the </w:t>
      </w:r>
      <w:r w:rsidR="00CA7E44" w:rsidRPr="00E66589">
        <w:rPr>
          <w:rFonts w:ascii="Arial" w:hAnsi="Arial" w:cs="Arial"/>
          <w:color w:val="000000" w:themeColor="text1"/>
          <w:szCs w:val="24"/>
        </w:rPr>
        <w:t>UK</w:t>
      </w:r>
      <w:r w:rsidRPr="00E66589">
        <w:rPr>
          <w:rFonts w:ascii="Arial" w:hAnsi="Arial" w:cs="Arial"/>
          <w:color w:val="000000" w:themeColor="text1"/>
          <w:szCs w:val="24"/>
        </w:rPr>
        <w:t xml:space="preserve">. </w:t>
      </w:r>
      <w:r w:rsidR="003B67DA" w:rsidRPr="00E66589">
        <w:rPr>
          <w:rFonts w:ascii="Arial" w:hAnsi="Arial" w:cs="Arial"/>
          <w:color w:val="000000" w:themeColor="text1"/>
          <w:szCs w:val="24"/>
        </w:rPr>
        <w:t>A</w:t>
      </w:r>
      <w:r w:rsidRPr="00E66589">
        <w:rPr>
          <w:rFonts w:ascii="Arial" w:hAnsi="Arial" w:cs="Arial"/>
          <w:color w:val="000000" w:themeColor="text1"/>
          <w:szCs w:val="24"/>
        </w:rPr>
        <w:t>ll 162 of the UK’s Hilton Hotels are there to provide guests with a pleasant experience. To ensure their continued success, the organisation invests in their employees</w:t>
      </w:r>
      <w:r w:rsidR="003B67DA" w:rsidRPr="00E66589">
        <w:rPr>
          <w:rFonts w:ascii="Arial" w:hAnsi="Arial" w:cs="Arial"/>
          <w:color w:val="000000" w:themeColor="text1"/>
          <w:szCs w:val="24"/>
        </w:rPr>
        <w:t xml:space="preserve"> (</w:t>
      </w:r>
      <w:proofErr w:type="spellStart"/>
      <w:r w:rsidR="003B67DA" w:rsidRPr="00E66589">
        <w:rPr>
          <w:rFonts w:ascii="Arial" w:hAnsi="Arial" w:cs="Arial"/>
          <w:color w:val="000000" w:themeColor="text1"/>
          <w:szCs w:val="24"/>
        </w:rPr>
        <w:t>Bengougam</w:t>
      </w:r>
      <w:proofErr w:type="spellEnd"/>
      <w:r w:rsidR="003B67DA" w:rsidRPr="00E66589">
        <w:rPr>
          <w:rFonts w:ascii="Arial" w:hAnsi="Arial" w:cs="Arial"/>
          <w:color w:val="000000" w:themeColor="text1"/>
          <w:szCs w:val="24"/>
        </w:rPr>
        <w:t>, 2019)</w:t>
      </w:r>
      <w:r w:rsidRPr="00E66589">
        <w:rPr>
          <w:rFonts w:ascii="Arial" w:hAnsi="Arial" w:cs="Arial"/>
          <w:color w:val="000000" w:themeColor="text1"/>
          <w:szCs w:val="24"/>
        </w:rPr>
        <w:t xml:space="preserve">. People are recruited from all over the United Kingdom for employment at the firm. Additionally, the hotel boasts that its instruction on social concerns aids its members in </w:t>
      </w:r>
      <w:r w:rsidRPr="00E66589">
        <w:rPr>
          <w:rFonts w:ascii="Arial" w:hAnsi="Arial" w:cs="Arial"/>
          <w:color w:val="000000" w:themeColor="text1"/>
          <w:szCs w:val="24"/>
        </w:rPr>
        <w:lastRenderedPageBreak/>
        <w:t>accomplishing their Vision 2030 objectives. Launched in 2017, Thrive at Hilton is an initiative designed to help them grow and thr</w:t>
      </w:r>
      <w:r w:rsidR="00CA7E44" w:rsidRPr="00E66589">
        <w:rPr>
          <w:rFonts w:ascii="Arial" w:hAnsi="Arial" w:cs="Arial"/>
          <w:color w:val="000000" w:themeColor="text1"/>
          <w:szCs w:val="24"/>
        </w:rPr>
        <w:t xml:space="preserve">ive in health, mind, and spirit. </w:t>
      </w:r>
      <w:r w:rsidRPr="00E66589">
        <w:rPr>
          <w:rFonts w:ascii="Arial" w:hAnsi="Arial" w:cs="Arial"/>
          <w:color w:val="000000" w:themeColor="text1"/>
          <w:szCs w:val="24"/>
        </w:rPr>
        <w:t>Hilton believes that its employees are its most valuable asset, thus it provides them with training and opportunities for personal and professional development. As an illustration, Hilton employees can enrol in a six-part course offered by Hilton University at no cost to themselves. Consequently, the hotel chain is the gold standard for how to treat employees such that they feel appreciated and valued.</w:t>
      </w:r>
    </w:p>
    <w:p w14:paraId="7B96F77B" w14:textId="2B81B771"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The Employee Life Cycle, which demonstrates how employee engagement changes over time, much like the seasons, is necessary for Hilton Hotels to comprehend the employee engagement cycle. Human resources managers can help their staff members develop to their greatest potential by following this cycle. However, understanding the full cycle aids businesses in assessing the potential for employee turnover and developing strategies to address it (</w:t>
      </w:r>
      <w:proofErr w:type="spellStart"/>
      <w:r w:rsidRPr="00E66589">
        <w:rPr>
          <w:rFonts w:ascii="Arial" w:hAnsi="Arial" w:cs="Arial"/>
          <w:color w:val="000000" w:themeColor="text1"/>
          <w:szCs w:val="24"/>
        </w:rPr>
        <w:t>Personio</w:t>
      </w:r>
      <w:proofErr w:type="spellEnd"/>
      <w:r w:rsidRPr="00E66589">
        <w:rPr>
          <w:rFonts w:ascii="Arial" w:hAnsi="Arial" w:cs="Arial"/>
          <w:color w:val="000000" w:themeColor="text1"/>
          <w:szCs w:val="24"/>
        </w:rPr>
        <w:t>, 2022). The employee life cycle model illustrates the various phases that employees experience whilst working for a business. At every stage of their lives, Hilton wants the best for its employees.</w:t>
      </w:r>
    </w:p>
    <w:p w14:paraId="69A12E74" w14:textId="615F4FD6"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The very first step in attracting employees’ attention when they encounter their company’s brand is to pique their curiosity (Nguyen</w:t>
      </w:r>
      <w:r w:rsidR="003B67DA" w:rsidRPr="00E66589">
        <w:rPr>
          <w:rFonts w:ascii="Arial" w:hAnsi="Arial" w:cs="Arial"/>
          <w:color w:val="000000" w:themeColor="text1"/>
          <w:szCs w:val="24"/>
        </w:rPr>
        <w:t xml:space="preserve"> et al. </w:t>
      </w:r>
      <w:r w:rsidRPr="00E66589">
        <w:rPr>
          <w:rFonts w:ascii="Arial" w:hAnsi="Arial" w:cs="Arial"/>
          <w:color w:val="000000" w:themeColor="text1"/>
          <w:szCs w:val="24"/>
        </w:rPr>
        <w:t>2021). Since Hilton is the most well-known hotel chain in the world, it’s no surprise that the most qualified candidates always flock to its open positions. The hotel’s expansion strategy will ensure that it generates a profit. Recruitment is the next phase of the cycle and is what takes a potential employee from being an applicant to an actual employee. The impression made on a potential employee during this procedure is lasting. Hiring and employment decisions at Hilton Hotels are made by HR. Interviews, many types of tests, and an overall look at the individual all go into this procedure (Vincent, 2009). Group exercises, role plays, and simulated room service shifts are all part of the hotel’s selection procedure. The hotel’s management takes great care in making personnel decisions, as new employees must mesh well with the hotel’s established norms and ethos.</w:t>
      </w:r>
    </w:p>
    <w:p w14:paraId="6780133F" w14:textId="6ACFAA2F" w:rsidR="00C90829"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The third phase of the cycle is on</w:t>
      </w:r>
      <w:r w:rsidR="00CA7E44" w:rsidRPr="00E66589">
        <w:rPr>
          <w:rFonts w:ascii="Arial" w:hAnsi="Arial" w:cs="Arial"/>
          <w:color w:val="000000" w:themeColor="text1"/>
          <w:szCs w:val="24"/>
        </w:rPr>
        <w:t>-</w:t>
      </w:r>
      <w:r w:rsidRPr="00E66589">
        <w:rPr>
          <w:rFonts w:ascii="Arial" w:hAnsi="Arial" w:cs="Arial"/>
          <w:color w:val="000000" w:themeColor="text1"/>
          <w:szCs w:val="24"/>
        </w:rPr>
        <w:t xml:space="preserve">boarding (Sekhar, 2021). This phase focuses on assisting new hires in assimilating into the established culture of the company. If done right, this is the perfect opportunity to make new workers feel like they belong at the firm and will go a long way towards encouraging them to make a positive impact. The Hilton </w:t>
      </w:r>
      <w:r w:rsidRPr="00E66589">
        <w:rPr>
          <w:rFonts w:ascii="Arial" w:hAnsi="Arial" w:cs="Arial"/>
          <w:color w:val="000000" w:themeColor="text1"/>
          <w:szCs w:val="24"/>
        </w:rPr>
        <w:lastRenderedPageBreak/>
        <w:t>hotel operates according to a system in which various divisions are responsible for coordinating the many aspects of guest service. Employees receive orientation and training tailored to their specific department’s requirements during the hiring process. These are just a few of the ways in which the hotel strives to ensure its guests’ satisfaction</w:t>
      </w:r>
      <w:r w:rsidR="003B67DA" w:rsidRPr="00E66589">
        <w:rPr>
          <w:rFonts w:ascii="Arial" w:hAnsi="Arial" w:cs="Arial"/>
          <w:color w:val="000000" w:themeColor="text1"/>
          <w:szCs w:val="24"/>
        </w:rPr>
        <w:t xml:space="preserve"> (George et al. 2020)</w:t>
      </w:r>
      <w:r w:rsidRPr="00E66589">
        <w:rPr>
          <w:rFonts w:ascii="Arial" w:hAnsi="Arial" w:cs="Arial"/>
          <w:color w:val="000000" w:themeColor="text1"/>
          <w:szCs w:val="24"/>
        </w:rPr>
        <w:t>.</w:t>
      </w:r>
    </w:p>
    <w:p w14:paraId="424762DC" w14:textId="5ACD4210" w:rsidR="00912B1C" w:rsidRPr="00E66589" w:rsidRDefault="00C90829" w:rsidP="00C90829">
      <w:pPr>
        <w:rPr>
          <w:rFonts w:ascii="Arial" w:hAnsi="Arial" w:cs="Arial"/>
          <w:color w:val="000000" w:themeColor="text1"/>
          <w:szCs w:val="24"/>
        </w:rPr>
      </w:pPr>
      <w:r w:rsidRPr="00E66589">
        <w:rPr>
          <w:rFonts w:ascii="Arial" w:hAnsi="Arial" w:cs="Arial"/>
          <w:color w:val="000000" w:themeColor="text1"/>
          <w:szCs w:val="24"/>
        </w:rPr>
        <w:t xml:space="preserve">The fourth step is known as “retention,” and its purpose is to ensure that the best employees are kept on board (Adeyemi, 2018). Because after a whilst of working for the same company, the bosses may begin to take them for granted, it is a crucial stage in an employee’s life cycle (Chan, </w:t>
      </w:r>
      <w:r w:rsidR="003B67DA" w:rsidRPr="00E66589">
        <w:rPr>
          <w:rFonts w:ascii="Arial" w:hAnsi="Arial" w:cs="Arial"/>
          <w:color w:val="000000" w:themeColor="text1"/>
          <w:szCs w:val="24"/>
        </w:rPr>
        <w:t xml:space="preserve">et al. </w:t>
      </w:r>
      <w:r w:rsidRPr="00E66589">
        <w:rPr>
          <w:rFonts w:ascii="Arial" w:hAnsi="Arial" w:cs="Arial"/>
          <w:color w:val="000000" w:themeColor="text1"/>
          <w:szCs w:val="24"/>
        </w:rPr>
        <w:t xml:space="preserve">2021). Reward and recognition are essential topics that need to be discussed as soon as possible so that employees are aware of the steps they need to take to achieve their objectives (Osborne </w:t>
      </w:r>
      <w:r w:rsidR="003B67DA" w:rsidRPr="00E66589">
        <w:rPr>
          <w:rFonts w:ascii="Arial" w:hAnsi="Arial" w:cs="Arial"/>
          <w:color w:val="000000" w:themeColor="text1"/>
          <w:szCs w:val="24"/>
        </w:rPr>
        <w:t>and</w:t>
      </w:r>
      <w:r w:rsidRPr="00E66589">
        <w:rPr>
          <w:rFonts w:ascii="Arial" w:hAnsi="Arial" w:cs="Arial"/>
          <w:color w:val="000000" w:themeColor="text1"/>
          <w:szCs w:val="24"/>
        </w:rPr>
        <w:t xml:space="preserve"> Hammoud, 2017). There are Hilton hotels all throughout the world, and each one strives to be the greatest. The best employees are acknowledged through the company’s internal awards and recognition programmes. This is a fantastic method of retaining both employees and the best of them.</w:t>
      </w:r>
      <w:r w:rsidR="003B67DA" w:rsidRPr="00E66589">
        <w:rPr>
          <w:rFonts w:ascii="Arial" w:hAnsi="Arial" w:cs="Arial"/>
          <w:color w:val="000000" w:themeColor="text1"/>
          <w:szCs w:val="24"/>
        </w:rPr>
        <w:t xml:space="preserve"> </w:t>
      </w:r>
      <w:r w:rsidRPr="00E66589">
        <w:rPr>
          <w:rFonts w:ascii="Arial" w:hAnsi="Arial" w:cs="Arial"/>
          <w:color w:val="000000" w:themeColor="text1"/>
          <w:szCs w:val="24"/>
        </w:rPr>
        <w:t>The next phase of an employee’s career is career development, which typically entails assisting employees in enhancing their current positions through a variety of projects (Han</w:t>
      </w:r>
      <w:r w:rsidR="003B67DA" w:rsidRPr="00E66589">
        <w:rPr>
          <w:rFonts w:ascii="Arial" w:hAnsi="Arial" w:cs="Arial"/>
          <w:color w:val="000000" w:themeColor="text1"/>
          <w:szCs w:val="24"/>
        </w:rPr>
        <w:t xml:space="preserve"> </w:t>
      </w:r>
      <w:r w:rsidR="00CA7E44" w:rsidRPr="00E66589">
        <w:rPr>
          <w:rFonts w:ascii="Arial" w:hAnsi="Arial" w:cs="Arial"/>
          <w:color w:val="000000" w:themeColor="text1"/>
          <w:szCs w:val="24"/>
        </w:rPr>
        <w:t>et al.</w:t>
      </w:r>
      <w:r w:rsidRPr="00E66589">
        <w:rPr>
          <w:rFonts w:ascii="Arial" w:hAnsi="Arial" w:cs="Arial"/>
          <w:color w:val="000000" w:themeColor="text1"/>
          <w:szCs w:val="24"/>
        </w:rPr>
        <w:t xml:space="preserve"> 2019). A corporation can benefit in numerous ways from strategic development to help its employees reach their full potential. The cycle of employment stops here, as it does with all good things (</w:t>
      </w:r>
      <w:proofErr w:type="spellStart"/>
      <w:r w:rsidRPr="00E66589">
        <w:rPr>
          <w:rFonts w:ascii="Arial" w:hAnsi="Arial" w:cs="Arial"/>
          <w:color w:val="000000" w:themeColor="text1"/>
          <w:szCs w:val="24"/>
        </w:rPr>
        <w:t>Personio</w:t>
      </w:r>
      <w:proofErr w:type="spellEnd"/>
      <w:r w:rsidRPr="00E66589">
        <w:rPr>
          <w:rFonts w:ascii="Arial" w:hAnsi="Arial" w:cs="Arial"/>
          <w:color w:val="000000" w:themeColor="text1"/>
          <w:szCs w:val="24"/>
        </w:rPr>
        <w:t>, 2022).</w:t>
      </w:r>
    </w:p>
    <w:p w14:paraId="6D54BC7C" w14:textId="77777777" w:rsidR="00912B1C" w:rsidRPr="00E66589" w:rsidRDefault="00912B1C" w:rsidP="00912B1C">
      <w:pPr>
        <w:rPr>
          <w:rFonts w:ascii="Arial" w:hAnsi="Arial" w:cs="Arial"/>
          <w:color w:val="000000" w:themeColor="text1"/>
          <w:szCs w:val="24"/>
          <w:lang w:val="en-US"/>
        </w:rPr>
      </w:pPr>
    </w:p>
    <w:p w14:paraId="35D216BD" w14:textId="4DCE9193" w:rsidR="009173A2" w:rsidRPr="00E66589" w:rsidRDefault="009173A2" w:rsidP="00215A2B">
      <w:pPr>
        <w:pStyle w:val="Heading1"/>
        <w:spacing w:before="0"/>
        <w:contextualSpacing/>
        <w:rPr>
          <w:rFonts w:ascii="Arial" w:eastAsia="Times New Roman" w:hAnsi="Arial" w:cs="Arial"/>
          <w:i/>
          <w:color w:val="000000" w:themeColor="text1"/>
          <w:szCs w:val="24"/>
          <w:lang w:val="en-US"/>
        </w:rPr>
      </w:pPr>
      <w:bookmarkStart w:id="4" w:name="_Toc126618699"/>
      <w:r w:rsidRPr="00E66589">
        <w:rPr>
          <w:rFonts w:ascii="Arial" w:eastAsia="Times New Roman" w:hAnsi="Arial" w:cs="Arial"/>
          <w:color w:val="000000" w:themeColor="text1"/>
          <w:szCs w:val="24"/>
          <w:lang w:val="en-US"/>
        </w:rPr>
        <w:t>Conclusion</w:t>
      </w:r>
      <w:bookmarkEnd w:id="3"/>
      <w:bookmarkEnd w:id="4"/>
      <w:r w:rsidR="00215A2B" w:rsidRPr="00E66589">
        <w:rPr>
          <w:rFonts w:ascii="Arial" w:eastAsia="Times New Roman" w:hAnsi="Arial" w:cs="Arial"/>
          <w:color w:val="000000" w:themeColor="text1"/>
          <w:szCs w:val="24"/>
          <w:lang w:val="en-US"/>
        </w:rPr>
        <w:t xml:space="preserve"> </w:t>
      </w:r>
    </w:p>
    <w:p w14:paraId="5E8FBAAC" w14:textId="679BEB49" w:rsidR="002F0CDE" w:rsidRPr="00E66589" w:rsidRDefault="00C90829" w:rsidP="00215A2B">
      <w:pPr>
        <w:contextualSpacing/>
        <w:rPr>
          <w:rFonts w:ascii="Arial" w:hAnsi="Arial" w:cs="Arial"/>
          <w:i/>
          <w:color w:val="000000" w:themeColor="text1"/>
          <w:szCs w:val="24"/>
        </w:rPr>
      </w:pPr>
      <w:r w:rsidRPr="00E66589">
        <w:rPr>
          <w:rFonts w:ascii="Arial" w:hAnsi="Arial" w:cs="Arial"/>
          <w:color w:val="000000" w:themeColor="text1"/>
          <w:szCs w:val="24"/>
        </w:rPr>
        <w:t xml:space="preserve">It is concluded that, employee engagement </w:t>
      </w:r>
      <w:r w:rsidR="00DA1015" w:rsidRPr="00E66589">
        <w:rPr>
          <w:rFonts w:ascii="Arial" w:hAnsi="Arial" w:cs="Arial"/>
          <w:color w:val="000000" w:themeColor="text1"/>
          <w:szCs w:val="24"/>
        </w:rPr>
        <w:t xml:space="preserve">model </w:t>
      </w:r>
      <w:r w:rsidRPr="00E66589">
        <w:rPr>
          <w:rFonts w:ascii="Arial" w:hAnsi="Arial" w:cs="Arial"/>
          <w:color w:val="000000" w:themeColor="text1"/>
          <w:szCs w:val="24"/>
        </w:rPr>
        <w:t xml:space="preserve">can assist an organisation in determining the factors that lead to satisfied and productive employees in the workplace. Because it focuses on what managers can do to keep employees interested, the Employment Life Cycle Model is a suitable option. Hilton Hotels employs this technique to engage their employees in creating a long-lasting culture. The pyramidal structure of this method emphasises the value of employee participation. As for the second row, it talks about how important it is for employees to work together as a team. The most important things you do to motivate employees to work together are to foster relationships and reward good performance. Methods for boosting efficiency and combining different components into a cohesive whole are listed in the third column. The primary focus of the </w:t>
      </w:r>
      <w:r w:rsidRPr="00E66589">
        <w:rPr>
          <w:rFonts w:ascii="Arial" w:hAnsi="Arial" w:cs="Arial"/>
          <w:color w:val="000000" w:themeColor="text1"/>
          <w:szCs w:val="24"/>
        </w:rPr>
        <w:lastRenderedPageBreak/>
        <w:t>business would be on monitoring and enhancing performance. Getting things done is the most important thing. Employees that are invested in their work are more likely to be successful financially and productively, so any endeavour to increase employee engagement should pay dividends. A corporation needs to determine its strategic engagement goals before embarking on the journey of employee engagement to ensure that its desired outcomes are met.</w:t>
      </w:r>
      <w:r w:rsidR="00912B1C" w:rsidRPr="00E66589">
        <w:rPr>
          <w:rFonts w:ascii="Arial" w:hAnsi="Arial" w:cs="Arial"/>
          <w:color w:val="000000" w:themeColor="text1"/>
          <w:szCs w:val="24"/>
        </w:rPr>
        <w:t xml:space="preserve"> </w:t>
      </w:r>
      <w:r w:rsidR="0038353C" w:rsidRPr="00E66589">
        <w:rPr>
          <w:rFonts w:ascii="Arial" w:hAnsi="Arial" w:cs="Arial"/>
          <w:i/>
          <w:color w:val="000000" w:themeColor="text1"/>
          <w:szCs w:val="24"/>
        </w:rPr>
        <w:br w:type="page"/>
      </w:r>
    </w:p>
    <w:p w14:paraId="25F53111" w14:textId="63B69F82" w:rsidR="00C32354" w:rsidRPr="00E66589" w:rsidRDefault="00C32354" w:rsidP="007B7543">
      <w:pPr>
        <w:pStyle w:val="Heading1"/>
        <w:spacing w:before="0"/>
        <w:contextualSpacing/>
        <w:jc w:val="center"/>
        <w:rPr>
          <w:rFonts w:ascii="Arial" w:hAnsi="Arial" w:cs="Arial"/>
          <w:color w:val="000000" w:themeColor="text1"/>
          <w:szCs w:val="24"/>
        </w:rPr>
      </w:pPr>
      <w:bookmarkStart w:id="5" w:name="_Toc123308566"/>
      <w:bookmarkStart w:id="6" w:name="_Toc126618700"/>
      <w:proofErr w:type="gramStart"/>
      <w:r w:rsidRPr="00E66589">
        <w:rPr>
          <w:rFonts w:ascii="Arial" w:hAnsi="Arial" w:cs="Arial"/>
          <w:color w:val="000000" w:themeColor="text1"/>
          <w:szCs w:val="24"/>
        </w:rPr>
        <w:lastRenderedPageBreak/>
        <w:t>References</w:t>
      </w:r>
      <w:bookmarkEnd w:id="5"/>
      <w:bookmarkEnd w:id="6"/>
      <w:r w:rsidR="001817B8">
        <w:rPr>
          <w:rFonts w:ascii="Arial" w:hAnsi="Arial" w:cs="Arial"/>
          <w:color w:val="000000" w:themeColor="text1"/>
          <w:szCs w:val="24"/>
        </w:rPr>
        <w:t xml:space="preserve"> :</w:t>
      </w:r>
      <w:proofErr w:type="gramEnd"/>
      <w:r w:rsidR="001817B8">
        <w:rPr>
          <w:rFonts w:ascii="Arial" w:hAnsi="Arial" w:cs="Arial"/>
          <w:color w:val="000000" w:themeColor="text1"/>
          <w:szCs w:val="24"/>
        </w:rPr>
        <w:t xml:space="preserve"> </w:t>
      </w:r>
    </w:p>
    <w:p w14:paraId="38C9EF69" w14:textId="0EB464C0"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Adeyemi, A., 2018. Business managers use strategies to engage chemical industry employees (Doctoral dissertation, Walden University). </w:t>
      </w:r>
    </w:p>
    <w:p w14:paraId="35F26F81" w14:textId="48A73A0E"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Anthony</w:t>
      </w:r>
      <w:r w:rsidRPr="00E66589">
        <w:rPr>
          <w:rFonts w:ascii="Cambria Math" w:hAnsi="Cambria Math" w:cs="Cambria Math"/>
          <w:color w:val="000000" w:themeColor="text1"/>
          <w:szCs w:val="24"/>
        </w:rPr>
        <w:t>‐</w:t>
      </w:r>
      <w:r w:rsidRPr="00E66589">
        <w:rPr>
          <w:rFonts w:ascii="Arial" w:hAnsi="Arial" w:cs="Arial"/>
          <w:color w:val="000000" w:themeColor="text1"/>
          <w:szCs w:val="24"/>
        </w:rPr>
        <w:t xml:space="preserve">McMann, P. E., Ellinger, A. D., </w:t>
      </w:r>
      <w:proofErr w:type="spellStart"/>
      <w:r w:rsidRPr="00E66589">
        <w:rPr>
          <w:rFonts w:ascii="Arial" w:hAnsi="Arial" w:cs="Arial"/>
          <w:color w:val="000000" w:themeColor="text1"/>
          <w:szCs w:val="24"/>
        </w:rPr>
        <w:t>Astakhova</w:t>
      </w:r>
      <w:proofErr w:type="spellEnd"/>
      <w:r w:rsidRPr="00E66589">
        <w:rPr>
          <w:rFonts w:ascii="Arial" w:hAnsi="Arial" w:cs="Arial"/>
          <w:color w:val="000000" w:themeColor="text1"/>
          <w:szCs w:val="24"/>
        </w:rPr>
        <w:t xml:space="preserve">, M., and Halbesleben, J. R., 2017. Exploring different operationalisations of employee engagement and their relationships with workplace stress and burnout. Human Resource Development Quarterly, 28(2), 163-195. </w:t>
      </w:r>
    </w:p>
    <w:p w14:paraId="30AC71F8" w14:textId="396A22E5" w:rsidR="003B67DA" w:rsidRPr="00E66589" w:rsidRDefault="003B67DA" w:rsidP="003B67DA">
      <w:pPr>
        <w:ind w:left="720" w:hanging="720"/>
        <w:contextualSpacing/>
        <w:rPr>
          <w:rFonts w:ascii="Arial" w:hAnsi="Arial" w:cs="Arial"/>
          <w:color w:val="000000" w:themeColor="text1"/>
          <w:szCs w:val="24"/>
        </w:rPr>
      </w:pPr>
      <w:proofErr w:type="spellStart"/>
      <w:r w:rsidRPr="00E66589">
        <w:rPr>
          <w:rFonts w:ascii="Arial" w:hAnsi="Arial" w:cs="Arial"/>
          <w:color w:val="000000" w:themeColor="text1"/>
          <w:szCs w:val="24"/>
        </w:rPr>
        <w:t>Bengougam</w:t>
      </w:r>
      <w:proofErr w:type="spellEnd"/>
      <w:r w:rsidRPr="00E66589">
        <w:rPr>
          <w:rFonts w:ascii="Arial" w:hAnsi="Arial" w:cs="Arial"/>
          <w:color w:val="000000" w:themeColor="text1"/>
          <w:szCs w:val="24"/>
        </w:rPr>
        <w:t xml:space="preserve">, B., 2019. Creating a culture fit to last at Hilton. HR Magazine. Accessed on 13th </w:t>
      </w:r>
      <w:proofErr w:type="gramStart"/>
      <w:r w:rsidRPr="00E66589">
        <w:rPr>
          <w:rFonts w:ascii="Arial" w:hAnsi="Arial" w:cs="Arial"/>
          <w:color w:val="000000" w:themeColor="text1"/>
          <w:szCs w:val="24"/>
        </w:rPr>
        <w:t>October,</w:t>
      </w:r>
      <w:proofErr w:type="gramEnd"/>
      <w:r w:rsidRPr="00E66589">
        <w:rPr>
          <w:rFonts w:ascii="Arial" w:hAnsi="Arial" w:cs="Arial"/>
          <w:color w:val="000000" w:themeColor="text1"/>
          <w:szCs w:val="24"/>
        </w:rPr>
        <w:t xml:space="preserve"> 2022 from https://www.hrmagazine.co.uk/content/features/creating-a-culture-fit-to-last-at- Hilton.</w:t>
      </w:r>
    </w:p>
    <w:p w14:paraId="629D0338" w14:textId="58225A3D"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Bhardwaj, B., and Kalia, N., 2021. Contextual and task performance: role of employee engagement and organisational culture in the hospitality industry. </w:t>
      </w:r>
      <w:proofErr w:type="spellStart"/>
      <w:r w:rsidRPr="00E66589">
        <w:rPr>
          <w:rFonts w:ascii="Arial" w:hAnsi="Arial" w:cs="Arial"/>
          <w:color w:val="000000" w:themeColor="text1"/>
          <w:szCs w:val="24"/>
        </w:rPr>
        <w:t>VilakshanXIMB</w:t>
      </w:r>
      <w:proofErr w:type="spellEnd"/>
      <w:r w:rsidRPr="00E66589">
        <w:rPr>
          <w:rFonts w:ascii="Arial" w:hAnsi="Arial" w:cs="Arial"/>
          <w:color w:val="000000" w:themeColor="text1"/>
          <w:szCs w:val="24"/>
        </w:rPr>
        <w:t xml:space="preserve"> Journal of Management. </w:t>
      </w:r>
    </w:p>
    <w:p w14:paraId="3C916A2A" w14:textId="70E9C206"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Book, L., Gatling, A., and Kim, J., 2019. The effects of leadership satisfaction on employee engagement, loyalty, and retention in the hospitality industry. Journal of Human Resources in Hospitality and Tourism, 18(3), 368– 393. </w:t>
      </w:r>
    </w:p>
    <w:p w14:paraId="31A29989" w14:textId="19C9D84F"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Chan, A. J., </w:t>
      </w:r>
      <w:proofErr w:type="spellStart"/>
      <w:r w:rsidRPr="00E66589">
        <w:rPr>
          <w:rFonts w:ascii="Arial" w:hAnsi="Arial" w:cs="Arial"/>
          <w:color w:val="000000" w:themeColor="text1"/>
          <w:szCs w:val="24"/>
        </w:rPr>
        <w:t>Hooi</w:t>
      </w:r>
      <w:proofErr w:type="spellEnd"/>
      <w:r w:rsidRPr="00E66589">
        <w:rPr>
          <w:rFonts w:ascii="Arial" w:hAnsi="Arial" w:cs="Arial"/>
          <w:color w:val="000000" w:themeColor="text1"/>
          <w:szCs w:val="24"/>
        </w:rPr>
        <w:t xml:space="preserve">, L. W., and </w:t>
      </w:r>
      <w:proofErr w:type="spellStart"/>
      <w:r w:rsidRPr="00E66589">
        <w:rPr>
          <w:rFonts w:ascii="Arial" w:hAnsi="Arial" w:cs="Arial"/>
          <w:color w:val="000000" w:themeColor="text1"/>
          <w:szCs w:val="24"/>
        </w:rPr>
        <w:t>Ngui</w:t>
      </w:r>
      <w:proofErr w:type="spellEnd"/>
      <w:r w:rsidRPr="00E66589">
        <w:rPr>
          <w:rFonts w:ascii="Arial" w:hAnsi="Arial" w:cs="Arial"/>
          <w:color w:val="000000" w:themeColor="text1"/>
          <w:szCs w:val="24"/>
        </w:rPr>
        <w:t xml:space="preserve">, K. S., 2021. Do digital literacies matter in employee engagement in the digitalized workplace? Journal of Asia Business Studies. </w:t>
      </w:r>
    </w:p>
    <w:p w14:paraId="45E8F329" w14:textId="28092B16"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Ewing, M., Men, L. R., and O’Neil, J., 2019. Using social media to engage employees: Insights from internal communication managers. International Journal of Strategic Communication, 13(2), 110–132. </w:t>
      </w:r>
    </w:p>
    <w:p w14:paraId="14C5564C" w14:textId="59DFF6D9"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George, C., </w:t>
      </w:r>
      <w:proofErr w:type="spellStart"/>
      <w:r w:rsidRPr="00E66589">
        <w:rPr>
          <w:rFonts w:ascii="Arial" w:hAnsi="Arial" w:cs="Arial"/>
          <w:color w:val="000000" w:themeColor="text1"/>
          <w:szCs w:val="24"/>
        </w:rPr>
        <w:t>Omuudu</w:t>
      </w:r>
      <w:proofErr w:type="spellEnd"/>
      <w:r w:rsidRPr="00E66589">
        <w:rPr>
          <w:rFonts w:ascii="Arial" w:hAnsi="Arial" w:cs="Arial"/>
          <w:color w:val="000000" w:themeColor="text1"/>
          <w:szCs w:val="24"/>
        </w:rPr>
        <w:t xml:space="preserve">, O. S., and Francis, K., 2020. Employee engagement: a mediator between organisational inducements and industry loyalty amongst workers in the hospitality industry in Uganda. Journal of Human Resources in Hospitality and Tourism, 19(2), 220-251. </w:t>
      </w:r>
    </w:p>
    <w:p w14:paraId="718C5263" w14:textId="59BE9CF8"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Half, R., 2022. Motivating your team: 25 ways to increase employee engagement. Robert Half® Talent Solutions. Accessed on 13th </w:t>
      </w:r>
      <w:proofErr w:type="gramStart"/>
      <w:r w:rsidRPr="00E66589">
        <w:rPr>
          <w:rFonts w:ascii="Arial" w:hAnsi="Arial" w:cs="Arial"/>
          <w:color w:val="000000" w:themeColor="text1"/>
          <w:szCs w:val="24"/>
        </w:rPr>
        <w:t>October,</w:t>
      </w:r>
      <w:proofErr w:type="gramEnd"/>
      <w:r w:rsidRPr="00E66589">
        <w:rPr>
          <w:rFonts w:ascii="Arial" w:hAnsi="Arial" w:cs="Arial"/>
          <w:color w:val="000000" w:themeColor="text1"/>
          <w:szCs w:val="24"/>
        </w:rPr>
        <w:t xml:space="preserve"> 2022 from https://www.roberthalf.co.uk/advice/people- management/motivating-your- team-25-ways-increase-employee- engagement.</w:t>
      </w:r>
    </w:p>
    <w:p w14:paraId="2F418352" w14:textId="492CCF41"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lastRenderedPageBreak/>
        <w:t>Han, Z., Wang, Q., and</w:t>
      </w:r>
      <w:r w:rsidR="00CA7E44" w:rsidRPr="00E66589">
        <w:rPr>
          <w:rFonts w:ascii="Arial" w:hAnsi="Arial" w:cs="Arial"/>
          <w:color w:val="000000" w:themeColor="text1"/>
          <w:szCs w:val="24"/>
        </w:rPr>
        <w:t xml:space="preserve"> Yan, X., </w:t>
      </w:r>
      <w:r w:rsidRPr="00E66589">
        <w:rPr>
          <w:rFonts w:ascii="Arial" w:hAnsi="Arial" w:cs="Arial"/>
          <w:color w:val="000000" w:themeColor="text1"/>
          <w:szCs w:val="24"/>
        </w:rPr>
        <w:t xml:space="preserve">2019. How responsible leadership motivates employees to engage in organisational citizenship </w:t>
      </w:r>
      <w:proofErr w:type="spellStart"/>
      <w:r w:rsidRPr="00E66589">
        <w:rPr>
          <w:rFonts w:ascii="Arial" w:hAnsi="Arial" w:cs="Arial"/>
          <w:color w:val="000000" w:themeColor="text1"/>
          <w:szCs w:val="24"/>
        </w:rPr>
        <w:t>behavior</w:t>
      </w:r>
      <w:proofErr w:type="spellEnd"/>
      <w:r w:rsidRPr="00E66589">
        <w:rPr>
          <w:rFonts w:ascii="Arial" w:hAnsi="Arial" w:cs="Arial"/>
          <w:color w:val="000000" w:themeColor="text1"/>
          <w:szCs w:val="24"/>
        </w:rPr>
        <w:t xml:space="preserve"> for the environment: A double-mediation model: Sustainability, 11(3), 605. </w:t>
      </w:r>
    </w:p>
    <w:p w14:paraId="7F57B53B" w14:textId="4DF2D04E" w:rsidR="003B67DA" w:rsidRPr="00E66589" w:rsidRDefault="003B67DA" w:rsidP="003B67DA">
      <w:pPr>
        <w:ind w:left="720" w:hanging="720"/>
        <w:contextualSpacing/>
        <w:rPr>
          <w:rFonts w:ascii="Arial" w:hAnsi="Arial" w:cs="Arial"/>
          <w:color w:val="000000" w:themeColor="text1"/>
          <w:szCs w:val="24"/>
        </w:rPr>
      </w:pPr>
      <w:proofErr w:type="spellStart"/>
      <w:r w:rsidRPr="00E66589">
        <w:rPr>
          <w:rFonts w:ascii="Arial" w:hAnsi="Arial" w:cs="Arial"/>
          <w:color w:val="000000" w:themeColor="text1"/>
          <w:szCs w:val="24"/>
        </w:rPr>
        <w:t>Hinzmann</w:t>
      </w:r>
      <w:proofErr w:type="spellEnd"/>
      <w:r w:rsidRPr="00E66589">
        <w:rPr>
          <w:rFonts w:ascii="Arial" w:hAnsi="Arial" w:cs="Arial"/>
          <w:color w:val="000000" w:themeColor="text1"/>
          <w:szCs w:val="24"/>
        </w:rPr>
        <w:t xml:space="preserve">, R. A., </w:t>
      </w:r>
      <w:proofErr w:type="spellStart"/>
      <w:r w:rsidRPr="00E66589">
        <w:rPr>
          <w:rFonts w:ascii="Arial" w:hAnsi="Arial" w:cs="Arial"/>
          <w:color w:val="000000" w:themeColor="text1"/>
          <w:szCs w:val="24"/>
        </w:rPr>
        <w:t>Rašticová</w:t>
      </w:r>
      <w:proofErr w:type="spellEnd"/>
      <w:r w:rsidRPr="00E66589">
        <w:rPr>
          <w:rFonts w:ascii="Arial" w:hAnsi="Arial" w:cs="Arial"/>
          <w:color w:val="000000" w:themeColor="text1"/>
          <w:szCs w:val="24"/>
        </w:rPr>
        <w:t>, M., and</w:t>
      </w:r>
      <w:r w:rsidR="00CA7E44" w:rsidRPr="00E66589">
        <w:rPr>
          <w:rFonts w:ascii="Arial" w:hAnsi="Arial" w:cs="Arial"/>
          <w:color w:val="000000" w:themeColor="text1"/>
          <w:szCs w:val="24"/>
        </w:rPr>
        <w:t xml:space="preserve"> </w:t>
      </w:r>
      <w:proofErr w:type="spellStart"/>
      <w:r w:rsidR="00CA7E44" w:rsidRPr="00E66589">
        <w:rPr>
          <w:rFonts w:ascii="Arial" w:hAnsi="Arial" w:cs="Arial"/>
          <w:color w:val="000000" w:themeColor="text1"/>
          <w:szCs w:val="24"/>
        </w:rPr>
        <w:t>Šácha</w:t>
      </w:r>
      <w:proofErr w:type="spellEnd"/>
      <w:r w:rsidR="00CA7E44" w:rsidRPr="00E66589">
        <w:rPr>
          <w:rFonts w:ascii="Arial" w:hAnsi="Arial" w:cs="Arial"/>
          <w:color w:val="000000" w:themeColor="text1"/>
          <w:szCs w:val="24"/>
        </w:rPr>
        <w:t xml:space="preserve">, J., </w:t>
      </w:r>
      <w:r w:rsidRPr="00E66589">
        <w:rPr>
          <w:rFonts w:ascii="Arial" w:hAnsi="Arial" w:cs="Arial"/>
          <w:color w:val="000000" w:themeColor="text1"/>
          <w:szCs w:val="24"/>
        </w:rPr>
        <w:t xml:space="preserve">2019. Factors of employee engagement at the workplace. Do years of service count? Acta Universitatis </w:t>
      </w:r>
      <w:proofErr w:type="spellStart"/>
      <w:r w:rsidRPr="00E66589">
        <w:rPr>
          <w:rFonts w:ascii="Arial" w:hAnsi="Arial" w:cs="Arial"/>
          <w:color w:val="000000" w:themeColor="text1"/>
          <w:szCs w:val="24"/>
        </w:rPr>
        <w:t>Agriculturae</w:t>
      </w:r>
      <w:proofErr w:type="spellEnd"/>
      <w:r w:rsidRPr="00E66589">
        <w:rPr>
          <w:rFonts w:ascii="Arial" w:hAnsi="Arial" w:cs="Arial"/>
          <w:color w:val="000000" w:themeColor="text1"/>
          <w:szCs w:val="24"/>
        </w:rPr>
        <w:t xml:space="preserve"> et </w:t>
      </w:r>
      <w:proofErr w:type="spellStart"/>
      <w:r w:rsidRPr="00E66589">
        <w:rPr>
          <w:rFonts w:ascii="Arial" w:hAnsi="Arial" w:cs="Arial"/>
          <w:color w:val="000000" w:themeColor="text1"/>
          <w:szCs w:val="24"/>
        </w:rPr>
        <w:t>Silviculturae</w:t>
      </w:r>
      <w:proofErr w:type="spellEnd"/>
      <w:r w:rsidRPr="00E66589">
        <w:rPr>
          <w:rFonts w:ascii="Arial" w:hAnsi="Arial" w:cs="Arial"/>
          <w:color w:val="000000" w:themeColor="text1"/>
          <w:szCs w:val="24"/>
        </w:rPr>
        <w:t xml:space="preserve"> </w:t>
      </w:r>
      <w:proofErr w:type="spellStart"/>
      <w:r w:rsidRPr="00E66589">
        <w:rPr>
          <w:rFonts w:ascii="Arial" w:hAnsi="Arial" w:cs="Arial"/>
          <w:color w:val="000000" w:themeColor="text1"/>
          <w:szCs w:val="24"/>
        </w:rPr>
        <w:t>Mendelianae</w:t>
      </w:r>
      <w:proofErr w:type="spellEnd"/>
      <w:r w:rsidRPr="00E66589">
        <w:rPr>
          <w:rFonts w:ascii="Arial" w:hAnsi="Arial" w:cs="Arial"/>
          <w:color w:val="000000" w:themeColor="text1"/>
          <w:szCs w:val="24"/>
        </w:rPr>
        <w:t xml:space="preserve"> </w:t>
      </w:r>
      <w:proofErr w:type="spellStart"/>
      <w:r w:rsidRPr="00E66589">
        <w:rPr>
          <w:rFonts w:ascii="Arial" w:hAnsi="Arial" w:cs="Arial"/>
          <w:color w:val="000000" w:themeColor="text1"/>
          <w:szCs w:val="24"/>
        </w:rPr>
        <w:t>Brunensis</w:t>
      </w:r>
      <w:proofErr w:type="spellEnd"/>
      <w:r w:rsidRPr="00E66589">
        <w:rPr>
          <w:rFonts w:ascii="Arial" w:hAnsi="Arial" w:cs="Arial"/>
          <w:color w:val="000000" w:themeColor="text1"/>
          <w:szCs w:val="24"/>
        </w:rPr>
        <w:t xml:space="preserve">. </w:t>
      </w:r>
    </w:p>
    <w:p w14:paraId="62D08D78" w14:textId="5B630025" w:rsidR="003B67DA" w:rsidRPr="00E66589" w:rsidRDefault="00CA7E44"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Kurtzman, J., </w:t>
      </w:r>
      <w:r w:rsidR="003B67DA" w:rsidRPr="00E66589">
        <w:rPr>
          <w:rFonts w:ascii="Arial" w:hAnsi="Arial" w:cs="Arial"/>
          <w:color w:val="000000" w:themeColor="text1"/>
          <w:szCs w:val="24"/>
        </w:rPr>
        <w:t xml:space="preserve">2017. Why is employee engagement in the hospitality industry meaningful? </w:t>
      </w:r>
      <w:proofErr w:type="spellStart"/>
      <w:r w:rsidR="003B67DA" w:rsidRPr="00E66589">
        <w:rPr>
          <w:rFonts w:ascii="Arial" w:hAnsi="Arial" w:cs="Arial"/>
          <w:color w:val="000000" w:themeColor="text1"/>
          <w:szCs w:val="24"/>
        </w:rPr>
        <w:t>Rewardian</w:t>
      </w:r>
      <w:proofErr w:type="spellEnd"/>
      <w:r w:rsidR="003B67DA" w:rsidRPr="00E66589">
        <w:rPr>
          <w:rFonts w:ascii="Arial" w:hAnsi="Arial" w:cs="Arial"/>
          <w:color w:val="000000" w:themeColor="text1"/>
          <w:szCs w:val="24"/>
        </w:rPr>
        <w:t xml:space="preserve">. </w:t>
      </w:r>
    </w:p>
    <w:p w14:paraId="75D02A4E" w14:textId="66F29B82"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Liu, X. R., Yu, J. J., Guo, Q., and</w:t>
      </w:r>
      <w:r w:rsidR="00CA7E44" w:rsidRPr="00E66589">
        <w:rPr>
          <w:rFonts w:ascii="Arial" w:hAnsi="Arial" w:cs="Arial"/>
          <w:color w:val="000000" w:themeColor="text1"/>
          <w:szCs w:val="24"/>
        </w:rPr>
        <w:t xml:space="preserve"> Li, J. J., </w:t>
      </w:r>
      <w:r w:rsidRPr="00E66589">
        <w:rPr>
          <w:rFonts w:ascii="Arial" w:hAnsi="Arial" w:cs="Arial"/>
          <w:color w:val="000000" w:themeColor="text1"/>
          <w:szCs w:val="24"/>
        </w:rPr>
        <w:t xml:space="preserve">2022. Employee engagement, its antecedents, and effects on business performance in the hospitality industry: a multilevel analysis. International Journal of Contemporary Hospitality Management, (ahead-of-print). </w:t>
      </w:r>
    </w:p>
    <w:p w14:paraId="4DF3D9E3" w14:textId="68D5F508"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Mayne</w:t>
      </w:r>
      <w:r w:rsidR="00CA7E44" w:rsidRPr="00E66589">
        <w:rPr>
          <w:rFonts w:ascii="Arial" w:hAnsi="Arial" w:cs="Arial"/>
          <w:color w:val="000000" w:themeColor="text1"/>
          <w:szCs w:val="24"/>
        </w:rPr>
        <w:t>, T., 2017</w:t>
      </w:r>
      <w:r w:rsidRPr="00E66589">
        <w:rPr>
          <w:rFonts w:ascii="Arial" w:hAnsi="Arial" w:cs="Arial"/>
          <w:color w:val="000000" w:themeColor="text1"/>
          <w:szCs w:val="24"/>
        </w:rPr>
        <w:t>. What is HR’s role in employee engagement? DPG. Accessed on 13th October, 2022 from https://dpglearn.co.uk/blog/human-resources/what-is- hr-s-role-in-employee- engagement/</w:t>
      </w:r>
      <w:proofErr w:type="gramStart"/>
      <w:r w:rsidRPr="00E66589">
        <w:rPr>
          <w:rFonts w:ascii="Arial" w:hAnsi="Arial" w:cs="Arial"/>
          <w:color w:val="000000" w:themeColor="text1"/>
          <w:szCs w:val="24"/>
        </w:rPr>
        <w:t>#:~</w:t>
      </w:r>
      <w:proofErr w:type="gramEnd"/>
      <w:r w:rsidRPr="00E66589">
        <w:rPr>
          <w:rFonts w:ascii="Arial" w:hAnsi="Arial" w:cs="Arial"/>
          <w:color w:val="000000" w:themeColor="text1"/>
          <w:szCs w:val="24"/>
        </w:rPr>
        <w:t xml:space="preserve">:text=HR%20has%20to %20ensure%20employees,what%20i s%20expected%20of%20them. </w:t>
      </w:r>
    </w:p>
    <w:p w14:paraId="1EFAB481" w14:textId="4F0B79E2"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Nguyen, M., Malik, A., and</w:t>
      </w:r>
      <w:r w:rsidR="00CA7E44" w:rsidRPr="00E66589">
        <w:rPr>
          <w:rFonts w:ascii="Arial" w:hAnsi="Arial" w:cs="Arial"/>
          <w:color w:val="000000" w:themeColor="text1"/>
          <w:szCs w:val="24"/>
        </w:rPr>
        <w:t xml:space="preserve"> Sharma, P., 2</w:t>
      </w:r>
      <w:r w:rsidRPr="00E66589">
        <w:rPr>
          <w:rFonts w:ascii="Arial" w:hAnsi="Arial" w:cs="Arial"/>
          <w:color w:val="000000" w:themeColor="text1"/>
          <w:szCs w:val="24"/>
        </w:rPr>
        <w:t xml:space="preserve">021. How to motivate employees to engage in online knowledge sharing? Differences between posters and </w:t>
      </w:r>
      <w:proofErr w:type="spellStart"/>
      <w:r w:rsidRPr="00E66589">
        <w:rPr>
          <w:rFonts w:ascii="Arial" w:hAnsi="Arial" w:cs="Arial"/>
          <w:color w:val="000000" w:themeColor="text1"/>
          <w:szCs w:val="24"/>
        </w:rPr>
        <w:t>lurkers</w:t>
      </w:r>
      <w:proofErr w:type="spellEnd"/>
      <w:r w:rsidRPr="00E66589">
        <w:rPr>
          <w:rFonts w:ascii="Arial" w:hAnsi="Arial" w:cs="Arial"/>
          <w:color w:val="000000" w:themeColor="text1"/>
          <w:szCs w:val="24"/>
        </w:rPr>
        <w:t xml:space="preserve">. Journal of Knowledge Management. </w:t>
      </w:r>
    </w:p>
    <w:p w14:paraId="12EB86F1" w14:textId="7DC7A281"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Osborne, S., and</w:t>
      </w:r>
      <w:r w:rsidR="00CA7E44" w:rsidRPr="00E66589">
        <w:rPr>
          <w:rFonts w:ascii="Arial" w:hAnsi="Arial" w:cs="Arial"/>
          <w:color w:val="000000" w:themeColor="text1"/>
          <w:szCs w:val="24"/>
        </w:rPr>
        <w:t xml:space="preserve"> Hammoud, M. S., </w:t>
      </w:r>
      <w:r w:rsidRPr="00E66589">
        <w:rPr>
          <w:rFonts w:ascii="Arial" w:hAnsi="Arial" w:cs="Arial"/>
          <w:color w:val="000000" w:themeColor="text1"/>
          <w:szCs w:val="24"/>
        </w:rPr>
        <w:t xml:space="preserve">2017. Effective employee engagement in the workplace. International Journal of Applied Management and Technology, 16(1), 4. </w:t>
      </w:r>
    </w:p>
    <w:p w14:paraId="70A4895D" w14:textId="1E7E086C" w:rsidR="003B67DA" w:rsidRPr="00E66589" w:rsidRDefault="003B67DA"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Pandey, J., Gupta, M., and</w:t>
      </w:r>
      <w:r w:rsidR="00CA7E44" w:rsidRPr="00E66589">
        <w:rPr>
          <w:rFonts w:ascii="Arial" w:hAnsi="Arial" w:cs="Arial"/>
          <w:color w:val="000000" w:themeColor="text1"/>
          <w:szCs w:val="24"/>
        </w:rPr>
        <w:t xml:space="preserve"> Hassan, Y., </w:t>
      </w:r>
      <w:r w:rsidRPr="00E66589">
        <w:rPr>
          <w:rFonts w:ascii="Arial" w:hAnsi="Arial" w:cs="Arial"/>
          <w:color w:val="000000" w:themeColor="text1"/>
          <w:szCs w:val="24"/>
        </w:rPr>
        <w:t xml:space="preserve">2020. Intrapreneurship to engage employees: role of psychological capital. Management Decision. </w:t>
      </w:r>
    </w:p>
    <w:p w14:paraId="7336AF5D" w14:textId="69207D9A" w:rsidR="003B67DA" w:rsidRPr="00E66589" w:rsidRDefault="00CA7E44" w:rsidP="003B67DA">
      <w:pPr>
        <w:ind w:left="720" w:hanging="720"/>
        <w:contextualSpacing/>
        <w:rPr>
          <w:rFonts w:ascii="Arial" w:hAnsi="Arial" w:cs="Arial"/>
          <w:color w:val="000000" w:themeColor="text1"/>
          <w:szCs w:val="24"/>
        </w:rPr>
      </w:pPr>
      <w:proofErr w:type="spellStart"/>
      <w:r w:rsidRPr="00E66589">
        <w:rPr>
          <w:rFonts w:ascii="Arial" w:hAnsi="Arial" w:cs="Arial"/>
          <w:color w:val="000000" w:themeColor="text1"/>
          <w:szCs w:val="24"/>
        </w:rPr>
        <w:t>Personio</w:t>
      </w:r>
      <w:proofErr w:type="spellEnd"/>
      <w:r w:rsidRPr="00E66589">
        <w:rPr>
          <w:rFonts w:ascii="Arial" w:hAnsi="Arial" w:cs="Arial"/>
          <w:color w:val="000000" w:themeColor="text1"/>
          <w:szCs w:val="24"/>
        </w:rPr>
        <w:t xml:space="preserve">., </w:t>
      </w:r>
      <w:r w:rsidR="003B67DA" w:rsidRPr="00E66589">
        <w:rPr>
          <w:rFonts w:ascii="Arial" w:hAnsi="Arial" w:cs="Arial"/>
          <w:color w:val="000000" w:themeColor="text1"/>
          <w:szCs w:val="24"/>
        </w:rPr>
        <w:t>2022. The employee life cycle. Success in 6 stages. Accessed on 13th October, 2022 from https://www.personio.com/hr-lexicon/employee-life-cycle- model-UK/</w:t>
      </w:r>
      <w:proofErr w:type="gramStart"/>
      <w:r w:rsidR="003B67DA" w:rsidRPr="00E66589">
        <w:rPr>
          <w:rFonts w:ascii="Arial" w:hAnsi="Arial" w:cs="Arial"/>
          <w:color w:val="000000" w:themeColor="text1"/>
          <w:szCs w:val="24"/>
        </w:rPr>
        <w:t>#:~</w:t>
      </w:r>
      <w:proofErr w:type="gramEnd"/>
      <w:r w:rsidR="003B67DA" w:rsidRPr="00E66589">
        <w:rPr>
          <w:rFonts w:ascii="Arial" w:hAnsi="Arial" w:cs="Arial"/>
          <w:color w:val="000000" w:themeColor="text1"/>
          <w:szCs w:val="24"/>
        </w:rPr>
        <w:t xml:space="preserve">:text=Employee%20Life%20Cycle%3F- ,What%20is%20the %20Employee%20Life%20Cycle%3F,%2C%20developm ent%2C%20retention %20and%20separation. </w:t>
      </w:r>
    </w:p>
    <w:p w14:paraId="13F28949" w14:textId="629188EA" w:rsidR="003B67DA" w:rsidRPr="00E66589" w:rsidRDefault="003B67DA" w:rsidP="003B67DA">
      <w:pPr>
        <w:ind w:left="720" w:hanging="720"/>
        <w:contextualSpacing/>
        <w:rPr>
          <w:rFonts w:ascii="Arial" w:hAnsi="Arial" w:cs="Arial"/>
          <w:color w:val="000000" w:themeColor="text1"/>
          <w:szCs w:val="24"/>
        </w:rPr>
      </w:pPr>
      <w:proofErr w:type="spellStart"/>
      <w:r w:rsidRPr="00E66589">
        <w:rPr>
          <w:rFonts w:ascii="Arial" w:hAnsi="Arial" w:cs="Arial"/>
          <w:color w:val="000000" w:themeColor="text1"/>
          <w:szCs w:val="24"/>
        </w:rPr>
        <w:t>Rabiul</w:t>
      </w:r>
      <w:proofErr w:type="spellEnd"/>
      <w:r w:rsidRPr="00E66589">
        <w:rPr>
          <w:rFonts w:ascii="Arial" w:hAnsi="Arial" w:cs="Arial"/>
          <w:color w:val="000000" w:themeColor="text1"/>
          <w:szCs w:val="24"/>
        </w:rPr>
        <w:t xml:space="preserve">, M. K., Mohamed, A. E., </w:t>
      </w:r>
      <w:proofErr w:type="spellStart"/>
      <w:r w:rsidRPr="00E66589">
        <w:rPr>
          <w:rFonts w:ascii="Arial" w:hAnsi="Arial" w:cs="Arial"/>
          <w:color w:val="000000" w:themeColor="text1"/>
          <w:szCs w:val="24"/>
        </w:rPr>
        <w:t>Patwary</w:t>
      </w:r>
      <w:proofErr w:type="spellEnd"/>
      <w:r w:rsidRPr="00E66589">
        <w:rPr>
          <w:rFonts w:ascii="Arial" w:hAnsi="Arial" w:cs="Arial"/>
          <w:color w:val="000000" w:themeColor="text1"/>
          <w:szCs w:val="24"/>
        </w:rPr>
        <w:t>, A. K., Yean, T. F., and</w:t>
      </w:r>
      <w:r w:rsidR="00CA7E44" w:rsidRPr="00E66589">
        <w:rPr>
          <w:rFonts w:ascii="Arial" w:hAnsi="Arial" w:cs="Arial"/>
          <w:color w:val="000000" w:themeColor="text1"/>
          <w:szCs w:val="24"/>
        </w:rPr>
        <w:t xml:space="preserve"> Osman, S. Z., </w:t>
      </w:r>
      <w:r w:rsidRPr="00E66589">
        <w:rPr>
          <w:rFonts w:ascii="Arial" w:hAnsi="Arial" w:cs="Arial"/>
          <w:color w:val="000000" w:themeColor="text1"/>
          <w:szCs w:val="24"/>
        </w:rPr>
        <w:t xml:space="preserve">2021. Linking human resources practices to employee engagement in the hospitality </w:t>
      </w:r>
      <w:r w:rsidRPr="00E66589">
        <w:rPr>
          <w:rFonts w:ascii="Arial" w:hAnsi="Arial" w:cs="Arial"/>
          <w:color w:val="000000" w:themeColor="text1"/>
          <w:szCs w:val="24"/>
        </w:rPr>
        <w:lastRenderedPageBreak/>
        <w:t>industry: the mediating influences of psychological safety, availability, and meaningfulness. European Journal of Management and Business Economics.</w:t>
      </w:r>
    </w:p>
    <w:p w14:paraId="5A896ACB" w14:textId="7C52A5B3" w:rsidR="003B67DA" w:rsidRPr="00E66589" w:rsidRDefault="00CA7E44" w:rsidP="003B67DA">
      <w:pPr>
        <w:ind w:left="720" w:hanging="720"/>
        <w:contextualSpacing/>
        <w:rPr>
          <w:rFonts w:ascii="Arial" w:hAnsi="Arial" w:cs="Arial"/>
          <w:color w:val="000000" w:themeColor="text1"/>
          <w:szCs w:val="24"/>
        </w:rPr>
      </w:pPr>
      <w:r w:rsidRPr="00E66589">
        <w:rPr>
          <w:rFonts w:ascii="Arial" w:hAnsi="Arial" w:cs="Arial"/>
          <w:color w:val="000000" w:themeColor="text1"/>
          <w:szCs w:val="24"/>
        </w:rPr>
        <w:t xml:space="preserve">Sekhar, C., </w:t>
      </w:r>
      <w:r w:rsidR="003B67DA" w:rsidRPr="00E66589">
        <w:rPr>
          <w:rFonts w:ascii="Arial" w:hAnsi="Arial" w:cs="Arial"/>
          <w:color w:val="000000" w:themeColor="text1"/>
          <w:szCs w:val="24"/>
        </w:rPr>
        <w:t xml:space="preserve">2021. Do high-commitment work systems engage employees? Mediating role of psychological capital. International Journal of Organisational Analysis. </w:t>
      </w:r>
    </w:p>
    <w:p w14:paraId="64D2CD34" w14:textId="4FC64378" w:rsidR="003B67DA" w:rsidRPr="00E66589" w:rsidRDefault="003B67DA" w:rsidP="003B67DA">
      <w:pPr>
        <w:ind w:left="720" w:hanging="720"/>
        <w:contextualSpacing/>
        <w:rPr>
          <w:rFonts w:ascii="Arial" w:eastAsiaTheme="majorEastAsia" w:hAnsi="Arial" w:cs="Arial"/>
          <w:b/>
          <w:color w:val="000000" w:themeColor="text1"/>
          <w:szCs w:val="24"/>
        </w:rPr>
      </w:pPr>
      <w:r w:rsidRPr="00E66589">
        <w:rPr>
          <w:rFonts w:ascii="Arial" w:hAnsi="Arial" w:cs="Arial"/>
          <w:color w:val="000000" w:themeColor="text1"/>
          <w:szCs w:val="24"/>
        </w:rPr>
        <w:t xml:space="preserve">Sun, L., and </w:t>
      </w:r>
      <w:proofErr w:type="spellStart"/>
      <w:r w:rsidRPr="00E66589">
        <w:rPr>
          <w:rFonts w:ascii="Arial" w:hAnsi="Arial" w:cs="Arial"/>
          <w:color w:val="000000" w:themeColor="text1"/>
          <w:szCs w:val="24"/>
        </w:rPr>
        <w:t>Bunchapattanas</w:t>
      </w:r>
      <w:r w:rsidR="00CA7E44" w:rsidRPr="00E66589">
        <w:rPr>
          <w:rFonts w:ascii="Arial" w:hAnsi="Arial" w:cs="Arial"/>
          <w:color w:val="000000" w:themeColor="text1"/>
          <w:szCs w:val="24"/>
        </w:rPr>
        <w:t>akda</w:t>
      </w:r>
      <w:proofErr w:type="spellEnd"/>
      <w:r w:rsidR="00CA7E44" w:rsidRPr="00E66589">
        <w:rPr>
          <w:rFonts w:ascii="Arial" w:hAnsi="Arial" w:cs="Arial"/>
          <w:color w:val="000000" w:themeColor="text1"/>
          <w:szCs w:val="24"/>
        </w:rPr>
        <w:t>, C., 2</w:t>
      </w:r>
      <w:r w:rsidRPr="00E66589">
        <w:rPr>
          <w:rFonts w:ascii="Arial" w:hAnsi="Arial" w:cs="Arial"/>
          <w:color w:val="000000" w:themeColor="text1"/>
          <w:szCs w:val="24"/>
        </w:rPr>
        <w:t>019. Employee engagement: A literature review. International Journal of Human Resource Studies, 9(1), 63–80.</w:t>
      </w:r>
    </w:p>
    <w:sectPr w:rsidR="003B67DA" w:rsidRPr="00E66589" w:rsidSect="00A87A43">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C51C" w14:textId="77777777" w:rsidR="00D36844" w:rsidRDefault="00D36844" w:rsidP="006A52C2">
      <w:pPr>
        <w:spacing w:line="240" w:lineRule="auto"/>
      </w:pPr>
      <w:r>
        <w:separator/>
      </w:r>
    </w:p>
  </w:endnote>
  <w:endnote w:type="continuationSeparator" w:id="0">
    <w:p w14:paraId="77ADEF71" w14:textId="77777777" w:rsidR="00D36844" w:rsidRDefault="00D36844" w:rsidP="006A5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FC490" w14:textId="77777777" w:rsidR="00D36844" w:rsidRDefault="00D36844" w:rsidP="006A52C2">
      <w:pPr>
        <w:spacing w:line="240" w:lineRule="auto"/>
      </w:pPr>
      <w:r>
        <w:separator/>
      </w:r>
    </w:p>
  </w:footnote>
  <w:footnote w:type="continuationSeparator" w:id="0">
    <w:p w14:paraId="78D56B02" w14:textId="77777777" w:rsidR="00D36844" w:rsidRDefault="00D36844" w:rsidP="006A52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868106"/>
      <w:docPartObj>
        <w:docPartGallery w:val="Page Numbers (Top of Page)"/>
        <w:docPartUnique/>
      </w:docPartObj>
    </w:sdtPr>
    <w:sdtEndPr>
      <w:rPr>
        <w:noProof/>
      </w:rPr>
    </w:sdtEndPr>
    <w:sdtContent>
      <w:p w14:paraId="28A9129F" w14:textId="51EBC12F" w:rsidR="006A52C2" w:rsidRDefault="006A52C2">
        <w:pPr>
          <w:pStyle w:val="Header"/>
          <w:jc w:val="right"/>
        </w:pPr>
        <w:r>
          <w:fldChar w:fldCharType="begin"/>
        </w:r>
        <w:r>
          <w:instrText xml:space="preserve"> PAGE   \* MERGEFORMAT </w:instrText>
        </w:r>
        <w:r>
          <w:fldChar w:fldCharType="separate"/>
        </w:r>
        <w:r w:rsidR="00DA1015">
          <w:rPr>
            <w:noProof/>
          </w:rPr>
          <w:t>10</w:t>
        </w:r>
        <w:r>
          <w:rPr>
            <w:noProof/>
          </w:rPr>
          <w:fldChar w:fldCharType="end"/>
        </w:r>
      </w:p>
    </w:sdtContent>
  </w:sdt>
  <w:p w14:paraId="412B8173" w14:textId="77777777" w:rsidR="006A52C2" w:rsidRDefault="006A5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122"/>
    <w:multiLevelType w:val="hybridMultilevel"/>
    <w:tmpl w:val="DB2E2C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D0A7155"/>
    <w:multiLevelType w:val="hybridMultilevel"/>
    <w:tmpl w:val="4826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D442C"/>
    <w:multiLevelType w:val="multilevel"/>
    <w:tmpl w:val="33DA87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14652"/>
    <w:multiLevelType w:val="multilevel"/>
    <w:tmpl w:val="F0B4E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D551F3"/>
    <w:multiLevelType w:val="hybridMultilevel"/>
    <w:tmpl w:val="1A9E70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7B472E"/>
    <w:multiLevelType w:val="hybridMultilevel"/>
    <w:tmpl w:val="FF180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847AA3"/>
    <w:multiLevelType w:val="hybridMultilevel"/>
    <w:tmpl w:val="C838C8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2B76F25"/>
    <w:multiLevelType w:val="multilevel"/>
    <w:tmpl w:val="4FA6E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D607DB"/>
    <w:multiLevelType w:val="multilevel"/>
    <w:tmpl w:val="33A491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820CA"/>
    <w:multiLevelType w:val="hybridMultilevel"/>
    <w:tmpl w:val="57A6CD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94D3ADE"/>
    <w:multiLevelType w:val="hybridMultilevel"/>
    <w:tmpl w:val="3C24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A4108"/>
    <w:multiLevelType w:val="hybridMultilevel"/>
    <w:tmpl w:val="216EC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DF9034F"/>
    <w:multiLevelType w:val="multilevel"/>
    <w:tmpl w:val="4EE4E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9F4B25"/>
    <w:multiLevelType w:val="hybridMultilevel"/>
    <w:tmpl w:val="0E508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3738E6"/>
    <w:multiLevelType w:val="hybridMultilevel"/>
    <w:tmpl w:val="3C24A21A"/>
    <w:lvl w:ilvl="0" w:tplc="E4961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7D83C43"/>
    <w:multiLevelType w:val="hybridMultilevel"/>
    <w:tmpl w:val="1F541C6E"/>
    <w:lvl w:ilvl="0" w:tplc="FADEA962">
      <w:start w:val="1"/>
      <w:numFmt w:val="decimal"/>
      <w:lvlText w:val="O%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95443D9"/>
    <w:multiLevelType w:val="hybridMultilevel"/>
    <w:tmpl w:val="3E64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F51D89"/>
    <w:multiLevelType w:val="hybridMultilevel"/>
    <w:tmpl w:val="AE2EC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8AE1ADE"/>
    <w:multiLevelType w:val="hybridMultilevel"/>
    <w:tmpl w:val="D53C2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9E96B58"/>
    <w:multiLevelType w:val="hybridMultilevel"/>
    <w:tmpl w:val="DDC0A06E"/>
    <w:lvl w:ilvl="0" w:tplc="9EE68E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4E95767"/>
    <w:multiLevelType w:val="multilevel"/>
    <w:tmpl w:val="ADC8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F02626"/>
    <w:multiLevelType w:val="hybridMultilevel"/>
    <w:tmpl w:val="642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204234">
    <w:abstractNumId w:val="20"/>
  </w:num>
  <w:num w:numId="2" w16cid:durableId="117650543">
    <w:abstractNumId w:val="12"/>
  </w:num>
  <w:num w:numId="3" w16cid:durableId="139663540">
    <w:abstractNumId w:val="8"/>
  </w:num>
  <w:num w:numId="4" w16cid:durableId="1892885583">
    <w:abstractNumId w:val="7"/>
  </w:num>
  <w:num w:numId="5" w16cid:durableId="1855536857">
    <w:abstractNumId w:val="2"/>
  </w:num>
  <w:num w:numId="6" w16cid:durableId="1445996698">
    <w:abstractNumId w:val="3"/>
  </w:num>
  <w:num w:numId="7" w16cid:durableId="238442210">
    <w:abstractNumId w:val="9"/>
  </w:num>
  <w:num w:numId="8" w16cid:durableId="1079518470">
    <w:abstractNumId w:val="4"/>
  </w:num>
  <w:num w:numId="9" w16cid:durableId="217862327">
    <w:abstractNumId w:val="11"/>
  </w:num>
  <w:num w:numId="10" w16cid:durableId="181821261">
    <w:abstractNumId w:val="5"/>
  </w:num>
  <w:num w:numId="11" w16cid:durableId="554007051">
    <w:abstractNumId w:val="18"/>
  </w:num>
  <w:num w:numId="12" w16cid:durableId="363024183">
    <w:abstractNumId w:val="17"/>
  </w:num>
  <w:num w:numId="13" w16cid:durableId="1081412656">
    <w:abstractNumId w:val="0"/>
  </w:num>
  <w:num w:numId="14" w16cid:durableId="894123634">
    <w:abstractNumId w:val="15"/>
  </w:num>
  <w:num w:numId="15" w16cid:durableId="347409054">
    <w:abstractNumId w:val="6"/>
  </w:num>
  <w:num w:numId="16" w16cid:durableId="1849364533">
    <w:abstractNumId w:val="13"/>
  </w:num>
  <w:num w:numId="17" w16cid:durableId="578752412">
    <w:abstractNumId w:val="19"/>
  </w:num>
  <w:num w:numId="18" w16cid:durableId="1027097752">
    <w:abstractNumId w:val="16"/>
  </w:num>
  <w:num w:numId="19" w16cid:durableId="1069032509">
    <w:abstractNumId w:val="21"/>
  </w:num>
  <w:num w:numId="20" w16cid:durableId="207764418">
    <w:abstractNumId w:val="1"/>
  </w:num>
  <w:num w:numId="21" w16cid:durableId="69163140">
    <w:abstractNumId w:val="10"/>
  </w:num>
  <w:num w:numId="22" w16cid:durableId="13717638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DC"/>
    <w:rsid w:val="00014389"/>
    <w:rsid w:val="00030D0F"/>
    <w:rsid w:val="00033DCB"/>
    <w:rsid w:val="00037154"/>
    <w:rsid w:val="00063958"/>
    <w:rsid w:val="00075F55"/>
    <w:rsid w:val="000809C8"/>
    <w:rsid w:val="00080F57"/>
    <w:rsid w:val="000817A5"/>
    <w:rsid w:val="00083347"/>
    <w:rsid w:val="00094A23"/>
    <w:rsid w:val="000B5316"/>
    <w:rsid w:val="000C1EB9"/>
    <w:rsid w:val="000C7969"/>
    <w:rsid w:val="000D6631"/>
    <w:rsid w:val="000D732D"/>
    <w:rsid w:val="000E4983"/>
    <w:rsid w:val="00105CCA"/>
    <w:rsid w:val="00112FDF"/>
    <w:rsid w:val="0013562D"/>
    <w:rsid w:val="00160DF1"/>
    <w:rsid w:val="0017555B"/>
    <w:rsid w:val="001817B8"/>
    <w:rsid w:val="00190B73"/>
    <w:rsid w:val="0019256F"/>
    <w:rsid w:val="001970AA"/>
    <w:rsid w:val="001A1CC5"/>
    <w:rsid w:val="001B300B"/>
    <w:rsid w:val="001C2806"/>
    <w:rsid w:val="001D1998"/>
    <w:rsid w:val="001E4D99"/>
    <w:rsid w:val="001E77B6"/>
    <w:rsid w:val="001F6128"/>
    <w:rsid w:val="00215A2B"/>
    <w:rsid w:val="00245BC7"/>
    <w:rsid w:val="00265CD3"/>
    <w:rsid w:val="00266B02"/>
    <w:rsid w:val="002D1C5C"/>
    <w:rsid w:val="002D321F"/>
    <w:rsid w:val="002D776D"/>
    <w:rsid w:val="002F0CDE"/>
    <w:rsid w:val="002F41DD"/>
    <w:rsid w:val="00305897"/>
    <w:rsid w:val="00314242"/>
    <w:rsid w:val="003433A1"/>
    <w:rsid w:val="003464C5"/>
    <w:rsid w:val="00346C40"/>
    <w:rsid w:val="00353C7D"/>
    <w:rsid w:val="00361236"/>
    <w:rsid w:val="0036725E"/>
    <w:rsid w:val="00381EDC"/>
    <w:rsid w:val="0038353C"/>
    <w:rsid w:val="00385D5B"/>
    <w:rsid w:val="003B469B"/>
    <w:rsid w:val="003B67DA"/>
    <w:rsid w:val="003C7959"/>
    <w:rsid w:val="003D1ECF"/>
    <w:rsid w:val="003D7C61"/>
    <w:rsid w:val="003E4839"/>
    <w:rsid w:val="003F2F7E"/>
    <w:rsid w:val="00404FBC"/>
    <w:rsid w:val="00410B33"/>
    <w:rsid w:val="00412EC3"/>
    <w:rsid w:val="00422DFD"/>
    <w:rsid w:val="0043279B"/>
    <w:rsid w:val="00432A85"/>
    <w:rsid w:val="004442CC"/>
    <w:rsid w:val="00444DA1"/>
    <w:rsid w:val="00461E32"/>
    <w:rsid w:val="00464138"/>
    <w:rsid w:val="0047211E"/>
    <w:rsid w:val="004851B2"/>
    <w:rsid w:val="004B3ACF"/>
    <w:rsid w:val="004B7391"/>
    <w:rsid w:val="004C1CE6"/>
    <w:rsid w:val="004C6059"/>
    <w:rsid w:val="004D24AF"/>
    <w:rsid w:val="004E4BD4"/>
    <w:rsid w:val="00500AFD"/>
    <w:rsid w:val="00506417"/>
    <w:rsid w:val="005108DC"/>
    <w:rsid w:val="00526BCD"/>
    <w:rsid w:val="00540D6D"/>
    <w:rsid w:val="00541230"/>
    <w:rsid w:val="0054220C"/>
    <w:rsid w:val="0056573C"/>
    <w:rsid w:val="00586BD1"/>
    <w:rsid w:val="00590B31"/>
    <w:rsid w:val="00594390"/>
    <w:rsid w:val="005A79D8"/>
    <w:rsid w:val="005C0239"/>
    <w:rsid w:val="005D4417"/>
    <w:rsid w:val="005D7125"/>
    <w:rsid w:val="005F0806"/>
    <w:rsid w:val="005F134A"/>
    <w:rsid w:val="00621DD9"/>
    <w:rsid w:val="00632795"/>
    <w:rsid w:val="006445CF"/>
    <w:rsid w:val="00645DE2"/>
    <w:rsid w:val="00662678"/>
    <w:rsid w:val="00665413"/>
    <w:rsid w:val="00673AF0"/>
    <w:rsid w:val="00680D0A"/>
    <w:rsid w:val="006A52C2"/>
    <w:rsid w:val="006C7796"/>
    <w:rsid w:val="006D2215"/>
    <w:rsid w:val="006D3429"/>
    <w:rsid w:val="006D71F6"/>
    <w:rsid w:val="006E062B"/>
    <w:rsid w:val="006E1B1A"/>
    <w:rsid w:val="006F121D"/>
    <w:rsid w:val="006F378F"/>
    <w:rsid w:val="006F3D95"/>
    <w:rsid w:val="006F5D63"/>
    <w:rsid w:val="00702DB7"/>
    <w:rsid w:val="00705961"/>
    <w:rsid w:val="00722768"/>
    <w:rsid w:val="00731500"/>
    <w:rsid w:val="00732B07"/>
    <w:rsid w:val="00736CD0"/>
    <w:rsid w:val="0074119D"/>
    <w:rsid w:val="00753CD7"/>
    <w:rsid w:val="00760844"/>
    <w:rsid w:val="0076088F"/>
    <w:rsid w:val="00773ABC"/>
    <w:rsid w:val="0077770B"/>
    <w:rsid w:val="00780D90"/>
    <w:rsid w:val="00790FDD"/>
    <w:rsid w:val="00793319"/>
    <w:rsid w:val="00793931"/>
    <w:rsid w:val="007A2195"/>
    <w:rsid w:val="007B7543"/>
    <w:rsid w:val="007D3BFA"/>
    <w:rsid w:val="007E53EA"/>
    <w:rsid w:val="007E5706"/>
    <w:rsid w:val="007F098E"/>
    <w:rsid w:val="0082474C"/>
    <w:rsid w:val="00831688"/>
    <w:rsid w:val="0085048B"/>
    <w:rsid w:val="0088199C"/>
    <w:rsid w:val="00882DB1"/>
    <w:rsid w:val="00897C03"/>
    <w:rsid w:val="008A1A8D"/>
    <w:rsid w:val="008A45CE"/>
    <w:rsid w:val="008A48D9"/>
    <w:rsid w:val="008C1951"/>
    <w:rsid w:val="008E6AA1"/>
    <w:rsid w:val="008F41E5"/>
    <w:rsid w:val="00912B1C"/>
    <w:rsid w:val="009173A2"/>
    <w:rsid w:val="009310C2"/>
    <w:rsid w:val="0094222C"/>
    <w:rsid w:val="00953011"/>
    <w:rsid w:val="00960565"/>
    <w:rsid w:val="00972D30"/>
    <w:rsid w:val="00973564"/>
    <w:rsid w:val="00990E33"/>
    <w:rsid w:val="009915D8"/>
    <w:rsid w:val="009C55F8"/>
    <w:rsid w:val="009D32BC"/>
    <w:rsid w:val="009F6878"/>
    <w:rsid w:val="00A168FA"/>
    <w:rsid w:val="00A27EDC"/>
    <w:rsid w:val="00A36ECD"/>
    <w:rsid w:val="00A43FE6"/>
    <w:rsid w:val="00A443AC"/>
    <w:rsid w:val="00A56426"/>
    <w:rsid w:val="00A87A43"/>
    <w:rsid w:val="00A87F9F"/>
    <w:rsid w:val="00A93D26"/>
    <w:rsid w:val="00AB0EC0"/>
    <w:rsid w:val="00AC7C9F"/>
    <w:rsid w:val="00AF11F4"/>
    <w:rsid w:val="00B04616"/>
    <w:rsid w:val="00B04F17"/>
    <w:rsid w:val="00B140B2"/>
    <w:rsid w:val="00B21632"/>
    <w:rsid w:val="00B31081"/>
    <w:rsid w:val="00B3401B"/>
    <w:rsid w:val="00B362B6"/>
    <w:rsid w:val="00B905B6"/>
    <w:rsid w:val="00BB43B2"/>
    <w:rsid w:val="00BE6F33"/>
    <w:rsid w:val="00C02E0C"/>
    <w:rsid w:val="00C1136B"/>
    <w:rsid w:val="00C25C2D"/>
    <w:rsid w:val="00C26A48"/>
    <w:rsid w:val="00C32354"/>
    <w:rsid w:val="00C34380"/>
    <w:rsid w:val="00C36FB0"/>
    <w:rsid w:val="00C46FEB"/>
    <w:rsid w:val="00C631AD"/>
    <w:rsid w:val="00C742AD"/>
    <w:rsid w:val="00C7727C"/>
    <w:rsid w:val="00C77288"/>
    <w:rsid w:val="00C90829"/>
    <w:rsid w:val="00C95ABD"/>
    <w:rsid w:val="00CA17E1"/>
    <w:rsid w:val="00CA7E44"/>
    <w:rsid w:val="00CB31C6"/>
    <w:rsid w:val="00CD0573"/>
    <w:rsid w:val="00CD3076"/>
    <w:rsid w:val="00CD7AF7"/>
    <w:rsid w:val="00CF55B5"/>
    <w:rsid w:val="00D300D1"/>
    <w:rsid w:val="00D36844"/>
    <w:rsid w:val="00D519EC"/>
    <w:rsid w:val="00D601C7"/>
    <w:rsid w:val="00D62503"/>
    <w:rsid w:val="00D63186"/>
    <w:rsid w:val="00D73F44"/>
    <w:rsid w:val="00D85673"/>
    <w:rsid w:val="00D86E17"/>
    <w:rsid w:val="00DA1015"/>
    <w:rsid w:val="00DC3674"/>
    <w:rsid w:val="00DC54A3"/>
    <w:rsid w:val="00DC58FB"/>
    <w:rsid w:val="00DD0792"/>
    <w:rsid w:val="00DD1541"/>
    <w:rsid w:val="00DD3D97"/>
    <w:rsid w:val="00DD5A30"/>
    <w:rsid w:val="00DE0402"/>
    <w:rsid w:val="00DE33B3"/>
    <w:rsid w:val="00E04722"/>
    <w:rsid w:val="00E21A92"/>
    <w:rsid w:val="00E21D8B"/>
    <w:rsid w:val="00E45FCB"/>
    <w:rsid w:val="00E471C5"/>
    <w:rsid w:val="00E6084E"/>
    <w:rsid w:val="00E6195C"/>
    <w:rsid w:val="00E66589"/>
    <w:rsid w:val="00E71FD3"/>
    <w:rsid w:val="00E7620D"/>
    <w:rsid w:val="00E76E8F"/>
    <w:rsid w:val="00E77D5E"/>
    <w:rsid w:val="00E85081"/>
    <w:rsid w:val="00E90781"/>
    <w:rsid w:val="00E934F7"/>
    <w:rsid w:val="00E9607C"/>
    <w:rsid w:val="00EA0E5F"/>
    <w:rsid w:val="00ED2F1B"/>
    <w:rsid w:val="00EE0033"/>
    <w:rsid w:val="00F20443"/>
    <w:rsid w:val="00F27C74"/>
    <w:rsid w:val="00F467EF"/>
    <w:rsid w:val="00F574C0"/>
    <w:rsid w:val="00F63264"/>
    <w:rsid w:val="00F740C2"/>
    <w:rsid w:val="00F84340"/>
    <w:rsid w:val="00F87590"/>
    <w:rsid w:val="00F9241A"/>
    <w:rsid w:val="00FA2E60"/>
    <w:rsid w:val="00FB6FB5"/>
    <w:rsid w:val="00FD16C5"/>
    <w:rsid w:val="00FD612A"/>
    <w:rsid w:val="00FE1C6F"/>
    <w:rsid w:val="00FE5848"/>
    <w:rsid w:val="00FF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72EC"/>
  <w15:chartTrackingRefBased/>
  <w15:docId w15:val="{30F94220-4063-40E6-A40F-6E9D4BF1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88F"/>
    <w:pPr>
      <w:spacing w:after="0" w:line="360" w:lineRule="auto"/>
      <w:ind w:firstLine="720"/>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506417"/>
    <w:pPr>
      <w:keepNext/>
      <w:keepLines/>
      <w:spacing w:before="240"/>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06417"/>
    <w:pPr>
      <w:shd w:val="clear" w:color="auto" w:fill="FFFFFF"/>
      <w:ind w:firstLine="0"/>
      <w:contextualSpacing/>
      <w:jc w:val="left"/>
      <w:outlineLvl w:val="1"/>
    </w:pPr>
    <w:rPr>
      <w:rFonts w:eastAsia="Times New Roman" w:cs="Segoe UI"/>
      <w:b/>
      <w:szCs w:val="28"/>
      <w:lang w:val="en-US"/>
    </w:rPr>
  </w:style>
  <w:style w:type="paragraph" w:styleId="Heading3">
    <w:name w:val="heading 3"/>
    <w:basedOn w:val="Normal"/>
    <w:next w:val="Normal"/>
    <w:link w:val="Heading3Char"/>
    <w:uiPriority w:val="9"/>
    <w:unhideWhenUsed/>
    <w:qFormat/>
    <w:rsid w:val="001B300B"/>
    <w:pPr>
      <w:keepNext/>
      <w:keepLines/>
      <w:ind w:firstLine="0"/>
      <w:contextualSpacing/>
      <w:jc w:val="center"/>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417"/>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506417"/>
    <w:rPr>
      <w:rFonts w:ascii="Times New Roman" w:eastAsia="Times New Roman" w:hAnsi="Times New Roman" w:cs="Segoe UI"/>
      <w:b/>
      <w:sz w:val="24"/>
      <w:szCs w:val="28"/>
      <w:shd w:val="clear" w:color="auto" w:fill="FFFFFF"/>
    </w:rPr>
  </w:style>
  <w:style w:type="character" w:customStyle="1" w:styleId="Heading3Char">
    <w:name w:val="Heading 3 Char"/>
    <w:basedOn w:val="DefaultParagraphFont"/>
    <w:link w:val="Heading3"/>
    <w:uiPriority w:val="9"/>
    <w:rsid w:val="001B300B"/>
    <w:rPr>
      <w:rFonts w:ascii="Times New Roman" w:eastAsiaTheme="majorEastAsia" w:hAnsi="Times New Roman" w:cstheme="majorBidi"/>
      <w:b/>
      <w:i/>
      <w:sz w:val="24"/>
      <w:szCs w:val="24"/>
      <w:lang w:val="en-GB"/>
    </w:rPr>
  </w:style>
  <w:style w:type="character" w:styleId="Hyperlink">
    <w:name w:val="Hyperlink"/>
    <w:basedOn w:val="DefaultParagraphFont"/>
    <w:uiPriority w:val="99"/>
    <w:unhideWhenUsed/>
    <w:rsid w:val="00645DE2"/>
    <w:rPr>
      <w:color w:val="0000FF"/>
      <w:u w:val="single"/>
    </w:rPr>
  </w:style>
  <w:style w:type="character" w:customStyle="1" w:styleId="apple-converted-space">
    <w:name w:val="apple-converted-space"/>
    <w:basedOn w:val="DefaultParagraphFont"/>
    <w:rsid w:val="00645DE2"/>
  </w:style>
  <w:style w:type="paragraph" w:styleId="NormalWeb">
    <w:name w:val="Normal (Web)"/>
    <w:basedOn w:val="Normal"/>
    <w:uiPriority w:val="99"/>
    <w:semiHidden/>
    <w:unhideWhenUsed/>
    <w:rsid w:val="00645DE2"/>
    <w:pPr>
      <w:spacing w:before="100" w:beforeAutospacing="1" w:after="100" w:afterAutospacing="1" w:line="240" w:lineRule="auto"/>
      <w:ind w:firstLine="0"/>
      <w:jc w:val="left"/>
    </w:pPr>
    <w:rPr>
      <w:rFonts w:eastAsia="Times New Roman" w:cs="Times New Roman"/>
      <w:szCs w:val="24"/>
      <w:lang w:eastAsia="en-GB"/>
    </w:rPr>
  </w:style>
  <w:style w:type="paragraph" w:styleId="TOCHeading">
    <w:name w:val="TOC Heading"/>
    <w:basedOn w:val="Heading1"/>
    <w:next w:val="Normal"/>
    <w:uiPriority w:val="39"/>
    <w:unhideWhenUsed/>
    <w:qFormat/>
    <w:rsid w:val="006A52C2"/>
    <w:pPr>
      <w:spacing w:line="259" w:lineRule="auto"/>
      <w:jc w:val="left"/>
      <w:outlineLvl w:val="9"/>
    </w:pPr>
    <w:rPr>
      <w:rFonts w:asciiTheme="majorHAnsi" w:hAnsiTheme="majorHAnsi"/>
      <w:b w:val="0"/>
      <w:i/>
      <w:color w:val="2F5496" w:themeColor="accent1" w:themeShade="BF"/>
      <w:sz w:val="32"/>
      <w:shd w:val="clear" w:color="auto" w:fill="auto"/>
      <w:lang w:val="en-US"/>
    </w:rPr>
  </w:style>
  <w:style w:type="paragraph" w:styleId="TOC1">
    <w:name w:val="toc 1"/>
    <w:basedOn w:val="Normal"/>
    <w:next w:val="Normal"/>
    <w:autoRedefine/>
    <w:uiPriority w:val="39"/>
    <w:unhideWhenUsed/>
    <w:rsid w:val="006A52C2"/>
    <w:pPr>
      <w:spacing w:after="100"/>
    </w:pPr>
  </w:style>
  <w:style w:type="paragraph" w:styleId="Header">
    <w:name w:val="header"/>
    <w:basedOn w:val="Normal"/>
    <w:link w:val="HeaderChar"/>
    <w:uiPriority w:val="99"/>
    <w:unhideWhenUsed/>
    <w:rsid w:val="006A52C2"/>
    <w:pPr>
      <w:tabs>
        <w:tab w:val="center" w:pos="4680"/>
        <w:tab w:val="right" w:pos="9360"/>
      </w:tabs>
      <w:spacing w:line="240" w:lineRule="auto"/>
    </w:pPr>
  </w:style>
  <w:style w:type="character" w:customStyle="1" w:styleId="HeaderChar">
    <w:name w:val="Header Char"/>
    <w:basedOn w:val="DefaultParagraphFont"/>
    <w:link w:val="Header"/>
    <w:uiPriority w:val="99"/>
    <w:rsid w:val="006A52C2"/>
    <w:rPr>
      <w:rFonts w:ascii="Times New Roman" w:hAnsi="Times New Roman"/>
      <w:sz w:val="24"/>
      <w:lang w:val="en-GB"/>
    </w:rPr>
  </w:style>
  <w:style w:type="paragraph" w:styleId="Footer">
    <w:name w:val="footer"/>
    <w:basedOn w:val="Normal"/>
    <w:link w:val="FooterChar"/>
    <w:uiPriority w:val="99"/>
    <w:unhideWhenUsed/>
    <w:rsid w:val="006A52C2"/>
    <w:pPr>
      <w:tabs>
        <w:tab w:val="center" w:pos="4680"/>
        <w:tab w:val="right" w:pos="9360"/>
      </w:tabs>
      <w:spacing w:line="240" w:lineRule="auto"/>
    </w:pPr>
  </w:style>
  <w:style w:type="character" w:customStyle="1" w:styleId="FooterChar">
    <w:name w:val="Footer Char"/>
    <w:basedOn w:val="DefaultParagraphFont"/>
    <w:link w:val="Footer"/>
    <w:uiPriority w:val="99"/>
    <w:rsid w:val="006A52C2"/>
    <w:rPr>
      <w:rFonts w:ascii="Times New Roman" w:hAnsi="Times New Roman"/>
      <w:sz w:val="24"/>
      <w:lang w:val="en-GB"/>
    </w:rPr>
  </w:style>
  <w:style w:type="paragraph" w:styleId="NoSpacing">
    <w:name w:val="No Spacing"/>
    <w:uiPriority w:val="1"/>
    <w:qFormat/>
    <w:rsid w:val="00C631AD"/>
    <w:pPr>
      <w:spacing w:after="0" w:line="240" w:lineRule="auto"/>
      <w:ind w:firstLine="720"/>
      <w:jc w:val="both"/>
    </w:pPr>
    <w:rPr>
      <w:rFonts w:ascii="Times New Roman" w:hAnsi="Times New Roman"/>
      <w:sz w:val="24"/>
      <w:shd w:val="clear" w:color="auto" w:fill="FFFFFF"/>
      <w:lang w:val="en-GB"/>
    </w:rPr>
  </w:style>
  <w:style w:type="table" w:styleId="TableGrid">
    <w:name w:val="Table Grid"/>
    <w:basedOn w:val="TableNormal"/>
    <w:uiPriority w:val="39"/>
    <w:rsid w:val="00C32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8199C"/>
    <w:pPr>
      <w:spacing w:after="100"/>
      <w:ind w:left="240"/>
    </w:pPr>
  </w:style>
  <w:style w:type="paragraph" w:styleId="ListParagraph">
    <w:name w:val="List Paragraph"/>
    <w:basedOn w:val="Normal"/>
    <w:uiPriority w:val="34"/>
    <w:qFormat/>
    <w:rsid w:val="00CD7AF7"/>
    <w:pPr>
      <w:ind w:left="720"/>
      <w:contextualSpacing/>
    </w:pPr>
  </w:style>
  <w:style w:type="paragraph" w:styleId="TOC3">
    <w:name w:val="toc 3"/>
    <w:basedOn w:val="Normal"/>
    <w:next w:val="Normal"/>
    <w:autoRedefine/>
    <w:uiPriority w:val="39"/>
    <w:unhideWhenUsed/>
    <w:rsid w:val="00526BCD"/>
    <w:pPr>
      <w:spacing w:after="100"/>
      <w:ind w:left="480"/>
    </w:pPr>
  </w:style>
  <w:style w:type="character" w:customStyle="1" w:styleId="t">
    <w:name w:val="t"/>
    <w:basedOn w:val="DefaultParagraphFont"/>
    <w:rsid w:val="006F3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3067">
      <w:bodyDiv w:val="1"/>
      <w:marLeft w:val="0"/>
      <w:marRight w:val="0"/>
      <w:marTop w:val="0"/>
      <w:marBottom w:val="0"/>
      <w:divBdr>
        <w:top w:val="none" w:sz="0" w:space="0" w:color="auto"/>
        <w:left w:val="none" w:sz="0" w:space="0" w:color="auto"/>
        <w:bottom w:val="none" w:sz="0" w:space="0" w:color="auto"/>
        <w:right w:val="none" w:sz="0" w:space="0" w:color="auto"/>
      </w:divBdr>
      <w:divsChild>
        <w:div w:id="1792432288">
          <w:marLeft w:val="0"/>
          <w:marRight w:val="0"/>
          <w:marTop w:val="0"/>
          <w:marBottom w:val="0"/>
          <w:divBdr>
            <w:top w:val="none" w:sz="0" w:space="0" w:color="auto"/>
            <w:left w:val="none" w:sz="0" w:space="0" w:color="auto"/>
            <w:bottom w:val="none" w:sz="0" w:space="0" w:color="auto"/>
            <w:right w:val="none" w:sz="0" w:space="0" w:color="auto"/>
          </w:divBdr>
        </w:div>
      </w:divsChild>
    </w:div>
    <w:div w:id="182473359">
      <w:bodyDiv w:val="1"/>
      <w:marLeft w:val="0"/>
      <w:marRight w:val="0"/>
      <w:marTop w:val="0"/>
      <w:marBottom w:val="0"/>
      <w:divBdr>
        <w:top w:val="none" w:sz="0" w:space="0" w:color="auto"/>
        <w:left w:val="none" w:sz="0" w:space="0" w:color="auto"/>
        <w:bottom w:val="none" w:sz="0" w:space="0" w:color="auto"/>
        <w:right w:val="none" w:sz="0" w:space="0" w:color="auto"/>
      </w:divBdr>
    </w:div>
    <w:div w:id="312879682">
      <w:bodyDiv w:val="1"/>
      <w:marLeft w:val="0"/>
      <w:marRight w:val="0"/>
      <w:marTop w:val="0"/>
      <w:marBottom w:val="0"/>
      <w:divBdr>
        <w:top w:val="none" w:sz="0" w:space="0" w:color="auto"/>
        <w:left w:val="none" w:sz="0" w:space="0" w:color="auto"/>
        <w:bottom w:val="none" w:sz="0" w:space="0" w:color="auto"/>
        <w:right w:val="none" w:sz="0" w:space="0" w:color="auto"/>
      </w:divBdr>
    </w:div>
    <w:div w:id="478157785">
      <w:bodyDiv w:val="1"/>
      <w:marLeft w:val="0"/>
      <w:marRight w:val="0"/>
      <w:marTop w:val="0"/>
      <w:marBottom w:val="0"/>
      <w:divBdr>
        <w:top w:val="none" w:sz="0" w:space="0" w:color="auto"/>
        <w:left w:val="none" w:sz="0" w:space="0" w:color="auto"/>
        <w:bottom w:val="none" w:sz="0" w:space="0" w:color="auto"/>
        <w:right w:val="none" w:sz="0" w:space="0" w:color="auto"/>
      </w:divBdr>
    </w:div>
    <w:div w:id="518348199">
      <w:bodyDiv w:val="1"/>
      <w:marLeft w:val="0"/>
      <w:marRight w:val="0"/>
      <w:marTop w:val="0"/>
      <w:marBottom w:val="0"/>
      <w:divBdr>
        <w:top w:val="none" w:sz="0" w:space="0" w:color="auto"/>
        <w:left w:val="none" w:sz="0" w:space="0" w:color="auto"/>
        <w:bottom w:val="none" w:sz="0" w:space="0" w:color="auto"/>
        <w:right w:val="none" w:sz="0" w:space="0" w:color="auto"/>
      </w:divBdr>
    </w:div>
    <w:div w:id="716978656">
      <w:bodyDiv w:val="1"/>
      <w:marLeft w:val="0"/>
      <w:marRight w:val="0"/>
      <w:marTop w:val="0"/>
      <w:marBottom w:val="0"/>
      <w:divBdr>
        <w:top w:val="none" w:sz="0" w:space="0" w:color="auto"/>
        <w:left w:val="none" w:sz="0" w:space="0" w:color="auto"/>
        <w:bottom w:val="none" w:sz="0" w:space="0" w:color="auto"/>
        <w:right w:val="none" w:sz="0" w:space="0" w:color="auto"/>
      </w:divBdr>
    </w:div>
    <w:div w:id="816336173">
      <w:bodyDiv w:val="1"/>
      <w:marLeft w:val="0"/>
      <w:marRight w:val="0"/>
      <w:marTop w:val="0"/>
      <w:marBottom w:val="0"/>
      <w:divBdr>
        <w:top w:val="none" w:sz="0" w:space="0" w:color="auto"/>
        <w:left w:val="none" w:sz="0" w:space="0" w:color="auto"/>
        <w:bottom w:val="none" w:sz="0" w:space="0" w:color="auto"/>
        <w:right w:val="none" w:sz="0" w:space="0" w:color="auto"/>
      </w:divBdr>
    </w:div>
    <w:div w:id="957227114">
      <w:bodyDiv w:val="1"/>
      <w:marLeft w:val="0"/>
      <w:marRight w:val="0"/>
      <w:marTop w:val="0"/>
      <w:marBottom w:val="0"/>
      <w:divBdr>
        <w:top w:val="none" w:sz="0" w:space="0" w:color="auto"/>
        <w:left w:val="none" w:sz="0" w:space="0" w:color="auto"/>
        <w:bottom w:val="none" w:sz="0" w:space="0" w:color="auto"/>
        <w:right w:val="none" w:sz="0" w:space="0" w:color="auto"/>
      </w:divBdr>
    </w:div>
    <w:div w:id="1340543525">
      <w:bodyDiv w:val="1"/>
      <w:marLeft w:val="0"/>
      <w:marRight w:val="0"/>
      <w:marTop w:val="0"/>
      <w:marBottom w:val="0"/>
      <w:divBdr>
        <w:top w:val="none" w:sz="0" w:space="0" w:color="auto"/>
        <w:left w:val="none" w:sz="0" w:space="0" w:color="auto"/>
        <w:bottom w:val="none" w:sz="0" w:space="0" w:color="auto"/>
        <w:right w:val="none" w:sz="0" w:space="0" w:color="auto"/>
      </w:divBdr>
    </w:div>
    <w:div w:id="1675959530">
      <w:bodyDiv w:val="1"/>
      <w:marLeft w:val="0"/>
      <w:marRight w:val="0"/>
      <w:marTop w:val="0"/>
      <w:marBottom w:val="0"/>
      <w:divBdr>
        <w:top w:val="none" w:sz="0" w:space="0" w:color="auto"/>
        <w:left w:val="none" w:sz="0" w:space="0" w:color="auto"/>
        <w:bottom w:val="none" w:sz="0" w:space="0" w:color="auto"/>
        <w:right w:val="none" w:sz="0" w:space="0" w:color="auto"/>
      </w:divBdr>
    </w:div>
    <w:div w:id="170439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C58E-337E-4E14-B89D-B9820A655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2593</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stroie</dc:creator>
  <cp:lastModifiedBy>Marius Stroe</cp:lastModifiedBy>
  <cp:revision>11</cp:revision>
  <dcterms:created xsi:type="dcterms:W3CDTF">2023-02-07T11:25:00Z</dcterms:created>
  <dcterms:modified xsi:type="dcterms:W3CDTF">2023-02-08T12:40:00Z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d69af2217633e8d2e1b00235a4c96561df38ca7ec4aab501f6241f9917073146</vt:lpwstr>
  </property>
</Properties>
</file>