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0A1" w:rsidRPr="006E40A1" w:rsidRDefault="006E40A1" w:rsidP="006E40A1">
      <w:pPr>
        <w:spacing w:after="0" w:line="240" w:lineRule="auto"/>
        <w:rPr>
          <w:rFonts w:ascii="Arial" w:eastAsia="Times New Roman" w:hAnsi="Arial" w:cs="Arial"/>
          <w:b/>
          <w:sz w:val="24"/>
          <w:szCs w:val="24"/>
          <w:lang w:eastAsia="en-GB"/>
        </w:rPr>
      </w:pPr>
      <w:bookmarkStart w:id="0" w:name="_GoBack"/>
      <w:r w:rsidRPr="006E40A1">
        <w:rPr>
          <w:rFonts w:ascii="Arial" w:eastAsia="Times New Roman" w:hAnsi="Arial" w:cs="Arial"/>
          <w:b/>
          <w:sz w:val="24"/>
          <w:szCs w:val="24"/>
          <w:lang w:eastAsia="en-GB"/>
        </w:rPr>
        <w:t>Strategies for Effective Counter-Terrorism Policing in the UK: The Nexus of Terrorism, Crime, and Corruption</w:t>
      </w:r>
    </w:p>
    <w:bookmarkEnd w:id="0"/>
    <w:p w:rsidR="006E40A1" w:rsidRPr="006E40A1" w:rsidRDefault="006E40A1" w:rsidP="006E40A1">
      <w:pPr>
        <w:spacing w:after="0" w:line="240" w:lineRule="auto"/>
        <w:rPr>
          <w:rFonts w:ascii="Arial" w:eastAsia="Times New Roman" w:hAnsi="Arial" w:cs="Arial"/>
          <w:sz w:val="24"/>
          <w:szCs w:val="24"/>
          <w:lang w:eastAsia="en-GB"/>
        </w:rPr>
      </w:pPr>
      <w:r w:rsidRPr="006E40A1">
        <w:rPr>
          <w:rFonts w:ascii="Arial" w:eastAsia="Times New Roman" w:hAnsi="Arial" w:cs="Arial"/>
          <w:sz w:val="24"/>
          <w:szCs w:val="24"/>
          <w:lang w:eastAsia="en-GB"/>
        </w:rPr>
        <w:br/>
        <w:t xml:space="preserve">Terrorist organisations frequently partake in diverse criminal activities, encompassing acquisitive offences such as theft, fraud, and drug trafficking. The engagement in illicit activities serves several objectives, such as financing operations, enlisting members, and upholding organisational infrastructure (Makarenko, 2004). Gaining insight into these underlying reasons is crucial for the successful implementation of counter-terrorism policing strategies. This essay aims to investigate the reasons behind the inclination of terrorist organisations to engage in various sorts of illegal activities. Furthermore, it will examine how this information may be utilised to develop effective counter-terrorism policies in the United Kingdom. This analysis will utilise academic research and relevant case studies to establish that a comprehensive counter-terrorism approach, encompassing intelligence collecting, meticulous planning, and synchronised strike teams, is increasingly pertinent.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Terrorist groups frequently employ alternative forms of criminal activity to fund their operations. Acquisitive crimes, such as robbery, burglary, and fraud, generate the essential monies required to acquire weapons, establish secure hideouts, and meet logistical requirements (Shelley &amp; </w:t>
      </w:r>
      <w:proofErr w:type="spellStart"/>
      <w:r w:rsidRPr="006E40A1">
        <w:rPr>
          <w:rFonts w:ascii="Arial" w:eastAsia="Times New Roman" w:hAnsi="Arial" w:cs="Arial"/>
          <w:sz w:val="24"/>
          <w:szCs w:val="24"/>
          <w:lang w:eastAsia="en-GB"/>
        </w:rPr>
        <w:t>Picarelli</w:t>
      </w:r>
      <w:proofErr w:type="spellEnd"/>
      <w:r w:rsidRPr="006E40A1">
        <w:rPr>
          <w:rFonts w:ascii="Arial" w:eastAsia="Times New Roman" w:hAnsi="Arial" w:cs="Arial"/>
          <w:sz w:val="24"/>
          <w:szCs w:val="24"/>
          <w:lang w:eastAsia="en-GB"/>
        </w:rPr>
        <w:t xml:space="preserve">, 2002). Terrorist organisations, particularly those lacking governmental backing or substantial external financing, are driven to participate in criminal endeavours due to the financial strain they face. Academic research demonstrates that groups such as Al-Qaeda and ISIS have traditionally depended on smuggling and extortion as means to obtain revenue. These activities not only provide financial support to the organisations but also assist them in building a wider network of individuals involved in their cause (Hutchinson &amp; O'Malley, 2007).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Furthermore, engagement in illicit activities facilitates the enlistment of fresh participants. Individuals involved in illegal activities may be more prone to radicalization due to their existing sense of exclusion and lack of adherence to societal norms. Terrorist organisations capitalise on these weaknesses by offering a feeling of inclusion and direction, frequently utilising the profits from illegal activities to motivate recruitment (Clarke &amp; Newman, 2006). Studies have demonstrated that terrorist recruiters specifically seek out persons with prior criminal records, as they acknowledge their abilities and their capacity for unwavering commitment to their cause.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Criminality can also function as a method for sustaining the organisational framework. Terrorist activities necessitate significant resources to meet operational requirements, including training camps, communication networks, and transportation. Terrorist groups utilise illegal trade, drug trafficking, and other criminal enterprises to establish and maintain their infrastructure. One example of the Taliban's participation in the Afghan drug trade has been extensively recorded, demonstrating how criminal activities support their operational capacities (Peters, 2009).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Corruption greatly enables the criminal operations of terrorist organisations. Corrupt officials have the ability to furnish terrorist organisations with the essential paperwork, firearms, and secure passage in return for illicit payments (Shelley, 2014). The correlation between terrorism and corruption is a crucial element in </w:t>
      </w:r>
      <w:r w:rsidRPr="006E40A1">
        <w:rPr>
          <w:rFonts w:ascii="Arial" w:eastAsia="Times New Roman" w:hAnsi="Arial" w:cs="Arial"/>
          <w:sz w:val="24"/>
          <w:szCs w:val="24"/>
          <w:lang w:eastAsia="en-GB"/>
        </w:rPr>
        <w:lastRenderedPageBreak/>
        <w:t>comprehending how terrorists can act without facing consequences in specific areas. The presence of corrupt practices within law enforcement and government organisations can significantly impair counter-terrorism operations by enabling terrorist actions to remain undetected or without consequences. Terrorist organisations frequently exploit the prevalence of corruption in certain places to facilitate their engagement in illicit activities. In certain regions of Afghanistan and Pakistan, the presence of corruption among local authorities has facilitated the growth and success of groups such as the Taliban, who engage in activities such as drug trafficking and extortion (</w:t>
      </w:r>
      <w:proofErr w:type="spellStart"/>
      <w:r w:rsidRPr="006E40A1">
        <w:rPr>
          <w:rFonts w:ascii="Arial" w:eastAsia="Times New Roman" w:hAnsi="Arial" w:cs="Arial"/>
          <w:sz w:val="24"/>
          <w:szCs w:val="24"/>
          <w:lang w:eastAsia="en-GB"/>
        </w:rPr>
        <w:t>Felbab</w:t>
      </w:r>
      <w:proofErr w:type="spellEnd"/>
      <w:r w:rsidRPr="006E40A1">
        <w:rPr>
          <w:rFonts w:ascii="Arial" w:eastAsia="Times New Roman" w:hAnsi="Arial" w:cs="Arial"/>
          <w:sz w:val="24"/>
          <w:szCs w:val="24"/>
          <w:lang w:eastAsia="en-GB"/>
        </w:rPr>
        <w:t xml:space="preserve">-Brown, 2009). Corruption not only enables these actions, but also undermines public confidence in government institutions, so impeding legitimate authorities' ability to combat the influence of terrorist groups.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Multiple case studies exemplify the point at which terrorism, criminal behaviour, and corruption converge. An illustration of this is the Northern Ireland conflict, where the Irish Republican Army (IRA) resorted to bank robberies and smuggling as means to fund its operations. The complicity of corrupt officials facilitated the uninterrupted continuation of these actions for prolonged durations (English, 2003). Additionally, the financing of the 2004 Madrid train bombings was a combination of proceeds from drug trafficking and credit card fraud. Certain aspects of these activities were made possible by the involvement of corrupt networks (Alonso, 2007). Terrorist groups' engagement in criminal operations has consistently posed a difficulty in the United Kingdom. The investigation into the 7/7 London bombings uncovered that the terrorists had affiliations with minor criminal activities, which provided financial support for their preparations (Silber &amp; Bhatt, 2007). The Manchester Arena bombing in 2017 demonstrated how terrorist networks take advantage of pre-existing criminal links to aid their operations. These incidents illustrate the dynamic overlap between terrorism, other types of criminal activity, and corruption, which calls for a comprehensive approach to combating terrorism.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Gaining insight into the interconnection of terrorism, criminality, and corruption is essential for the successful implementation of counter-terrorist policing. An essential approach is to improve the collection of intelligence. Law enforcement agencies should establish strong intelligence networks to </w:t>
      </w:r>
      <w:proofErr w:type="spellStart"/>
      <w:r w:rsidRPr="006E40A1">
        <w:rPr>
          <w:rFonts w:ascii="Arial" w:eastAsia="Times New Roman" w:hAnsi="Arial" w:cs="Arial"/>
          <w:sz w:val="24"/>
          <w:szCs w:val="24"/>
          <w:lang w:eastAsia="en-GB"/>
        </w:rPr>
        <w:t>surveil</w:t>
      </w:r>
      <w:proofErr w:type="spellEnd"/>
      <w:r w:rsidRPr="006E40A1">
        <w:rPr>
          <w:rFonts w:ascii="Arial" w:eastAsia="Times New Roman" w:hAnsi="Arial" w:cs="Arial"/>
          <w:sz w:val="24"/>
          <w:szCs w:val="24"/>
          <w:lang w:eastAsia="en-GB"/>
        </w:rPr>
        <w:t xml:space="preserve"> illicit activities that may be associated with the financing of terrorism (Gill, 2016). This involves partnering with financial institutions to monitor suspicious transactions and use sophisticated analytics to detect patterns that suggest partnerships between criminals and terrorists. Moreover, meticulous strategizing and synchronisation across several law enforcement and intelligence organisations are needed. It is important to combine counter-terrorism operations with wider crime prevention tactics, as this can weaken terrorist organisations by disrupting criminal networks. This comprehensive approach necessitates smooth and efficient communication and exchange of information across several organisations, including the police, intelligence services, and financial regulators (Innes, 2006).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When it comes to capturing those responsible for the crime, the deployment of specialised attack teams is another essential component. To be able to successfully deal with dangers posed by criminals and terrorists, these teams need to go through training. The required capabilities to carry out raids, collect evidence, and eliminate potential threats should be prepared for them in advance. According to Clarke and Soria (2010), the utilisation of such teams has proven to be effective in a number of </w:t>
      </w:r>
      <w:r w:rsidRPr="006E40A1">
        <w:rPr>
          <w:rFonts w:ascii="Arial" w:eastAsia="Times New Roman" w:hAnsi="Arial" w:cs="Arial"/>
          <w:sz w:val="24"/>
          <w:szCs w:val="24"/>
          <w:lang w:eastAsia="en-GB"/>
        </w:rPr>
        <w:lastRenderedPageBreak/>
        <w:t>notable operations, precisely when timely and determined actions were taken to mitigate imminent risks.</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Combating corruption among law enforcement and governmental entities is crucial for ensuring the effectiveness of counter-terrorism efforts. Enforcing rigorous anti-corruption measures, such as frequent audits, transparency programmes, and rights for whistle-blowers, can effectively diminish the impact of corrupt practices. Training programmes that promote ethical conduct and responsibility can also have a vital impact in reducing corruption. Furthermore, it is imperative to have international collaboration in order to address the cross-border character of terrorism and its funding. Collaborating on effective strategies, knowledge, and assets might enhance the worldwide effort to combat terrorism and its related unlawful actions. Organisations such as INTERPOL and Europol facilitate collaboration by serving as forums for communication and cooperation among various national law enforcement agencies (Mullins, 2009).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The sphere of counter-terrorism policing is characterised by complex and varied organisational structures and interrelationships and interdependencies. The counter-terrorism infrastructure in the United Kingdom is comprised of a multitude of groups, including the Counter Terrorism Command (SO15) of the Metropolitan Police Service, MI5 (the Security Service), and regional counter-terrorism units (CTUs). A close working relationship exists between these organisations in order to detect, thwart, and eliminate terrorist activity. The method that incorporates collaboration ensures the effective exchange of intelligence and resources, which in turn makes it easier to respond in a coordinated manner to potential dangers. Therefore, the power to monitor and prevent terrorist operations that involve crossing national lines is improved as a result of the coordination between various agencies, which extends to partners from other nations.</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When the possible connections between terrorism and other forms of criminal behaviour are investigated, a relationship that is mutually beneficial is revealed. This relationship is one in which illegal actions provide assistance and enable terrorist operations. Transnational terrorist organisations engage in illegal activities such as the trafficking of drugs, the trafficking of people, and cybercrime in order to amass financial resources and acquire supplies that are essential to their operations. Due to the fact that law enforcement must simultaneously address both criminal and terrorist components, the incorporation of criminal enterprises into terrorist strategies presents a challenge for law enforcement. It is necessary to take a comprehensive approach in order to address the myriad of problems that are caused by these threats, which include both the efforts of conventional law enforcement and those of counterterrorism. </w:t>
      </w:r>
    </w:p>
    <w:p w:rsidR="006E40A1" w:rsidRPr="006E40A1" w:rsidRDefault="006E40A1" w:rsidP="006E40A1">
      <w:pPr>
        <w:spacing w:after="0" w:line="240" w:lineRule="auto"/>
        <w:rPr>
          <w:rFonts w:ascii="Arial" w:eastAsia="Times New Roman" w:hAnsi="Arial" w:cs="Arial"/>
          <w:sz w:val="24"/>
          <w:szCs w:val="24"/>
          <w:lang w:eastAsia="en-GB"/>
        </w:rPr>
      </w:pP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An additional essential component of counterterrorism is the assessment of the likelihood of an internal threat within the police force. The term "insider threats" refers to the collaboration between individuals working within law enforcement or other security organisations and terrorist groups. This type of threat has the potential to significantly hinder efforts to combat terrorism. In the event that ideological alignment, compulsion, or corruption is present, these risks may manifest themselves. Insiders have the potential to put vital information at risk, which in turn </w:t>
      </w:r>
      <w:r w:rsidRPr="006E40A1">
        <w:rPr>
          <w:rFonts w:ascii="Arial" w:eastAsia="Times New Roman" w:hAnsi="Arial" w:cs="Arial"/>
          <w:sz w:val="24"/>
          <w:szCs w:val="24"/>
          <w:lang w:eastAsia="en-GB"/>
        </w:rPr>
        <w:lastRenderedPageBreak/>
        <w:t xml:space="preserve">enables terrorist organisations to carry out their operations without being discovered. Comprehensive screening procedures, continuous surveillance of staff, and the cultivation of an environment that encourages honesty and responsibility within law enforcement organisations are all examples of measures that can be taken to mitigate the risks posed by insider threats. As an additional point of interest, the implementation of comprehensive whistle-blower protection measures can serve as an incentive for the reporting of suspicious behaviour and potential threats within the organisation. </w:t>
      </w:r>
    </w:p>
    <w:p w:rsidR="006E40A1" w:rsidRPr="006E40A1" w:rsidRDefault="006E40A1" w:rsidP="006E40A1">
      <w:pPr>
        <w:spacing w:after="0" w:line="240" w:lineRule="auto"/>
        <w:rPr>
          <w:rFonts w:ascii="Arial" w:eastAsia="Times New Roman" w:hAnsi="Arial" w:cs="Arial"/>
          <w:sz w:val="24"/>
          <w:szCs w:val="24"/>
          <w:lang w:eastAsia="en-GB"/>
        </w:rPr>
      </w:pP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The interrelationships that exist between terrorism, criminality, and corruption necessitate the implementation of a counter-terrorist police strategy that is both comprehensive and responsive to changing circumstances. Enhanced intelligence collection, increased inter-agency coordination, and the deployment of specialised strike teams are all ways in which law enforcement can improve their ability to effectively combat the multiple threats posed by terrorism and the criminal operations that are associated with it. Furthermore, it is essential to implement stringent safety protocols in order to combat corruption and maintain the integrity and effectiveness of counter-terrorism initiatives. This is because all of these things are intertwined. As a result of the dynamic nature of these threats, it is essential to take a comprehensive and adaptable approach to counterterrorism. This will ensure that the measures taken to protect national security continue to be relevant and effective. </w:t>
      </w:r>
    </w:p>
    <w:p w:rsidR="006E40A1" w:rsidRPr="006E40A1" w:rsidRDefault="006E40A1" w:rsidP="006E40A1">
      <w:pPr>
        <w:spacing w:after="0" w:line="240" w:lineRule="auto"/>
        <w:rPr>
          <w:rFonts w:ascii="Arial" w:eastAsia="Times New Roman" w:hAnsi="Arial" w:cs="Arial"/>
          <w:sz w:val="24"/>
          <w:szCs w:val="24"/>
          <w:lang w:eastAsia="en-GB"/>
        </w:rPr>
      </w:pP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In conclusion, </w:t>
      </w:r>
      <w:r w:rsidRPr="006E40A1">
        <w:rPr>
          <w:rFonts w:ascii="Arial" w:eastAsia="Times New Roman" w:hAnsi="Arial" w:cs="Arial"/>
          <w:sz w:val="24"/>
          <w:szCs w:val="24"/>
          <w:lang w:eastAsia="en-GB"/>
        </w:rPr>
        <w:br/>
        <w:t>A conscious and premeditated choice to acquire finance, attract new members, and maintain their operational skills is what drives terrorist groups to participate in a variety of criminal activities, particularly those related to the acquisition of resources. The United Kingdom faces significant challenges in its efforts to combat terrorism as a result of the convergence of corrupt practices, criminal activity, and terrorist acts. It is possible for law enforcement to enhance intelligence gathering, encourage inter-agency collaboration, and deploy specialist strike teams in order to effectively combat the many hazards posed by terrorism and the criminal operations that are associated with it. In addition, it is of the utmost importance to strictly adhere to safety regulations in order to combat corruption, maintain the integrity of counter-terrorism efforts, and ensure that they are effective. Due to the ever-changing nature of these dangers, it is essential to have a comprehensive and adaptable approach to counterterrorism. This will ensure that the various measures taken to preserve national security continue to be effective and relevant.</w:t>
      </w:r>
    </w:p>
    <w:p w:rsidR="006E40A1" w:rsidRPr="00FA4ACA" w:rsidRDefault="006E40A1" w:rsidP="006E40A1">
      <w:pPr>
        <w:spacing w:after="0" w:line="240" w:lineRule="auto"/>
        <w:rPr>
          <w:rFonts w:ascii="Bahnschrift Light" w:hAnsi="Bahnschrift Light"/>
        </w:rPr>
      </w:pPr>
    </w:p>
    <w:p w:rsidR="006E40A1" w:rsidRPr="00FA4ACA" w:rsidRDefault="006E40A1" w:rsidP="006E40A1">
      <w:pPr>
        <w:rPr>
          <w:rFonts w:ascii="Bahnschrift Light" w:hAnsi="Bahnschrift Light"/>
        </w:rPr>
      </w:pPr>
      <w:r w:rsidRPr="006E40A1">
        <w:rPr>
          <w:rFonts w:ascii="Arial" w:hAnsi="Arial" w:cs="Arial"/>
        </w:rPr>
        <w:t>Word Count</w:t>
      </w:r>
      <w:r>
        <w:rPr>
          <w:rFonts w:ascii="Bahnschrift Light" w:hAnsi="Bahnschrift Light"/>
        </w:rPr>
        <w:t>: 1849</w:t>
      </w:r>
    </w:p>
    <w:p w:rsidR="006E40A1" w:rsidRPr="00FA4ACA" w:rsidRDefault="006E40A1" w:rsidP="006E40A1">
      <w:pPr>
        <w:rPr>
          <w:rFonts w:ascii="Bahnschrift Light" w:hAnsi="Bahnschrift Light"/>
        </w:rPr>
      </w:pPr>
    </w:p>
    <w:p w:rsidR="006E40A1" w:rsidRPr="006E40A1" w:rsidRDefault="006E40A1" w:rsidP="006E40A1">
      <w:pPr>
        <w:spacing w:before="100" w:beforeAutospacing="1" w:after="100" w:afterAutospacing="1" w:line="240" w:lineRule="auto"/>
        <w:outlineLvl w:val="2"/>
        <w:rPr>
          <w:rFonts w:ascii="Arial" w:eastAsia="Times New Roman" w:hAnsi="Arial" w:cs="Arial"/>
          <w:b/>
          <w:bCs/>
          <w:sz w:val="24"/>
          <w:szCs w:val="24"/>
          <w:lang w:eastAsia="en-GB"/>
        </w:rPr>
      </w:pPr>
      <w:r w:rsidRPr="006E40A1">
        <w:rPr>
          <w:rFonts w:ascii="Arial" w:eastAsia="Times New Roman" w:hAnsi="Arial" w:cs="Arial"/>
          <w:b/>
          <w:bCs/>
          <w:sz w:val="24"/>
          <w:szCs w:val="24"/>
          <w:lang w:eastAsia="en-GB"/>
        </w:rPr>
        <w:t>References</w:t>
      </w:r>
    </w:p>
    <w:p w:rsidR="006E40A1" w:rsidRPr="000F39E4" w:rsidRDefault="006E40A1" w:rsidP="006E40A1">
      <w:pPr>
        <w:rPr>
          <w:rFonts w:ascii="Bahnschrift Light" w:eastAsia="Times New Roman" w:hAnsi="Bahnschrift Light" w:cs="Times New Roman"/>
          <w:sz w:val="24"/>
          <w:szCs w:val="24"/>
          <w:lang w:eastAsia="en-GB"/>
        </w:rPr>
      </w:pPr>
      <w:r w:rsidRPr="000F39E4">
        <w:rPr>
          <w:rFonts w:ascii="Bahnschrift Light" w:eastAsia="Times New Roman" w:hAnsi="Bahnschrift Light" w:cs="Times New Roman"/>
          <w:sz w:val="24"/>
          <w:szCs w:val="24"/>
          <w:lang w:eastAsia="en-GB"/>
        </w:rPr>
        <w:t xml:space="preserve">Alonso, R., 2007. The Madrid Bombings and Global War on Terrorism: A Case Study of Contingency in Counter-Terrorism. </w:t>
      </w:r>
      <w:proofErr w:type="gramStart"/>
      <w:r w:rsidRPr="000F39E4">
        <w:rPr>
          <w:rFonts w:ascii="Bahnschrift Light" w:eastAsia="Times New Roman" w:hAnsi="Bahnschrift Light" w:cs="Times New Roman"/>
          <w:i/>
          <w:iCs/>
          <w:sz w:val="24"/>
          <w:szCs w:val="24"/>
          <w:lang w:eastAsia="en-GB"/>
        </w:rPr>
        <w:t>Terrorism and Political Violence</w:t>
      </w:r>
      <w:r w:rsidRPr="000F39E4">
        <w:rPr>
          <w:rFonts w:ascii="Bahnschrift Light" w:eastAsia="Times New Roman" w:hAnsi="Bahnschrift Light" w:cs="Times New Roman"/>
          <w:sz w:val="24"/>
          <w:szCs w:val="24"/>
          <w:lang w:eastAsia="en-GB"/>
        </w:rPr>
        <w:t>, 19(1), pp.137-164.</w:t>
      </w:r>
      <w:proofErr w:type="gramEnd"/>
    </w:p>
    <w:p w:rsidR="006E40A1" w:rsidRPr="000F39E4" w:rsidRDefault="006E40A1" w:rsidP="006E40A1">
      <w:pPr>
        <w:rPr>
          <w:rFonts w:ascii="Bahnschrift Light" w:eastAsia="Times New Roman" w:hAnsi="Bahnschrift Light" w:cs="Times New Roman"/>
          <w:sz w:val="24"/>
          <w:szCs w:val="24"/>
          <w:lang w:eastAsia="en-GB"/>
        </w:rPr>
      </w:pPr>
      <w:r w:rsidRPr="000F39E4">
        <w:rPr>
          <w:rFonts w:ascii="Bahnschrift Light" w:eastAsia="Times New Roman" w:hAnsi="Bahnschrift Light" w:cs="Times New Roman"/>
          <w:sz w:val="24"/>
          <w:szCs w:val="24"/>
          <w:lang w:eastAsia="en-GB"/>
        </w:rPr>
        <w:lastRenderedPageBreak/>
        <w:t xml:space="preserve">Clarke, R.V. and Newman, G.R., 2006. </w:t>
      </w:r>
      <w:proofErr w:type="gramStart"/>
      <w:r w:rsidRPr="000F39E4">
        <w:rPr>
          <w:rFonts w:ascii="Bahnschrift Light" w:eastAsia="Times New Roman" w:hAnsi="Bahnschrift Light" w:cs="Times New Roman"/>
          <w:i/>
          <w:iCs/>
          <w:sz w:val="24"/>
          <w:szCs w:val="24"/>
          <w:lang w:eastAsia="en-GB"/>
        </w:rPr>
        <w:t>Outsmarting the Terrorists</w:t>
      </w:r>
      <w:r w:rsidRPr="000F39E4">
        <w:rPr>
          <w:rFonts w:ascii="Bahnschrift Light" w:eastAsia="Times New Roman" w:hAnsi="Bahnschrift Light" w:cs="Times New Roman"/>
          <w:sz w:val="24"/>
          <w:szCs w:val="24"/>
          <w:lang w:eastAsia="en-GB"/>
        </w:rPr>
        <w:t>.</w:t>
      </w:r>
      <w:proofErr w:type="gramEnd"/>
      <w:r w:rsidRPr="000F39E4">
        <w:rPr>
          <w:rFonts w:ascii="Bahnschrift Light" w:eastAsia="Times New Roman" w:hAnsi="Bahnschrift Light" w:cs="Times New Roman"/>
          <w:sz w:val="24"/>
          <w:szCs w:val="24"/>
          <w:lang w:eastAsia="en-GB"/>
        </w:rPr>
        <w:t xml:space="preserve"> Westport, CT: Greenwood Publishing Group.</w:t>
      </w:r>
    </w:p>
    <w:p w:rsidR="006E40A1" w:rsidRPr="000F39E4" w:rsidRDefault="006E40A1" w:rsidP="006E40A1">
      <w:pPr>
        <w:rPr>
          <w:rFonts w:ascii="Bahnschrift Light" w:eastAsia="Times New Roman" w:hAnsi="Bahnschrift Light" w:cs="Times New Roman"/>
          <w:sz w:val="24"/>
          <w:szCs w:val="24"/>
          <w:lang w:eastAsia="en-GB"/>
        </w:rPr>
      </w:pPr>
      <w:r w:rsidRPr="000F39E4">
        <w:rPr>
          <w:rFonts w:ascii="Bahnschrift Light" w:eastAsia="Times New Roman" w:hAnsi="Bahnschrift Light" w:cs="Times New Roman"/>
          <w:sz w:val="24"/>
          <w:szCs w:val="24"/>
          <w:lang w:eastAsia="en-GB"/>
        </w:rPr>
        <w:t xml:space="preserve">Clarke, R.V. and Soria, C., 2010. </w:t>
      </w:r>
      <w:proofErr w:type="gramStart"/>
      <w:r w:rsidRPr="000F39E4">
        <w:rPr>
          <w:rFonts w:ascii="Bahnschrift Light" w:eastAsia="Times New Roman" w:hAnsi="Bahnschrift Light" w:cs="Times New Roman"/>
          <w:sz w:val="24"/>
          <w:szCs w:val="24"/>
          <w:lang w:eastAsia="en-GB"/>
        </w:rPr>
        <w:t>Counter-terrorism through situational crime prevention.</w:t>
      </w:r>
      <w:proofErr w:type="gramEnd"/>
      <w:r w:rsidRPr="000F39E4">
        <w:rPr>
          <w:rFonts w:ascii="Bahnschrift Light" w:eastAsia="Times New Roman" w:hAnsi="Bahnschrift Light" w:cs="Times New Roman"/>
          <w:sz w:val="24"/>
          <w:szCs w:val="24"/>
          <w:lang w:eastAsia="en-GB"/>
        </w:rPr>
        <w:t xml:space="preserve"> </w:t>
      </w:r>
      <w:proofErr w:type="gramStart"/>
      <w:r w:rsidRPr="000F39E4">
        <w:rPr>
          <w:rFonts w:ascii="Bahnschrift Light" w:eastAsia="Times New Roman" w:hAnsi="Bahnschrift Light" w:cs="Times New Roman"/>
          <w:i/>
          <w:iCs/>
          <w:sz w:val="24"/>
          <w:szCs w:val="24"/>
          <w:lang w:eastAsia="en-GB"/>
        </w:rPr>
        <w:t>Crime Prevention Studies</w:t>
      </w:r>
      <w:r w:rsidRPr="000F39E4">
        <w:rPr>
          <w:rFonts w:ascii="Bahnschrift Light" w:eastAsia="Times New Roman" w:hAnsi="Bahnschrift Light" w:cs="Times New Roman"/>
          <w:sz w:val="24"/>
          <w:szCs w:val="24"/>
          <w:lang w:eastAsia="en-GB"/>
        </w:rPr>
        <w:t>, 25, pp.101-130.</w:t>
      </w:r>
      <w:proofErr w:type="gramEnd"/>
    </w:p>
    <w:p w:rsidR="006E40A1" w:rsidRPr="000F39E4" w:rsidRDefault="006E40A1" w:rsidP="006E40A1">
      <w:pPr>
        <w:rPr>
          <w:rFonts w:ascii="Bahnschrift Light" w:eastAsia="Times New Roman" w:hAnsi="Bahnschrift Light" w:cs="Times New Roman"/>
          <w:sz w:val="24"/>
          <w:szCs w:val="24"/>
          <w:lang w:eastAsia="en-GB"/>
        </w:rPr>
      </w:pPr>
      <w:r w:rsidRPr="000F39E4">
        <w:rPr>
          <w:rFonts w:ascii="Bahnschrift Light" w:eastAsia="Times New Roman" w:hAnsi="Bahnschrift Light" w:cs="Times New Roman"/>
          <w:sz w:val="24"/>
          <w:szCs w:val="24"/>
          <w:lang w:eastAsia="en-GB"/>
        </w:rPr>
        <w:t xml:space="preserve">English, R., 2003. </w:t>
      </w:r>
      <w:proofErr w:type="gramStart"/>
      <w:r w:rsidRPr="000F39E4">
        <w:rPr>
          <w:rFonts w:ascii="Bahnschrift Light" w:eastAsia="Times New Roman" w:hAnsi="Bahnschrift Light" w:cs="Times New Roman"/>
          <w:i/>
          <w:iCs/>
          <w:sz w:val="24"/>
          <w:szCs w:val="24"/>
          <w:lang w:eastAsia="en-GB"/>
        </w:rPr>
        <w:t>Armed Struggle: The History of the IRA</w:t>
      </w:r>
      <w:r w:rsidRPr="000F39E4">
        <w:rPr>
          <w:rFonts w:ascii="Bahnschrift Light" w:eastAsia="Times New Roman" w:hAnsi="Bahnschrift Light" w:cs="Times New Roman"/>
          <w:sz w:val="24"/>
          <w:szCs w:val="24"/>
          <w:lang w:eastAsia="en-GB"/>
        </w:rPr>
        <w:t>.</w:t>
      </w:r>
      <w:proofErr w:type="gramEnd"/>
      <w:r w:rsidRPr="000F39E4">
        <w:rPr>
          <w:rFonts w:ascii="Bahnschrift Light" w:eastAsia="Times New Roman" w:hAnsi="Bahnschrift Light" w:cs="Times New Roman"/>
          <w:sz w:val="24"/>
          <w:szCs w:val="24"/>
          <w:lang w:eastAsia="en-GB"/>
        </w:rPr>
        <w:t xml:space="preserve"> London: Pan Macmillan.</w:t>
      </w:r>
    </w:p>
    <w:p w:rsidR="006E40A1" w:rsidRPr="000F39E4" w:rsidRDefault="006E40A1" w:rsidP="006E40A1">
      <w:pPr>
        <w:rPr>
          <w:rFonts w:ascii="Bahnschrift Light" w:eastAsia="Times New Roman" w:hAnsi="Bahnschrift Light" w:cs="Times New Roman"/>
          <w:sz w:val="24"/>
          <w:szCs w:val="24"/>
          <w:lang w:eastAsia="en-GB"/>
        </w:rPr>
      </w:pPr>
      <w:proofErr w:type="spellStart"/>
      <w:proofErr w:type="gramStart"/>
      <w:r w:rsidRPr="000F39E4">
        <w:rPr>
          <w:rFonts w:ascii="Bahnschrift Light" w:eastAsia="Times New Roman" w:hAnsi="Bahnschrift Light" w:cs="Times New Roman"/>
          <w:sz w:val="24"/>
          <w:szCs w:val="24"/>
          <w:lang w:eastAsia="en-GB"/>
        </w:rPr>
        <w:t>Felbab</w:t>
      </w:r>
      <w:proofErr w:type="spellEnd"/>
      <w:r w:rsidRPr="000F39E4">
        <w:rPr>
          <w:rFonts w:ascii="Bahnschrift Light" w:eastAsia="Times New Roman" w:hAnsi="Bahnschrift Light" w:cs="Times New Roman"/>
          <w:sz w:val="24"/>
          <w:szCs w:val="24"/>
          <w:lang w:eastAsia="en-GB"/>
        </w:rPr>
        <w:t>-Brown, V., 2009.</w:t>
      </w:r>
      <w:proofErr w:type="gramEnd"/>
      <w:r w:rsidRPr="000F39E4">
        <w:rPr>
          <w:rFonts w:ascii="Bahnschrift Light" w:eastAsia="Times New Roman" w:hAnsi="Bahnschrift Light" w:cs="Times New Roman"/>
          <w:sz w:val="24"/>
          <w:szCs w:val="24"/>
          <w:lang w:eastAsia="en-GB"/>
        </w:rPr>
        <w:t xml:space="preserve"> </w:t>
      </w:r>
      <w:proofErr w:type="gramStart"/>
      <w:r w:rsidRPr="000F39E4">
        <w:rPr>
          <w:rFonts w:ascii="Bahnschrift Light" w:eastAsia="Times New Roman" w:hAnsi="Bahnschrift Light" w:cs="Times New Roman"/>
          <w:i/>
          <w:iCs/>
          <w:sz w:val="24"/>
          <w:szCs w:val="24"/>
          <w:lang w:eastAsia="en-GB"/>
        </w:rPr>
        <w:t>Shooting Up: Counterinsurgency and the War on Drugs</w:t>
      </w:r>
      <w:r w:rsidRPr="000F39E4">
        <w:rPr>
          <w:rFonts w:ascii="Bahnschrift Light" w:eastAsia="Times New Roman" w:hAnsi="Bahnschrift Light" w:cs="Times New Roman"/>
          <w:sz w:val="24"/>
          <w:szCs w:val="24"/>
          <w:lang w:eastAsia="en-GB"/>
        </w:rPr>
        <w:t>.</w:t>
      </w:r>
      <w:proofErr w:type="gramEnd"/>
      <w:r w:rsidRPr="000F39E4">
        <w:rPr>
          <w:rFonts w:ascii="Bahnschrift Light" w:eastAsia="Times New Roman" w:hAnsi="Bahnschrift Light" w:cs="Times New Roman"/>
          <w:sz w:val="24"/>
          <w:szCs w:val="24"/>
          <w:lang w:eastAsia="en-GB"/>
        </w:rPr>
        <w:t xml:space="preserve"> Washington, D.C.: Brookings Institution Press.</w:t>
      </w:r>
    </w:p>
    <w:p w:rsidR="006E40A1" w:rsidRPr="000F39E4" w:rsidRDefault="006E40A1" w:rsidP="006E40A1">
      <w:pPr>
        <w:rPr>
          <w:rFonts w:ascii="Bahnschrift Light" w:eastAsia="Times New Roman" w:hAnsi="Bahnschrift Light" w:cs="Times New Roman"/>
          <w:sz w:val="24"/>
          <w:szCs w:val="24"/>
          <w:lang w:eastAsia="en-GB"/>
        </w:rPr>
      </w:pPr>
      <w:proofErr w:type="gramStart"/>
      <w:r w:rsidRPr="000F39E4">
        <w:rPr>
          <w:rFonts w:ascii="Bahnschrift Light" w:eastAsia="Times New Roman" w:hAnsi="Bahnschrift Light" w:cs="Times New Roman"/>
          <w:sz w:val="24"/>
          <w:szCs w:val="24"/>
          <w:lang w:eastAsia="en-GB"/>
        </w:rPr>
        <w:t>Gill, P., 2016.</w:t>
      </w:r>
      <w:proofErr w:type="gramEnd"/>
      <w:r w:rsidRPr="000F39E4">
        <w:rPr>
          <w:rFonts w:ascii="Bahnschrift Light" w:eastAsia="Times New Roman" w:hAnsi="Bahnschrift Light" w:cs="Times New Roman"/>
          <w:sz w:val="24"/>
          <w:szCs w:val="24"/>
          <w:lang w:eastAsia="en-GB"/>
        </w:rPr>
        <w:t xml:space="preserve"> </w:t>
      </w:r>
      <w:r w:rsidRPr="000F39E4">
        <w:rPr>
          <w:rFonts w:ascii="Bahnschrift Light" w:eastAsia="Times New Roman" w:hAnsi="Bahnschrift Light" w:cs="Times New Roman"/>
          <w:i/>
          <w:iCs/>
          <w:sz w:val="24"/>
          <w:szCs w:val="24"/>
          <w:lang w:eastAsia="en-GB"/>
        </w:rPr>
        <w:t>Lone-Actor Terrorists: A Behavioural Analysis</w:t>
      </w:r>
      <w:r w:rsidRPr="000F39E4">
        <w:rPr>
          <w:rFonts w:ascii="Bahnschrift Light" w:eastAsia="Times New Roman" w:hAnsi="Bahnschrift Light" w:cs="Times New Roman"/>
          <w:sz w:val="24"/>
          <w:szCs w:val="24"/>
          <w:lang w:eastAsia="en-GB"/>
        </w:rPr>
        <w:t>. London: Routledge.</w:t>
      </w:r>
    </w:p>
    <w:p w:rsidR="006E40A1" w:rsidRPr="000F39E4" w:rsidRDefault="006E40A1" w:rsidP="006E40A1">
      <w:pPr>
        <w:rPr>
          <w:rFonts w:ascii="Bahnschrift Light" w:eastAsia="Times New Roman" w:hAnsi="Bahnschrift Light" w:cs="Times New Roman"/>
          <w:sz w:val="24"/>
          <w:szCs w:val="24"/>
          <w:lang w:eastAsia="en-GB"/>
        </w:rPr>
      </w:pPr>
      <w:proofErr w:type="gramStart"/>
      <w:r w:rsidRPr="000F39E4">
        <w:rPr>
          <w:rFonts w:ascii="Bahnschrift Light" w:eastAsia="Times New Roman" w:hAnsi="Bahnschrift Light" w:cs="Times New Roman"/>
          <w:sz w:val="24"/>
          <w:szCs w:val="24"/>
          <w:lang w:eastAsia="en-GB"/>
        </w:rPr>
        <w:t>Hutchinson, S. and O'Malley, P., 2007.</w:t>
      </w:r>
      <w:proofErr w:type="gramEnd"/>
      <w:r w:rsidRPr="000F39E4">
        <w:rPr>
          <w:rFonts w:ascii="Bahnschrift Light" w:eastAsia="Times New Roman" w:hAnsi="Bahnschrift Light" w:cs="Times New Roman"/>
          <w:sz w:val="24"/>
          <w:szCs w:val="24"/>
          <w:lang w:eastAsia="en-GB"/>
        </w:rPr>
        <w:t xml:space="preserve"> </w:t>
      </w:r>
      <w:proofErr w:type="gramStart"/>
      <w:r w:rsidRPr="000F39E4">
        <w:rPr>
          <w:rFonts w:ascii="Bahnschrift Light" w:eastAsia="Times New Roman" w:hAnsi="Bahnschrift Light" w:cs="Times New Roman"/>
          <w:sz w:val="24"/>
          <w:szCs w:val="24"/>
          <w:lang w:eastAsia="en-GB"/>
        </w:rPr>
        <w:t>A Crime–Terror Nexus?</w:t>
      </w:r>
      <w:proofErr w:type="gramEnd"/>
      <w:r w:rsidRPr="000F39E4">
        <w:rPr>
          <w:rFonts w:ascii="Bahnschrift Light" w:eastAsia="Times New Roman" w:hAnsi="Bahnschrift Light" w:cs="Times New Roman"/>
          <w:sz w:val="24"/>
          <w:szCs w:val="24"/>
          <w:lang w:eastAsia="en-GB"/>
        </w:rPr>
        <w:t xml:space="preserve"> </w:t>
      </w:r>
      <w:proofErr w:type="gramStart"/>
      <w:r w:rsidRPr="000F39E4">
        <w:rPr>
          <w:rFonts w:ascii="Bahnschrift Light" w:eastAsia="Times New Roman" w:hAnsi="Bahnschrift Light" w:cs="Times New Roman"/>
          <w:sz w:val="24"/>
          <w:szCs w:val="24"/>
          <w:lang w:eastAsia="en-GB"/>
        </w:rPr>
        <w:t>Thinking on Some of the Links between Terrorism and Criminality.</w:t>
      </w:r>
      <w:proofErr w:type="gramEnd"/>
      <w:r w:rsidRPr="000F39E4">
        <w:rPr>
          <w:rFonts w:ascii="Bahnschrift Light" w:eastAsia="Times New Roman" w:hAnsi="Bahnschrift Light" w:cs="Times New Roman"/>
          <w:sz w:val="24"/>
          <w:szCs w:val="24"/>
          <w:lang w:eastAsia="en-GB"/>
        </w:rPr>
        <w:t xml:space="preserve"> </w:t>
      </w:r>
      <w:proofErr w:type="gramStart"/>
      <w:r w:rsidRPr="000F39E4">
        <w:rPr>
          <w:rFonts w:ascii="Bahnschrift Light" w:eastAsia="Times New Roman" w:hAnsi="Bahnschrift Light" w:cs="Times New Roman"/>
          <w:i/>
          <w:iCs/>
          <w:sz w:val="24"/>
          <w:szCs w:val="24"/>
          <w:lang w:eastAsia="en-GB"/>
        </w:rPr>
        <w:t>Studies in Conflict &amp; Terrorism</w:t>
      </w:r>
      <w:r w:rsidRPr="000F39E4">
        <w:rPr>
          <w:rFonts w:ascii="Bahnschrift Light" w:eastAsia="Times New Roman" w:hAnsi="Bahnschrift Light" w:cs="Times New Roman"/>
          <w:sz w:val="24"/>
          <w:szCs w:val="24"/>
          <w:lang w:eastAsia="en-GB"/>
        </w:rPr>
        <w:t>, 30(12), pp.1095-1107.</w:t>
      </w:r>
      <w:proofErr w:type="gramEnd"/>
    </w:p>
    <w:p w:rsidR="006E40A1" w:rsidRPr="000F39E4" w:rsidRDefault="006E40A1" w:rsidP="006E40A1">
      <w:pPr>
        <w:rPr>
          <w:rFonts w:ascii="Bahnschrift Light" w:eastAsia="Times New Roman" w:hAnsi="Bahnschrift Light" w:cs="Times New Roman"/>
          <w:sz w:val="24"/>
          <w:szCs w:val="24"/>
          <w:lang w:eastAsia="en-GB"/>
        </w:rPr>
      </w:pPr>
      <w:proofErr w:type="gramStart"/>
      <w:r w:rsidRPr="000F39E4">
        <w:rPr>
          <w:rFonts w:ascii="Bahnschrift Light" w:eastAsia="Times New Roman" w:hAnsi="Bahnschrift Light" w:cs="Times New Roman"/>
          <w:sz w:val="24"/>
          <w:szCs w:val="24"/>
          <w:lang w:eastAsia="en-GB"/>
        </w:rPr>
        <w:t>Innes, M., 2006.</w:t>
      </w:r>
      <w:proofErr w:type="gramEnd"/>
      <w:r w:rsidRPr="000F39E4">
        <w:rPr>
          <w:rFonts w:ascii="Bahnschrift Light" w:eastAsia="Times New Roman" w:hAnsi="Bahnschrift Light" w:cs="Times New Roman"/>
          <w:sz w:val="24"/>
          <w:szCs w:val="24"/>
          <w:lang w:eastAsia="en-GB"/>
        </w:rPr>
        <w:t xml:space="preserve"> Policing Uncertainty: Countering Terror through Community Intelligence and Democratic Policing. </w:t>
      </w:r>
      <w:proofErr w:type="gramStart"/>
      <w:r w:rsidRPr="000F39E4">
        <w:rPr>
          <w:rFonts w:ascii="Bahnschrift Light" w:eastAsia="Times New Roman" w:hAnsi="Bahnschrift Light" w:cs="Times New Roman"/>
          <w:i/>
          <w:iCs/>
          <w:sz w:val="24"/>
          <w:szCs w:val="24"/>
          <w:lang w:eastAsia="en-GB"/>
        </w:rPr>
        <w:t>Annals of the American Academy of Political and Social Science</w:t>
      </w:r>
      <w:r w:rsidRPr="000F39E4">
        <w:rPr>
          <w:rFonts w:ascii="Bahnschrift Light" w:eastAsia="Times New Roman" w:hAnsi="Bahnschrift Light" w:cs="Times New Roman"/>
          <w:sz w:val="24"/>
          <w:szCs w:val="24"/>
          <w:lang w:eastAsia="en-GB"/>
        </w:rPr>
        <w:t>, 605(1), pp.222-241.</w:t>
      </w:r>
      <w:proofErr w:type="gramEnd"/>
    </w:p>
    <w:p w:rsidR="006E40A1" w:rsidRPr="000F39E4" w:rsidRDefault="006E40A1" w:rsidP="006E40A1">
      <w:pPr>
        <w:rPr>
          <w:rFonts w:ascii="Bahnschrift Light" w:eastAsia="Times New Roman" w:hAnsi="Bahnschrift Light" w:cs="Times New Roman"/>
          <w:sz w:val="24"/>
          <w:szCs w:val="24"/>
          <w:lang w:eastAsia="en-GB"/>
        </w:rPr>
      </w:pPr>
      <w:proofErr w:type="gramStart"/>
      <w:r w:rsidRPr="000F39E4">
        <w:rPr>
          <w:rFonts w:ascii="Bahnschrift Light" w:eastAsia="Times New Roman" w:hAnsi="Bahnschrift Light" w:cs="Times New Roman"/>
          <w:sz w:val="24"/>
          <w:szCs w:val="24"/>
          <w:lang w:eastAsia="en-GB"/>
        </w:rPr>
        <w:t>Makarenko, T., 2004.</w:t>
      </w:r>
      <w:proofErr w:type="gramEnd"/>
      <w:r w:rsidRPr="000F39E4">
        <w:rPr>
          <w:rFonts w:ascii="Bahnschrift Light" w:eastAsia="Times New Roman" w:hAnsi="Bahnschrift Light" w:cs="Times New Roman"/>
          <w:sz w:val="24"/>
          <w:szCs w:val="24"/>
          <w:lang w:eastAsia="en-GB"/>
        </w:rPr>
        <w:t xml:space="preserve"> The Crime-Terror Continuum: Tracing the Interplay between Transnational Organized Crime and Terrorism. </w:t>
      </w:r>
      <w:proofErr w:type="gramStart"/>
      <w:r w:rsidRPr="000F39E4">
        <w:rPr>
          <w:rFonts w:ascii="Bahnschrift Light" w:eastAsia="Times New Roman" w:hAnsi="Bahnschrift Light" w:cs="Times New Roman"/>
          <w:i/>
          <w:iCs/>
          <w:sz w:val="24"/>
          <w:szCs w:val="24"/>
          <w:lang w:eastAsia="en-GB"/>
        </w:rPr>
        <w:t>Global Crime</w:t>
      </w:r>
      <w:r w:rsidRPr="000F39E4">
        <w:rPr>
          <w:rFonts w:ascii="Bahnschrift Light" w:eastAsia="Times New Roman" w:hAnsi="Bahnschrift Light" w:cs="Times New Roman"/>
          <w:sz w:val="24"/>
          <w:szCs w:val="24"/>
          <w:lang w:eastAsia="en-GB"/>
        </w:rPr>
        <w:t>, 6(1), pp.129-145.</w:t>
      </w:r>
      <w:proofErr w:type="gramEnd"/>
    </w:p>
    <w:p w:rsidR="006E40A1" w:rsidRPr="000F39E4" w:rsidRDefault="006E40A1" w:rsidP="006E40A1">
      <w:pPr>
        <w:rPr>
          <w:rFonts w:ascii="Bahnschrift Light" w:eastAsia="Times New Roman" w:hAnsi="Bahnschrift Light" w:cs="Times New Roman"/>
          <w:sz w:val="24"/>
          <w:szCs w:val="24"/>
          <w:lang w:eastAsia="en-GB"/>
        </w:rPr>
      </w:pPr>
      <w:proofErr w:type="gramStart"/>
      <w:r w:rsidRPr="000F39E4">
        <w:rPr>
          <w:rFonts w:ascii="Bahnschrift Light" w:eastAsia="Times New Roman" w:hAnsi="Bahnschrift Light" w:cs="Times New Roman"/>
          <w:sz w:val="24"/>
          <w:szCs w:val="24"/>
          <w:lang w:eastAsia="en-GB"/>
        </w:rPr>
        <w:t>Mullins, S., 2009.</w:t>
      </w:r>
      <w:proofErr w:type="gramEnd"/>
      <w:r w:rsidRPr="000F39E4">
        <w:rPr>
          <w:rFonts w:ascii="Bahnschrift Light" w:eastAsia="Times New Roman" w:hAnsi="Bahnschrift Light" w:cs="Times New Roman"/>
          <w:sz w:val="24"/>
          <w:szCs w:val="24"/>
          <w:lang w:eastAsia="en-GB"/>
        </w:rPr>
        <w:t xml:space="preserve"> Parallels between Crime and Terrorism: A Social Psychological Perspective. </w:t>
      </w:r>
      <w:proofErr w:type="gramStart"/>
      <w:r w:rsidRPr="000F39E4">
        <w:rPr>
          <w:rFonts w:ascii="Bahnschrift Light" w:eastAsia="Times New Roman" w:hAnsi="Bahnschrift Light" w:cs="Times New Roman"/>
          <w:i/>
          <w:iCs/>
          <w:sz w:val="24"/>
          <w:szCs w:val="24"/>
          <w:lang w:eastAsia="en-GB"/>
        </w:rPr>
        <w:t>Studies in Conflict &amp; Terrorism</w:t>
      </w:r>
      <w:r w:rsidRPr="000F39E4">
        <w:rPr>
          <w:rFonts w:ascii="Bahnschrift Light" w:eastAsia="Times New Roman" w:hAnsi="Bahnschrift Light" w:cs="Times New Roman"/>
          <w:sz w:val="24"/>
          <w:szCs w:val="24"/>
          <w:lang w:eastAsia="en-GB"/>
        </w:rPr>
        <w:t>, 32(9), pp.811-830.</w:t>
      </w:r>
      <w:proofErr w:type="gramEnd"/>
    </w:p>
    <w:p w:rsidR="006E40A1" w:rsidRPr="000F39E4" w:rsidRDefault="006E40A1" w:rsidP="006E40A1">
      <w:pPr>
        <w:rPr>
          <w:rFonts w:ascii="Bahnschrift Light" w:eastAsia="Times New Roman" w:hAnsi="Bahnschrift Light" w:cs="Times New Roman"/>
          <w:sz w:val="24"/>
          <w:szCs w:val="24"/>
          <w:lang w:eastAsia="en-GB"/>
        </w:rPr>
      </w:pPr>
      <w:r w:rsidRPr="000F39E4">
        <w:rPr>
          <w:rFonts w:ascii="Bahnschrift Light" w:eastAsia="Times New Roman" w:hAnsi="Bahnschrift Light" w:cs="Times New Roman"/>
          <w:sz w:val="24"/>
          <w:szCs w:val="24"/>
          <w:lang w:eastAsia="en-GB"/>
        </w:rPr>
        <w:t xml:space="preserve">Peters, G., 2009. </w:t>
      </w:r>
      <w:r w:rsidRPr="000F39E4">
        <w:rPr>
          <w:rFonts w:ascii="Bahnschrift Light" w:eastAsia="Times New Roman" w:hAnsi="Bahnschrift Light" w:cs="Times New Roman"/>
          <w:i/>
          <w:iCs/>
          <w:sz w:val="24"/>
          <w:szCs w:val="24"/>
          <w:lang w:eastAsia="en-GB"/>
        </w:rPr>
        <w:t>How Opium Profits the Taliban</w:t>
      </w:r>
      <w:r w:rsidRPr="000F39E4">
        <w:rPr>
          <w:rFonts w:ascii="Bahnschrift Light" w:eastAsia="Times New Roman" w:hAnsi="Bahnschrift Light" w:cs="Times New Roman"/>
          <w:sz w:val="24"/>
          <w:szCs w:val="24"/>
          <w:lang w:eastAsia="en-GB"/>
        </w:rPr>
        <w:t>. Washington, D.C.: United States Institute of Peace.</w:t>
      </w:r>
    </w:p>
    <w:p w:rsidR="006E40A1" w:rsidRPr="000F39E4" w:rsidRDefault="006E40A1" w:rsidP="006E40A1">
      <w:pPr>
        <w:rPr>
          <w:rFonts w:ascii="Bahnschrift Light" w:eastAsia="Times New Roman" w:hAnsi="Bahnschrift Light" w:cs="Times New Roman"/>
          <w:sz w:val="24"/>
          <w:szCs w:val="24"/>
          <w:lang w:eastAsia="en-GB"/>
        </w:rPr>
      </w:pPr>
      <w:r w:rsidRPr="000F39E4">
        <w:rPr>
          <w:rFonts w:ascii="Bahnschrift Light" w:eastAsia="Times New Roman" w:hAnsi="Bahnschrift Light" w:cs="Times New Roman"/>
          <w:sz w:val="24"/>
          <w:szCs w:val="24"/>
          <w:lang w:eastAsia="en-GB"/>
        </w:rPr>
        <w:t xml:space="preserve">Shelley, L.I., 2014. </w:t>
      </w:r>
      <w:r w:rsidRPr="000F39E4">
        <w:rPr>
          <w:rFonts w:ascii="Bahnschrift Light" w:eastAsia="Times New Roman" w:hAnsi="Bahnschrift Light" w:cs="Times New Roman"/>
          <w:i/>
          <w:iCs/>
          <w:sz w:val="24"/>
          <w:szCs w:val="24"/>
          <w:lang w:eastAsia="en-GB"/>
        </w:rPr>
        <w:t>Dirty Entanglements: Corruption, Crime, and Terrorism</w:t>
      </w:r>
      <w:r w:rsidRPr="000F39E4">
        <w:rPr>
          <w:rFonts w:ascii="Bahnschrift Light" w:eastAsia="Times New Roman" w:hAnsi="Bahnschrift Light" w:cs="Times New Roman"/>
          <w:sz w:val="24"/>
          <w:szCs w:val="24"/>
          <w:lang w:eastAsia="en-GB"/>
        </w:rPr>
        <w:t>. New York: Cambridge University Press.</w:t>
      </w:r>
    </w:p>
    <w:p w:rsidR="006E40A1" w:rsidRPr="000F39E4" w:rsidRDefault="006E40A1" w:rsidP="006E40A1">
      <w:pPr>
        <w:rPr>
          <w:rFonts w:ascii="Bahnschrift Light" w:eastAsia="Times New Roman" w:hAnsi="Bahnschrift Light" w:cs="Times New Roman"/>
          <w:sz w:val="24"/>
          <w:szCs w:val="24"/>
          <w:lang w:eastAsia="en-GB"/>
        </w:rPr>
      </w:pPr>
      <w:r w:rsidRPr="000F39E4">
        <w:rPr>
          <w:rFonts w:ascii="Bahnschrift Light" w:eastAsia="Times New Roman" w:hAnsi="Bahnschrift Light" w:cs="Times New Roman"/>
          <w:sz w:val="24"/>
          <w:szCs w:val="24"/>
          <w:lang w:eastAsia="en-GB"/>
        </w:rPr>
        <w:t xml:space="preserve">Shelley, L.I. and </w:t>
      </w:r>
      <w:proofErr w:type="spellStart"/>
      <w:r w:rsidRPr="000F39E4">
        <w:rPr>
          <w:rFonts w:ascii="Bahnschrift Light" w:eastAsia="Times New Roman" w:hAnsi="Bahnschrift Light" w:cs="Times New Roman"/>
          <w:sz w:val="24"/>
          <w:szCs w:val="24"/>
          <w:lang w:eastAsia="en-GB"/>
        </w:rPr>
        <w:t>Picarelli</w:t>
      </w:r>
      <w:proofErr w:type="spellEnd"/>
      <w:r w:rsidRPr="000F39E4">
        <w:rPr>
          <w:rFonts w:ascii="Bahnschrift Light" w:eastAsia="Times New Roman" w:hAnsi="Bahnschrift Light" w:cs="Times New Roman"/>
          <w:sz w:val="24"/>
          <w:szCs w:val="24"/>
          <w:lang w:eastAsia="en-GB"/>
        </w:rPr>
        <w:t xml:space="preserve">, J.T., 2002. Methods Not Motives: Implications of the Convergence of International Organized Crime and Terrorism. </w:t>
      </w:r>
      <w:r w:rsidRPr="000F39E4">
        <w:rPr>
          <w:rFonts w:ascii="Bahnschrift Light" w:eastAsia="Times New Roman" w:hAnsi="Bahnschrift Light" w:cs="Times New Roman"/>
          <w:i/>
          <w:iCs/>
          <w:sz w:val="24"/>
          <w:szCs w:val="24"/>
          <w:lang w:eastAsia="en-GB"/>
        </w:rPr>
        <w:t>Police Practice and Research</w:t>
      </w:r>
      <w:r w:rsidRPr="000F39E4">
        <w:rPr>
          <w:rFonts w:ascii="Bahnschrift Light" w:eastAsia="Times New Roman" w:hAnsi="Bahnschrift Light" w:cs="Times New Roman"/>
          <w:sz w:val="24"/>
          <w:szCs w:val="24"/>
          <w:lang w:eastAsia="en-GB"/>
        </w:rPr>
        <w:t>, 3(4), pp.305-318.</w:t>
      </w:r>
    </w:p>
    <w:p w:rsidR="006E40A1" w:rsidRPr="000F39E4" w:rsidRDefault="006E40A1" w:rsidP="006E40A1">
      <w:pPr>
        <w:rPr>
          <w:rFonts w:ascii="Bahnschrift Light" w:eastAsia="Times New Roman" w:hAnsi="Bahnschrift Light" w:cs="Times New Roman"/>
          <w:sz w:val="24"/>
          <w:szCs w:val="24"/>
          <w:lang w:eastAsia="en-GB"/>
        </w:rPr>
      </w:pPr>
      <w:r w:rsidRPr="000F39E4">
        <w:rPr>
          <w:rFonts w:ascii="Bahnschrift Light" w:eastAsia="Times New Roman" w:hAnsi="Bahnschrift Light" w:cs="Times New Roman"/>
          <w:sz w:val="24"/>
          <w:szCs w:val="24"/>
          <w:lang w:eastAsia="en-GB"/>
        </w:rPr>
        <w:t xml:space="preserve">Silber, M.D. and Bhatt, A., 2007. </w:t>
      </w:r>
      <w:r w:rsidRPr="000F39E4">
        <w:rPr>
          <w:rFonts w:ascii="Bahnschrift Light" w:eastAsia="Times New Roman" w:hAnsi="Bahnschrift Light" w:cs="Times New Roman"/>
          <w:i/>
          <w:iCs/>
          <w:sz w:val="24"/>
          <w:szCs w:val="24"/>
          <w:lang w:eastAsia="en-GB"/>
        </w:rPr>
        <w:t xml:space="preserve">Radicalization in the West: The </w:t>
      </w:r>
      <w:proofErr w:type="spellStart"/>
      <w:r w:rsidRPr="000F39E4">
        <w:rPr>
          <w:rFonts w:ascii="Bahnschrift Light" w:eastAsia="Times New Roman" w:hAnsi="Bahnschrift Light" w:cs="Times New Roman"/>
          <w:i/>
          <w:iCs/>
          <w:sz w:val="24"/>
          <w:szCs w:val="24"/>
          <w:lang w:eastAsia="en-GB"/>
        </w:rPr>
        <w:t>Homegrown</w:t>
      </w:r>
      <w:proofErr w:type="spellEnd"/>
      <w:r w:rsidRPr="000F39E4">
        <w:rPr>
          <w:rFonts w:ascii="Bahnschrift Light" w:eastAsia="Times New Roman" w:hAnsi="Bahnschrift Light" w:cs="Times New Roman"/>
          <w:i/>
          <w:iCs/>
          <w:sz w:val="24"/>
          <w:szCs w:val="24"/>
          <w:lang w:eastAsia="en-GB"/>
        </w:rPr>
        <w:t xml:space="preserve"> Threat</w:t>
      </w:r>
      <w:r w:rsidRPr="000F39E4">
        <w:rPr>
          <w:rFonts w:ascii="Bahnschrift Light" w:eastAsia="Times New Roman" w:hAnsi="Bahnschrift Light" w:cs="Times New Roman"/>
          <w:sz w:val="24"/>
          <w:szCs w:val="24"/>
          <w:lang w:eastAsia="en-GB"/>
        </w:rPr>
        <w:t>. New York: New York City Police Department.</w:t>
      </w:r>
    </w:p>
    <w:p w:rsidR="00EB506A" w:rsidRDefault="00EB506A"/>
    <w:p w:rsidR="006E40A1" w:rsidRDefault="006E40A1"/>
    <w:p w:rsidR="006E40A1" w:rsidRDefault="006E40A1"/>
    <w:p w:rsidR="006E40A1" w:rsidRDefault="006E40A1">
      <w:r>
        <w:t xml:space="preserve">Task 2 </w:t>
      </w:r>
    </w:p>
    <w:p w:rsidR="006E40A1" w:rsidRPr="006E40A1" w:rsidRDefault="006E40A1">
      <w:pPr>
        <w:rPr>
          <w:rFonts w:ascii="Arial" w:hAnsi="Arial" w:cs="Arial"/>
        </w:rPr>
      </w:pPr>
      <w:r w:rsidRPr="006E40A1">
        <w:rPr>
          <w:rFonts w:ascii="Arial" w:hAnsi="Arial" w:cs="Arial"/>
        </w:rPr>
        <w:lastRenderedPageBreak/>
        <w:t>Building Bridges: The Role of Collaborative Approaches in Enhancing Police-Community Relations</w:t>
      </w:r>
    </w:p>
    <w:p w:rsidR="006E40A1" w:rsidRPr="006E40A1" w:rsidRDefault="006E40A1" w:rsidP="006E40A1">
      <w:pPr>
        <w:spacing w:after="240" w:line="240" w:lineRule="auto"/>
        <w:rPr>
          <w:rFonts w:ascii="Arial" w:eastAsia="Times New Roman" w:hAnsi="Arial" w:cs="Arial"/>
          <w:sz w:val="24"/>
          <w:szCs w:val="24"/>
          <w:lang w:eastAsia="en-GB"/>
        </w:rPr>
      </w:pPr>
      <w:r w:rsidRPr="006E40A1">
        <w:rPr>
          <w:rFonts w:ascii="Arial" w:eastAsia="Times New Roman" w:hAnsi="Arial" w:cs="Arial"/>
          <w:sz w:val="24"/>
          <w:szCs w:val="24"/>
          <w:lang w:eastAsia="en-GB"/>
        </w:rPr>
        <w:t xml:space="preserve">The dynamic between law enforcement and different groups is frequently characterised by an intricate interaction of trust and tension. Some communities have a historical reluctance to interact with law enforcement, which can be attributed to significant events and underlying systemic problems. This essay will contend that adopting a partnership approach is the most efficacious strategy for engaging with these specific groups. Through the examination of past and present reasons for hesitancy, assessment of current law enforcement methods, and implementation of effective community involvement strategies, it is clear that establishing cooperation between the police and communities is crucial for cultivating trust and guaranteeing public safety.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Significant incidents and events have greatly influenced the willingness of communities to interact with law enforcement. Throughout history, incidents such as the 1992 Los Angeles riots and more recent cases of individuals like George Floyd in the United States and Mark Duggan in the United Kingdom have brought attention to deep-rooted problems of racial profiling, unjustified use of force, and absence of responsibility. Smith (2016) illustrates that these occurrences have led to a widespread perception that the police are not primarily concerned with safeguarding individuals, but rather with exerting control or engaging in discriminatory practices. Academic research has demonstrated that minority populations are disproportionately impacted by police procedures, including stop and search tactics (</w:t>
      </w:r>
      <w:proofErr w:type="spellStart"/>
      <w:r w:rsidRPr="006E40A1">
        <w:rPr>
          <w:rFonts w:ascii="Arial" w:eastAsia="Times New Roman" w:hAnsi="Arial" w:cs="Arial"/>
          <w:sz w:val="24"/>
          <w:szCs w:val="24"/>
          <w:lang w:eastAsia="en-GB"/>
        </w:rPr>
        <w:t>Weitzer</w:t>
      </w:r>
      <w:proofErr w:type="spellEnd"/>
      <w:r w:rsidRPr="006E40A1">
        <w:rPr>
          <w:rFonts w:ascii="Arial" w:eastAsia="Times New Roman" w:hAnsi="Arial" w:cs="Arial"/>
          <w:sz w:val="24"/>
          <w:szCs w:val="24"/>
          <w:lang w:eastAsia="en-GB"/>
        </w:rPr>
        <w:t xml:space="preserve">, 2018). This data further strengthens the sense of this disparity.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The events that have been mentioned in the United States have taken place in a legal and cultural environment that is different from the UK. However, they have had a significant impact on UK policing, particularly in terms of how the public perceives the police and the policies that are implemented in response. The demise of George Floyd in 2020, for example, ignited worldwide demonstrations, particularly in the UK, where the Black Lives Matter movement garnered substantial momentum. This campaign has brought awareness to comparable concerns within the policing system in the United Kingdom, such as the fatalities of persons like Mark Duggan and Dalian Atkinson during interactions with the police. These incidents have sparked widespread public outrage regarding racial profiling, excessive use of force, and the absence of responsibility in the UK, reflecting the same issues observed in the US (Smith, 2016).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The current policing techniques in the UK have the potential to worsen community tensions. Practices such as excessive law enforcement in specific communities, discriminatory targeting based on race, and a deficiency in officers' understanding of different cultures all contribute to a feeling of isolation and suspicion. According to Bradford (2017), stop-and-search practices, despite their aim to decrease crime, frequently focus on young men from minority backgrounds in a disproportionate manner, resulting in emotions of stigmatisation and animosity. Furthermore, the absence of diversity within the police force might strengthen these unfavourable opinions. The lack of representation of communities in the police force affects the credibility of law enforcement and promotes disconnection (Miller, 2020).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lastRenderedPageBreak/>
        <w:t xml:space="preserve">The use of stop-and-search methods in the UK, although intended as a means of preventing crime, has faced criticism for its disproportionate targeting of minority communities. According to Bradford (2017), these methods not only do not effectively decrease crime, but they also create a sense of isolation among the populations that the police are supposed to safeguard. This establishes a detrimental loop in which distrust results in reduced collaboration with law enforcement, hence exacerbating the challenge of achieving effective policing. Moreover, the absence of diversity within police personnel might worsen these problems. The absence of law enforcement officials who resemble minority communities or share their cultural heritage might intensify feelings of alienation and suspicion (Miller, 2020).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Community policing, a collaborative approach where law enforcement officers actively engage with community people to identify and address issues, is vital for promoting and sustaining community harmony. Community policing diverges from conventional law enforcement approaches by prioritising the establishment of connections and trust with the community, rather than solely focusing on enforcing laws and reacting to incidents. According to </w:t>
      </w:r>
      <w:proofErr w:type="spellStart"/>
      <w:r w:rsidRPr="006E40A1">
        <w:rPr>
          <w:rFonts w:ascii="Arial" w:eastAsia="Times New Roman" w:hAnsi="Arial" w:cs="Arial"/>
          <w:sz w:val="24"/>
          <w:szCs w:val="24"/>
          <w:lang w:eastAsia="en-GB"/>
        </w:rPr>
        <w:t>Skogan</w:t>
      </w:r>
      <w:proofErr w:type="spellEnd"/>
      <w:r w:rsidRPr="006E40A1">
        <w:rPr>
          <w:rFonts w:ascii="Arial" w:eastAsia="Times New Roman" w:hAnsi="Arial" w:cs="Arial"/>
          <w:sz w:val="24"/>
          <w:szCs w:val="24"/>
          <w:lang w:eastAsia="en-GB"/>
        </w:rPr>
        <w:t xml:space="preserve"> (2019), community policing has been proven to result in substantial enhancements in public perception of law enforcement, decrease crime rates, and increase the general well-being of the community. Wilson and Kelling (1982) propose that by upholding order and dealing with minor offences, it is possible to deter more severe crimes and enhance public confidence in law enforcement.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Community policing signifies a fundamental change in approach from responding to incidents after they occur to taking proactive measures to prevent crime. The emphasis is on proactive problem-solving and community involvement, rather than simply reacting to crimes after they happen. According to </w:t>
      </w:r>
      <w:proofErr w:type="spellStart"/>
      <w:r w:rsidRPr="006E40A1">
        <w:rPr>
          <w:rFonts w:ascii="Arial" w:eastAsia="Times New Roman" w:hAnsi="Arial" w:cs="Arial"/>
          <w:sz w:val="24"/>
          <w:szCs w:val="24"/>
          <w:lang w:eastAsia="en-GB"/>
        </w:rPr>
        <w:t>Skogan</w:t>
      </w:r>
      <w:proofErr w:type="spellEnd"/>
      <w:r w:rsidRPr="006E40A1">
        <w:rPr>
          <w:rFonts w:ascii="Arial" w:eastAsia="Times New Roman" w:hAnsi="Arial" w:cs="Arial"/>
          <w:sz w:val="24"/>
          <w:szCs w:val="24"/>
          <w:lang w:eastAsia="en-GB"/>
        </w:rPr>
        <w:t xml:space="preserve"> (2019), community policing has been shown to have a positive impact on public perception of the police, crime rates, and overall community well-being. The "broken windows" theory, formulated by Wilson and Kelling (1982), advocates for the notion that by upholding order and resolving minor infractions, it is possible to deter more severe criminal activities and enhance public confidence in law enforcement. Nevertheless, the successful execution of community policing necessitates a significant dedication of time and resources, along with a fundamental change in the mind-set of police agencies to recognise and prioritise community connections.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In order to successfully interact with communities who are less inclined to cooperate with law enforcement, it is crucial to implement fundamental principles of efficient community involvement. An example of a principle is establishing trust by being open and responsible. This entails the police being transparent on their practices, decisions, and the consequences of their actions. In his 2014 publication, Tyler elucidates that transparency may be attained by engaging in consistent communication with the community, publicly disclosing police activity, and actively including community people in decision-making processes. In addition, the implementation of accountability systems, such as autonomous oversight committees, can effectively guarantee the equitable and impartial conduct of police actions, thus fostering the development of confidence.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Transparency and accountability are essential for establishing trust between the police and communities. Tyler (2014) demonstrates that transparent communication </w:t>
      </w:r>
      <w:r w:rsidRPr="006E40A1">
        <w:rPr>
          <w:rFonts w:ascii="Arial" w:eastAsia="Times New Roman" w:hAnsi="Arial" w:cs="Arial"/>
          <w:sz w:val="24"/>
          <w:szCs w:val="24"/>
          <w:lang w:eastAsia="en-GB"/>
        </w:rPr>
        <w:lastRenderedPageBreak/>
        <w:t xml:space="preserve">by the police regarding their processes, judgements, and outcomes can greatly bolster public trust. This can be accomplished through diverse methods, including frequent community gatherings, transparent disclosure of police operations, and active engagement of community members in decision-making procedures. Accountability systems, such as autonomous supervisory entities, can also have a pivotal impact in guaranteeing that police activities are equitable and impartial, thereby fostering trust. Nevertheless, the implementation of these measures necessitates a dedication to cultural transformation within police agencies and a readiness to relinquish some authority to external supervision.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Another fundamental value is cultural competence, which entails comprehending and valuing the varied cultural backgrounds of individuals within the society. This objective can be accomplished by implementing training programmes specifically designed for police officers, which prioritise the development of cultural awareness, anti-bias education, and good communication skills. According to Loftus (2009), providing officers with the necessary knowledge and abilities to engage respectfully and empathetically with various populations can have a substantial positive impact on relationships and decrease tensions.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Cultural competency plays a crucial role in ensuring the effectiveness of community policing. According to Loftus (2009), teaching officers how to politely and empathetically interact with different people helps improve relationships and reduce conflicts. This requires not just comprehending diverse cultural practices and conventions, but also acknowledging and confronting underlying prejudices that could impact policing methods. Training programmes that prioritise cultural sensitivity, anti-bias education, and good communication skills can assist officers in establishing trust and rapport with community people, which is crucial for efficient policing.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Collaboration is an essential component for effectively engaging with the community. This entails establishing collaborations between law enforcement and community organisations, local enterprises, educational institutions, and other relevant parties. These collaborations can enable the exchange of resources, information, and specialised skills, which can aid in tackling the underlying factors contributing to criminal activity and societal unrest. For example, implementing programmes that offer young individuals constructive activities and guidance from mentors can effectively deter juvenile criminality and enhance the overall safety of the community (Gill et al., 2014).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Cooperation is crucial in tackling the underlying factors of crime and social disorder. Gill et al. (2014) demonstrate that collaborations between the police and community organisations, local companies, schools, and other stakeholders can enable the exchange of resources, information, and specialised skills. For example, implementing programmes that offer young individuals constructive activities and guidance from mentors can effectively deter juvenile criminality and enhance the overall safety of the community. These collaborations can also assist in tackling wider societal problems, such as poverty, unemployment, and educational deficiencies, which frequently serve as fundamental factors contributing to criminal activity. However, successful collaboration necessitates a dedication from all sides to cooperate towards shared objectives and to be open to distributing authority and </w:t>
      </w:r>
      <w:r w:rsidRPr="006E40A1">
        <w:rPr>
          <w:rFonts w:ascii="Arial" w:eastAsia="Times New Roman" w:hAnsi="Arial" w:cs="Arial"/>
          <w:sz w:val="24"/>
          <w:szCs w:val="24"/>
          <w:lang w:eastAsia="en-GB"/>
        </w:rPr>
        <w:lastRenderedPageBreak/>
        <w:t xml:space="preserve">resources.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Case studies from many regions exemplify the efficacy of collaborative techniques in enhancing police-community interactions. The Violence Reduction Unit (VRU) in Glasgow, Scotland utilises a public health methodology to address violence, which entails cooperation among the police, healthcare providers, educational institutions, and community organisations. According to </w:t>
      </w:r>
      <w:proofErr w:type="spellStart"/>
      <w:r w:rsidRPr="006E40A1">
        <w:rPr>
          <w:rFonts w:ascii="Arial" w:eastAsia="Times New Roman" w:hAnsi="Arial" w:cs="Arial"/>
          <w:sz w:val="24"/>
          <w:szCs w:val="24"/>
          <w:lang w:eastAsia="en-GB"/>
        </w:rPr>
        <w:t>Deuchar</w:t>
      </w:r>
      <w:proofErr w:type="spellEnd"/>
      <w:r w:rsidRPr="006E40A1">
        <w:rPr>
          <w:rFonts w:ascii="Arial" w:eastAsia="Times New Roman" w:hAnsi="Arial" w:cs="Arial"/>
          <w:sz w:val="24"/>
          <w:szCs w:val="24"/>
          <w:lang w:eastAsia="en-GB"/>
        </w:rPr>
        <w:t xml:space="preserve"> (2010), the implementation of this collaborative approach involving several agencies has resulted in a noteworthy decline in violent crime. Furthermore, it has been acknowledged as an exemplary method for fostering successful community involvement. Similarly, the "Coffee with a Cop" campaign in the United States facilitates informal gatherings between police officers and community residents to engage in discussions and foster relationships. According to Forman (2017), this programme has effectively dismantled obstacles and promoted reciprocal comprehension.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The Glasgow Violence Reduction Unit (VRU) exemplifies effective collaborative strategies in the United Kingdom. According to </w:t>
      </w:r>
      <w:proofErr w:type="spellStart"/>
      <w:r w:rsidRPr="006E40A1">
        <w:rPr>
          <w:rFonts w:ascii="Arial" w:eastAsia="Times New Roman" w:hAnsi="Arial" w:cs="Arial"/>
          <w:sz w:val="24"/>
          <w:szCs w:val="24"/>
          <w:lang w:eastAsia="en-GB"/>
        </w:rPr>
        <w:t>Deuchar</w:t>
      </w:r>
      <w:proofErr w:type="spellEnd"/>
      <w:r w:rsidRPr="006E40A1">
        <w:rPr>
          <w:rFonts w:ascii="Arial" w:eastAsia="Times New Roman" w:hAnsi="Arial" w:cs="Arial"/>
          <w:sz w:val="24"/>
          <w:szCs w:val="24"/>
          <w:lang w:eastAsia="en-GB"/>
        </w:rPr>
        <w:t xml:space="preserve"> (2010), the public health strategy implemented by the VRU to reduce violence has resulted in a noteworthy decrease in violent crime. This approach involves cooperation among the police, health services, education, and community organisations, and has been acknowledged as a successful model for engaging with the community. Similarly, initiatives such as the "Coffee with a Cop" programme, which originated in the United States, have gained prominence in the United Kingdom. According to Forman (2017), these programmes have been effective in dismantling obstacles and promoting reciprocal comprehension by facilitating informal interactions between police officers and community residents to address concerns and cultivate connections.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Proactively addressing issues that affect disadvantaged communities is essential to community involvement. Mental health crises often necessitate police intervention, although standard police responses may not be appropriate. Watson et al. (2010) show that police collaboration with mental health specialists and organisations can improve approaches to these situations, reducing harm and increasing trust. </w:t>
      </w:r>
    </w:p>
    <w:p w:rsidR="006E40A1" w:rsidRPr="006E40A1" w:rsidRDefault="006E40A1" w:rsidP="006E40A1">
      <w:pPr>
        <w:spacing w:after="240" w:line="240" w:lineRule="auto"/>
        <w:rPr>
          <w:rFonts w:ascii="Arial" w:eastAsia="Times New Roman" w:hAnsi="Arial" w:cs="Arial"/>
          <w:sz w:val="24"/>
          <w:szCs w:val="24"/>
          <w:lang w:eastAsia="en-GB"/>
        </w:rPr>
      </w:pPr>
      <w:r w:rsidRPr="006E40A1">
        <w:rPr>
          <w:rFonts w:ascii="Arial" w:eastAsia="Times New Roman" w:hAnsi="Arial" w:cs="Arial"/>
          <w:sz w:val="24"/>
          <w:szCs w:val="24"/>
          <w:lang w:eastAsia="en-GB"/>
        </w:rPr>
        <w:t>Mental health situations often demand police action, but traditional methods may not work. Watson et al. (2010) show that police can reduce harm and build trust by working with mental health professionals and NGOs. This approach is crucial in the UK since police and mental health services are increasingly working together to respond to crises.</w:t>
      </w:r>
      <w:r w:rsidRPr="006E40A1">
        <w:rPr>
          <w:rFonts w:ascii="Arial" w:eastAsia="Times New Roman" w:hAnsi="Arial" w:cs="Arial"/>
          <w:sz w:val="24"/>
          <w:szCs w:val="24"/>
          <w:lang w:eastAsia="en-GB"/>
        </w:rPr>
        <w:br/>
        <w:t xml:space="preserve">The significance of community policing in preserving community cohesion cannot be exaggerated. It entails a transition from a responsive to a proactive approach to law enforcement, with an emphasis on crime prevention and tackling the root causes of societal problems. This technique necessitates the conspicuous presence of police personnel.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r>
      <w:proofErr w:type="gramStart"/>
      <w:r w:rsidRPr="006E40A1">
        <w:rPr>
          <w:rFonts w:ascii="Arial" w:eastAsia="Times New Roman" w:hAnsi="Arial" w:cs="Arial"/>
          <w:sz w:val="24"/>
          <w:szCs w:val="24"/>
          <w:lang w:eastAsia="en-GB"/>
        </w:rPr>
        <w:t>Being readily available within the community, to attentively hear the grievances of residents, and to actively cooperate in order to discover resolutions.</w:t>
      </w:r>
      <w:proofErr w:type="gramEnd"/>
      <w:r w:rsidRPr="006E40A1">
        <w:rPr>
          <w:rFonts w:ascii="Arial" w:eastAsia="Times New Roman" w:hAnsi="Arial" w:cs="Arial"/>
          <w:sz w:val="24"/>
          <w:szCs w:val="24"/>
          <w:lang w:eastAsia="en-GB"/>
        </w:rPr>
        <w:t xml:space="preserve"> Community policing places significant emphasis on the development of problem-solving and conflict resolution abilities. These skills are crucial for effectively resolving the intricate and diverse challenges that impact community safety and overall welfare </w:t>
      </w:r>
      <w:r w:rsidRPr="006E40A1">
        <w:rPr>
          <w:rFonts w:ascii="Arial" w:eastAsia="Times New Roman" w:hAnsi="Arial" w:cs="Arial"/>
          <w:sz w:val="24"/>
          <w:szCs w:val="24"/>
          <w:lang w:eastAsia="en-GB"/>
        </w:rPr>
        <w:lastRenderedPageBreak/>
        <w:t>(</w:t>
      </w:r>
      <w:proofErr w:type="spellStart"/>
      <w:r w:rsidRPr="006E40A1">
        <w:rPr>
          <w:rFonts w:ascii="Arial" w:eastAsia="Times New Roman" w:hAnsi="Arial" w:cs="Arial"/>
          <w:sz w:val="24"/>
          <w:szCs w:val="24"/>
          <w:lang w:eastAsia="en-GB"/>
        </w:rPr>
        <w:t>Cordner</w:t>
      </w:r>
      <w:proofErr w:type="spellEnd"/>
      <w:r w:rsidRPr="006E40A1">
        <w:rPr>
          <w:rFonts w:ascii="Arial" w:eastAsia="Times New Roman" w:hAnsi="Arial" w:cs="Arial"/>
          <w:sz w:val="24"/>
          <w:szCs w:val="24"/>
          <w:lang w:eastAsia="en-GB"/>
        </w:rPr>
        <w:t xml:space="preserve">, 2014).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In the UK, community policing necessitates a transition from responsive to proactive approaches, with a focus on crime prevention and the resolution of fundamental social problems. </w:t>
      </w:r>
      <w:proofErr w:type="spellStart"/>
      <w:r w:rsidRPr="006E40A1">
        <w:rPr>
          <w:rFonts w:ascii="Arial" w:eastAsia="Times New Roman" w:hAnsi="Arial" w:cs="Arial"/>
          <w:sz w:val="24"/>
          <w:szCs w:val="24"/>
          <w:lang w:eastAsia="en-GB"/>
        </w:rPr>
        <w:t>Cordner</w:t>
      </w:r>
      <w:proofErr w:type="spellEnd"/>
      <w:r w:rsidRPr="006E40A1">
        <w:rPr>
          <w:rFonts w:ascii="Arial" w:eastAsia="Times New Roman" w:hAnsi="Arial" w:cs="Arial"/>
          <w:sz w:val="24"/>
          <w:szCs w:val="24"/>
          <w:lang w:eastAsia="en-GB"/>
        </w:rPr>
        <w:t xml:space="preserve"> (2014) demonstrates that this strategy necessitates the presence and availability of police officers inside the neighbourhood, actively engaging with locals, attentively addressing their concerns, and working cooperatively to identify and implement resolutions. This entails not just attending to urgent issues but also participating in long-term problem-solving and conflict resolution in order to construct safer and more unified communities. </w:t>
      </w:r>
      <w:r w:rsidRPr="006E40A1">
        <w:rPr>
          <w:rFonts w:ascii="Arial" w:eastAsia="Times New Roman" w:hAnsi="Arial" w:cs="Arial"/>
          <w:sz w:val="24"/>
          <w:szCs w:val="24"/>
          <w:lang w:eastAsia="en-GB"/>
        </w:rPr>
        <w:br/>
      </w:r>
      <w:r w:rsidRPr="006E40A1">
        <w:rPr>
          <w:rFonts w:ascii="Arial" w:eastAsia="Times New Roman" w:hAnsi="Arial" w:cs="Arial"/>
          <w:sz w:val="24"/>
          <w:szCs w:val="24"/>
          <w:lang w:eastAsia="en-GB"/>
        </w:rPr>
        <w:br/>
        <w:t xml:space="preserve">Collaboration is the best way to reach demographics or communities that are less likely to interact with law enforcement. This strategy emphasises trust, cooperation, and addressing the root causes of crime and social disorder. By examining historical and present factors that contribute to community hesitancy, assessing the effects of current policing methods, and applying effective community engagement principles, it is clear that law enforcement-community cooperation is essential for trust and public safety. Academic research and case studies show that community policing and multi-agency collaboration can improve police-community relations and community well-being. </w:t>
      </w:r>
    </w:p>
    <w:p w:rsidR="006E40A1" w:rsidRPr="006E40A1" w:rsidRDefault="006E40A1" w:rsidP="006E40A1">
      <w:pPr>
        <w:spacing w:after="240" w:line="240" w:lineRule="auto"/>
        <w:rPr>
          <w:rFonts w:ascii="Arial" w:eastAsia="Times New Roman" w:hAnsi="Arial" w:cs="Arial"/>
          <w:sz w:val="24"/>
          <w:szCs w:val="24"/>
          <w:lang w:eastAsia="en-GB"/>
        </w:rPr>
      </w:pPr>
    </w:p>
    <w:p w:rsidR="006E40A1" w:rsidRPr="006E40A1" w:rsidRDefault="006E40A1" w:rsidP="006E40A1">
      <w:pPr>
        <w:spacing w:after="240" w:line="240" w:lineRule="auto"/>
        <w:rPr>
          <w:rFonts w:ascii="Arial" w:eastAsia="Times New Roman" w:hAnsi="Arial" w:cs="Arial"/>
          <w:sz w:val="24"/>
          <w:szCs w:val="24"/>
          <w:lang w:eastAsia="en-GB"/>
        </w:rPr>
      </w:pPr>
      <w:r w:rsidRPr="006E40A1">
        <w:rPr>
          <w:rFonts w:ascii="Arial" w:eastAsia="Times New Roman" w:hAnsi="Arial" w:cs="Arial"/>
          <w:sz w:val="24"/>
          <w:szCs w:val="24"/>
          <w:lang w:eastAsia="en-GB"/>
        </w:rPr>
        <w:t>Effective law enforcement-community collaborations require transparency, accountability, cultural competence, and teamwork, as this essay demonstrates. It also stresses the need for proactive and preventative measures to address the root causes of social problems. Law enforcement agencies may build trust, harmony, and strong communities by working together. These initiatives have transformed police-community relations and promoted fairness and impartiality in various places.</w:t>
      </w:r>
    </w:p>
    <w:p w:rsidR="006E40A1" w:rsidRDefault="006E40A1" w:rsidP="006E40A1">
      <w:pPr>
        <w:spacing w:after="0" w:line="240" w:lineRule="auto"/>
        <w:rPr>
          <w:rFonts w:ascii="Times New Roman" w:eastAsia="Times New Roman" w:hAnsi="Times New Roman" w:cs="Times New Roman"/>
          <w:sz w:val="24"/>
          <w:szCs w:val="24"/>
          <w:lang w:eastAsia="en-GB"/>
        </w:rPr>
      </w:pPr>
    </w:p>
    <w:p w:rsidR="006E40A1" w:rsidRDefault="006E40A1" w:rsidP="006E40A1">
      <w:pPr>
        <w:spacing w:after="0" w:line="240" w:lineRule="auto"/>
        <w:rPr>
          <w:rFonts w:ascii="Times New Roman" w:eastAsia="Times New Roman" w:hAnsi="Times New Roman" w:cs="Times New Roman"/>
          <w:sz w:val="24"/>
          <w:szCs w:val="24"/>
          <w:lang w:eastAsia="en-GB"/>
        </w:rPr>
      </w:pPr>
      <w:r w:rsidRPr="006E40A1">
        <w:rPr>
          <w:rFonts w:ascii="Arial" w:eastAsia="Times New Roman" w:hAnsi="Arial" w:cs="Arial"/>
          <w:sz w:val="24"/>
          <w:szCs w:val="24"/>
          <w:lang w:eastAsia="en-GB"/>
        </w:rPr>
        <w:t>Word count</w:t>
      </w:r>
      <w:r>
        <w:rPr>
          <w:rFonts w:ascii="Times New Roman" w:eastAsia="Times New Roman" w:hAnsi="Times New Roman" w:cs="Times New Roman"/>
          <w:sz w:val="24"/>
          <w:szCs w:val="24"/>
          <w:lang w:eastAsia="en-GB"/>
        </w:rPr>
        <w:t>: 2134</w:t>
      </w:r>
    </w:p>
    <w:p w:rsidR="006E40A1" w:rsidRDefault="006E40A1" w:rsidP="006E40A1">
      <w:pPr>
        <w:spacing w:after="0" w:line="240" w:lineRule="auto"/>
        <w:rPr>
          <w:rFonts w:ascii="Times New Roman" w:eastAsia="Times New Roman" w:hAnsi="Times New Roman" w:cs="Times New Roman"/>
          <w:sz w:val="24"/>
          <w:szCs w:val="24"/>
          <w:lang w:eastAsia="en-GB"/>
        </w:rPr>
      </w:pPr>
    </w:p>
    <w:p w:rsidR="006E40A1" w:rsidRDefault="006E40A1" w:rsidP="006E40A1">
      <w:pPr>
        <w:spacing w:after="0" w:line="240" w:lineRule="auto"/>
        <w:rPr>
          <w:rFonts w:ascii="Times New Roman" w:eastAsia="Times New Roman" w:hAnsi="Times New Roman" w:cs="Times New Roman"/>
          <w:sz w:val="24"/>
          <w:szCs w:val="24"/>
          <w:lang w:eastAsia="en-GB"/>
        </w:rPr>
      </w:pPr>
    </w:p>
    <w:p w:rsidR="006E40A1" w:rsidRDefault="006E40A1" w:rsidP="006E40A1">
      <w:pPr>
        <w:spacing w:after="0" w:line="240" w:lineRule="auto"/>
        <w:rPr>
          <w:rFonts w:ascii="Times New Roman" w:eastAsia="Times New Roman" w:hAnsi="Times New Roman" w:cs="Times New Roman"/>
          <w:sz w:val="24"/>
          <w:szCs w:val="24"/>
          <w:lang w:eastAsia="en-GB"/>
        </w:rPr>
      </w:pPr>
    </w:p>
    <w:p w:rsidR="006E40A1" w:rsidRDefault="006E40A1" w:rsidP="006E40A1">
      <w:pPr>
        <w:spacing w:after="0" w:line="240" w:lineRule="auto"/>
        <w:rPr>
          <w:rFonts w:ascii="Times New Roman" w:eastAsia="Times New Roman" w:hAnsi="Times New Roman" w:cs="Times New Roman"/>
          <w:sz w:val="24"/>
          <w:szCs w:val="24"/>
          <w:lang w:eastAsia="en-GB"/>
        </w:rPr>
      </w:pPr>
    </w:p>
    <w:p w:rsidR="006E40A1" w:rsidRPr="006E40A1" w:rsidRDefault="006E40A1" w:rsidP="006E40A1">
      <w:pPr>
        <w:spacing w:after="0" w:line="240" w:lineRule="auto"/>
        <w:rPr>
          <w:rFonts w:ascii="Arial" w:eastAsia="Times New Roman" w:hAnsi="Arial" w:cs="Arial"/>
          <w:b/>
          <w:sz w:val="24"/>
          <w:szCs w:val="24"/>
          <w:lang w:eastAsia="en-GB"/>
        </w:rPr>
      </w:pPr>
      <w:r w:rsidRPr="006E40A1">
        <w:rPr>
          <w:rFonts w:ascii="Arial" w:eastAsia="Times New Roman" w:hAnsi="Arial" w:cs="Arial"/>
          <w:b/>
          <w:sz w:val="24"/>
          <w:szCs w:val="24"/>
          <w:lang w:eastAsia="en-GB"/>
        </w:rPr>
        <w:t>References</w:t>
      </w:r>
    </w:p>
    <w:p w:rsidR="006E40A1" w:rsidRDefault="006E40A1" w:rsidP="006E40A1">
      <w:pPr>
        <w:spacing w:after="0" w:line="240" w:lineRule="auto"/>
        <w:rPr>
          <w:rFonts w:ascii="Times New Roman" w:eastAsia="Times New Roman" w:hAnsi="Times New Roman" w:cs="Times New Roman"/>
          <w:sz w:val="24"/>
          <w:szCs w:val="24"/>
          <w:lang w:eastAsia="en-GB"/>
        </w:rPr>
      </w:pPr>
    </w:p>
    <w:p w:rsidR="006E40A1" w:rsidRDefault="006E40A1" w:rsidP="006E40A1">
      <w:pPr>
        <w:spacing w:after="0" w:line="240" w:lineRule="auto"/>
        <w:rPr>
          <w:rFonts w:ascii="Times New Roman" w:eastAsia="Times New Roman" w:hAnsi="Times New Roman" w:cs="Times New Roman"/>
          <w:sz w:val="24"/>
          <w:szCs w:val="24"/>
          <w:lang w:eastAsia="en-GB"/>
        </w:rPr>
      </w:pPr>
    </w:p>
    <w:p w:rsidR="006E40A1" w:rsidRPr="00E14657" w:rsidRDefault="006E40A1" w:rsidP="006E40A1">
      <w:pPr>
        <w:spacing w:after="0" w:line="240" w:lineRule="auto"/>
        <w:rPr>
          <w:rFonts w:ascii="Times New Roman" w:eastAsia="Times New Roman" w:hAnsi="Times New Roman" w:cs="Times New Roman"/>
          <w:sz w:val="24"/>
          <w:szCs w:val="24"/>
          <w:lang w:eastAsia="en-GB"/>
        </w:rPr>
      </w:pPr>
      <w:r w:rsidRPr="00E14657">
        <w:rPr>
          <w:rFonts w:ascii="Times New Roman" w:eastAsia="Times New Roman" w:hAnsi="Times New Roman" w:cs="Times New Roman"/>
          <w:sz w:val="24"/>
          <w:szCs w:val="24"/>
          <w:lang w:eastAsia="en-GB"/>
        </w:rPr>
        <w:t xml:space="preserve">Bradford, B. (2017). </w:t>
      </w:r>
      <w:proofErr w:type="gramStart"/>
      <w:r w:rsidRPr="00E14657">
        <w:rPr>
          <w:rFonts w:ascii="Times New Roman" w:eastAsia="Times New Roman" w:hAnsi="Times New Roman" w:cs="Times New Roman"/>
          <w:i/>
          <w:iCs/>
          <w:sz w:val="24"/>
          <w:szCs w:val="24"/>
          <w:lang w:eastAsia="en-GB"/>
        </w:rPr>
        <w:t>Stop and Search and Police Legitimacy</w:t>
      </w:r>
      <w:r w:rsidRPr="00E14657">
        <w:rPr>
          <w:rFonts w:ascii="Times New Roman" w:eastAsia="Times New Roman" w:hAnsi="Times New Roman" w:cs="Times New Roman"/>
          <w:sz w:val="24"/>
          <w:szCs w:val="24"/>
          <w:lang w:eastAsia="en-GB"/>
        </w:rPr>
        <w:t>.</w:t>
      </w:r>
      <w:proofErr w:type="gramEnd"/>
    </w:p>
    <w:p w:rsidR="006E40A1" w:rsidRPr="00E14657" w:rsidRDefault="006E40A1" w:rsidP="006E40A1">
      <w:pPr>
        <w:spacing w:after="0" w:line="240" w:lineRule="auto"/>
        <w:rPr>
          <w:rFonts w:ascii="Times New Roman" w:eastAsia="Times New Roman" w:hAnsi="Times New Roman" w:cs="Times New Roman"/>
          <w:sz w:val="24"/>
          <w:szCs w:val="24"/>
          <w:lang w:eastAsia="en-GB"/>
        </w:rPr>
      </w:pPr>
    </w:p>
    <w:p w:rsidR="006E40A1" w:rsidRPr="00E14657" w:rsidRDefault="006E40A1" w:rsidP="006E40A1">
      <w:pPr>
        <w:spacing w:after="0" w:line="240" w:lineRule="auto"/>
        <w:rPr>
          <w:rFonts w:ascii="Times New Roman" w:eastAsia="Times New Roman" w:hAnsi="Times New Roman" w:cs="Times New Roman"/>
          <w:sz w:val="24"/>
          <w:szCs w:val="24"/>
          <w:lang w:eastAsia="en-GB"/>
        </w:rPr>
      </w:pPr>
      <w:proofErr w:type="spellStart"/>
      <w:r w:rsidRPr="00E14657">
        <w:rPr>
          <w:rFonts w:ascii="Times New Roman" w:eastAsia="Times New Roman" w:hAnsi="Times New Roman" w:cs="Times New Roman"/>
          <w:sz w:val="24"/>
          <w:szCs w:val="24"/>
          <w:lang w:eastAsia="en-GB"/>
        </w:rPr>
        <w:t>Cordner</w:t>
      </w:r>
      <w:proofErr w:type="spellEnd"/>
      <w:r w:rsidRPr="00E14657">
        <w:rPr>
          <w:rFonts w:ascii="Times New Roman" w:eastAsia="Times New Roman" w:hAnsi="Times New Roman" w:cs="Times New Roman"/>
          <w:sz w:val="24"/>
          <w:szCs w:val="24"/>
          <w:lang w:eastAsia="en-GB"/>
        </w:rPr>
        <w:t xml:space="preserve">, G. (2014). </w:t>
      </w:r>
      <w:r w:rsidRPr="00E14657">
        <w:rPr>
          <w:rFonts w:ascii="Times New Roman" w:eastAsia="Times New Roman" w:hAnsi="Times New Roman" w:cs="Times New Roman"/>
          <w:i/>
          <w:iCs/>
          <w:sz w:val="24"/>
          <w:szCs w:val="24"/>
          <w:lang w:eastAsia="en-GB"/>
        </w:rPr>
        <w:t>Community Policing: Principles and Elements</w:t>
      </w:r>
      <w:r w:rsidRPr="00E14657">
        <w:rPr>
          <w:rFonts w:ascii="Times New Roman" w:eastAsia="Times New Roman" w:hAnsi="Times New Roman" w:cs="Times New Roman"/>
          <w:sz w:val="24"/>
          <w:szCs w:val="24"/>
          <w:lang w:eastAsia="en-GB"/>
        </w:rPr>
        <w:t>.</w:t>
      </w:r>
    </w:p>
    <w:p w:rsidR="006E40A1" w:rsidRPr="00E14657" w:rsidRDefault="006E40A1" w:rsidP="006E40A1">
      <w:pPr>
        <w:spacing w:after="0" w:line="240" w:lineRule="auto"/>
        <w:rPr>
          <w:rFonts w:ascii="Times New Roman" w:eastAsia="Times New Roman" w:hAnsi="Times New Roman" w:cs="Times New Roman"/>
          <w:sz w:val="24"/>
          <w:szCs w:val="24"/>
          <w:lang w:eastAsia="en-GB"/>
        </w:rPr>
      </w:pPr>
    </w:p>
    <w:p w:rsidR="006E40A1" w:rsidRPr="00E14657" w:rsidRDefault="006E40A1" w:rsidP="006E40A1">
      <w:pPr>
        <w:spacing w:after="0" w:line="240" w:lineRule="auto"/>
        <w:rPr>
          <w:rFonts w:ascii="Times New Roman" w:eastAsia="Times New Roman" w:hAnsi="Times New Roman" w:cs="Times New Roman"/>
          <w:sz w:val="24"/>
          <w:szCs w:val="24"/>
          <w:lang w:eastAsia="en-GB"/>
        </w:rPr>
      </w:pPr>
      <w:proofErr w:type="spellStart"/>
      <w:r w:rsidRPr="00E14657">
        <w:rPr>
          <w:rFonts w:ascii="Times New Roman" w:eastAsia="Times New Roman" w:hAnsi="Times New Roman" w:cs="Times New Roman"/>
          <w:sz w:val="24"/>
          <w:szCs w:val="24"/>
          <w:lang w:eastAsia="en-GB"/>
        </w:rPr>
        <w:t>Deuchar</w:t>
      </w:r>
      <w:proofErr w:type="spellEnd"/>
      <w:r w:rsidRPr="00E14657">
        <w:rPr>
          <w:rFonts w:ascii="Times New Roman" w:eastAsia="Times New Roman" w:hAnsi="Times New Roman" w:cs="Times New Roman"/>
          <w:sz w:val="24"/>
          <w:szCs w:val="24"/>
          <w:lang w:eastAsia="en-GB"/>
        </w:rPr>
        <w:t xml:space="preserve">, R. (2010). </w:t>
      </w:r>
      <w:proofErr w:type="gramStart"/>
      <w:r w:rsidRPr="00E14657">
        <w:rPr>
          <w:rFonts w:ascii="Times New Roman" w:eastAsia="Times New Roman" w:hAnsi="Times New Roman" w:cs="Times New Roman"/>
          <w:i/>
          <w:iCs/>
          <w:sz w:val="24"/>
          <w:szCs w:val="24"/>
          <w:lang w:eastAsia="en-GB"/>
        </w:rPr>
        <w:t>Policing Youth Violence: Transatlantic Connections</w:t>
      </w:r>
      <w:r w:rsidRPr="00E14657">
        <w:rPr>
          <w:rFonts w:ascii="Times New Roman" w:eastAsia="Times New Roman" w:hAnsi="Times New Roman" w:cs="Times New Roman"/>
          <w:sz w:val="24"/>
          <w:szCs w:val="24"/>
          <w:lang w:eastAsia="en-GB"/>
        </w:rPr>
        <w:t>.</w:t>
      </w:r>
      <w:proofErr w:type="gramEnd"/>
    </w:p>
    <w:p w:rsidR="006E40A1" w:rsidRPr="00E14657" w:rsidRDefault="006E40A1" w:rsidP="006E40A1">
      <w:pPr>
        <w:spacing w:after="0" w:line="240" w:lineRule="auto"/>
        <w:rPr>
          <w:rFonts w:ascii="Times New Roman" w:eastAsia="Times New Roman" w:hAnsi="Times New Roman" w:cs="Times New Roman"/>
          <w:sz w:val="24"/>
          <w:szCs w:val="24"/>
          <w:lang w:eastAsia="en-GB"/>
        </w:rPr>
      </w:pPr>
    </w:p>
    <w:p w:rsidR="006E40A1" w:rsidRPr="00E14657" w:rsidRDefault="006E40A1" w:rsidP="006E40A1">
      <w:pPr>
        <w:spacing w:after="0" w:line="240" w:lineRule="auto"/>
        <w:rPr>
          <w:rFonts w:ascii="Times New Roman" w:eastAsia="Times New Roman" w:hAnsi="Times New Roman" w:cs="Times New Roman"/>
          <w:sz w:val="24"/>
          <w:szCs w:val="24"/>
          <w:lang w:eastAsia="en-GB"/>
        </w:rPr>
      </w:pPr>
      <w:r w:rsidRPr="00E14657">
        <w:rPr>
          <w:rFonts w:ascii="Times New Roman" w:eastAsia="Times New Roman" w:hAnsi="Times New Roman" w:cs="Times New Roman"/>
          <w:sz w:val="24"/>
          <w:szCs w:val="24"/>
          <w:lang w:eastAsia="en-GB"/>
        </w:rPr>
        <w:t xml:space="preserve">Forman, J. (2017). </w:t>
      </w:r>
      <w:proofErr w:type="gramStart"/>
      <w:r w:rsidRPr="00E14657">
        <w:rPr>
          <w:rFonts w:ascii="Times New Roman" w:eastAsia="Times New Roman" w:hAnsi="Times New Roman" w:cs="Times New Roman"/>
          <w:i/>
          <w:iCs/>
          <w:sz w:val="24"/>
          <w:szCs w:val="24"/>
          <w:lang w:eastAsia="en-GB"/>
        </w:rPr>
        <w:t>Locking Up Our Own: Crime and Punishment in Black America</w:t>
      </w:r>
      <w:r w:rsidRPr="00E14657">
        <w:rPr>
          <w:rFonts w:ascii="Times New Roman" w:eastAsia="Times New Roman" w:hAnsi="Times New Roman" w:cs="Times New Roman"/>
          <w:sz w:val="24"/>
          <w:szCs w:val="24"/>
          <w:lang w:eastAsia="en-GB"/>
        </w:rPr>
        <w:t>.</w:t>
      </w:r>
      <w:proofErr w:type="gramEnd"/>
    </w:p>
    <w:p w:rsidR="006E40A1" w:rsidRPr="00E14657" w:rsidRDefault="006E40A1" w:rsidP="006E40A1">
      <w:pPr>
        <w:spacing w:after="0" w:line="240" w:lineRule="auto"/>
        <w:rPr>
          <w:rFonts w:ascii="Times New Roman" w:eastAsia="Times New Roman" w:hAnsi="Times New Roman" w:cs="Times New Roman"/>
          <w:sz w:val="24"/>
          <w:szCs w:val="24"/>
          <w:lang w:eastAsia="en-GB"/>
        </w:rPr>
      </w:pPr>
    </w:p>
    <w:p w:rsidR="006E40A1" w:rsidRPr="00E14657" w:rsidRDefault="006E40A1" w:rsidP="006E40A1">
      <w:pPr>
        <w:spacing w:after="0" w:line="240" w:lineRule="auto"/>
        <w:rPr>
          <w:rFonts w:ascii="Times New Roman" w:eastAsia="Times New Roman" w:hAnsi="Times New Roman" w:cs="Times New Roman"/>
          <w:sz w:val="24"/>
          <w:szCs w:val="24"/>
          <w:lang w:eastAsia="en-GB"/>
        </w:rPr>
      </w:pPr>
      <w:proofErr w:type="gramStart"/>
      <w:r w:rsidRPr="00E14657">
        <w:rPr>
          <w:rFonts w:ascii="Times New Roman" w:eastAsia="Times New Roman" w:hAnsi="Times New Roman" w:cs="Times New Roman"/>
          <w:sz w:val="24"/>
          <w:szCs w:val="24"/>
          <w:lang w:eastAsia="en-GB"/>
        </w:rPr>
        <w:t xml:space="preserve">Gill, C., </w:t>
      </w:r>
      <w:proofErr w:type="spellStart"/>
      <w:r w:rsidRPr="00E14657">
        <w:rPr>
          <w:rFonts w:ascii="Times New Roman" w:eastAsia="Times New Roman" w:hAnsi="Times New Roman" w:cs="Times New Roman"/>
          <w:sz w:val="24"/>
          <w:szCs w:val="24"/>
          <w:lang w:eastAsia="en-GB"/>
        </w:rPr>
        <w:t>Weisburd</w:t>
      </w:r>
      <w:proofErr w:type="spellEnd"/>
      <w:r w:rsidRPr="00E14657">
        <w:rPr>
          <w:rFonts w:ascii="Times New Roman" w:eastAsia="Times New Roman" w:hAnsi="Times New Roman" w:cs="Times New Roman"/>
          <w:sz w:val="24"/>
          <w:szCs w:val="24"/>
          <w:lang w:eastAsia="en-GB"/>
        </w:rPr>
        <w:t xml:space="preserve">, D., </w:t>
      </w:r>
      <w:proofErr w:type="spellStart"/>
      <w:r w:rsidRPr="00E14657">
        <w:rPr>
          <w:rFonts w:ascii="Times New Roman" w:eastAsia="Times New Roman" w:hAnsi="Times New Roman" w:cs="Times New Roman"/>
          <w:sz w:val="24"/>
          <w:szCs w:val="24"/>
          <w:lang w:eastAsia="en-GB"/>
        </w:rPr>
        <w:t>Telep</w:t>
      </w:r>
      <w:proofErr w:type="spellEnd"/>
      <w:r w:rsidRPr="00E14657">
        <w:rPr>
          <w:rFonts w:ascii="Times New Roman" w:eastAsia="Times New Roman" w:hAnsi="Times New Roman" w:cs="Times New Roman"/>
          <w:sz w:val="24"/>
          <w:szCs w:val="24"/>
          <w:lang w:eastAsia="en-GB"/>
        </w:rPr>
        <w:t>, C., Vitter, Z., &amp; Bennett, T. (2014).</w:t>
      </w:r>
      <w:proofErr w:type="gramEnd"/>
      <w:r w:rsidRPr="00E14657">
        <w:rPr>
          <w:rFonts w:ascii="Times New Roman" w:eastAsia="Times New Roman" w:hAnsi="Times New Roman" w:cs="Times New Roman"/>
          <w:sz w:val="24"/>
          <w:szCs w:val="24"/>
          <w:lang w:eastAsia="en-GB"/>
        </w:rPr>
        <w:t xml:space="preserve"> Community-Oriented Policing to Reduce Crime, Disorder, and Fear and Increase Satisfaction and Legitimacy </w:t>
      </w:r>
      <w:proofErr w:type="gramStart"/>
      <w:r w:rsidRPr="00E14657">
        <w:rPr>
          <w:rFonts w:ascii="Times New Roman" w:eastAsia="Times New Roman" w:hAnsi="Times New Roman" w:cs="Times New Roman"/>
          <w:sz w:val="24"/>
          <w:szCs w:val="24"/>
          <w:lang w:eastAsia="en-GB"/>
        </w:rPr>
        <w:lastRenderedPageBreak/>
        <w:t>Among</w:t>
      </w:r>
      <w:proofErr w:type="gramEnd"/>
      <w:r w:rsidRPr="00E14657">
        <w:rPr>
          <w:rFonts w:ascii="Times New Roman" w:eastAsia="Times New Roman" w:hAnsi="Times New Roman" w:cs="Times New Roman"/>
          <w:sz w:val="24"/>
          <w:szCs w:val="24"/>
          <w:lang w:eastAsia="en-GB"/>
        </w:rPr>
        <w:t xml:space="preserve"> Citizens: A Systematic Review. </w:t>
      </w:r>
      <w:r w:rsidRPr="00E14657">
        <w:rPr>
          <w:rFonts w:ascii="Times New Roman" w:eastAsia="Times New Roman" w:hAnsi="Times New Roman" w:cs="Times New Roman"/>
          <w:i/>
          <w:iCs/>
          <w:sz w:val="24"/>
          <w:szCs w:val="24"/>
          <w:lang w:eastAsia="en-GB"/>
        </w:rPr>
        <w:t>Journal of Experimental Criminology, 10</w:t>
      </w:r>
      <w:r w:rsidRPr="00E14657">
        <w:rPr>
          <w:rFonts w:ascii="Times New Roman" w:eastAsia="Times New Roman" w:hAnsi="Times New Roman" w:cs="Times New Roman"/>
          <w:sz w:val="24"/>
          <w:szCs w:val="24"/>
          <w:lang w:eastAsia="en-GB"/>
        </w:rPr>
        <w:t>(4), 399-428.</w:t>
      </w:r>
    </w:p>
    <w:p w:rsidR="006E40A1" w:rsidRPr="00E14657" w:rsidRDefault="006E40A1" w:rsidP="006E40A1">
      <w:pPr>
        <w:spacing w:after="0" w:line="240" w:lineRule="auto"/>
        <w:rPr>
          <w:rFonts w:ascii="Times New Roman" w:eastAsia="Times New Roman" w:hAnsi="Times New Roman" w:cs="Times New Roman"/>
          <w:sz w:val="24"/>
          <w:szCs w:val="24"/>
          <w:lang w:eastAsia="en-GB"/>
        </w:rPr>
      </w:pPr>
    </w:p>
    <w:p w:rsidR="006E40A1" w:rsidRPr="00E14657" w:rsidRDefault="006E40A1" w:rsidP="006E40A1">
      <w:pPr>
        <w:spacing w:after="0" w:line="240" w:lineRule="auto"/>
        <w:rPr>
          <w:rFonts w:ascii="Times New Roman" w:eastAsia="Times New Roman" w:hAnsi="Times New Roman" w:cs="Times New Roman"/>
          <w:sz w:val="24"/>
          <w:szCs w:val="24"/>
          <w:lang w:eastAsia="en-GB"/>
        </w:rPr>
      </w:pPr>
      <w:r w:rsidRPr="00E14657">
        <w:rPr>
          <w:rFonts w:ascii="Times New Roman" w:eastAsia="Times New Roman" w:hAnsi="Times New Roman" w:cs="Times New Roman"/>
          <w:sz w:val="24"/>
          <w:szCs w:val="24"/>
          <w:lang w:eastAsia="en-GB"/>
        </w:rPr>
        <w:t xml:space="preserve">Loftus, B. (2009). </w:t>
      </w:r>
      <w:proofErr w:type="gramStart"/>
      <w:r w:rsidRPr="00E14657">
        <w:rPr>
          <w:rFonts w:ascii="Times New Roman" w:eastAsia="Times New Roman" w:hAnsi="Times New Roman" w:cs="Times New Roman"/>
          <w:i/>
          <w:iCs/>
          <w:sz w:val="24"/>
          <w:szCs w:val="24"/>
          <w:lang w:eastAsia="en-GB"/>
        </w:rPr>
        <w:t>Police Culture in a Changing World</w:t>
      </w:r>
      <w:r w:rsidRPr="00E14657">
        <w:rPr>
          <w:rFonts w:ascii="Times New Roman" w:eastAsia="Times New Roman" w:hAnsi="Times New Roman" w:cs="Times New Roman"/>
          <w:sz w:val="24"/>
          <w:szCs w:val="24"/>
          <w:lang w:eastAsia="en-GB"/>
        </w:rPr>
        <w:t>.</w:t>
      </w:r>
      <w:proofErr w:type="gramEnd"/>
    </w:p>
    <w:p w:rsidR="006E40A1" w:rsidRDefault="006E40A1" w:rsidP="006E40A1">
      <w:pPr>
        <w:spacing w:after="0" w:line="240" w:lineRule="auto"/>
        <w:rPr>
          <w:rFonts w:ascii="Times New Roman" w:eastAsia="Times New Roman" w:hAnsi="Times New Roman" w:cs="Times New Roman"/>
          <w:sz w:val="24"/>
          <w:szCs w:val="24"/>
          <w:lang w:eastAsia="en-GB"/>
        </w:rPr>
      </w:pPr>
    </w:p>
    <w:p w:rsidR="006E40A1" w:rsidRPr="00E14657" w:rsidRDefault="006E40A1" w:rsidP="006E40A1">
      <w:pPr>
        <w:spacing w:after="0" w:line="240" w:lineRule="auto"/>
        <w:rPr>
          <w:rFonts w:ascii="Times New Roman" w:eastAsia="Times New Roman" w:hAnsi="Times New Roman" w:cs="Times New Roman"/>
          <w:sz w:val="24"/>
          <w:szCs w:val="24"/>
          <w:lang w:eastAsia="en-GB"/>
        </w:rPr>
      </w:pPr>
      <w:r w:rsidRPr="00E14657">
        <w:rPr>
          <w:rFonts w:ascii="Times New Roman" w:eastAsia="Times New Roman" w:hAnsi="Times New Roman" w:cs="Times New Roman"/>
          <w:sz w:val="24"/>
          <w:szCs w:val="24"/>
          <w:lang w:eastAsia="en-GB"/>
        </w:rPr>
        <w:t xml:space="preserve">Miller, J. (2020). Police-Citizen Relations </w:t>
      </w:r>
      <w:proofErr w:type="gramStart"/>
      <w:r w:rsidRPr="00E14657">
        <w:rPr>
          <w:rFonts w:ascii="Times New Roman" w:eastAsia="Times New Roman" w:hAnsi="Times New Roman" w:cs="Times New Roman"/>
          <w:sz w:val="24"/>
          <w:szCs w:val="24"/>
          <w:lang w:eastAsia="en-GB"/>
        </w:rPr>
        <w:t>Across</w:t>
      </w:r>
      <w:proofErr w:type="gramEnd"/>
      <w:r w:rsidRPr="00E14657">
        <w:rPr>
          <w:rFonts w:ascii="Times New Roman" w:eastAsia="Times New Roman" w:hAnsi="Times New Roman" w:cs="Times New Roman"/>
          <w:sz w:val="24"/>
          <w:szCs w:val="24"/>
          <w:lang w:eastAsia="en-GB"/>
        </w:rPr>
        <w:t xml:space="preserve"> the World: Comparing Sources and Contexts of Trust and Legitimacy. </w:t>
      </w:r>
      <w:r w:rsidRPr="00E14657">
        <w:rPr>
          <w:rFonts w:ascii="Times New Roman" w:eastAsia="Times New Roman" w:hAnsi="Times New Roman" w:cs="Times New Roman"/>
          <w:i/>
          <w:iCs/>
          <w:sz w:val="24"/>
          <w:szCs w:val="24"/>
          <w:lang w:eastAsia="en-GB"/>
        </w:rPr>
        <w:t>Annual Review of Law and Social Science, 16</w:t>
      </w:r>
      <w:r w:rsidRPr="00E14657">
        <w:rPr>
          <w:rFonts w:ascii="Times New Roman" w:eastAsia="Times New Roman" w:hAnsi="Times New Roman" w:cs="Times New Roman"/>
          <w:sz w:val="24"/>
          <w:szCs w:val="24"/>
          <w:lang w:eastAsia="en-GB"/>
        </w:rPr>
        <w:t>, 67-87.</w:t>
      </w:r>
    </w:p>
    <w:p w:rsidR="006E40A1" w:rsidRPr="00E14657" w:rsidRDefault="006E40A1" w:rsidP="006E40A1">
      <w:pPr>
        <w:spacing w:after="0" w:line="240" w:lineRule="auto"/>
        <w:rPr>
          <w:rFonts w:ascii="Times New Roman" w:eastAsia="Times New Roman" w:hAnsi="Times New Roman" w:cs="Times New Roman"/>
          <w:sz w:val="24"/>
          <w:szCs w:val="24"/>
          <w:lang w:eastAsia="en-GB"/>
        </w:rPr>
      </w:pPr>
    </w:p>
    <w:p w:rsidR="006E40A1" w:rsidRPr="00E14657" w:rsidRDefault="006E40A1" w:rsidP="006E40A1">
      <w:pPr>
        <w:spacing w:after="0" w:line="240" w:lineRule="auto"/>
        <w:rPr>
          <w:rFonts w:ascii="Times New Roman" w:eastAsia="Times New Roman" w:hAnsi="Times New Roman" w:cs="Times New Roman"/>
          <w:sz w:val="24"/>
          <w:szCs w:val="24"/>
          <w:lang w:eastAsia="en-GB"/>
        </w:rPr>
      </w:pPr>
      <w:proofErr w:type="spellStart"/>
      <w:proofErr w:type="gramStart"/>
      <w:r w:rsidRPr="00E14657">
        <w:rPr>
          <w:rFonts w:ascii="Times New Roman" w:eastAsia="Times New Roman" w:hAnsi="Times New Roman" w:cs="Times New Roman"/>
          <w:sz w:val="24"/>
          <w:szCs w:val="24"/>
          <w:lang w:eastAsia="en-GB"/>
        </w:rPr>
        <w:t>Skogan</w:t>
      </w:r>
      <w:proofErr w:type="spellEnd"/>
      <w:r w:rsidRPr="00E14657">
        <w:rPr>
          <w:rFonts w:ascii="Times New Roman" w:eastAsia="Times New Roman" w:hAnsi="Times New Roman" w:cs="Times New Roman"/>
          <w:sz w:val="24"/>
          <w:szCs w:val="24"/>
          <w:lang w:eastAsia="en-GB"/>
        </w:rPr>
        <w:t>, W. (2019).</w:t>
      </w:r>
      <w:proofErr w:type="gramEnd"/>
      <w:r w:rsidRPr="00E14657">
        <w:rPr>
          <w:rFonts w:ascii="Times New Roman" w:eastAsia="Times New Roman" w:hAnsi="Times New Roman" w:cs="Times New Roman"/>
          <w:sz w:val="24"/>
          <w:szCs w:val="24"/>
          <w:lang w:eastAsia="en-GB"/>
        </w:rPr>
        <w:t xml:space="preserve"> </w:t>
      </w:r>
      <w:r w:rsidRPr="00E14657">
        <w:rPr>
          <w:rFonts w:ascii="Times New Roman" w:eastAsia="Times New Roman" w:hAnsi="Times New Roman" w:cs="Times New Roman"/>
          <w:i/>
          <w:iCs/>
          <w:sz w:val="24"/>
          <w:szCs w:val="24"/>
          <w:lang w:eastAsia="en-GB"/>
        </w:rPr>
        <w:t>Community Policing: Can It Work?</w:t>
      </w:r>
    </w:p>
    <w:p w:rsidR="006E40A1" w:rsidRPr="00E14657" w:rsidRDefault="006E40A1" w:rsidP="006E40A1">
      <w:pPr>
        <w:spacing w:after="0" w:line="240" w:lineRule="auto"/>
        <w:rPr>
          <w:rFonts w:ascii="Times New Roman" w:eastAsia="Times New Roman" w:hAnsi="Times New Roman" w:cs="Times New Roman"/>
          <w:sz w:val="24"/>
          <w:szCs w:val="24"/>
          <w:lang w:eastAsia="en-GB"/>
        </w:rPr>
      </w:pPr>
    </w:p>
    <w:p w:rsidR="006E40A1" w:rsidRPr="00E14657" w:rsidRDefault="006E40A1" w:rsidP="006E40A1">
      <w:pPr>
        <w:spacing w:after="0" w:line="240" w:lineRule="auto"/>
        <w:rPr>
          <w:rFonts w:ascii="Times New Roman" w:eastAsia="Times New Roman" w:hAnsi="Times New Roman" w:cs="Times New Roman"/>
          <w:sz w:val="24"/>
          <w:szCs w:val="24"/>
          <w:lang w:eastAsia="en-GB"/>
        </w:rPr>
      </w:pPr>
      <w:r w:rsidRPr="00E14657">
        <w:rPr>
          <w:rFonts w:ascii="Times New Roman" w:eastAsia="Times New Roman" w:hAnsi="Times New Roman" w:cs="Times New Roman"/>
          <w:sz w:val="24"/>
          <w:szCs w:val="24"/>
          <w:lang w:eastAsia="en-GB"/>
        </w:rPr>
        <w:t xml:space="preserve">Smith, G. (2016). </w:t>
      </w:r>
      <w:r w:rsidRPr="00E14657">
        <w:rPr>
          <w:rFonts w:ascii="Times New Roman" w:eastAsia="Times New Roman" w:hAnsi="Times New Roman" w:cs="Times New Roman"/>
          <w:i/>
          <w:iCs/>
          <w:sz w:val="24"/>
          <w:szCs w:val="24"/>
          <w:lang w:eastAsia="en-GB"/>
        </w:rPr>
        <w:t>Policing and Race in America: Economic, Political, and Social Dynamics</w:t>
      </w:r>
      <w:r w:rsidRPr="00E14657">
        <w:rPr>
          <w:rFonts w:ascii="Times New Roman" w:eastAsia="Times New Roman" w:hAnsi="Times New Roman" w:cs="Times New Roman"/>
          <w:sz w:val="24"/>
          <w:szCs w:val="24"/>
          <w:lang w:eastAsia="en-GB"/>
        </w:rPr>
        <w:t>.</w:t>
      </w:r>
    </w:p>
    <w:p w:rsidR="006E40A1" w:rsidRPr="00E14657" w:rsidRDefault="006E40A1" w:rsidP="006E40A1">
      <w:pPr>
        <w:spacing w:after="0" w:line="240" w:lineRule="auto"/>
        <w:rPr>
          <w:rFonts w:ascii="Times New Roman" w:eastAsia="Times New Roman" w:hAnsi="Times New Roman" w:cs="Times New Roman"/>
          <w:sz w:val="24"/>
          <w:szCs w:val="24"/>
          <w:lang w:eastAsia="en-GB"/>
        </w:rPr>
      </w:pPr>
    </w:p>
    <w:p w:rsidR="006E40A1" w:rsidRPr="00E14657" w:rsidRDefault="006E40A1" w:rsidP="006E40A1">
      <w:pPr>
        <w:spacing w:after="0" w:line="240" w:lineRule="auto"/>
        <w:rPr>
          <w:rFonts w:ascii="Times New Roman" w:eastAsia="Times New Roman" w:hAnsi="Times New Roman" w:cs="Times New Roman"/>
          <w:sz w:val="24"/>
          <w:szCs w:val="24"/>
          <w:lang w:eastAsia="en-GB"/>
        </w:rPr>
      </w:pPr>
      <w:proofErr w:type="gramStart"/>
      <w:r w:rsidRPr="00E14657">
        <w:rPr>
          <w:rFonts w:ascii="Times New Roman" w:eastAsia="Times New Roman" w:hAnsi="Times New Roman" w:cs="Times New Roman"/>
          <w:sz w:val="24"/>
          <w:szCs w:val="24"/>
          <w:lang w:eastAsia="en-GB"/>
        </w:rPr>
        <w:t>Tyler, T. (2014).</w:t>
      </w:r>
      <w:proofErr w:type="gramEnd"/>
      <w:r w:rsidRPr="00E14657">
        <w:rPr>
          <w:rFonts w:ascii="Times New Roman" w:eastAsia="Times New Roman" w:hAnsi="Times New Roman" w:cs="Times New Roman"/>
          <w:sz w:val="24"/>
          <w:szCs w:val="24"/>
          <w:lang w:eastAsia="en-GB"/>
        </w:rPr>
        <w:t xml:space="preserve"> </w:t>
      </w:r>
      <w:r w:rsidRPr="00E14657">
        <w:rPr>
          <w:rFonts w:ascii="Times New Roman" w:eastAsia="Times New Roman" w:hAnsi="Times New Roman" w:cs="Times New Roman"/>
          <w:i/>
          <w:iCs/>
          <w:sz w:val="24"/>
          <w:szCs w:val="24"/>
          <w:lang w:eastAsia="en-GB"/>
        </w:rPr>
        <w:t>Why People Cooperate: The Role of Social Motivations</w:t>
      </w:r>
      <w:r w:rsidRPr="00E14657">
        <w:rPr>
          <w:rFonts w:ascii="Times New Roman" w:eastAsia="Times New Roman" w:hAnsi="Times New Roman" w:cs="Times New Roman"/>
          <w:sz w:val="24"/>
          <w:szCs w:val="24"/>
          <w:lang w:eastAsia="en-GB"/>
        </w:rPr>
        <w:t>.</w:t>
      </w:r>
    </w:p>
    <w:p w:rsidR="006E40A1" w:rsidRPr="00E14657" w:rsidRDefault="006E40A1" w:rsidP="006E40A1">
      <w:pPr>
        <w:spacing w:after="0" w:line="240" w:lineRule="auto"/>
        <w:rPr>
          <w:rFonts w:ascii="Times New Roman" w:eastAsia="Times New Roman" w:hAnsi="Times New Roman" w:cs="Times New Roman"/>
          <w:sz w:val="24"/>
          <w:szCs w:val="24"/>
          <w:lang w:eastAsia="en-GB"/>
        </w:rPr>
      </w:pPr>
    </w:p>
    <w:p w:rsidR="006E40A1" w:rsidRDefault="006E40A1" w:rsidP="006E40A1">
      <w:pPr>
        <w:spacing w:after="0" w:line="240" w:lineRule="auto"/>
        <w:rPr>
          <w:rFonts w:ascii="Times New Roman" w:eastAsia="Times New Roman" w:hAnsi="Times New Roman" w:cs="Times New Roman"/>
          <w:sz w:val="24"/>
          <w:szCs w:val="24"/>
          <w:lang w:eastAsia="en-GB"/>
        </w:rPr>
      </w:pPr>
      <w:proofErr w:type="gramStart"/>
      <w:r w:rsidRPr="00E14657">
        <w:rPr>
          <w:rFonts w:ascii="Times New Roman" w:eastAsia="Times New Roman" w:hAnsi="Times New Roman" w:cs="Times New Roman"/>
          <w:sz w:val="24"/>
          <w:szCs w:val="24"/>
          <w:lang w:eastAsia="en-GB"/>
        </w:rPr>
        <w:t xml:space="preserve">Watson, A., Compton, M., &amp; </w:t>
      </w:r>
      <w:proofErr w:type="spellStart"/>
      <w:r w:rsidRPr="00E14657">
        <w:rPr>
          <w:rFonts w:ascii="Times New Roman" w:eastAsia="Times New Roman" w:hAnsi="Times New Roman" w:cs="Times New Roman"/>
          <w:sz w:val="24"/>
          <w:szCs w:val="24"/>
          <w:lang w:eastAsia="en-GB"/>
        </w:rPr>
        <w:t>Draine</w:t>
      </w:r>
      <w:proofErr w:type="spellEnd"/>
      <w:r w:rsidRPr="00E14657">
        <w:rPr>
          <w:rFonts w:ascii="Times New Roman" w:eastAsia="Times New Roman" w:hAnsi="Times New Roman" w:cs="Times New Roman"/>
          <w:sz w:val="24"/>
          <w:szCs w:val="24"/>
          <w:lang w:eastAsia="en-GB"/>
        </w:rPr>
        <w:t>, J. (2010).</w:t>
      </w:r>
      <w:proofErr w:type="gramEnd"/>
      <w:r w:rsidRPr="00E14657">
        <w:rPr>
          <w:rFonts w:ascii="Times New Roman" w:eastAsia="Times New Roman" w:hAnsi="Times New Roman" w:cs="Times New Roman"/>
          <w:sz w:val="24"/>
          <w:szCs w:val="24"/>
          <w:lang w:eastAsia="en-GB"/>
        </w:rPr>
        <w:t xml:space="preserve"> The Crisis Intervention Team (CIT) Model: An Evidence-Based Policing Practice? </w:t>
      </w:r>
      <w:proofErr w:type="spellStart"/>
      <w:r w:rsidRPr="00E14657">
        <w:rPr>
          <w:rFonts w:ascii="Times New Roman" w:eastAsia="Times New Roman" w:hAnsi="Times New Roman" w:cs="Times New Roman"/>
          <w:i/>
          <w:iCs/>
          <w:sz w:val="24"/>
          <w:szCs w:val="24"/>
          <w:lang w:eastAsia="en-GB"/>
        </w:rPr>
        <w:t>Behavioral</w:t>
      </w:r>
      <w:proofErr w:type="spellEnd"/>
      <w:r w:rsidRPr="00E14657">
        <w:rPr>
          <w:rFonts w:ascii="Times New Roman" w:eastAsia="Times New Roman" w:hAnsi="Times New Roman" w:cs="Times New Roman"/>
          <w:i/>
          <w:iCs/>
          <w:sz w:val="24"/>
          <w:szCs w:val="24"/>
          <w:lang w:eastAsia="en-GB"/>
        </w:rPr>
        <w:t xml:space="preserve"> Sciences &amp; the Law, 26</w:t>
      </w:r>
      <w:r w:rsidRPr="00E14657">
        <w:rPr>
          <w:rFonts w:ascii="Times New Roman" w:eastAsia="Times New Roman" w:hAnsi="Times New Roman" w:cs="Times New Roman"/>
          <w:sz w:val="24"/>
          <w:szCs w:val="24"/>
          <w:lang w:eastAsia="en-GB"/>
        </w:rPr>
        <w:t>(1), 85-102.</w:t>
      </w:r>
    </w:p>
    <w:p w:rsidR="006E40A1" w:rsidRPr="00E14657" w:rsidRDefault="006E40A1" w:rsidP="006E40A1">
      <w:pPr>
        <w:spacing w:after="0" w:line="240" w:lineRule="auto"/>
        <w:rPr>
          <w:rFonts w:ascii="Times New Roman" w:eastAsia="Times New Roman" w:hAnsi="Times New Roman" w:cs="Times New Roman"/>
          <w:sz w:val="24"/>
          <w:szCs w:val="24"/>
          <w:lang w:eastAsia="en-GB"/>
        </w:rPr>
      </w:pPr>
    </w:p>
    <w:p w:rsidR="006E40A1" w:rsidRDefault="006E40A1" w:rsidP="006E40A1">
      <w:pPr>
        <w:spacing w:after="0" w:line="240" w:lineRule="auto"/>
        <w:rPr>
          <w:rFonts w:ascii="Times New Roman" w:eastAsia="Times New Roman" w:hAnsi="Times New Roman" w:cs="Times New Roman"/>
          <w:sz w:val="24"/>
          <w:szCs w:val="24"/>
          <w:lang w:eastAsia="en-GB"/>
        </w:rPr>
      </w:pPr>
      <w:proofErr w:type="spellStart"/>
      <w:r w:rsidRPr="00E14657">
        <w:rPr>
          <w:rFonts w:ascii="Times New Roman" w:eastAsia="Times New Roman" w:hAnsi="Times New Roman" w:cs="Times New Roman"/>
          <w:sz w:val="24"/>
          <w:szCs w:val="24"/>
          <w:lang w:eastAsia="en-GB"/>
        </w:rPr>
        <w:t>Weitzer</w:t>
      </w:r>
      <w:proofErr w:type="spellEnd"/>
      <w:r w:rsidRPr="00E14657">
        <w:rPr>
          <w:rFonts w:ascii="Times New Roman" w:eastAsia="Times New Roman" w:hAnsi="Times New Roman" w:cs="Times New Roman"/>
          <w:sz w:val="24"/>
          <w:szCs w:val="24"/>
          <w:lang w:eastAsia="en-GB"/>
        </w:rPr>
        <w:t xml:space="preserve">, R. (2018). </w:t>
      </w:r>
      <w:r w:rsidRPr="00E14657">
        <w:rPr>
          <w:rFonts w:ascii="Times New Roman" w:eastAsia="Times New Roman" w:hAnsi="Times New Roman" w:cs="Times New Roman"/>
          <w:i/>
          <w:iCs/>
          <w:sz w:val="24"/>
          <w:szCs w:val="24"/>
          <w:lang w:eastAsia="en-GB"/>
        </w:rPr>
        <w:t>Race and Policing in America: Conflict and Reform</w:t>
      </w:r>
      <w:r w:rsidRPr="00E14657">
        <w:rPr>
          <w:rFonts w:ascii="Times New Roman" w:eastAsia="Times New Roman" w:hAnsi="Times New Roman" w:cs="Times New Roman"/>
          <w:sz w:val="24"/>
          <w:szCs w:val="24"/>
          <w:lang w:eastAsia="en-GB"/>
        </w:rPr>
        <w:t>.</w:t>
      </w:r>
    </w:p>
    <w:p w:rsidR="006E40A1" w:rsidRDefault="006E40A1" w:rsidP="006E40A1">
      <w:pPr>
        <w:spacing w:after="0" w:line="240" w:lineRule="auto"/>
        <w:rPr>
          <w:rFonts w:ascii="Times New Roman" w:eastAsia="Times New Roman" w:hAnsi="Times New Roman" w:cs="Times New Roman"/>
          <w:sz w:val="24"/>
          <w:szCs w:val="24"/>
          <w:lang w:eastAsia="en-GB"/>
        </w:rPr>
      </w:pPr>
    </w:p>
    <w:p w:rsidR="006E40A1" w:rsidRPr="00E14657" w:rsidRDefault="006E40A1" w:rsidP="006E40A1">
      <w:pPr>
        <w:spacing w:after="0" w:line="240" w:lineRule="auto"/>
        <w:rPr>
          <w:rFonts w:ascii="Times New Roman" w:eastAsia="Times New Roman" w:hAnsi="Times New Roman" w:cs="Times New Roman"/>
          <w:sz w:val="24"/>
          <w:szCs w:val="24"/>
          <w:lang w:eastAsia="en-GB"/>
        </w:rPr>
      </w:pPr>
      <w:proofErr w:type="gramStart"/>
      <w:r w:rsidRPr="00E14657">
        <w:rPr>
          <w:rFonts w:ascii="Times New Roman" w:eastAsia="Times New Roman" w:hAnsi="Times New Roman" w:cs="Times New Roman"/>
          <w:sz w:val="24"/>
          <w:szCs w:val="24"/>
          <w:lang w:eastAsia="en-GB"/>
        </w:rPr>
        <w:t>Wilson, J. Q., &amp; Kelling, G. L. (1982).</w:t>
      </w:r>
      <w:proofErr w:type="gramEnd"/>
      <w:r w:rsidRPr="00E14657">
        <w:rPr>
          <w:rFonts w:ascii="Times New Roman" w:eastAsia="Times New Roman" w:hAnsi="Times New Roman" w:cs="Times New Roman"/>
          <w:sz w:val="24"/>
          <w:szCs w:val="24"/>
          <w:lang w:eastAsia="en-GB"/>
        </w:rPr>
        <w:t xml:space="preserve"> </w:t>
      </w:r>
      <w:proofErr w:type="gramStart"/>
      <w:r w:rsidRPr="00E14657">
        <w:rPr>
          <w:rFonts w:ascii="Times New Roman" w:eastAsia="Times New Roman" w:hAnsi="Times New Roman" w:cs="Times New Roman"/>
          <w:sz w:val="24"/>
          <w:szCs w:val="24"/>
          <w:lang w:eastAsia="en-GB"/>
        </w:rPr>
        <w:t>Broken Windows: The Pol</w:t>
      </w:r>
      <w:r>
        <w:rPr>
          <w:rFonts w:ascii="Times New Roman" w:eastAsia="Times New Roman" w:hAnsi="Times New Roman" w:cs="Times New Roman"/>
          <w:sz w:val="24"/>
          <w:szCs w:val="24"/>
          <w:lang w:eastAsia="en-GB"/>
        </w:rPr>
        <w:t xml:space="preserve">ice and </w:t>
      </w:r>
      <w:proofErr w:type="spellStart"/>
      <w:r>
        <w:rPr>
          <w:rFonts w:ascii="Times New Roman" w:eastAsia="Times New Roman" w:hAnsi="Times New Roman" w:cs="Times New Roman"/>
          <w:sz w:val="24"/>
          <w:szCs w:val="24"/>
          <w:lang w:eastAsia="en-GB"/>
        </w:rPr>
        <w:t>Neighborhood</w:t>
      </w:r>
      <w:proofErr w:type="spellEnd"/>
      <w:r>
        <w:rPr>
          <w:rFonts w:ascii="Times New Roman" w:eastAsia="Times New Roman" w:hAnsi="Times New Roman" w:cs="Times New Roman"/>
          <w:sz w:val="24"/>
          <w:szCs w:val="24"/>
          <w:lang w:eastAsia="en-GB"/>
        </w:rPr>
        <w:t xml:space="preserve"> Safety.</w:t>
      </w:r>
      <w:proofErr w:type="gramEnd"/>
    </w:p>
    <w:p w:rsidR="006E40A1" w:rsidRDefault="006E40A1"/>
    <w:sectPr w:rsidR="006E40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41F"/>
    <w:rsid w:val="000C341F"/>
    <w:rsid w:val="006E40A1"/>
    <w:rsid w:val="00EB5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0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0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4885</Words>
  <Characters>27851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Bojszi</dc:creator>
  <cp:lastModifiedBy>Bojszi</cp:lastModifiedBy>
  <cp:revision>2</cp:revision>
  <dcterms:created xsi:type="dcterms:W3CDTF">2024-08-31T03:14:00Z</dcterms:created>
  <dcterms:modified xsi:type="dcterms:W3CDTF">2024-08-31T03:14:00Z</dcterms:modified>
</cp:coreProperties>
</file>