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1684F" w14:textId="44C6D1F0" w:rsidR="00FA4749" w:rsidRDefault="00FA4749" w:rsidP="00FA4749">
      <w:pPr>
        <w:jc w:val="center"/>
        <w:rPr>
          <w:rFonts w:ascii="Times" w:hAnsi="Times"/>
          <w:sz w:val="36"/>
          <w:szCs w:val="36"/>
        </w:rPr>
      </w:pPr>
      <w:r>
        <w:rPr>
          <w:rFonts w:ascii="Times" w:hAnsi="Times"/>
          <w:sz w:val="36"/>
          <w:szCs w:val="36"/>
        </w:rPr>
        <w:t xml:space="preserve">Assessment </w:t>
      </w:r>
      <w:r>
        <w:rPr>
          <w:rFonts w:ascii="Times" w:hAnsi="Times"/>
          <w:sz w:val="36"/>
          <w:szCs w:val="36"/>
        </w:rPr>
        <w:t>Four</w:t>
      </w:r>
    </w:p>
    <w:p w14:paraId="396B723F" w14:textId="77777777" w:rsidR="00FA4749" w:rsidRDefault="00FA4749" w:rsidP="00FA4749">
      <w:pPr>
        <w:jc w:val="center"/>
        <w:rPr>
          <w:rFonts w:ascii="Times" w:hAnsi="Times"/>
          <w:sz w:val="48"/>
          <w:szCs w:val="48"/>
        </w:rPr>
      </w:pPr>
    </w:p>
    <w:p w14:paraId="38FBF1A8" w14:textId="44ACBC9E" w:rsidR="00FA4749" w:rsidRPr="00FA4749" w:rsidRDefault="00FA4749" w:rsidP="00FA4749">
      <w:pPr>
        <w:jc w:val="center"/>
        <w:rPr>
          <w:rFonts w:ascii="Times" w:hAnsi="Times"/>
          <w:sz w:val="48"/>
          <w:szCs w:val="48"/>
        </w:rPr>
      </w:pPr>
      <w:r w:rsidRPr="00FA4749">
        <w:rPr>
          <w:rFonts w:ascii="Times" w:hAnsi="Times"/>
          <w:sz w:val="48"/>
          <w:szCs w:val="48"/>
        </w:rPr>
        <w:t xml:space="preserve">The </w:t>
      </w:r>
      <w:r>
        <w:rPr>
          <w:rFonts w:ascii="Times" w:hAnsi="Times"/>
          <w:sz w:val="48"/>
          <w:szCs w:val="48"/>
        </w:rPr>
        <w:t>I</w:t>
      </w:r>
      <w:r w:rsidRPr="00FA4749">
        <w:rPr>
          <w:rFonts w:ascii="Times" w:hAnsi="Times"/>
          <w:sz w:val="48"/>
          <w:szCs w:val="48"/>
        </w:rPr>
        <w:t xml:space="preserve">mpact of </w:t>
      </w:r>
      <w:r>
        <w:rPr>
          <w:rFonts w:ascii="Times" w:hAnsi="Times"/>
          <w:sz w:val="48"/>
          <w:szCs w:val="48"/>
        </w:rPr>
        <w:t xml:space="preserve">the </w:t>
      </w:r>
      <w:r w:rsidRPr="00FA4749">
        <w:rPr>
          <w:rFonts w:ascii="Times" w:hAnsi="Times"/>
          <w:sz w:val="48"/>
          <w:szCs w:val="48"/>
        </w:rPr>
        <w:t xml:space="preserve">‘Arab Spring’ and its </w:t>
      </w:r>
      <w:r>
        <w:rPr>
          <w:rFonts w:ascii="Times" w:hAnsi="Times"/>
          <w:sz w:val="48"/>
          <w:szCs w:val="48"/>
        </w:rPr>
        <w:t>R</w:t>
      </w:r>
      <w:r w:rsidRPr="00FA4749">
        <w:rPr>
          <w:rFonts w:ascii="Times" w:hAnsi="Times"/>
          <w:sz w:val="48"/>
          <w:szCs w:val="48"/>
        </w:rPr>
        <w:t xml:space="preserve">elationship with Islam and Muslim </w:t>
      </w:r>
      <w:r>
        <w:rPr>
          <w:rFonts w:ascii="Times" w:hAnsi="Times"/>
          <w:sz w:val="48"/>
          <w:szCs w:val="48"/>
        </w:rPr>
        <w:t>I</w:t>
      </w:r>
      <w:r w:rsidRPr="00FA4749">
        <w:rPr>
          <w:rFonts w:ascii="Times" w:hAnsi="Times"/>
          <w:sz w:val="48"/>
          <w:szCs w:val="48"/>
        </w:rPr>
        <w:t>dentities</w:t>
      </w:r>
    </w:p>
    <w:p w14:paraId="350F5469" w14:textId="77777777" w:rsidR="00FA4749" w:rsidRDefault="00FA4749" w:rsidP="00FA4749">
      <w:pPr>
        <w:jc w:val="center"/>
        <w:rPr>
          <w:rFonts w:ascii="Times" w:hAnsi="Times"/>
          <w:sz w:val="36"/>
          <w:szCs w:val="36"/>
        </w:rPr>
      </w:pPr>
    </w:p>
    <w:p w14:paraId="28261544" w14:textId="77777777" w:rsidR="00FA4749" w:rsidRPr="001A1D43" w:rsidRDefault="00FA4749" w:rsidP="00FA4749">
      <w:pPr>
        <w:jc w:val="center"/>
        <w:rPr>
          <w:rFonts w:ascii="Times" w:hAnsi="Times"/>
          <w:sz w:val="44"/>
          <w:szCs w:val="44"/>
        </w:rPr>
      </w:pPr>
    </w:p>
    <w:p w14:paraId="580A925D" w14:textId="77777777" w:rsidR="00FA4749" w:rsidRPr="001A1D43" w:rsidRDefault="00FA4749" w:rsidP="00FA4749">
      <w:pPr>
        <w:jc w:val="center"/>
        <w:rPr>
          <w:rFonts w:ascii="Times" w:hAnsi="Times"/>
          <w:sz w:val="44"/>
          <w:szCs w:val="44"/>
        </w:rPr>
      </w:pPr>
      <w:r>
        <w:rPr>
          <w:rFonts w:ascii="Times" w:hAnsi="Times"/>
          <w:sz w:val="44"/>
          <w:szCs w:val="44"/>
        </w:rPr>
        <w:t>Muslim Politics</w:t>
      </w:r>
    </w:p>
    <w:p w14:paraId="289DF0A0" w14:textId="77777777" w:rsidR="00FA4749" w:rsidRDefault="00FA4749" w:rsidP="00FA4749">
      <w:pPr>
        <w:jc w:val="center"/>
        <w:rPr>
          <w:rFonts w:ascii="Times" w:hAnsi="Times"/>
          <w:sz w:val="36"/>
          <w:szCs w:val="36"/>
        </w:rPr>
      </w:pPr>
    </w:p>
    <w:p w14:paraId="4E24E0BF" w14:textId="77777777" w:rsidR="00FA4749" w:rsidRDefault="00FA4749" w:rsidP="00FA4749">
      <w:pPr>
        <w:jc w:val="center"/>
        <w:rPr>
          <w:rFonts w:ascii="Times" w:hAnsi="Times"/>
          <w:sz w:val="36"/>
          <w:szCs w:val="36"/>
        </w:rPr>
      </w:pPr>
    </w:p>
    <w:p w14:paraId="77CEE92F" w14:textId="77777777" w:rsidR="00FA4749" w:rsidRDefault="00FA4749" w:rsidP="00FA4749">
      <w:pPr>
        <w:jc w:val="center"/>
        <w:rPr>
          <w:rFonts w:ascii="Times" w:hAnsi="Times"/>
          <w:sz w:val="36"/>
          <w:szCs w:val="36"/>
        </w:rPr>
      </w:pPr>
    </w:p>
    <w:p w14:paraId="57D49C32" w14:textId="77777777" w:rsidR="00FA4749" w:rsidRDefault="00FA4749" w:rsidP="00FA4749">
      <w:pPr>
        <w:jc w:val="center"/>
        <w:rPr>
          <w:rFonts w:ascii="Times" w:hAnsi="Times"/>
          <w:sz w:val="36"/>
          <w:szCs w:val="36"/>
        </w:rPr>
      </w:pPr>
      <w:r>
        <w:rPr>
          <w:rFonts w:ascii="Times" w:hAnsi="Times"/>
          <w:sz w:val="36"/>
          <w:szCs w:val="36"/>
        </w:rPr>
        <w:t>Instructor: Dr. Gary Bunt</w:t>
      </w:r>
    </w:p>
    <w:p w14:paraId="12790834" w14:textId="77777777" w:rsidR="00FA4749" w:rsidRDefault="00FA4749" w:rsidP="00FA4749">
      <w:pPr>
        <w:jc w:val="center"/>
        <w:rPr>
          <w:rFonts w:ascii="Times" w:hAnsi="Times"/>
          <w:sz w:val="36"/>
          <w:szCs w:val="36"/>
        </w:rPr>
      </w:pPr>
    </w:p>
    <w:p w14:paraId="483C64CB" w14:textId="77777777" w:rsidR="00FA4749" w:rsidRDefault="00FA4749" w:rsidP="00FA4749">
      <w:pPr>
        <w:jc w:val="center"/>
        <w:rPr>
          <w:rFonts w:ascii="Times" w:hAnsi="Times"/>
          <w:sz w:val="36"/>
          <w:szCs w:val="36"/>
        </w:rPr>
      </w:pPr>
      <w:r>
        <w:rPr>
          <w:rFonts w:ascii="Times" w:hAnsi="Times"/>
          <w:sz w:val="36"/>
          <w:szCs w:val="36"/>
        </w:rPr>
        <w:t>University of Wales Trinity Saint David</w:t>
      </w:r>
    </w:p>
    <w:p w14:paraId="4FF39889" w14:textId="77777777" w:rsidR="00FA4749" w:rsidRDefault="00FA4749" w:rsidP="00FA4749">
      <w:pPr>
        <w:jc w:val="center"/>
        <w:rPr>
          <w:rFonts w:ascii="Times" w:hAnsi="Times"/>
          <w:sz w:val="36"/>
          <w:szCs w:val="36"/>
        </w:rPr>
      </w:pPr>
    </w:p>
    <w:p w14:paraId="4F2FA2F9" w14:textId="77777777" w:rsidR="00FA4749" w:rsidRDefault="00FA4749" w:rsidP="00FA4749">
      <w:pPr>
        <w:jc w:val="center"/>
        <w:rPr>
          <w:rFonts w:ascii="Times" w:hAnsi="Times"/>
          <w:sz w:val="36"/>
          <w:szCs w:val="36"/>
        </w:rPr>
      </w:pPr>
      <w:r>
        <w:rPr>
          <w:rFonts w:ascii="Times" w:hAnsi="Times"/>
          <w:sz w:val="36"/>
          <w:szCs w:val="36"/>
        </w:rPr>
        <w:t>Syed Mohammad Haider</w:t>
      </w:r>
    </w:p>
    <w:p w14:paraId="718C172D" w14:textId="77777777" w:rsidR="00FA4749" w:rsidRDefault="00FA4749" w:rsidP="00FA4749">
      <w:pPr>
        <w:rPr>
          <w:rFonts w:ascii="Times" w:hAnsi="Times"/>
        </w:rPr>
      </w:pPr>
    </w:p>
    <w:p w14:paraId="5BBF3983" w14:textId="77777777" w:rsidR="00FA4749" w:rsidRDefault="00FA4749">
      <w:pPr>
        <w:rPr>
          <w:rFonts w:ascii="Times" w:hAnsi="Times"/>
        </w:rPr>
      </w:pPr>
    </w:p>
    <w:p w14:paraId="07280955" w14:textId="77777777" w:rsidR="00FA4749" w:rsidRDefault="00FA4749">
      <w:pPr>
        <w:rPr>
          <w:rFonts w:ascii="Times" w:hAnsi="Times"/>
        </w:rPr>
      </w:pPr>
    </w:p>
    <w:p w14:paraId="1EC14D96" w14:textId="77777777" w:rsidR="00FA4749" w:rsidRDefault="00FA4749">
      <w:pPr>
        <w:rPr>
          <w:rFonts w:ascii="Times" w:hAnsi="Times"/>
        </w:rPr>
      </w:pPr>
    </w:p>
    <w:p w14:paraId="7F8A9B26" w14:textId="77777777" w:rsidR="00FA4749" w:rsidRDefault="00FA4749">
      <w:pPr>
        <w:rPr>
          <w:rFonts w:ascii="Times" w:hAnsi="Times"/>
        </w:rPr>
      </w:pPr>
    </w:p>
    <w:p w14:paraId="53AC054D" w14:textId="77777777" w:rsidR="00FA4749" w:rsidRDefault="00FA4749">
      <w:pPr>
        <w:rPr>
          <w:rFonts w:ascii="Times" w:hAnsi="Times"/>
        </w:rPr>
      </w:pPr>
    </w:p>
    <w:p w14:paraId="00666B20" w14:textId="77777777" w:rsidR="00FA4749" w:rsidRDefault="00FA4749">
      <w:pPr>
        <w:rPr>
          <w:rFonts w:ascii="Times" w:hAnsi="Times"/>
        </w:rPr>
      </w:pPr>
    </w:p>
    <w:p w14:paraId="497E5656" w14:textId="77777777" w:rsidR="00FA4749" w:rsidRDefault="00FA4749">
      <w:pPr>
        <w:rPr>
          <w:rFonts w:ascii="Times" w:hAnsi="Times"/>
        </w:rPr>
      </w:pPr>
    </w:p>
    <w:p w14:paraId="6AF3119B" w14:textId="77777777" w:rsidR="00FA4749" w:rsidRDefault="00FA4749">
      <w:pPr>
        <w:rPr>
          <w:rFonts w:ascii="Times" w:hAnsi="Times"/>
        </w:rPr>
      </w:pPr>
    </w:p>
    <w:p w14:paraId="7225AB86" w14:textId="77777777" w:rsidR="00FA4749" w:rsidRDefault="00FA4749">
      <w:pPr>
        <w:rPr>
          <w:rFonts w:ascii="Times" w:hAnsi="Times"/>
        </w:rPr>
      </w:pPr>
    </w:p>
    <w:p w14:paraId="63B80E5E" w14:textId="77777777" w:rsidR="00FA4749" w:rsidRDefault="00FA4749">
      <w:pPr>
        <w:rPr>
          <w:rFonts w:ascii="Times" w:hAnsi="Times"/>
        </w:rPr>
      </w:pPr>
    </w:p>
    <w:p w14:paraId="13572C32" w14:textId="77777777" w:rsidR="00FA4749" w:rsidRDefault="00FA4749">
      <w:pPr>
        <w:rPr>
          <w:rFonts w:ascii="Times" w:hAnsi="Times"/>
        </w:rPr>
      </w:pPr>
    </w:p>
    <w:p w14:paraId="5382F226" w14:textId="77777777" w:rsidR="00FA4749" w:rsidRDefault="00FA4749">
      <w:pPr>
        <w:rPr>
          <w:rFonts w:ascii="Times" w:hAnsi="Times"/>
        </w:rPr>
      </w:pPr>
    </w:p>
    <w:p w14:paraId="000C14F3" w14:textId="77777777" w:rsidR="00FA4749" w:rsidRDefault="00FA4749">
      <w:pPr>
        <w:rPr>
          <w:rFonts w:ascii="Times" w:hAnsi="Times"/>
        </w:rPr>
      </w:pPr>
    </w:p>
    <w:p w14:paraId="2874C4EF" w14:textId="77777777" w:rsidR="00FA4749" w:rsidRDefault="00FA4749">
      <w:pPr>
        <w:rPr>
          <w:rFonts w:ascii="Times" w:hAnsi="Times"/>
        </w:rPr>
      </w:pPr>
    </w:p>
    <w:p w14:paraId="64C90719" w14:textId="77777777" w:rsidR="00FA4749" w:rsidRDefault="00FA4749">
      <w:pPr>
        <w:rPr>
          <w:rFonts w:ascii="Times" w:hAnsi="Times"/>
        </w:rPr>
      </w:pPr>
    </w:p>
    <w:p w14:paraId="2F0D60C6" w14:textId="77777777" w:rsidR="00FA4749" w:rsidRDefault="00FA4749">
      <w:pPr>
        <w:rPr>
          <w:rFonts w:ascii="Times" w:hAnsi="Times"/>
        </w:rPr>
      </w:pPr>
    </w:p>
    <w:p w14:paraId="392B7A37" w14:textId="77777777" w:rsidR="00FA4749" w:rsidRDefault="00FA4749">
      <w:pPr>
        <w:rPr>
          <w:rFonts w:ascii="Times" w:hAnsi="Times"/>
        </w:rPr>
      </w:pPr>
    </w:p>
    <w:p w14:paraId="14FE9444" w14:textId="77777777" w:rsidR="00FA4749" w:rsidRDefault="00FA4749">
      <w:pPr>
        <w:rPr>
          <w:rFonts w:ascii="Times" w:hAnsi="Times"/>
        </w:rPr>
      </w:pPr>
    </w:p>
    <w:p w14:paraId="35A48464" w14:textId="77777777" w:rsidR="00FA4749" w:rsidRDefault="00FA4749">
      <w:pPr>
        <w:rPr>
          <w:rFonts w:ascii="Times" w:hAnsi="Times"/>
        </w:rPr>
      </w:pPr>
    </w:p>
    <w:p w14:paraId="221B6D42" w14:textId="77777777" w:rsidR="00FA4749" w:rsidRDefault="00FA4749">
      <w:pPr>
        <w:rPr>
          <w:rFonts w:ascii="Times" w:hAnsi="Times"/>
        </w:rPr>
      </w:pPr>
    </w:p>
    <w:p w14:paraId="27C9F7C9" w14:textId="77777777" w:rsidR="00FA4749" w:rsidRDefault="00FA4749">
      <w:pPr>
        <w:rPr>
          <w:rFonts w:ascii="Times" w:hAnsi="Times"/>
        </w:rPr>
      </w:pPr>
    </w:p>
    <w:p w14:paraId="380199BD" w14:textId="113B376C" w:rsidR="00E83C88" w:rsidRDefault="00E83C88">
      <w:pPr>
        <w:rPr>
          <w:rFonts w:ascii="Times" w:hAnsi="Times"/>
        </w:rPr>
      </w:pPr>
      <w:r>
        <w:rPr>
          <w:rFonts w:ascii="Times" w:hAnsi="Times"/>
        </w:rPr>
        <w:lastRenderedPageBreak/>
        <w:t>Introduction</w:t>
      </w:r>
    </w:p>
    <w:p w14:paraId="0B0B5EFB" w14:textId="77777777" w:rsidR="00305D82" w:rsidRDefault="00305D82">
      <w:pPr>
        <w:rPr>
          <w:rFonts w:ascii="Times" w:hAnsi="Times"/>
        </w:rPr>
      </w:pPr>
    </w:p>
    <w:p w14:paraId="6437CFA6" w14:textId="77777777" w:rsidR="00E83C88" w:rsidRDefault="00E83C88">
      <w:pPr>
        <w:rPr>
          <w:rFonts w:ascii="Times" w:hAnsi="Times"/>
        </w:rPr>
      </w:pPr>
    </w:p>
    <w:p w14:paraId="17085AB0" w14:textId="487F0367" w:rsidR="00E43118" w:rsidRDefault="00E83C88" w:rsidP="00A2130E">
      <w:pPr>
        <w:spacing w:line="360" w:lineRule="auto"/>
        <w:ind w:firstLine="720"/>
        <w:rPr>
          <w:rFonts w:ascii="Times" w:hAnsi="Times"/>
        </w:rPr>
      </w:pPr>
      <w:r>
        <w:rPr>
          <w:rFonts w:ascii="Times" w:hAnsi="Times"/>
        </w:rPr>
        <w:t xml:space="preserve">The Arab Spring of 2010-2011 was a monumental set of events </w:t>
      </w:r>
      <w:r w:rsidR="00FC244B">
        <w:rPr>
          <w:rFonts w:ascii="Times" w:hAnsi="Times"/>
        </w:rPr>
        <w:t>that</w:t>
      </w:r>
      <w:r>
        <w:rPr>
          <w:rFonts w:ascii="Times" w:hAnsi="Times"/>
        </w:rPr>
        <w:t xml:space="preserve"> affected </w:t>
      </w:r>
      <w:r w:rsidR="0028477E">
        <w:rPr>
          <w:rFonts w:ascii="Times" w:hAnsi="Times"/>
        </w:rPr>
        <w:t>and threatened</w:t>
      </w:r>
      <w:r w:rsidR="008B391D">
        <w:rPr>
          <w:rFonts w:ascii="Times" w:hAnsi="Times"/>
        </w:rPr>
        <w:t xml:space="preserve"> multiple non-democratic regimes in the </w:t>
      </w:r>
      <w:r w:rsidR="0028477E">
        <w:rPr>
          <w:rFonts w:ascii="Times" w:hAnsi="Times"/>
        </w:rPr>
        <w:t>Middle East region</w:t>
      </w:r>
      <w:r w:rsidR="008B391D">
        <w:rPr>
          <w:rFonts w:ascii="Times" w:hAnsi="Times"/>
        </w:rPr>
        <w:t>.</w:t>
      </w:r>
      <w:r w:rsidR="00767C41">
        <w:rPr>
          <w:rFonts w:ascii="Times" w:hAnsi="Times"/>
        </w:rPr>
        <w:t xml:space="preserve"> Interestingly</w:t>
      </w:r>
      <w:r>
        <w:rPr>
          <w:rFonts w:ascii="Times" w:hAnsi="Times"/>
        </w:rPr>
        <w:t xml:space="preserve">, the events illustrated a reinvigoration of Islamic identity, as compared to previous </w:t>
      </w:r>
      <w:r w:rsidR="00767C41">
        <w:rPr>
          <w:rFonts w:ascii="Times" w:hAnsi="Times"/>
        </w:rPr>
        <w:t xml:space="preserve">movements in the </w:t>
      </w:r>
      <w:r w:rsidR="0028477E">
        <w:rPr>
          <w:rFonts w:ascii="Times" w:hAnsi="Times"/>
        </w:rPr>
        <w:t>Middle East</w:t>
      </w:r>
      <w:r>
        <w:rPr>
          <w:rFonts w:ascii="Times" w:hAnsi="Times"/>
        </w:rPr>
        <w:t>,</w:t>
      </w:r>
      <w:r w:rsidR="00767C41">
        <w:rPr>
          <w:rFonts w:ascii="Times" w:hAnsi="Times"/>
        </w:rPr>
        <w:t xml:space="preserve"> </w:t>
      </w:r>
      <w:proofErr w:type="gramStart"/>
      <w:r w:rsidR="00767C41">
        <w:rPr>
          <w:rFonts w:ascii="Times" w:hAnsi="Times"/>
        </w:rPr>
        <w:t>similar</w:t>
      </w:r>
      <w:r>
        <w:rPr>
          <w:rFonts w:ascii="Times" w:hAnsi="Times"/>
        </w:rPr>
        <w:t xml:space="preserve"> to</w:t>
      </w:r>
      <w:proofErr w:type="gramEnd"/>
      <w:r>
        <w:rPr>
          <w:rFonts w:ascii="Times" w:hAnsi="Times"/>
        </w:rPr>
        <w:t xml:space="preserve"> the </w:t>
      </w:r>
      <w:r w:rsidR="0028477E">
        <w:rPr>
          <w:rFonts w:ascii="Times" w:hAnsi="Times"/>
        </w:rPr>
        <w:t>Islamic</w:t>
      </w:r>
      <w:r>
        <w:rPr>
          <w:rFonts w:ascii="Times" w:hAnsi="Times"/>
        </w:rPr>
        <w:t xml:space="preserve"> Revolution of </w:t>
      </w:r>
      <w:r w:rsidR="0028477E">
        <w:rPr>
          <w:rFonts w:ascii="Times" w:hAnsi="Times"/>
        </w:rPr>
        <w:t xml:space="preserve">Iran in </w:t>
      </w:r>
      <w:r>
        <w:rPr>
          <w:rFonts w:ascii="Times" w:hAnsi="Times"/>
        </w:rPr>
        <w:t xml:space="preserve">1979 under </w:t>
      </w:r>
      <w:r w:rsidR="008B391D">
        <w:rPr>
          <w:rFonts w:ascii="Times" w:hAnsi="Times"/>
        </w:rPr>
        <w:t>Ayatollah</w:t>
      </w:r>
      <w:r>
        <w:rPr>
          <w:rFonts w:ascii="Times" w:hAnsi="Times"/>
        </w:rPr>
        <w:t xml:space="preserve"> </w:t>
      </w:r>
      <w:r w:rsidR="008B391D">
        <w:rPr>
          <w:rFonts w:ascii="Times" w:hAnsi="Times"/>
        </w:rPr>
        <w:t>Khomeini</w:t>
      </w:r>
      <w:r>
        <w:rPr>
          <w:rFonts w:ascii="Times" w:hAnsi="Times"/>
        </w:rPr>
        <w:t xml:space="preserve">. </w:t>
      </w:r>
      <w:r w:rsidR="00767C41">
        <w:rPr>
          <w:rFonts w:ascii="Times" w:hAnsi="Times"/>
        </w:rPr>
        <w:t xml:space="preserve">Along with the reinvigoration of an Islamic identity, there was also </w:t>
      </w:r>
      <w:r w:rsidR="0028477E">
        <w:rPr>
          <w:rFonts w:ascii="Times" w:hAnsi="Times"/>
        </w:rPr>
        <w:t>the</w:t>
      </w:r>
      <w:r w:rsidR="00767C41">
        <w:rPr>
          <w:rFonts w:ascii="Times" w:hAnsi="Times"/>
        </w:rPr>
        <w:t xml:space="preserve"> emergence of </w:t>
      </w:r>
      <w:r w:rsidR="0028477E">
        <w:rPr>
          <w:rFonts w:ascii="Times" w:hAnsi="Times"/>
        </w:rPr>
        <w:t xml:space="preserve">the </w:t>
      </w:r>
      <w:r w:rsidR="00767C41">
        <w:rPr>
          <w:rFonts w:ascii="Times" w:hAnsi="Times"/>
        </w:rPr>
        <w:t>relevance of Islamist parties, such as the Muslim Brotherhood of Egypt. The foundational values of Islamist parties, such as the Muslim Brotherhood, offer</w:t>
      </w:r>
      <w:r w:rsidR="00FC244B">
        <w:rPr>
          <w:rFonts w:ascii="Times" w:hAnsi="Times"/>
        </w:rPr>
        <w:t>ed</w:t>
      </w:r>
      <w:r w:rsidR="00767C41">
        <w:rPr>
          <w:rFonts w:ascii="Times" w:hAnsi="Times"/>
        </w:rPr>
        <w:t xml:space="preserve"> a</w:t>
      </w:r>
      <w:r w:rsidR="00FC244B">
        <w:rPr>
          <w:rFonts w:ascii="Times" w:hAnsi="Times"/>
        </w:rPr>
        <w:t>n</w:t>
      </w:r>
      <w:r w:rsidR="00767C41">
        <w:rPr>
          <w:rFonts w:ascii="Times" w:hAnsi="Times"/>
        </w:rPr>
        <w:t xml:space="preserve"> alternative </w:t>
      </w:r>
      <w:r w:rsidR="00FC244B">
        <w:rPr>
          <w:rFonts w:ascii="Times" w:hAnsi="Times"/>
        </w:rPr>
        <w:t>option for regime change,</w:t>
      </w:r>
      <w:r w:rsidR="00767C41">
        <w:rPr>
          <w:rFonts w:ascii="Times" w:hAnsi="Times"/>
        </w:rPr>
        <w:t xml:space="preserve"> </w:t>
      </w:r>
      <w:r w:rsidR="00FC244B">
        <w:rPr>
          <w:rFonts w:ascii="Times" w:hAnsi="Times"/>
        </w:rPr>
        <w:t>simultaneously</w:t>
      </w:r>
      <w:r w:rsidR="00767C41">
        <w:rPr>
          <w:rFonts w:ascii="Times" w:hAnsi="Times"/>
        </w:rPr>
        <w:t xml:space="preserve"> contrasting the system of </w:t>
      </w:r>
      <w:r w:rsidR="00FC244B">
        <w:rPr>
          <w:rFonts w:ascii="Times" w:hAnsi="Times"/>
        </w:rPr>
        <w:t xml:space="preserve">administrative </w:t>
      </w:r>
      <w:r w:rsidR="00767C41">
        <w:rPr>
          <w:rFonts w:ascii="Times" w:hAnsi="Times"/>
        </w:rPr>
        <w:t xml:space="preserve">values of </w:t>
      </w:r>
      <w:r w:rsidR="00FC244B">
        <w:rPr>
          <w:rFonts w:ascii="Times" w:hAnsi="Times"/>
        </w:rPr>
        <w:t xml:space="preserve">previous </w:t>
      </w:r>
      <w:r w:rsidR="00767C41">
        <w:rPr>
          <w:rFonts w:ascii="Times" w:hAnsi="Times"/>
        </w:rPr>
        <w:t>regimes.</w:t>
      </w:r>
    </w:p>
    <w:p w14:paraId="40BF4730" w14:textId="219801C3" w:rsidR="00767C41" w:rsidRDefault="00FC244B" w:rsidP="00A2130E">
      <w:pPr>
        <w:spacing w:line="360" w:lineRule="auto"/>
        <w:ind w:firstLine="720"/>
        <w:rPr>
          <w:rFonts w:ascii="Times" w:hAnsi="Times"/>
        </w:rPr>
      </w:pPr>
      <w:r>
        <w:rPr>
          <w:rFonts w:ascii="Times" w:hAnsi="Times"/>
        </w:rPr>
        <w:t>Yet, i</w:t>
      </w:r>
      <w:r w:rsidR="00767C41">
        <w:rPr>
          <w:rFonts w:ascii="Times" w:hAnsi="Times"/>
        </w:rPr>
        <w:t xml:space="preserve">t is important to note, that </w:t>
      </w:r>
      <w:r w:rsidR="00D076DA">
        <w:rPr>
          <w:rFonts w:ascii="Times" w:hAnsi="Times"/>
        </w:rPr>
        <w:t xml:space="preserve">the prompting of the Arab Spring was not </w:t>
      </w:r>
      <w:r w:rsidR="00AB64A5">
        <w:rPr>
          <w:rFonts w:ascii="Times" w:hAnsi="Times"/>
        </w:rPr>
        <w:t xml:space="preserve">solely due to </w:t>
      </w:r>
      <w:r w:rsidR="00D076DA">
        <w:rPr>
          <w:rFonts w:ascii="Times" w:hAnsi="Times"/>
        </w:rPr>
        <w:t xml:space="preserve">issues related to religion, although factors </w:t>
      </w:r>
      <w:r>
        <w:rPr>
          <w:rFonts w:ascii="Times" w:hAnsi="Times"/>
        </w:rPr>
        <w:t>of</w:t>
      </w:r>
      <w:r w:rsidR="00D076DA">
        <w:rPr>
          <w:rFonts w:ascii="Times" w:hAnsi="Times"/>
        </w:rPr>
        <w:t xml:space="preserve"> Islamic identity and the allowance of public </w:t>
      </w:r>
      <w:r w:rsidR="00AB64A5">
        <w:rPr>
          <w:rFonts w:ascii="Times" w:hAnsi="Times"/>
        </w:rPr>
        <w:t xml:space="preserve">religious </w:t>
      </w:r>
      <w:r w:rsidR="00D076DA">
        <w:rPr>
          <w:rFonts w:ascii="Times" w:hAnsi="Times"/>
        </w:rPr>
        <w:t xml:space="preserve">practice are significant. Political </w:t>
      </w:r>
      <w:r w:rsidR="00AB64A5">
        <w:rPr>
          <w:rFonts w:ascii="Times" w:hAnsi="Times"/>
        </w:rPr>
        <w:t xml:space="preserve">factors, as well as </w:t>
      </w:r>
      <w:r w:rsidR="001B15BB">
        <w:rPr>
          <w:rFonts w:ascii="Times" w:hAnsi="Times"/>
        </w:rPr>
        <w:t>socioeconomic</w:t>
      </w:r>
      <w:r w:rsidR="00D076DA">
        <w:rPr>
          <w:rFonts w:ascii="Times" w:hAnsi="Times"/>
        </w:rPr>
        <w:t xml:space="preserve"> </w:t>
      </w:r>
      <w:r w:rsidR="00AB64A5">
        <w:rPr>
          <w:rFonts w:ascii="Times" w:hAnsi="Times"/>
        </w:rPr>
        <w:t>disparities,</w:t>
      </w:r>
      <w:r w:rsidR="00D076DA">
        <w:rPr>
          <w:rFonts w:ascii="Times" w:hAnsi="Times"/>
        </w:rPr>
        <w:t xml:space="preserve"> are crucial factors to analyze the exposition of the Arab Spring. However, Islamist parties offered a solution to the frustration of the middle-class population, </w:t>
      </w:r>
      <w:r w:rsidR="000539D4">
        <w:rPr>
          <w:rFonts w:ascii="Times" w:hAnsi="Times"/>
        </w:rPr>
        <w:t xml:space="preserve">who felt that western modernization and Arab socialism </w:t>
      </w:r>
      <w:r w:rsidR="00A20B4E">
        <w:rPr>
          <w:rFonts w:ascii="Times" w:hAnsi="Times"/>
        </w:rPr>
        <w:t>were</w:t>
      </w:r>
      <w:r w:rsidR="000539D4">
        <w:rPr>
          <w:rFonts w:ascii="Times" w:hAnsi="Times"/>
        </w:rPr>
        <w:t xml:space="preserve"> a failure, prompting a desire for an alternate system</w:t>
      </w:r>
      <w:r w:rsidR="00451356">
        <w:rPr>
          <w:rFonts w:ascii="Times" w:hAnsi="Times"/>
        </w:rPr>
        <w:t>.</w:t>
      </w:r>
      <w:r w:rsidR="00451356">
        <w:rPr>
          <w:rStyle w:val="FootnoteReference"/>
          <w:rFonts w:ascii="Times" w:hAnsi="Times"/>
        </w:rPr>
        <w:footnoteReference w:id="1"/>
      </w:r>
      <w:r w:rsidR="000539D4">
        <w:rPr>
          <w:rFonts w:ascii="Times" w:hAnsi="Times"/>
        </w:rPr>
        <w:t xml:space="preserve"> This allowed for </w:t>
      </w:r>
      <w:r w:rsidR="00A20B4E">
        <w:rPr>
          <w:rFonts w:ascii="Times" w:hAnsi="Times"/>
        </w:rPr>
        <w:t xml:space="preserve">the </w:t>
      </w:r>
      <w:r w:rsidR="000539D4">
        <w:rPr>
          <w:rFonts w:ascii="Times" w:hAnsi="Times"/>
        </w:rPr>
        <w:t>relevancy of Islamist parties, who were often ostracized, irrelevant</w:t>
      </w:r>
      <w:r w:rsidR="00A20B4E">
        <w:rPr>
          <w:rFonts w:ascii="Times" w:hAnsi="Times"/>
        </w:rPr>
        <w:t>,</w:t>
      </w:r>
      <w:r w:rsidR="000539D4">
        <w:rPr>
          <w:rFonts w:ascii="Times" w:hAnsi="Times"/>
        </w:rPr>
        <w:t xml:space="preserve"> or banned, and reinvigorated </w:t>
      </w:r>
      <w:r w:rsidR="00D37128">
        <w:rPr>
          <w:rFonts w:ascii="Times" w:hAnsi="Times"/>
        </w:rPr>
        <w:t xml:space="preserve">a concept of </w:t>
      </w:r>
      <w:r w:rsidR="000539D4">
        <w:rPr>
          <w:rFonts w:ascii="Times" w:hAnsi="Times"/>
        </w:rPr>
        <w:t>Islamic identity in the public sphere of politics and economics.</w:t>
      </w:r>
      <w:r w:rsidR="000E21B4">
        <w:rPr>
          <w:rFonts w:ascii="Times" w:hAnsi="Times"/>
        </w:rPr>
        <w:t xml:space="preserve"> This is depicted </w:t>
      </w:r>
      <w:r w:rsidR="00A2130E">
        <w:rPr>
          <w:rFonts w:ascii="Times" w:hAnsi="Times"/>
        </w:rPr>
        <w:t>by the success</w:t>
      </w:r>
      <w:r w:rsidR="000E21B4">
        <w:rPr>
          <w:rFonts w:ascii="Times" w:hAnsi="Times"/>
        </w:rPr>
        <w:t xml:space="preserve"> </w:t>
      </w:r>
      <w:r w:rsidR="00A2130E">
        <w:rPr>
          <w:rFonts w:ascii="Times" w:hAnsi="Times"/>
        </w:rPr>
        <w:t>of</w:t>
      </w:r>
      <w:r w:rsidR="000E21B4">
        <w:rPr>
          <w:rFonts w:ascii="Times" w:hAnsi="Times"/>
        </w:rPr>
        <w:t xml:space="preserve"> Islamist parties </w:t>
      </w:r>
      <w:r w:rsidR="00A2130E">
        <w:rPr>
          <w:rFonts w:ascii="Times" w:hAnsi="Times"/>
        </w:rPr>
        <w:t xml:space="preserve">after the Arab Spring in subsequent elections in </w:t>
      </w:r>
      <w:r w:rsidR="00A20B4E">
        <w:rPr>
          <w:rFonts w:ascii="Times" w:hAnsi="Times"/>
        </w:rPr>
        <w:t>Egypt</w:t>
      </w:r>
      <w:r w:rsidR="000E21B4">
        <w:rPr>
          <w:rFonts w:ascii="Times" w:hAnsi="Times"/>
        </w:rPr>
        <w:t xml:space="preserve">, </w:t>
      </w:r>
      <w:r w:rsidR="00A2130E">
        <w:rPr>
          <w:rFonts w:ascii="Times" w:hAnsi="Times"/>
        </w:rPr>
        <w:t>Morocco</w:t>
      </w:r>
      <w:r w:rsidR="00A20B4E">
        <w:rPr>
          <w:rFonts w:ascii="Times" w:hAnsi="Times"/>
        </w:rPr>
        <w:t>,</w:t>
      </w:r>
      <w:r w:rsidR="000E21B4">
        <w:rPr>
          <w:rFonts w:ascii="Times" w:hAnsi="Times"/>
        </w:rPr>
        <w:t xml:space="preserve"> and Tunisia, as well as </w:t>
      </w:r>
      <w:r w:rsidR="00A20B4E">
        <w:rPr>
          <w:rFonts w:ascii="Times" w:hAnsi="Times"/>
        </w:rPr>
        <w:t>promoting</w:t>
      </w:r>
      <w:r w:rsidR="000E21B4">
        <w:rPr>
          <w:rFonts w:ascii="Times" w:hAnsi="Times"/>
        </w:rPr>
        <w:t xml:space="preserve"> civil unrest </w:t>
      </w:r>
      <w:r w:rsidR="00AB64A5">
        <w:rPr>
          <w:rFonts w:ascii="Times" w:hAnsi="Times"/>
        </w:rPr>
        <w:t xml:space="preserve">to existing regimes </w:t>
      </w:r>
      <w:r w:rsidR="000E21B4">
        <w:rPr>
          <w:rFonts w:ascii="Times" w:hAnsi="Times"/>
        </w:rPr>
        <w:t>in Libya, Syria</w:t>
      </w:r>
      <w:r w:rsidR="00A20B4E">
        <w:rPr>
          <w:rFonts w:ascii="Times" w:hAnsi="Times"/>
        </w:rPr>
        <w:t>,</w:t>
      </w:r>
      <w:r w:rsidR="000E21B4">
        <w:rPr>
          <w:rFonts w:ascii="Times" w:hAnsi="Times"/>
        </w:rPr>
        <w:t xml:space="preserve"> and Yemen</w:t>
      </w:r>
      <w:r w:rsidR="00451356">
        <w:rPr>
          <w:rFonts w:ascii="Times" w:hAnsi="Times"/>
        </w:rPr>
        <w:t>.</w:t>
      </w:r>
      <w:r w:rsidR="00451356">
        <w:rPr>
          <w:rStyle w:val="FootnoteReference"/>
          <w:rFonts w:ascii="Times" w:hAnsi="Times"/>
        </w:rPr>
        <w:footnoteReference w:id="2"/>
      </w:r>
      <w:r w:rsidR="000E21B4">
        <w:rPr>
          <w:rFonts w:ascii="Times" w:hAnsi="Times"/>
        </w:rPr>
        <w:t xml:space="preserve"> </w:t>
      </w:r>
    </w:p>
    <w:p w14:paraId="5D1265B5" w14:textId="6EDD9258" w:rsidR="00451356" w:rsidRDefault="000539D4" w:rsidP="00451356">
      <w:pPr>
        <w:spacing w:line="360" w:lineRule="auto"/>
        <w:ind w:firstLine="720"/>
        <w:rPr>
          <w:rFonts w:ascii="Times" w:hAnsi="Times"/>
        </w:rPr>
      </w:pPr>
      <w:r>
        <w:rPr>
          <w:rFonts w:ascii="Times" w:hAnsi="Times"/>
        </w:rPr>
        <w:t xml:space="preserve">This paper is going to examine the Arab Spring and </w:t>
      </w:r>
      <w:r w:rsidR="00BC3BC8">
        <w:rPr>
          <w:rFonts w:ascii="Times" w:hAnsi="Times"/>
        </w:rPr>
        <w:t>its relationship and relevance with Islamic and Muslim identit</w:t>
      </w:r>
      <w:r w:rsidR="0028477E">
        <w:rPr>
          <w:rFonts w:ascii="Times" w:hAnsi="Times"/>
        </w:rPr>
        <w:t>ies</w:t>
      </w:r>
      <w:r w:rsidR="00BC3BC8">
        <w:rPr>
          <w:rFonts w:ascii="Times" w:hAnsi="Times"/>
        </w:rPr>
        <w:t xml:space="preserve">. Part I is going to examine the </w:t>
      </w:r>
      <w:r w:rsidR="00D7221D">
        <w:rPr>
          <w:rFonts w:ascii="Times" w:hAnsi="Times"/>
        </w:rPr>
        <w:t xml:space="preserve">social, </w:t>
      </w:r>
      <w:r w:rsidR="00BC3BC8">
        <w:rPr>
          <w:rFonts w:ascii="Times" w:hAnsi="Times"/>
        </w:rPr>
        <w:t>economic</w:t>
      </w:r>
      <w:r w:rsidR="00A20B4E">
        <w:rPr>
          <w:rFonts w:ascii="Times" w:hAnsi="Times"/>
        </w:rPr>
        <w:t>,</w:t>
      </w:r>
      <w:r w:rsidR="00BC3BC8">
        <w:rPr>
          <w:rFonts w:ascii="Times" w:hAnsi="Times"/>
        </w:rPr>
        <w:t xml:space="preserve"> and political factors that led to the Arab Spring, as well as the relevance of Islamist </w:t>
      </w:r>
      <w:r w:rsidR="00B46088">
        <w:rPr>
          <w:rFonts w:ascii="Times" w:hAnsi="Times"/>
        </w:rPr>
        <w:t xml:space="preserve">parties </w:t>
      </w:r>
      <w:r w:rsidR="00EC06EA">
        <w:rPr>
          <w:rFonts w:ascii="Times" w:hAnsi="Times"/>
        </w:rPr>
        <w:t>during the movement</w:t>
      </w:r>
      <w:r w:rsidR="00BC3BC8">
        <w:rPr>
          <w:rFonts w:ascii="Times" w:hAnsi="Times"/>
        </w:rPr>
        <w:t xml:space="preserve">. </w:t>
      </w:r>
      <w:r w:rsidR="00EC06EA">
        <w:rPr>
          <w:rFonts w:ascii="Times" w:hAnsi="Times"/>
        </w:rPr>
        <w:t xml:space="preserve">Part </w:t>
      </w:r>
      <w:r w:rsidR="00BC3BC8">
        <w:rPr>
          <w:rFonts w:ascii="Times" w:hAnsi="Times"/>
        </w:rPr>
        <w:t xml:space="preserve">II is going to examine the changes </w:t>
      </w:r>
      <w:r w:rsidR="006863A5">
        <w:rPr>
          <w:rFonts w:ascii="Times" w:hAnsi="Times"/>
        </w:rPr>
        <w:t xml:space="preserve">that </w:t>
      </w:r>
      <w:r w:rsidR="00EC06EA">
        <w:rPr>
          <w:rFonts w:ascii="Times" w:hAnsi="Times"/>
        </w:rPr>
        <w:t>occurred during and after</w:t>
      </w:r>
      <w:r w:rsidR="00BC3BC8">
        <w:rPr>
          <w:rFonts w:ascii="Times" w:hAnsi="Times"/>
        </w:rPr>
        <w:t xml:space="preserve"> the Arab Spring, illustrating the reinvigoration of Islamic identity</w:t>
      </w:r>
      <w:r w:rsidR="008E5AC6">
        <w:rPr>
          <w:rFonts w:ascii="Times" w:hAnsi="Times"/>
        </w:rPr>
        <w:t xml:space="preserve">, specifically of </w:t>
      </w:r>
      <w:r w:rsidR="00622859">
        <w:rPr>
          <w:rFonts w:ascii="Times" w:hAnsi="Times"/>
        </w:rPr>
        <w:t>attempts at reforming institutions to accommodate a larger Islamic identity.</w:t>
      </w:r>
      <w:r w:rsidR="00BC3BC8">
        <w:rPr>
          <w:rFonts w:ascii="Times" w:hAnsi="Times"/>
        </w:rPr>
        <w:t xml:space="preserve"> </w:t>
      </w:r>
    </w:p>
    <w:p w14:paraId="1A773A75" w14:textId="0F73806C" w:rsidR="00BC3BC8" w:rsidRDefault="00BC3BC8" w:rsidP="00451356">
      <w:pPr>
        <w:spacing w:line="360" w:lineRule="auto"/>
        <w:ind w:firstLine="720"/>
        <w:rPr>
          <w:rFonts w:ascii="Times" w:hAnsi="Times"/>
        </w:rPr>
      </w:pPr>
      <w:r>
        <w:rPr>
          <w:rFonts w:ascii="Times" w:hAnsi="Times"/>
        </w:rPr>
        <w:lastRenderedPageBreak/>
        <w:t>Part I.</w:t>
      </w:r>
    </w:p>
    <w:p w14:paraId="601DA2B0" w14:textId="77777777" w:rsidR="00A04399" w:rsidRDefault="00A04399" w:rsidP="00A04399">
      <w:pPr>
        <w:spacing w:line="360" w:lineRule="auto"/>
        <w:ind w:firstLine="720"/>
        <w:rPr>
          <w:rFonts w:ascii="Times" w:hAnsi="Times"/>
        </w:rPr>
      </w:pPr>
    </w:p>
    <w:p w14:paraId="0EAD4805" w14:textId="3BD940BC" w:rsidR="006863A5" w:rsidRDefault="00A04399" w:rsidP="00A04399">
      <w:pPr>
        <w:spacing w:line="360" w:lineRule="auto"/>
        <w:ind w:firstLine="720"/>
        <w:rPr>
          <w:rFonts w:ascii="Times" w:hAnsi="Times"/>
        </w:rPr>
      </w:pPr>
      <w:r>
        <w:rPr>
          <w:rFonts w:ascii="Times" w:hAnsi="Times"/>
        </w:rPr>
        <w:t>There are significant</w:t>
      </w:r>
      <w:r w:rsidR="006863A5">
        <w:rPr>
          <w:rFonts w:ascii="Times" w:hAnsi="Times"/>
        </w:rPr>
        <w:t xml:space="preserve"> similarities between the </w:t>
      </w:r>
      <w:r w:rsidR="00AB64A5">
        <w:rPr>
          <w:rFonts w:ascii="Times" w:hAnsi="Times"/>
        </w:rPr>
        <w:t>genesis</w:t>
      </w:r>
      <w:r w:rsidR="006B428D">
        <w:rPr>
          <w:rFonts w:ascii="Times" w:hAnsi="Times"/>
        </w:rPr>
        <w:t xml:space="preserve"> of the Islamic </w:t>
      </w:r>
      <w:r w:rsidR="006863A5">
        <w:rPr>
          <w:rFonts w:ascii="Times" w:hAnsi="Times"/>
        </w:rPr>
        <w:t xml:space="preserve">Revolution </w:t>
      </w:r>
      <w:r w:rsidR="006B428D">
        <w:rPr>
          <w:rFonts w:ascii="Times" w:hAnsi="Times"/>
        </w:rPr>
        <w:t xml:space="preserve">of </w:t>
      </w:r>
      <w:r w:rsidR="007827CA">
        <w:rPr>
          <w:rFonts w:ascii="Times" w:hAnsi="Times"/>
        </w:rPr>
        <w:t xml:space="preserve">Iran in </w:t>
      </w:r>
      <w:r w:rsidR="006B428D">
        <w:rPr>
          <w:rFonts w:ascii="Times" w:hAnsi="Times"/>
        </w:rPr>
        <w:t xml:space="preserve">1979 </w:t>
      </w:r>
      <w:r w:rsidR="006863A5">
        <w:rPr>
          <w:rFonts w:ascii="Times" w:hAnsi="Times"/>
        </w:rPr>
        <w:t xml:space="preserve">and that of the </w:t>
      </w:r>
      <w:r w:rsidR="00AB64A5">
        <w:rPr>
          <w:rFonts w:ascii="Times" w:hAnsi="Times"/>
        </w:rPr>
        <w:t xml:space="preserve">2010-2011 </w:t>
      </w:r>
      <w:r w:rsidR="006863A5">
        <w:rPr>
          <w:rFonts w:ascii="Times" w:hAnsi="Times"/>
        </w:rPr>
        <w:t>Arab Spring</w:t>
      </w:r>
      <w:r>
        <w:rPr>
          <w:rFonts w:ascii="Times" w:hAnsi="Times"/>
        </w:rPr>
        <w:t xml:space="preserve">, particularly </w:t>
      </w:r>
      <w:r w:rsidR="00D7221D">
        <w:rPr>
          <w:rFonts w:ascii="Times" w:hAnsi="Times"/>
        </w:rPr>
        <w:t xml:space="preserve">the social </w:t>
      </w:r>
      <w:r w:rsidR="000E21B4">
        <w:rPr>
          <w:rFonts w:ascii="Times" w:hAnsi="Times"/>
        </w:rPr>
        <w:t>environments</w:t>
      </w:r>
      <w:r w:rsidR="00D7221D">
        <w:rPr>
          <w:rFonts w:ascii="Times" w:hAnsi="Times"/>
        </w:rPr>
        <w:t xml:space="preserve"> </w:t>
      </w:r>
      <w:r w:rsidR="006B428D">
        <w:rPr>
          <w:rFonts w:ascii="Times" w:hAnsi="Times"/>
        </w:rPr>
        <w:t>of</w:t>
      </w:r>
      <w:r w:rsidR="00853F46">
        <w:rPr>
          <w:rFonts w:ascii="Times" w:hAnsi="Times"/>
        </w:rPr>
        <w:t xml:space="preserve"> </w:t>
      </w:r>
      <w:r w:rsidR="00D7221D">
        <w:rPr>
          <w:rFonts w:ascii="Times" w:hAnsi="Times"/>
        </w:rPr>
        <w:t xml:space="preserve">both movements </w:t>
      </w:r>
      <w:r>
        <w:rPr>
          <w:rFonts w:ascii="Times" w:hAnsi="Times"/>
        </w:rPr>
        <w:t>which</w:t>
      </w:r>
      <w:r w:rsidR="006B428D">
        <w:rPr>
          <w:rFonts w:ascii="Times" w:hAnsi="Times"/>
        </w:rPr>
        <w:t xml:space="preserve"> </w:t>
      </w:r>
      <w:r w:rsidR="00AB64A5">
        <w:rPr>
          <w:rFonts w:ascii="Times" w:hAnsi="Times"/>
        </w:rPr>
        <w:t xml:space="preserve">led to </w:t>
      </w:r>
      <w:r w:rsidR="006B428D">
        <w:rPr>
          <w:rFonts w:ascii="Times" w:hAnsi="Times"/>
        </w:rPr>
        <w:t>their success</w:t>
      </w:r>
      <w:r>
        <w:rPr>
          <w:rFonts w:ascii="Times" w:hAnsi="Times"/>
        </w:rPr>
        <w:t>es, as well as attempts at perpetuating an Islamic identity</w:t>
      </w:r>
      <w:r w:rsidR="006863A5">
        <w:rPr>
          <w:rFonts w:ascii="Times" w:hAnsi="Times"/>
        </w:rPr>
        <w:t xml:space="preserve">. When analyzing the Pahlavi regime of Iran, there was a </w:t>
      </w:r>
      <w:r w:rsidR="00AB64A5">
        <w:rPr>
          <w:rFonts w:ascii="Times" w:hAnsi="Times"/>
        </w:rPr>
        <w:t>firm attempt at</w:t>
      </w:r>
      <w:r w:rsidR="006863A5">
        <w:rPr>
          <w:rFonts w:ascii="Times" w:hAnsi="Times"/>
        </w:rPr>
        <w:t xml:space="preserve"> western modernization, along with </w:t>
      </w:r>
      <w:r w:rsidR="00FF4BF0">
        <w:rPr>
          <w:rFonts w:ascii="Times" w:hAnsi="Times"/>
        </w:rPr>
        <w:t xml:space="preserve">the regime </w:t>
      </w:r>
      <w:r w:rsidR="006863A5">
        <w:rPr>
          <w:rFonts w:ascii="Times" w:hAnsi="Times"/>
        </w:rPr>
        <w:t xml:space="preserve">stressing a national Iranian identity </w:t>
      </w:r>
      <w:r w:rsidR="00FF4BF0">
        <w:rPr>
          <w:rFonts w:ascii="Times" w:hAnsi="Times"/>
        </w:rPr>
        <w:t xml:space="preserve">rather </w:t>
      </w:r>
      <w:r w:rsidR="006863A5">
        <w:rPr>
          <w:rFonts w:ascii="Times" w:hAnsi="Times"/>
        </w:rPr>
        <w:t>than an Islamic one</w:t>
      </w:r>
      <w:r w:rsidR="00451356">
        <w:rPr>
          <w:rFonts w:ascii="Times" w:hAnsi="Times"/>
        </w:rPr>
        <w:t>.</w:t>
      </w:r>
      <w:r w:rsidR="00451356">
        <w:rPr>
          <w:rStyle w:val="FootnoteReference"/>
          <w:rFonts w:ascii="Times" w:hAnsi="Times"/>
        </w:rPr>
        <w:footnoteReference w:id="3"/>
      </w:r>
      <w:r w:rsidR="006863A5">
        <w:rPr>
          <w:rFonts w:ascii="Times" w:hAnsi="Times"/>
        </w:rPr>
        <w:t xml:space="preserve"> Similarly, </w:t>
      </w:r>
      <w:r w:rsidR="006E5BEA">
        <w:rPr>
          <w:rFonts w:ascii="Times" w:hAnsi="Times"/>
        </w:rPr>
        <w:t xml:space="preserve">Tunisia, which </w:t>
      </w:r>
      <w:r>
        <w:rPr>
          <w:rFonts w:ascii="Times" w:hAnsi="Times"/>
        </w:rPr>
        <w:t>marked</w:t>
      </w:r>
      <w:r w:rsidR="006E5BEA">
        <w:rPr>
          <w:rFonts w:ascii="Times" w:hAnsi="Times"/>
        </w:rPr>
        <w:t xml:space="preserve"> the beginning of the Arab Spring movement that spanned </w:t>
      </w:r>
      <w:r>
        <w:rPr>
          <w:rFonts w:ascii="Times" w:hAnsi="Times"/>
        </w:rPr>
        <w:t xml:space="preserve">throughout </w:t>
      </w:r>
      <w:r w:rsidR="006E5BEA">
        <w:rPr>
          <w:rFonts w:ascii="Times" w:hAnsi="Times"/>
        </w:rPr>
        <w:t>the region, h</w:t>
      </w:r>
      <w:r w:rsidR="00FF4BF0">
        <w:rPr>
          <w:rFonts w:ascii="Times" w:hAnsi="Times"/>
        </w:rPr>
        <w:t>eld a relatively</w:t>
      </w:r>
      <w:r w:rsidR="006E5BEA">
        <w:rPr>
          <w:rFonts w:ascii="Times" w:hAnsi="Times"/>
        </w:rPr>
        <w:t xml:space="preserve"> </w:t>
      </w:r>
      <w:r w:rsidR="00FF4BF0">
        <w:rPr>
          <w:rFonts w:ascii="Times" w:hAnsi="Times"/>
        </w:rPr>
        <w:t xml:space="preserve">limited </w:t>
      </w:r>
      <w:r w:rsidR="006E5BEA">
        <w:rPr>
          <w:rFonts w:ascii="Times" w:hAnsi="Times"/>
        </w:rPr>
        <w:t xml:space="preserve">Muslim identity </w:t>
      </w:r>
      <w:r w:rsidR="00FF4BF0">
        <w:rPr>
          <w:rFonts w:ascii="Times" w:hAnsi="Times"/>
        </w:rPr>
        <w:t>in terms of</w:t>
      </w:r>
      <w:r w:rsidR="006E5BEA">
        <w:rPr>
          <w:rFonts w:ascii="Times" w:hAnsi="Times"/>
        </w:rPr>
        <w:t xml:space="preserve"> government and national identity, despite being 98% Sunni Muslim</w:t>
      </w:r>
      <w:r w:rsidR="000C2817">
        <w:rPr>
          <w:rFonts w:ascii="Times" w:hAnsi="Times"/>
        </w:rPr>
        <w:t>.</w:t>
      </w:r>
      <w:r w:rsidR="000C2817">
        <w:rPr>
          <w:rStyle w:val="FootnoteReference"/>
          <w:rFonts w:ascii="Times" w:hAnsi="Times"/>
        </w:rPr>
        <w:footnoteReference w:id="4"/>
      </w:r>
      <w:r w:rsidR="006E5BEA">
        <w:rPr>
          <w:rFonts w:ascii="Times" w:hAnsi="Times"/>
        </w:rPr>
        <w:t xml:space="preserve"> Another key feature in the commonalities of the </w:t>
      </w:r>
      <w:r>
        <w:rPr>
          <w:rFonts w:ascii="Times" w:hAnsi="Times"/>
        </w:rPr>
        <w:t>pre-</w:t>
      </w:r>
      <w:r w:rsidR="006E5BEA">
        <w:rPr>
          <w:rFonts w:ascii="Times" w:hAnsi="Times"/>
        </w:rPr>
        <w:t xml:space="preserve">Islamic Revolution </w:t>
      </w:r>
      <w:r w:rsidR="007827CA">
        <w:rPr>
          <w:rFonts w:ascii="Times" w:hAnsi="Times"/>
        </w:rPr>
        <w:t xml:space="preserve">of </w:t>
      </w:r>
      <w:r w:rsidR="006E5BEA">
        <w:rPr>
          <w:rFonts w:ascii="Times" w:hAnsi="Times"/>
        </w:rPr>
        <w:t xml:space="preserve">Iran and </w:t>
      </w:r>
      <w:r w:rsidR="00FF4BF0">
        <w:rPr>
          <w:rFonts w:ascii="Times" w:hAnsi="Times"/>
        </w:rPr>
        <w:t xml:space="preserve">before </w:t>
      </w:r>
      <w:r w:rsidR="006E5BEA">
        <w:rPr>
          <w:rFonts w:ascii="Times" w:hAnsi="Times"/>
        </w:rPr>
        <w:t xml:space="preserve">the Arab Spring movement </w:t>
      </w:r>
      <w:r w:rsidR="00FF4BF0">
        <w:rPr>
          <w:rFonts w:ascii="Times" w:hAnsi="Times"/>
        </w:rPr>
        <w:t>was</w:t>
      </w:r>
      <w:r w:rsidR="006E5BEA">
        <w:rPr>
          <w:rFonts w:ascii="Times" w:hAnsi="Times"/>
        </w:rPr>
        <w:t xml:space="preserve"> the limits of religious freedom </w:t>
      </w:r>
      <w:r w:rsidR="00FF4BF0">
        <w:rPr>
          <w:rFonts w:ascii="Times" w:hAnsi="Times"/>
        </w:rPr>
        <w:t>within</w:t>
      </w:r>
      <w:r w:rsidR="006E5BEA">
        <w:rPr>
          <w:rFonts w:ascii="Times" w:hAnsi="Times"/>
        </w:rPr>
        <w:t xml:space="preserve"> the public sphere. In 1930s Iran, Reza Shah banned the </w:t>
      </w:r>
      <w:r w:rsidR="006E5BEA" w:rsidRPr="00FF4BF0">
        <w:rPr>
          <w:rFonts w:ascii="Times" w:hAnsi="Times"/>
          <w:i/>
          <w:iCs/>
        </w:rPr>
        <w:t>hijab</w:t>
      </w:r>
      <w:r w:rsidR="006E5BEA">
        <w:rPr>
          <w:rFonts w:ascii="Times" w:hAnsi="Times"/>
        </w:rPr>
        <w:t>, traditional clothing</w:t>
      </w:r>
      <w:r w:rsidR="00FF4BF0">
        <w:rPr>
          <w:rFonts w:ascii="Times" w:hAnsi="Times"/>
        </w:rPr>
        <w:t>,</w:t>
      </w:r>
      <w:r w:rsidR="006E5BEA">
        <w:rPr>
          <w:rFonts w:ascii="Times" w:hAnsi="Times"/>
        </w:rPr>
        <w:t xml:space="preserve"> as well as the </w:t>
      </w:r>
      <w:r w:rsidR="006E5BEA" w:rsidRPr="00FF4BF0">
        <w:rPr>
          <w:rFonts w:ascii="Times" w:hAnsi="Times"/>
          <w:i/>
          <w:iCs/>
        </w:rPr>
        <w:t>Moharram</w:t>
      </w:r>
      <w:r w:rsidR="006E5BEA">
        <w:rPr>
          <w:rFonts w:ascii="Times" w:hAnsi="Times"/>
        </w:rPr>
        <w:t xml:space="preserve"> processions, </w:t>
      </w:r>
      <w:r w:rsidR="00EB0354">
        <w:rPr>
          <w:rFonts w:ascii="Times" w:hAnsi="Times"/>
        </w:rPr>
        <w:t xml:space="preserve">which </w:t>
      </w:r>
      <w:r w:rsidR="00FF4BF0">
        <w:rPr>
          <w:rFonts w:ascii="Times" w:hAnsi="Times"/>
        </w:rPr>
        <w:t>at times</w:t>
      </w:r>
      <w:r w:rsidR="006E5BEA">
        <w:rPr>
          <w:rFonts w:ascii="Times" w:hAnsi="Times"/>
        </w:rPr>
        <w:t xml:space="preserve"> </w:t>
      </w:r>
      <w:r>
        <w:rPr>
          <w:rFonts w:ascii="Times" w:hAnsi="Times"/>
        </w:rPr>
        <w:t xml:space="preserve">were </w:t>
      </w:r>
      <w:r w:rsidR="006E5BEA">
        <w:rPr>
          <w:rFonts w:ascii="Times" w:hAnsi="Times"/>
        </w:rPr>
        <w:t>implemented with force.</w:t>
      </w:r>
      <w:r w:rsidR="000C2817">
        <w:rPr>
          <w:rStyle w:val="FootnoteReference"/>
          <w:rFonts w:ascii="Times" w:hAnsi="Times"/>
        </w:rPr>
        <w:footnoteReference w:id="5"/>
      </w:r>
      <w:r w:rsidR="006E5BEA">
        <w:rPr>
          <w:rFonts w:ascii="Times" w:hAnsi="Times"/>
        </w:rPr>
        <w:t xml:space="preserve"> </w:t>
      </w:r>
      <w:r w:rsidR="00F51600">
        <w:rPr>
          <w:rFonts w:ascii="Times" w:hAnsi="Times"/>
        </w:rPr>
        <w:t xml:space="preserve">Similarly in </w:t>
      </w:r>
      <w:r w:rsidR="00F057DB">
        <w:rPr>
          <w:rFonts w:ascii="Times" w:hAnsi="Times"/>
        </w:rPr>
        <w:t>Egypt</w:t>
      </w:r>
      <w:r w:rsidR="00F51600">
        <w:rPr>
          <w:rFonts w:ascii="Times" w:hAnsi="Times"/>
        </w:rPr>
        <w:t>, Hosni Mubarak banned the public proclamation of religious faith in 1985</w:t>
      </w:r>
      <w:r w:rsidR="000C2817">
        <w:rPr>
          <w:rFonts w:ascii="Times" w:hAnsi="Times"/>
        </w:rPr>
        <w:t>.</w:t>
      </w:r>
      <w:r w:rsidR="000C2817">
        <w:rPr>
          <w:rStyle w:val="FootnoteReference"/>
          <w:rFonts w:ascii="Times" w:hAnsi="Times"/>
        </w:rPr>
        <w:footnoteReference w:id="6"/>
      </w:r>
      <w:r w:rsidR="00F51600">
        <w:rPr>
          <w:rFonts w:ascii="Times" w:hAnsi="Times"/>
        </w:rPr>
        <w:t xml:space="preserve"> In both cases, there is a clear practice in the limitations of religious freedom by the ruling regimes, prompting a religious tenor in later rebellions</w:t>
      </w:r>
      <w:r w:rsidR="007608F7">
        <w:rPr>
          <w:rFonts w:ascii="Times" w:hAnsi="Times"/>
        </w:rPr>
        <w:t xml:space="preserve">, illustrating a vigor </w:t>
      </w:r>
      <w:r w:rsidR="006E09F9">
        <w:rPr>
          <w:rFonts w:ascii="Times" w:hAnsi="Times"/>
        </w:rPr>
        <w:t xml:space="preserve">display </w:t>
      </w:r>
      <w:r w:rsidR="007608F7">
        <w:rPr>
          <w:rFonts w:ascii="Times" w:hAnsi="Times"/>
        </w:rPr>
        <w:t>of</w:t>
      </w:r>
      <w:r w:rsidR="006E09F9">
        <w:rPr>
          <w:rFonts w:ascii="Times" w:hAnsi="Times"/>
        </w:rPr>
        <w:t xml:space="preserve"> </w:t>
      </w:r>
      <w:r w:rsidR="007608F7">
        <w:rPr>
          <w:rFonts w:ascii="Times" w:hAnsi="Times"/>
        </w:rPr>
        <w:t>Islamic ide</w:t>
      </w:r>
      <w:r w:rsidR="006E09F9">
        <w:rPr>
          <w:rFonts w:ascii="Times" w:hAnsi="Times"/>
        </w:rPr>
        <w:t>ntity</w:t>
      </w:r>
      <w:r w:rsidR="00F057DB">
        <w:rPr>
          <w:rFonts w:ascii="Times" w:hAnsi="Times"/>
        </w:rPr>
        <w:t xml:space="preserve"> in subsequent regimes.</w:t>
      </w:r>
    </w:p>
    <w:p w14:paraId="445D4BE1" w14:textId="61C9B6E3" w:rsidR="00D53C2B" w:rsidRDefault="000E21B4" w:rsidP="00A2130E">
      <w:pPr>
        <w:spacing w:line="360" w:lineRule="auto"/>
        <w:rPr>
          <w:rFonts w:ascii="Times" w:hAnsi="Times"/>
        </w:rPr>
      </w:pPr>
      <w:r>
        <w:rPr>
          <w:rFonts w:ascii="Times" w:hAnsi="Times"/>
        </w:rPr>
        <w:tab/>
      </w:r>
      <w:r w:rsidR="00BD6EFA">
        <w:rPr>
          <w:rFonts w:ascii="Times" w:hAnsi="Times"/>
        </w:rPr>
        <w:t>Yet, economic</w:t>
      </w:r>
      <w:r w:rsidR="00603F1B">
        <w:rPr>
          <w:rFonts w:ascii="Times" w:hAnsi="Times"/>
        </w:rPr>
        <w:t>, technical</w:t>
      </w:r>
      <w:r w:rsidR="00853F46">
        <w:rPr>
          <w:rFonts w:ascii="Times" w:hAnsi="Times"/>
        </w:rPr>
        <w:t>,</w:t>
      </w:r>
      <w:r w:rsidR="00603F1B">
        <w:rPr>
          <w:rFonts w:ascii="Times" w:hAnsi="Times"/>
        </w:rPr>
        <w:t xml:space="preserve"> and </w:t>
      </w:r>
      <w:r w:rsidR="00BD6EFA">
        <w:rPr>
          <w:rFonts w:ascii="Times" w:hAnsi="Times"/>
        </w:rPr>
        <w:t xml:space="preserve">social factors </w:t>
      </w:r>
      <w:r w:rsidR="00A04399">
        <w:rPr>
          <w:rFonts w:ascii="Times" w:hAnsi="Times"/>
        </w:rPr>
        <w:t>were</w:t>
      </w:r>
      <w:r w:rsidR="00BD6EFA">
        <w:rPr>
          <w:rFonts w:ascii="Times" w:hAnsi="Times"/>
        </w:rPr>
        <w:t xml:space="preserve"> a key component in the demand for regime change</w:t>
      </w:r>
      <w:r w:rsidR="00FF4BF0">
        <w:rPr>
          <w:rFonts w:ascii="Times" w:hAnsi="Times"/>
        </w:rPr>
        <w:t xml:space="preserve"> during </w:t>
      </w:r>
      <w:r w:rsidR="00BD6EFA">
        <w:rPr>
          <w:rFonts w:ascii="Times" w:hAnsi="Times"/>
        </w:rPr>
        <w:t>the Arab Spring</w:t>
      </w:r>
      <w:r w:rsidR="00094B33">
        <w:rPr>
          <w:rFonts w:ascii="Times" w:hAnsi="Times"/>
        </w:rPr>
        <w:t xml:space="preserve"> movement. </w:t>
      </w:r>
      <w:r w:rsidR="00603F1B">
        <w:rPr>
          <w:rFonts w:ascii="Times" w:hAnsi="Times"/>
        </w:rPr>
        <w:t xml:space="preserve">The Middle East is not </w:t>
      </w:r>
      <w:r w:rsidR="00C139DA">
        <w:rPr>
          <w:rFonts w:ascii="Times" w:hAnsi="Times"/>
        </w:rPr>
        <w:t>immune</w:t>
      </w:r>
      <w:r w:rsidR="00603F1B">
        <w:rPr>
          <w:rFonts w:ascii="Times" w:hAnsi="Times"/>
        </w:rPr>
        <w:t xml:space="preserve"> to the globalized efforts of instant communication and the rapid spread of information</w:t>
      </w:r>
      <w:r w:rsidR="00F56CC9">
        <w:rPr>
          <w:rFonts w:ascii="Times" w:hAnsi="Times"/>
        </w:rPr>
        <w:t>, including perspectives on Islamic identity</w:t>
      </w:r>
      <w:r w:rsidR="00603F1B">
        <w:rPr>
          <w:rFonts w:ascii="Times" w:hAnsi="Times"/>
        </w:rPr>
        <w:t xml:space="preserve">. As compared to </w:t>
      </w:r>
      <w:r w:rsidR="00C139DA">
        <w:rPr>
          <w:rFonts w:ascii="Times" w:hAnsi="Times"/>
        </w:rPr>
        <w:t>preceding</w:t>
      </w:r>
      <w:r w:rsidR="00603F1B">
        <w:rPr>
          <w:rFonts w:ascii="Times" w:hAnsi="Times"/>
        </w:rPr>
        <w:t xml:space="preserve"> generations in their respective countries, young Arabs of 2010-2011, as well as currently, make </w:t>
      </w:r>
      <w:r w:rsidR="00FF4BF0">
        <w:rPr>
          <w:rFonts w:ascii="Times" w:hAnsi="Times"/>
        </w:rPr>
        <w:t>more</w:t>
      </w:r>
      <w:r w:rsidR="00603F1B">
        <w:rPr>
          <w:rFonts w:ascii="Times" w:hAnsi="Times"/>
        </w:rPr>
        <w:t xml:space="preserve"> use of technology</w:t>
      </w:r>
      <w:r w:rsidR="00FF4BF0">
        <w:rPr>
          <w:rFonts w:ascii="Times" w:hAnsi="Times"/>
        </w:rPr>
        <w:t xml:space="preserve"> than previous generations</w:t>
      </w:r>
      <w:r w:rsidR="00603F1B">
        <w:rPr>
          <w:rFonts w:ascii="Times" w:hAnsi="Times"/>
        </w:rPr>
        <w:t>, prompting a different form of social interaction. Political, economic</w:t>
      </w:r>
      <w:r w:rsidR="00853F46">
        <w:rPr>
          <w:rFonts w:ascii="Times" w:hAnsi="Times"/>
        </w:rPr>
        <w:t>,</w:t>
      </w:r>
      <w:r w:rsidR="00603F1B">
        <w:rPr>
          <w:rFonts w:ascii="Times" w:hAnsi="Times"/>
        </w:rPr>
        <w:t xml:space="preserve"> and religious ideologies are more feasibly spread, providing </w:t>
      </w:r>
      <w:r w:rsidR="00094B33">
        <w:rPr>
          <w:rFonts w:ascii="Times" w:hAnsi="Times"/>
        </w:rPr>
        <w:t>various</w:t>
      </w:r>
      <w:r w:rsidR="00603F1B">
        <w:rPr>
          <w:rFonts w:ascii="Times" w:hAnsi="Times"/>
        </w:rPr>
        <w:t xml:space="preserve"> </w:t>
      </w:r>
      <w:r w:rsidR="00094B33">
        <w:rPr>
          <w:rFonts w:ascii="Times" w:hAnsi="Times"/>
        </w:rPr>
        <w:t>perspectives</w:t>
      </w:r>
      <w:r w:rsidR="00603F1B">
        <w:rPr>
          <w:rFonts w:ascii="Times" w:hAnsi="Times"/>
        </w:rPr>
        <w:t xml:space="preserve">, </w:t>
      </w:r>
      <w:r w:rsidR="00853F46">
        <w:rPr>
          <w:rFonts w:ascii="Times" w:hAnsi="Times"/>
        </w:rPr>
        <w:t xml:space="preserve">and </w:t>
      </w:r>
      <w:r w:rsidR="00603F1B">
        <w:rPr>
          <w:rFonts w:ascii="Times" w:hAnsi="Times"/>
        </w:rPr>
        <w:t>exhibiting attachment</w:t>
      </w:r>
      <w:r w:rsidR="00094B33">
        <w:rPr>
          <w:rFonts w:ascii="Times" w:hAnsi="Times"/>
        </w:rPr>
        <w:t>s</w:t>
      </w:r>
      <w:r w:rsidR="00603F1B">
        <w:rPr>
          <w:rFonts w:ascii="Times" w:hAnsi="Times"/>
        </w:rPr>
        <w:t xml:space="preserve"> to different values and </w:t>
      </w:r>
      <w:r w:rsidR="00094B33">
        <w:rPr>
          <w:rFonts w:ascii="Times" w:hAnsi="Times"/>
        </w:rPr>
        <w:t xml:space="preserve">more </w:t>
      </w:r>
      <w:r w:rsidR="00603F1B">
        <w:rPr>
          <w:rFonts w:ascii="Times" w:hAnsi="Times"/>
        </w:rPr>
        <w:t>practical concerns</w:t>
      </w:r>
      <w:r w:rsidR="00624462">
        <w:rPr>
          <w:rFonts w:ascii="Times" w:hAnsi="Times"/>
        </w:rPr>
        <w:t>.</w:t>
      </w:r>
      <w:r w:rsidR="00624462">
        <w:rPr>
          <w:rStyle w:val="FootnoteReference"/>
          <w:rFonts w:ascii="Times" w:hAnsi="Times"/>
        </w:rPr>
        <w:footnoteReference w:id="7"/>
      </w:r>
      <w:r w:rsidR="00603F1B">
        <w:rPr>
          <w:rFonts w:ascii="Times" w:hAnsi="Times"/>
        </w:rPr>
        <w:t xml:space="preserve"> </w:t>
      </w:r>
    </w:p>
    <w:p w14:paraId="03F7A243" w14:textId="7E0A0CCC" w:rsidR="000E21B4" w:rsidRDefault="00313F6D" w:rsidP="00D53C2B">
      <w:pPr>
        <w:spacing w:line="360" w:lineRule="auto"/>
        <w:ind w:firstLine="720"/>
        <w:rPr>
          <w:rFonts w:ascii="Times" w:hAnsi="Times"/>
        </w:rPr>
      </w:pPr>
      <w:r>
        <w:rPr>
          <w:rFonts w:ascii="Times" w:hAnsi="Times"/>
        </w:rPr>
        <w:lastRenderedPageBreak/>
        <w:t xml:space="preserve">Interestingly, the internet, primarily social media, was an </w:t>
      </w:r>
      <w:r w:rsidR="001A5017">
        <w:rPr>
          <w:rFonts w:ascii="Times" w:hAnsi="Times"/>
        </w:rPr>
        <w:t>active area</w:t>
      </w:r>
      <w:r>
        <w:rPr>
          <w:rFonts w:ascii="Times" w:hAnsi="Times"/>
        </w:rPr>
        <w:t xml:space="preserve"> in showcasing public participation in the Arab Spring movement, with ideas and commonalities spreading to nearby countries</w:t>
      </w:r>
      <w:r w:rsidR="00D53C2B">
        <w:rPr>
          <w:rFonts w:ascii="Times" w:hAnsi="Times"/>
        </w:rPr>
        <w:t xml:space="preserve">. </w:t>
      </w:r>
      <w:r w:rsidR="00577CB4">
        <w:rPr>
          <w:rFonts w:ascii="Times" w:hAnsi="Times"/>
        </w:rPr>
        <w:t xml:space="preserve">Although internet access and widespread </w:t>
      </w:r>
      <w:r w:rsidR="00406AE2">
        <w:rPr>
          <w:rFonts w:ascii="Times" w:hAnsi="Times"/>
        </w:rPr>
        <w:t>availability</w:t>
      </w:r>
      <w:r w:rsidR="00577CB4">
        <w:rPr>
          <w:rFonts w:ascii="Times" w:hAnsi="Times"/>
        </w:rPr>
        <w:t xml:space="preserve"> </w:t>
      </w:r>
      <w:r w:rsidR="009A1E5D">
        <w:rPr>
          <w:rFonts w:ascii="Times" w:hAnsi="Times"/>
        </w:rPr>
        <w:t>were</w:t>
      </w:r>
      <w:r w:rsidR="00577CB4">
        <w:rPr>
          <w:rFonts w:ascii="Times" w:hAnsi="Times"/>
        </w:rPr>
        <w:t xml:space="preserve"> not a common feature in public discourse, such as in </w:t>
      </w:r>
      <w:r w:rsidR="009931C7">
        <w:rPr>
          <w:rFonts w:ascii="Times" w:hAnsi="Times"/>
        </w:rPr>
        <w:t>Egypt</w:t>
      </w:r>
      <w:r w:rsidR="00577CB4">
        <w:rPr>
          <w:rFonts w:ascii="Times" w:hAnsi="Times"/>
        </w:rPr>
        <w:t xml:space="preserve">, it provided a great deal of significance for building organized networks of opposition, primarily with those sympathetic to the Islamist cause. </w:t>
      </w:r>
      <w:r w:rsidR="00D53C2B">
        <w:rPr>
          <w:rFonts w:ascii="Times" w:hAnsi="Times"/>
        </w:rPr>
        <w:t xml:space="preserve">With the utilization of social media, activists </w:t>
      </w:r>
      <w:r w:rsidR="00406AE2">
        <w:rPr>
          <w:rFonts w:ascii="Times" w:hAnsi="Times"/>
        </w:rPr>
        <w:t>could</w:t>
      </w:r>
      <w:r w:rsidR="00D53C2B">
        <w:rPr>
          <w:rFonts w:ascii="Times" w:hAnsi="Times"/>
        </w:rPr>
        <w:t xml:space="preserve"> engage in debate </w:t>
      </w:r>
      <w:r w:rsidR="00406AE2">
        <w:rPr>
          <w:rFonts w:ascii="Times" w:hAnsi="Times"/>
        </w:rPr>
        <w:t xml:space="preserve">and </w:t>
      </w:r>
      <w:r w:rsidR="00D53C2B">
        <w:rPr>
          <w:rFonts w:ascii="Times" w:hAnsi="Times"/>
        </w:rPr>
        <w:t xml:space="preserve">discuss issues without the fear of retribution, and where political dissidents could lead organized movements. Although the Mubarak regime attempted to limit internet access during the tumultuous </w:t>
      </w:r>
      <w:r w:rsidR="00B32D4C">
        <w:rPr>
          <w:rFonts w:ascii="Times" w:hAnsi="Times"/>
        </w:rPr>
        <w:t>period</w:t>
      </w:r>
      <w:r w:rsidR="00D53C2B">
        <w:rPr>
          <w:rFonts w:ascii="Times" w:hAnsi="Times"/>
        </w:rPr>
        <w:t xml:space="preserve"> of his regime, the effects backfired, possibly inciting more public displeasure with the regime</w:t>
      </w:r>
      <w:r w:rsidR="00094B33">
        <w:rPr>
          <w:rFonts w:ascii="Times" w:hAnsi="Times"/>
        </w:rPr>
        <w:t xml:space="preserve"> and sympathy for Islamist opposition groups</w:t>
      </w:r>
      <w:r w:rsidR="00624462">
        <w:rPr>
          <w:rFonts w:ascii="Times" w:hAnsi="Times"/>
        </w:rPr>
        <w:t>.</w:t>
      </w:r>
      <w:r w:rsidR="00624462">
        <w:rPr>
          <w:rStyle w:val="FootnoteReference"/>
          <w:rFonts w:ascii="Times" w:hAnsi="Times"/>
        </w:rPr>
        <w:footnoteReference w:id="8"/>
      </w:r>
      <w:r w:rsidR="00503AB3">
        <w:rPr>
          <w:rFonts w:ascii="Times" w:hAnsi="Times"/>
        </w:rPr>
        <w:t xml:space="preserve"> </w:t>
      </w:r>
    </w:p>
    <w:p w14:paraId="478A94B7" w14:textId="26DB5C22" w:rsidR="001803A8" w:rsidRDefault="00C139DA" w:rsidP="00A2130E">
      <w:pPr>
        <w:spacing w:line="360" w:lineRule="auto"/>
        <w:rPr>
          <w:rFonts w:ascii="Times" w:hAnsi="Times"/>
        </w:rPr>
      </w:pPr>
      <w:r>
        <w:rPr>
          <w:rFonts w:ascii="Times" w:hAnsi="Times"/>
        </w:rPr>
        <w:tab/>
      </w:r>
      <w:r w:rsidR="002E6FAD">
        <w:rPr>
          <w:rFonts w:ascii="Times" w:hAnsi="Times"/>
        </w:rPr>
        <w:t>With</w:t>
      </w:r>
      <w:r>
        <w:rPr>
          <w:rFonts w:ascii="Times" w:hAnsi="Times"/>
        </w:rPr>
        <w:t xml:space="preserve"> the failure of </w:t>
      </w:r>
      <w:r w:rsidR="002E6FAD">
        <w:rPr>
          <w:rFonts w:ascii="Times" w:hAnsi="Times"/>
        </w:rPr>
        <w:t xml:space="preserve">the </w:t>
      </w:r>
      <w:r w:rsidR="00933134">
        <w:rPr>
          <w:rFonts w:ascii="Times" w:hAnsi="Times"/>
        </w:rPr>
        <w:t xml:space="preserve">economic prosperity of </w:t>
      </w:r>
      <w:r>
        <w:rPr>
          <w:rFonts w:ascii="Times" w:hAnsi="Times"/>
        </w:rPr>
        <w:t xml:space="preserve">existing regimes, Islamist parties, often banned and ostracized within the public </w:t>
      </w:r>
      <w:r w:rsidR="009931C7">
        <w:rPr>
          <w:rFonts w:ascii="Times" w:hAnsi="Times"/>
        </w:rPr>
        <w:t>domain</w:t>
      </w:r>
      <w:r>
        <w:rPr>
          <w:rFonts w:ascii="Times" w:hAnsi="Times"/>
        </w:rPr>
        <w:t xml:space="preserve">, seized an opportunity for relevance and authority. </w:t>
      </w:r>
      <w:r w:rsidR="000F1CE4">
        <w:rPr>
          <w:rFonts w:ascii="Times" w:hAnsi="Times"/>
        </w:rPr>
        <w:t>Their use of Islamic rhetoric and religious tenor</w:t>
      </w:r>
      <w:r w:rsidR="00933134">
        <w:rPr>
          <w:rFonts w:ascii="Times" w:hAnsi="Times"/>
        </w:rPr>
        <w:t xml:space="preserve"> </w:t>
      </w:r>
      <w:r w:rsidR="000F1CE4">
        <w:rPr>
          <w:rFonts w:ascii="Times" w:hAnsi="Times"/>
        </w:rPr>
        <w:t xml:space="preserve">were utilized to </w:t>
      </w:r>
      <w:r w:rsidR="00933134">
        <w:rPr>
          <w:rFonts w:ascii="Times" w:hAnsi="Times"/>
        </w:rPr>
        <w:t>criticize</w:t>
      </w:r>
      <w:r w:rsidR="000F1CE4">
        <w:rPr>
          <w:rFonts w:ascii="Times" w:hAnsi="Times"/>
        </w:rPr>
        <w:t xml:space="preserve">, </w:t>
      </w:r>
      <w:r w:rsidR="00933134">
        <w:rPr>
          <w:rFonts w:ascii="Times" w:hAnsi="Times"/>
        </w:rPr>
        <w:t xml:space="preserve">not just the performance of </w:t>
      </w:r>
      <w:r w:rsidR="009931C7">
        <w:rPr>
          <w:rFonts w:ascii="Times" w:hAnsi="Times"/>
        </w:rPr>
        <w:t xml:space="preserve">existing </w:t>
      </w:r>
      <w:r w:rsidR="00933134">
        <w:rPr>
          <w:rFonts w:ascii="Times" w:hAnsi="Times"/>
        </w:rPr>
        <w:t xml:space="preserve">regimes and </w:t>
      </w:r>
      <w:r w:rsidR="000F1CE4">
        <w:rPr>
          <w:rFonts w:ascii="Times" w:hAnsi="Times"/>
        </w:rPr>
        <w:t>to address</w:t>
      </w:r>
      <w:r w:rsidR="00933134">
        <w:rPr>
          <w:rFonts w:ascii="Times" w:hAnsi="Times"/>
        </w:rPr>
        <w:t xml:space="preserve"> </w:t>
      </w:r>
      <w:r w:rsidR="003826D2">
        <w:rPr>
          <w:rFonts w:ascii="Times" w:hAnsi="Times"/>
        </w:rPr>
        <w:t>grievances</w:t>
      </w:r>
      <w:r w:rsidR="00933134">
        <w:rPr>
          <w:rFonts w:ascii="Times" w:hAnsi="Times"/>
        </w:rPr>
        <w:t xml:space="preserve">, but </w:t>
      </w:r>
      <w:r w:rsidR="00CE113D">
        <w:rPr>
          <w:rFonts w:ascii="Times" w:hAnsi="Times"/>
        </w:rPr>
        <w:t xml:space="preserve">to attack </w:t>
      </w:r>
      <w:r w:rsidR="00933134">
        <w:rPr>
          <w:rFonts w:ascii="Times" w:hAnsi="Times"/>
        </w:rPr>
        <w:t>the values</w:t>
      </w:r>
      <w:r w:rsidR="00CE113D">
        <w:rPr>
          <w:rFonts w:ascii="Times" w:hAnsi="Times"/>
        </w:rPr>
        <w:t xml:space="preserve"> of these regimes</w:t>
      </w:r>
      <w:r w:rsidR="00933134">
        <w:rPr>
          <w:rFonts w:ascii="Times" w:hAnsi="Times"/>
        </w:rPr>
        <w:t xml:space="preserve">, </w:t>
      </w:r>
      <w:r w:rsidR="00CE113D">
        <w:rPr>
          <w:rFonts w:ascii="Times" w:hAnsi="Times"/>
        </w:rPr>
        <w:t>simultaneously</w:t>
      </w:r>
      <w:r w:rsidR="00933134">
        <w:rPr>
          <w:rFonts w:ascii="Times" w:hAnsi="Times"/>
        </w:rPr>
        <w:t xml:space="preserve"> </w:t>
      </w:r>
      <w:r w:rsidR="00CE113D">
        <w:rPr>
          <w:rFonts w:ascii="Times" w:hAnsi="Times"/>
        </w:rPr>
        <w:t>criticizing</w:t>
      </w:r>
      <w:r w:rsidR="00933134">
        <w:rPr>
          <w:rFonts w:ascii="Times" w:hAnsi="Times"/>
        </w:rPr>
        <w:t xml:space="preserve"> </w:t>
      </w:r>
      <w:r w:rsidR="00CE113D">
        <w:rPr>
          <w:rFonts w:ascii="Times" w:hAnsi="Times"/>
        </w:rPr>
        <w:t xml:space="preserve">the </w:t>
      </w:r>
      <w:r w:rsidR="00933134">
        <w:rPr>
          <w:rFonts w:ascii="Times" w:hAnsi="Times"/>
        </w:rPr>
        <w:t xml:space="preserve">Western </w:t>
      </w:r>
      <w:r w:rsidR="00CE113D">
        <w:rPr>
          <w:rFonts w:ascii="Times" w:hAnsi="Times"/>
        </w:rPr>
        <w:t>influence on the regime and imperial history</w:t>
      </w:r>
      <w:r w:rsidR="00414AA7">
        <w:rPr>
          <w:rFonts w:ascii="Times" w:hAnsi="Times"/>
        </w:rPr>
        <w:t>.</w:t>
      </w:r>
      <w:r w:rsidR="00414AA7">
        <w:rPr>
          <w:rStyle w:val="FootnoteReference"/>
          <w:rFonts w:ascii="Times" w:hAnsi="Times"/>
        </w:rPr>
        <w:footnoteReference w:id="9"/>
      </w:r>
      <w:r w:rsidR="009931C7">
        <w:rPr>
          <w:rFonts w:ascii="Times" w:hAnsi="Times"/>
        </w:rPr>
        <w:t xml:space="preserve"> </w:t>
      </w:r>
      <w:r w:rsidR="00933134">
        <w:rPr>
          <w:rFonts w:ascii="Times" w:hAnsi="Times"/>
        </w:rPr>
        <w:t>Islamic identity and tenor, such as the use of Islamic terminology</w:t>
      </w:r>
      <w:r w:rsidR="009931C7">
        <w:rPr>
          <w:rFonts w:ascii="Times" w:hAnsi="Times"/>
        </w:rPr>
        <w:t>,</w:t>
      </w:r>
      <w:r w:rsidR="00933134">
        <w:rPr>
          <w:rFonts w:ascii="Times" w:hAnsi="Times"/>
        </w:rPr>
        <w:t xml:space="preserve"> </w:t>
      </w:r>
      <w:r w:rsidR="00853F46">
        <w:rPr>
          <w:rFonts w:ascii="Times" w:hAnsi="Times"/>
        </w:rPr>
        <w:t>were</w:t>
      </w:r>
      <w:r w:rsidR="00933134">
        <w:rPr>
          <w:rFonts w:ascii="Times" w:hAnsi="Times"/>
        </w:rPr>
        <w:t xml:space="preserve"> at the forefront in providing a common </w:t>
      </w:r>
      <w:r w:rsidR="003826D2">
        <w:rPr>
          <w:rFonts w:ascii="Times" w:hAnsi="Times"/>
        </w:rPr>
        <w:t>identity</w:t>
      </w:r>
      <w:r w:rsidR="00933134">
        <w:rPr>
          <w:rFonts w:ascii="Times" w:hAnsi="Times"/>
        </w:rPr>
        <w:t xml:space="preserve">, crossing </w:t>
      </w:r>
      <w:r w:rsidR="009931C7">
        <w:rPr>
          <w:rFonts w:ascii="Times" w:hAnsi="Times"/>
        </w:rPr>
        <w:t xml:space="preserve">various </w:t>
      </w:r>
      <w:r w:rsidR="00933134">
        <w:rPr>
          <w:rFonts w:ascii="Times" w:hAnsi="Times"/>
        </w:rPr>
        <w:t xml:space="preserve">socio-economic boundaries. </w:t>
      </w:r>
      <w:r w:rsidR="00CE113D">
        <w:rPr>
          <w:rFonts w:ascii="Times" w:hAnsi="Times"/>
        </w:rPr>
        <w:t>Therefore, a</w:t>
      </w:r>
      <w:r w:rsidR="009931C7">
        <w:rPr>
          <w:rFonts w:ascii="Times" w:hAnsi="Times"/>
        </w:rPr>
        <w:t>n</w:t>
      </w:r>
      <w:r w:rsidR="00671A94">
        <w:rPr>
          <w:rFonts w:ascii="Times" w:hAnsi="Times"/>
        </w:rPr>
        <w:t xml:space="preserve"> idealized public Islamic identity is proposed as a useful </w:t>
      </w:r>
      <w:r w:rsidR="00853F46">
        <w:rPr>
          <w:rFonts w:ascii="Times" w:hAnsi="Times"/>
        </w:rPr>
        <w:t>alternative</w:t>
      </w:r>
      <w:r w:rsidR="00671A94">
        <w:rPr>
          <w:rFonts w:ascii="Times" w:hAnsi="Times"/>
        </w:rPr>
        <w:t xml:space="preserve"> to the nationalist, socialist </w:t>
      </w:r>
      <w:r w:rsidR="00853F46">
        <w:rPr>
          <w:rFonts w:ascii="Times" w:hAnsi="Times"/>
        </w:rPr>
        <w:t>policies</w:t>
      </w:r>
      <w:r w:rsidR="00671A94">
        <w:rPr>
          <w:rFonts w:ascii="Times" w:hAnsi="Times"/>
        </w:rPr>
        <w:t xml:space="preserve"> of </w:t>
      </w:r>
      <w:r w:rsidR="00853F46">
        <w:rPr>
          <w:rFonts w:ascii="Times" w:hAnsi="Times"/>
        </w:rPr>
        <w:t>preceding</w:t>
      </w:r>
      <w:r w:rsidR="00671A94">
        <w:rPr>
          <w:rFonts w:ascii="Times" w:hAnsi="Times"/>
        </w:rPr>
        <w:t xml:space="preserve"> regimes.</w:t>
      </w:r>
      <w:r w:rsidR="00F56CC9">
        <w:rPr>
          <w:rFonts w:ascii="Times" w:hAnsi="Times"/>
        </w:rPr>
        <w:t xml:space="preserve"> </w:t>
      </w:r>
    </w:p>
    <w:p w14:paraId="266F6003" w14:textId="49A0B6AF" w:rsidR="000F1CE4" w:rsidRDefault="00503AB3" w:rsidP="001803A8">
      <w:pPr>
        <w:spacing w:line="360" w:lineRule="auto"/>
        <w:ind w:firstLine="720"/>
        <w:rPr>
          <w:rFonts w:ascii="Times" w:hAnsi="Times"/>
        </w:rPr>
      </w:pPr>
      <w:r>
        <w:rPr>
          <w:rFonts w:ascii="Times" w:hAnsi="Times"/>
        </w:rPr>
        <w:t>Yet, while groups like the Muslim Brotherhood, engage</w:t>
      </w:r>
      <w:r w:rsidR="000D099B">
        <w:rPr>
          <w:rFonts w:ascii="Times" w:hAnsi="Times"/>
        </w:rPr>
        <w:t>d</w:t>
      </w:r>
      <w:r>
        <w:rPr>
          <w:rFonts w:ascii="Times" w:hAnsi="Times"/>
        </w:rPr>
        <w:t xml:space="preserve"> in the spreading of ideas of a common Islamic identity and religious tenor to voice opposition, there was a pragmatic approach to furthering the Islamist cause. Although an idealized </w:t>
      </w:r>
      <w:r w:rsidR="001803A8">
        <w:rPr>
          <w:rFonts w:ascii="Times" w:hAnsi="Times"/>
        </w:rPr>
        <w:t xml:space="preserve">conception of a unified Islamic state, such as the Caliphate, </w:t>
      </w:r>
      <w:r w:rsidR="009A1E5D">
        <w:rPr>
          <w:rFonts w:ascii="Times" w:hAnsi="Times"/>
        </w:rPr>
        <w:t>may be</w:t>
      </w:r>
      <w:r w:rsidR="001803A8">
        <w:rPr>
          <w:rFonts w:ascii="Times" w:hAnsi="Times"/>
        </w:rPr>
        <w:t xml:space="preserve"> desirable to Islamists, it </w:t>
      </w:r>
      <w:r w:rsidR="002E6FAD">
        <w:rPr>
          <w:rFonts w:ascii="Times" w:hAnsi="Times"/>
        </w:rPr>
        <w:t>wasn’t</w:t>
      </w:r>
      <w:r w:rsidR="001803A8">
        <w:rPr>
          <w:rFonts w:ascii="Times" w:hAnsi="Times"/>
        </w:rPr>
        <w:t xml:space="preserve"> necessarily a pragmatic goal they set to establish or implement. </w:t>
      </w:r>
      <w:r>
        <w:rPr>
          <w:rFonts w:ascii="Times" w:hAnsi="Times"/>
        </w:rPr>
        <w:t xml:space="preserve">Islamist parties, like the Muslim Brotherhood, </w:t>
      </w:r>
      <w:r w:rsidR="002C17BD">
        <w:rPr>
          <w:rFonts w:ascii="Times" w:hAnsi="Times"/>
        </w:rPr>
        <w:t>sought</w:t>
      </w:r>
      <w:r>
        <w:rPr>
          <w:rFonts w:ascii="Times" w:hAnsi="Times"/>
        </w:rPr>
        <w:t xml:space="preserve"> to be genuine movements, looking to make change within existing institutions, primarily </w:t>
      </w:r>
      <w:r w:rsidR="001803A8">
        <w:rPr>
          <w:rFonts w:ascii="Times" w:hAnsi="Times"/>
        </w:rPr>
        <w:t>at the grassroots level of society</w:t>
      </w:r>
      <w:r w:rsidR="001A5017">
        <w:rPr>
          <w:rFonts w:ascii="Times" w:hAnsi="Times"/>
        </w:rPr>
        <w:t>, such as in charitable causes</w:t>
      </w:r>
      <w:r w:rsidR="00414AA7">
        <w:rPr>
          <w:rFonts w:ascii="Times" w:hAnsi="Times"/>
        </w:rPr>
        <w:t>.</w:t>
      </w:r>
      <w:r w:rsidR="00414AA7">
        <w:rPr>
          <w:rStyle w:val="FootnoteReference"/>
          <w:rFonts w:ascii="Times" w:hAnsi="Times"/>
        </w:rPr>
        <w:footnoteReference w:id="10"/>
      </w:r>
      <w:r w:rsidR="001803A8">
        <w:rPr>
          <w:rFonts w:ascii="Times" w:hAnsi="Times"/>
        </w:rPr>
        <w:t xml:space="preserve"> The aspect of pragmatic</w:t>
      </w:r>
      <w:r w:rsidR="00BB548F">
        <w:rPr>
          <w:rFonts w:ascii="Times" w:hAnsi="Times"/>
        </w:rPr>
        <w:t xml:space="preserve"> </w:t>
      </w:r>
      <w:r w:rsidR="001803A8">
        <w:rPr>
          <w:rFonts w:ascii="Times" w:hAnsi="Times"/>
        </w:rPr>
        <w:t xml:space="preserve">social change, and sidelining </w:t>
      </w:r>
      <w:r w:rsidR="00BB548F">
        <w:rPr>
          <w:rFonts w:ascii="Times" w:hAnsi="Times"/>
        </w:rPr>
        <w:lastRenderedPageBreak/>
        <w:t xml:space="preserve">of </w:t>
      </w:r>
      <w:r w:rsidR="001803A8">
        <w:rPr>
          <w:rFonts w:ascii="Times" w:hAnsi="Times"/>
        </w:rPr>
        <w:t xml:space="preserve">idealized </w:t>
      </w:r>
      <w:r w:rsidR="009931C7">
        <w:rPr>
          <w:rFonts w:ascii="Times" w:hAnsi="Times"/>
        </w:rPr>
        <w:t xml:space="preserve">Islamist causes was significant in the mainstream relevance of Islamist parties, </w:t>
      </w:r>
      <w:r w:rsidR="00BB548F">
        <w:rPr>
          <w:rFonts w:ascii="Times" w:hAnsi="Times"/>
        </w:rPr>
        <w:t>generating a unified Islamic identity.</w:t>
      </w:r>
    </w:p>
    <w:p w14:paraId="1A3C7FBC" w14:textId="77777777" w:rsidR="00671A94" w:rsidRDefault="00671A94" w:rsidP="00A2130E">
      <w:pPr>
        <w:spacing w:line="360" w:lineRule="auto"/>
        <w:rPr>
          <w:rFonts w:ascii="Times" w:hAnsi="Times"/>
        </w:rPr>
      </w:pPr>
    </w:p>
    <w:p w14:paraId="5DBE226A" w14:textId="1DFD0061" w:rsidR="000F1CE4" w:rsidRDefault="000F1CE4" w:rsidP="00A2130E">
      <w:pPr>
        <w:spacing w:line="360" w:lineRule="auto"/>
        <w:rPr>
          <w:rFonts w:ascii="Times" w:hAnsi="Times"/>
        </w:rPr>
      </w:pPr>
      <w:r>
        <w:rPr>
          <w:rFonts w:ascii="Times" w:hAnsi="Times"/>
        </w:rPr>
        <w:t>Part II.</w:t>
      </w:r>
    </w:p>
    <w:p w14:paraId="0E043BBE" w14:textId="5374ABD5" w:rsidR="00671A94" w:rsidRDefault="00671A94" w:rsidP="00A2130E">
      <w:pPr>
        <w:spacing w:line="360" w:lineRule="auto"/>
        <w:rPr>
          <w:rFonts w:ascii="Times" w:hAnsi="Times"/>
        </w:rPr>
      </w:pPr>
    </w:p>
    <w:p w14:paraId="3DF0F2FB" w14:textId="6A6CF660" w:rsidR="00671A94" w:rsidRDefault="00671A94" w:rsidP="00A2130E">
      <w:pPr>
        <w:spacing w:line="360" w:lineRule="auto"/>
        <w:rPr>
          <w:rFonts w:ascii="Times" w:hAnsi="Times"/>
        </w:rPr>
      </w:pPr>
      <w:r>
        <w:rPr>
          <w:rFonts w:ascii="Times" w:hAnsi="Times"/>
        </w:rPr>
        <w:tab/>
        <w:t xml:space="preserve">The Arab Spring undoubtedly had a lasting effect on Islamic identity, which can be witnessed by the subsequent changes in </w:t>
      </w:r>
      <w:r w:rsidR="00887B30">
        <w:rPr>
          <w:rFonts w:ascii="Times" w:hAnsi="Times"/>
        </w:rPr>
        <w:t xml:space="preserve">attempts at </w:t>
      </w:r>
      <w:r>
        <w:rPr>
          <w:rFonts w:ascii="Times" w:hAnsi="Times"/>
        </w:rPr>
        <w:t>institutional reform</w:t>
      </w:r>
      <w:r w:rsidR="00887B30">
        <w:rPr>
          <w:rFonts w:ascii="Times" w:hAnsi="Times"/>
        </w:rPr>
        <w:t>s</w:t>
      </w:r>
      <w:r>
        <w:rPr>
          <w:rFonts w:ascii="Times" w:hAnsi="Times"/>
        </w:rPr>
        <w:t>, some of which are still relevant in contemporary Arab soci</w:t>
      </w:r>
      <w:r w:rsidR="00A001A6">
        <w:rPr>
          <w:rFonts w:ascii="Times" w:hAnsi="Times"/>
        </w:rPr>
        <w:t>eties</w:t>
      </w:r>
      <w:r>
        <w:rPr>
          <w:rFonts w:ascii="Times" w:hAnsi="Times"/>
        </w:rPr>
        <w:t xml:space="preserve">. For instance, when analyzing both </w:t>
      </w:r>
      <w:r w:rsidR="00A001A6">
        <w:rPr>
          <w:rFonts w:ascii="Times" w:hAnsi="Times"/>
        </w:rPr>
        <w:t>Egypt</w:t>
      </w:r>
      <w:r>
        <w:rPr>
          <w:rFonts w:ascii="Times" w:hAnsi="Times"/>
        </w:rPr>
        <w:t xml:space="preserve"> and Tunisia, two of the most significant areas </w:t>
      </w:r>
      <w:r w:rsidR="00A001A6">
        <w:rPr>
          <w:rFonts w:ascii="Times" w:hAnsi="Times"/>
        </w:rPr>
        <w:t>where</w:t>
      </w:r>
      <w:r>
        <w:rPr>
          <w:rFonts w:ascii="Times" w:hAnsi="Times"/>
        </w:rPr>
        <w:t xml:space="preserve"> the Arab Spring occurred, there is an increased emphasis by the newly</w:t>
      </w:r>
      <w:r w:rsidR="00887B30">
        <w:rPr>
          <w:rFonts w:ascii="Times" w:hAnsi="Times"/>
        </w:rPr>
        <w:t xml:space="preserve"> appointed</w:t>
      </w:r>
      <w:r>
        <w:rPr>
          <w:rFonts w:ascii="Times" w:hAnsi="Times"/>
        </w:rPr>
        <w:t xml:space="preserve"> Islamist regimes, on a unified Islamic identity.</w:t>
      </w:r>
    </w:p>
    <w:p w14:paraId="3BBEB2D6" w14:textId="5D4FF977" w:rsidR="00B704CD" w:rsidRDefault="00671A94" w:rsidP="00A2130E">
      <w:pPr>
        <w:spacing w:line="360" w:lineRule="auto"/>
        <w:rPr>
          <w:rFonts w:ascii="Times" w:hAnsi="Times"/>
        </w:rPr>
      </w:pPr>
      <w:r>
        <w:rPr>
          <w:rFonts w:ascii="Times" w:hAnsi="Times"/>
        </w:rPr>
        <w:tab/>
        <w:t xml:space="preserve">When analyzing the </w:t>
      </w:r>
      <w:r w:rsidR="00577CB4">
        <w:rPr>
          <w:rFonts w:ascii="Times" w:hAnsi="Times"/>
        </w:rPr>
        <w:t>Egyptian</w:t>
      </w:r>
      <w:r>
        <w:rPr>
          <w:rFonts w:ascii="Times" w:hAnsi="Times"/>
        </w:rPr>
        <w:t xml:space="preserve"> </w:t>
      </w:r>
      <w:r w:rsidR="00887B30">
        <w:rPr>
          <w:rFonts w:ascii="Times" w:hAnsi="Times"/>
        </w:rPr>
        <w:t>C</w:t>
      </w:r>
      <w:r>
        <w:rPr>
          <w:rFonts w:ascii="Times" w:hAnsi="Times"/>
        </w:rPr>
        <w:t>onstitution of 2012 after the election of Mohamed Morsi of the Muslim Brotherhood</w:t>
      </w:r>
      <w:r w:rsidR="00C76DBA">
        <w:rPr>
          <w:rFonts w:ascii="Times" w:hAnsi="Times"/>
        </w:rPr>
        <w:t xml:space="preserve">, there is a clear emphasis on the public role of Islam within </w:t>
      </w:r>
      <w:r w:rsidR="00577CB4">
        <w:rPr>
          <w:rFonts w:ascii="Times" w:hAnsi="Times"/>
        </w:rPr>
        <w:t>Egypt’s</w:t>
      </w:r>
      <w:r w:rsidR="00C76DBA">
        <w:rPr>
          <w:rFonts w:ascii="Times" w:hAnsi="Times"/>
        </w:rPr>
        <w:t xml:space="preserve"> government and national identity. </w:t>
      </w:r>
      <w:r w:rsidR="00A001A6">
        <w:rPr>
          <w:rFonts w:ascii="Times" w:hAnsi="Times"/>
        </w:rPr>
        <w:t xml:space="preserve">The </w:t>
      </w:r>
      <w:r w:rsidR="00C76DBA">
        <w:rPr>
          <w:rFonts w:ascii="Times" w:hAnsi="Times"/>
        </w:rPr>
        <w:t xml:space="preserve">Article I clause of </w:t>
      </w:r>
      <w:r w:rsidR="00577CB4">
        <w:rPr>
          <w:rFonts w:ascii="Times" w:hAnsi="Times"/>
        </w:rPr>
        <w:t>Egypt’s</w:t>
      </w:r>
      <w:r w:rsidR="00C76DBA">
        <w:rPr>
          <w:rFonts w:ascii="Times" w:hAnsi="Times"/>
        </w:rPr>
        <w:t xml:space="preserve"> 2012 </w:t>
      </w:r>
      <w:r w:rsidR="00887B30">
        <w:rPr>
          <w:rFonts w:ascii="Times" w:hAnsi="Times"/>
        </w:rPr>
        <w:t>C</w:t>
      </w:r>
      <w:r w:rsidR="00853F46">
        <w:rPr>
          <w:rFonts w:ascii="Times" w:hAnsi="Times"/>
        </w:rPr>
        <w:t>onstitution</w:t>
      </w:r>
      <w:r w:rsidR="00C76DBA">
        <w:rPr>
          <w:rFonts w:ascii="Times" w:hAnsi="Times"/>
        </w:rPr>
        <w:t xml:space="preserve"> </w:t>
      </w:r>
      <w:r w:rsidR="00A001A6">
        <w:rPr>
          <w:rFonts w:ascii="Times" w:hAnsi="Times"/>
        </w:rPr>
        <w:t>emphasized</w:t>
      </w:r>
      <w:r w:rsidR="00C76DBA">
        <w:rPr>
          <w:rFonts w:ascii="Times" w:hAnsi="Times"/>
        </w:rPr>
        <w:t xml:space="preserve"> that </w:t>
      </w:r>
      <w:r w:rsidR="00853F46">
        <w:rPr>
          <w:rFonts w:ascii="Times" w:hAnsi="Times"/>
        </w:rPr>
        <w:t>Egyptians</w:t>
      </w:r>
      <w:r w:rsidR="00C76DBA">
        <w:rPr>
          <w:rFonts w:ascii="Times" w:hAnsi="Times"/>
        </w:rPr>
        <w:t xml:space="preserve"> were a part of a larger set of “Islamic nations,” with national citizenship and identity not being listed </w:t>
      </w:r>
      <w:r w:rsidR="00A001A6">
        <w:rPr>
          <w:rFonts w:ascii="Times" w:hAnsi="Times"/>
        </w:rPr>
        <w:t xml:space="preserve">as a </w:t>
      </w:r>
      <w:r w:rsidR="00C76DBA">
        <w:rPr>
          <w:rFonts w:ascii="Times" w:hAnsi="Times"/>
        </w:rPr>
        <w:t>premise</w:t>
      </w:r>
      <w:r w:rsidR="004C6B00">
        <w:rPr>
          <w:rFonts w:ascii="Times" w:hAnsi="Times"/>
        </w:rPr>
        <w:t>.</w:t>
      </w:r>
      <w:r w:rsidR="004C6B00">
        <w:rPr>
          <w:rStyle w:val="FootnoteReference"/>
          <w:rFonts w:ascii="Times" w:hAnsi="Times"/>
        </w:rPr>
        <w:footnoteReference w:id="11"/>
      </w:r>
      <w:r w:rsidR="00C76DBA">
        <w:rPr>
          <w:rFonts w:ascii="Times" w:hAnsi="Times"/>
        </w:rPr>
        <w:t xml:space="preserve"> This clause introduced by the Morsi government, </w:t>
      </w:r>
      <w:r w:rsidR="002C1BBB">
        <w:rPr>
          <w:rFonts w:ascii="Times" w:hAnsi="Times"/>
        </w:rPr>
        <w:t>proposed a</w:t>
      </w:r>
      <w:r w:rsidR="00A001A6">
        <w:rPr>
          <w:rFonts w:ascii="Times" w:hAnsi="Times"/>
        </w:rPr>
        <w:t xml:space="preserve"> unified Islamic</w:t>
      </w:r>
      <w:r w:rsidR="002C1BBB">
        <w:rPr>
          <w:rFonts w:ascii="Times" w:hAnsi="Times"/>
        </w:rPr>
        <w:t xml:space="preserve"> identity</w:t>
      </w:r>
      <w:r w:rsidR="00A001A6">
        <w:rPr>
          <w:rFonts w:ascii="Times" w:hAnsi="Times"/>
        </w:rPr>
        <w:t>,</w:t>
      </w:r>
      <w:r w:rsidR="002C1BBB">
        <w:rPr>
          <w:rFonts w:ascii="Times" w:hAnsi="Times"/>
        </w:rPr>
        <w:t xml:space="preserve"> limiting a</w:t>
      </w:r>
      <w:r w:rsidR="00853F46">
        <w:rPr>
          <w:rFonts w:ascii="Times" w:hAnsi="Times"/>
        </w:rPr>
        <w:t xml:space="preserve"> </w:t>
      </w:r>
      <w:r w:rsidR="00C76DBA">
        <w:rPr>
          <w:rFonts w:ascii="Times" w:hAnsi="Times"/>
        </w:rPr>
        <w:t>nationalistic</w:t>
      </w:r>
      <w:r w:rsidR="002C1BBB">
        <w:rPr>
          <w:rFonts w:ascii="Times" w:hAnsi="Times"/>
        </w:rPr>
        <w:t xml:space="preserve"> one</w:t>
      </w:r>
      <w:r w:rsidR="00A001A6">
        <w:rPr>
          <w:rFonts w:ascii="Times" w:hAnsi="Times"/>
        </w:rPr>
        <w:t>. This clause</w:t>
      </w:r>
      <w:r w:rsidR="00C76DBA">
        <w:rPr>
          <w:rFonts w:ascii="Times" w:hAnsi="Times"/>
        </w:rPr>
        <w:t xml:space="preserve"> </w:t>
      </w:r>
      <w:r w:rsidR="00A001A6">
        <w:rPr>
          <w:rFonts w:ascii="Times" w:hAnsi="Times"/>
        </w:rPr>
        <w:t>provides</w:t>
      </w:r>
      <w:r w:rsidR="00C76DBA">
        <w:rPr>
          <w:rFonts w:ascii="Times" w:hAnsi="Times"/>
        </w:rPr>
        <w:t xml:space="preserve"> a network of a much larger Islamic identity</w:t>
      </w:r>
      <w:r w:rsidR="00A001A6">
        <w:rPr>
          <w:rFonts w:ascii="Times" w:hAnsi="Times"/>
        </w:rPr>
        <w:t xml:space="preserve"> extending beyond Egypt’s borders</w:t>
      </w:r>
      <w:r w:rsidR="00C76DBA">
        <w:rPr>
          <w:rFonts w:ascii="Times" w:hAnsi="Times"/>
        </w:rPr>
        <w:t xml:space="preserve">, a significant departure from </w:t>
      </w:r>
      <w:r w:rsidR="00A001A6">
        <w:rPr>
          <w:rFonts w:ascii="Times" w:hAnsi="Times"/>
        </w:rPr>
        <w:t xml:space="preserve">the </w:t>
      </w:r>
      <w:r w:rsidR="00C76DBA">
        <w:rPr>
          <w:rFonts w:ascii="Times" w:hAnsi="Times"/>
        </w:rPr>
        <w:t xml:space="preserve">previous nationalistic policies </w:t>
      </w:r>
      <w:r w:rsidR="00887B30">
        <w:rPr>
          <w:rFonts w:ascii="Times" w:hAnsi="Times"/>
        </w:rPr>
        <w:t>of Egypt and the wider region</w:t>
      </w:r>
      <w:r w:rsidR="00C76DBA">
        <w:rPr>
          <w:rFonts w:ascii="Times" w:hAnsi="Times"/>
        </w:rPr>
        <w:t>.</w:t>
      </w:r>
      <w:r w:rsidR="00B704CD">
        <w:rPr>
          <w:rFonts w:ascii="Times" w:hAnsi="Times"/>
        </w:rPr>
        <w:t xml:space="preserve"> </w:t>
      </w:r>
    </w:p>
    <w:p w14:paraId="6A8F5460" w14:textId="12B3F22B" w:rsidR="00C76DBA" w:rsidRDefault="00C76DBA" w:rsidP="00A2130E">
      <w:pPr>
        <w:spacing w:line="360" w:lineRule="auto"/>
        <w:rPr>
          <w:rFonts w:ascii="Times" w:hAnsi="Times"/>
        </w:rPr>
      </w:pPr>
      <w:r>
        <w:rPr>
          <w:rFonts w:ascii="Times" w:hAnsi="Times"/>
        </w:rPr>
        <w:tab/>
      </w:r>
      <w:r w:rsidR="004E2750">
        <w:rPr>
          <w:rFonts w:ascii="Times" w:hAnsi="Times"/>
        </w:rPr>
        <w:t xml:space="preserve">Tunisia’s subsequent </w:t>
      </w:r>
      <w:r w:rsidR="00887B30">
        <w:rPr>
          <w:rFonts w:ascii="Times" w:hAnsi="Times"/>
        </w:rPr>
        <w:t>C</w:t>
      </w:r>
      <w:r w:rsidR="00A001A6">
        <w:rPr>
          <w:rFonts w:ascii="Times" w:hAnsi="Times"/>
        </w:rPr>
        <w:t>onstitution post the Arab Spring movement</w:t>
      </w:r>
      <w:r w:rsidR="00A001A6">
        <w:rPr>
          <w:rFonts w:ascii="Times" w:hAnsi="Times"/>
        </w:rPr>
        <w:t xml:space="preserve"> in </w:t>
      </w:r>
      <w:r w:rsidR="004E2750">
        <w:rPr>
          <w:rFonts w:ascii="Times" w:hAnsi="Times"/>
        </w:rPr>
        <w:t xml:space="preserve">2014, also witnessed an </w:t>
      </w:r>
      <w:r w:rsidR="00853F46">
        <w:rPr>
          <w:rFonts w:ascii="Times" w:hAnsi="Times"/>
        </w:rPr>
        <w:t>increased</w:t>
      </w:r>
      <w:r w:rsidR="004E2750">
        <w:rPr>
          <w:rFonts w:ascii="Times" w:hAnsi="Times"/>
        </w:rPr>
        <w:t xml:space="preserve"> emphasis on Islamic identity, as well as Islam’s role within the administrative </w:t>
      </w:r>
      <w:r w:rsidR="00A001A6">
        <w:rPr>
          <w:rFonts w:ascii="Times" w:hAnsi="Times"/>
        </w:rPr>
        <w:t>institutions</w:t>
      </w:r>
      <w:r w:rsidR="004E2750">
        <w:rPr>
          <w:rFonts w:ascii="Times" w:hAnsi="Times"/>
        </w:rPr>
        <w:t xml:space="preserve"> in Tunisia. In the </w:t>
      </w:r>
      <w:r w:rsidR="00853F46">
        <w:rPr>
          <w:rFonts w:ascii="Times" w:hAnsi="Times"/>
        </w:rPr>
        <w:t>preceding</w:t>
      </w:r>
      <w:r w:rsidR="004E2750">
        <w:rPr>
          <w:rFonts w:ascii="Times" w:hAnsi="Times"/>
        </w:rPr>
        <w:t xml:space="preserve"> </w:t>
      </w:r>
      <w:r w:rsidR="00887B30">
        <w:rPr>
          <w:rFonts w:ascii="Times" w:hAnsi="Times"/>
        </w:rPr>
        <w:t>C</w:t>
      </w:r>
      <w:r w:rsidR="004E2750">
        <w:rPr>
          <w:rFonts w:ascii="Times" w:hAnsi="Times"/>
        </w:rPr>
        <w:t xml:space="preserve">onstitution of Tunisia, Islam was rarely mentioned and made </w:t>
      </w:r>
      <w:r w:rsidR="006239B2">
        <w:rPr>
          <w:rFonts w:ascii="Times" w:hAnsi="Times"/>
        </w:rPr>
        <w:t>the concept of</w:t>
      </w:r>
      <w:r w:rsidR="004E2750">
        <w:rPr>
          <w:rFonts w:ascii="Times" w:hAnsi="Times"/>
        </w:rPr>
        <w:t xml:space="preserve"> </w:t>
      </w:r>
      <w:r w:rsidR="004E2750" w:rsidRPr="004E2750">
        <w:rPr>
          <w:rFonts w:ascii="Times" w:hAnsi="Times"/>
          <w:i/>
          <w:iCs/>
        </w:rPr>
        <w:t>Sharia</w:t>
      </w:r>
      <w:r w:rsidR="004E2750">
        <w:rPr>
          <w:rFonts w:ascii="Times" w:hAnsi="Times"/>
        </w:rPr>
        <w:t xml:space="preserve"> not being the main source of law for the land</w:t>
      </w:r>
      <w:r w:rsidR="006239B2">
        <w:rPr>
          <w:rFonts w:ascii="Times" w:hAnsi="Times"/>
        </w:rPr>
        <w:t xml:space="preserve"> definitive.</w:t>
      </w:r>
      <w:r w:rsidR="004E2750">
        <w:rPr>
          <w:rFonts w:ascii="Times" w:hAnsi="Times"/>
        </w:rPr>
        <w:t xml:space="preserve"> </w:t>
      </w:r>
      <w:r w:rsidR="006239B2">
        <w:rPr>
          <w:rFonts w:ascii="Times" w:hAnsi="Times"/>
        </w:rPr>
        <w:t xml:space="preserve">However, there is a departure </w:t>
      </w:r>
      <w:r w:rsidR="00887B30">
        <w:rPr>
          <w:rFonts w:ascii="Times" w:hAnsi="Times"/>
        </w:rPr>
        <w:t>from the secular sentiment</w:t>
      </w:r>
      <w:r w:rsidR="006239B2">
        <w:rPr>
          <w:rFonts w:ascii="Times" w:hAnsi="Times"/>
        </w:rPr>
        <w:t xml:space="preserve"> of Tunisia’s </w:t>
      </w:r>
      <w:r w:rsidR="00887B30">
        <w:rPr>
          <w:rFonts w:ascii="Times" w:hAnsi="Times"/>
        </w:rPr>
        <w:t>later C</w:t>
      </w:r>
      <w:r w:rsidR="006239B2">
        <w:rPr>
          <w:rFonts w:ascii="Times" w:hAnsi="Times"/>
        </w:rPr>
        <w:t xml:space="preserve">onstitution after the Arab Spring. </w:t>
      </w:r>
      <w:r w:rsidR="004E2750">
        <w:rPr>
          <w:rFonts w:ascii="Times" w:hAnsi="Times"/>
        </w:rPr>
        <w:t xml:space="preserve">Although the 2014 post-Arab Spring </w:t>
      </w:r>
      <w:r w:rsidR="00887B30">
        <w:rPr>
          <w:rFonts w:ascii="Times" w:hAnsi="Times"/>
        </w:rPr>
        <w:t>C</w:t>
      </w:r>
      <w:r w:rsidR="004E2750">
        <w:rPr>
          <w:rFonts w:ascii="Times" w:hAnsi="Times"/>
        </w:rPr>
        <w:t xml:space="preserve">onstitution did not designate </w:t>
      </w:r>
      <w:r w:rsidR="004E2750" w:rsidRPr="006239B2">
        <w:rPr>
          <w:rFonts w:ascii="Times" w:hAnsi="Times"/>
          <w:i/>
          <w:iCs/>
        </w:rPr>
        <w:t>Sharia</w:t>
      </w:r>
      <w:r w:rsidR="004E2750">
        <w:rPr>
          <w:rFonts w:ascii="Times" w:hAnsi="Times"/>
        </w:rPr>
        <w:t xml:space="preserve"> as being the source of legislation, the Islamist elements strongly considered adding it to the </w:t>
      </w:r>
      <w:r w:rsidR="00887B30">
        <w:rPr>
          <w:rFonts w:ascii="Times" w:hAnsi="Times"/>
        </w:rPr>
        <w:t>C</w:t>
      </w:r>
      <w:r w:rsidR="004E2750">
        <w:rPr>
          <w:rFonts w:ascii="Times" w:hAnsi="Times"/>
        </w:rPr>
        <w:t xml:space="preserve">onstitution, a significant departure from </w:t>
      </w:r>
      <w:r w:rsidR="00853F46">
        <w:rPr>
          <w:rFonts w:ascii="Times" w:hAnsi="Times"/>
        </w:rPr>
        <w:t>preceding</w:t>
      </w:r>
      <w:r w:rsidR="004E2750">
        <w:rPr>
          <w:rFonts w:ascii="Times" w:hAnsi="Times"/>
        </w:rPr>
        <w:t xml:space="preserve"> </w:t>
      </w:r>
      <w:r w:rsidR="006239B2">
        <w:rPr>
          <w:rFonts w:ascii="Times" w:hAnsi="Times"/>
        </w:rPr>
        <w:t xml:space="preserve">Tunisian </w:t>
      </w:r>
      <w:r w:rsidR="004E2750">
        <w:rPr>
          <w:rFonts w:ascii="Times" w:hAnsi="Times"/>
        </w:rPr>
        <w:t>traditions</w:t>
      </w:r>
      <w:r w:rsidR="004C6B00">
        <w:rPr>
          <w:rFonts w:ascii="Times" w:hAnsi="Times"/>
        </w:rPr>
        <w:t>.</w:t>
      </w:r>
      <w:r w:rsidR="004C6B00">
        <w:rPr>
          <w:rStyle w:val="FootnoteReference"/>
          <w:rFonts w:ascii="Times" w:hAnsi="Times"/>
        </w:rPr>
        <w:footnoteReference w:id="12"/>
      </w:r>
      <w:r w:rsidR="004E2750">
        <w:rPr>
          <w:rFonts w:ascii="Times" w:hAnsi="Times"/>
        </w:rPr>
        <w:t xml:space="preserve"> </w:t>
      </w:r>
    </w:p>
    <w:p w14:paraId="2BBBADCA" w14:textId="62498038" w:rsidR="002C1BBB" w:rsidRDefault="002C1BBB" w:rsidP="00A2130E">
      <w:pPr>
        <w:spacing w:line="360" w:lineRule="auto"/>
        <w:rPr>
          <w:rFonts w:ascii="Times" w:hAnsi="Times"/>
        </w:rPr>
      </w:pPr>
      <w:r>
        <w:rPr>
          <w:rFonts w:ascii="Times" w:hAnsi="Times"/>
        </w:rPr>
        <w:tab/>
        <w:t>Additionally, in Tunisia’s 2014</w:t>
      </w:r>
      <w:r w:rsidR="006239B2">
        <w:rPr>
          <w:rFonts w:ascii="Times" w:hAnsi="Times"/>
        </w:rPr>
        <w:t xml:space="preserve"> </w:t>
      </w:r>
      <w:r w:rsidR="0093261B">
        <w:rPr>
          <w:rFonts w:ascii="Times" w:hAnsi="Times"/>
        </w:rPr>
        <w:t>C</w:t>
      </w:r>
      <w:r w:rsidR="006239B2">
        <w:rPr>
          <w:rFonts w:ascii="Times" w:hAnsi="Times"/>
        </w:rPr>
        <w:t>onstitution</w:t>
      </w:r>
      <w:r>
        <w:rPr>
          <w:rFonts w:ascii="Times" w:hAnsi="Times"/>
        </w:rPr>
        <w:t xml:space="preserve">, a clause was introduced illustrating the importance of an Islamic identity, as well as Islamic reform within the public </w:t>
      </w:r>
      <w:r w:rsidR="006239B2">
        <w:rPr>
          <w:rFonts w:ascii="Times" w:hAnsi="Times"/>
        </w:rPr>
        <w:t>domain</w:t>
      </w:r>
      <w:r>
        <w:rPr>
          <w:rFonts w:ascii="Times" w:hAnsi="Times"/>
        </w:rPr>
        <w:t xml:space="preserve">. In paragraph 3 of the preamble, the clause states that Tunisia is “committed to Islamic teachings </w:t>
      </w:r>
      <w:r>
        <w:rPr>
          <w:rFonts w:ascii="Times" w:hAnsi="Times"/>
        </w:rPr>
        <w:lastRenderedPageBreak/>
        <w:t>and reform based on Islamic identity</w:t>
      </w:r>
      <w:r w:rsidR="00A47E2B">
        <w:rPr>
          <w:rFonts w:ascii="Times" w:hAnsi="Times"/>
        </w:rPr>
        <w:t xml:space="preserve">,” with a later paragraph illustrating a similar </w:t>
      </w:r>
      <w:r w:rsidR="006239B2">
        <w:rPr>
          <w:rFonts w:ascii="Times" w:hAnsi="Times"/>
        </w:rPr>
        <w:t>s</w:t>
      </w:r>
      <w:r w:rsidR="00A47E2B">
        <w:rPr>
          <w:rFonts w:ascii="Times" w:hAnsi="Times"/>
        </w:rPr>
        <w:t>entiment to Egypt’s post</w:t>
      </w:r>
      <w:r w:rsidR="0071747C">
        <w:rPr>
          <w:rFonts w:ascii="Times" w:hAnsi="Times"/>
        </w:rPr>
        <w:t>-</w:t>
      </w:r>
      <w:r w:rsidR="00A47E2B">
        <w:rPr>
          <w:rFonts w:ascii="Times" w:hAnsi="Times"/>
        </w:rPr>
        <w:t xml:space="preserve">Arab Spring </w:t>
      </w:r>
      <w:r w:rsidR="0093261B">
        <w:rPr>
          <w:rFonts w:ascii="Times" w:hAnsi="Times"/>
        </w:rPr>
        <w:t>C</w:t>
      </w:r>
      <w:r w:rsidR="00853F46">
        <w:rPr>
          <w:rFonts w:ascii="Times" w:hAnsi="Times"/>
        </w:rPr>
        <w:t>onstitution</w:t>
      </w:r>
      <w:r w:rsidR="00A47E2B">
        <w:rPr>
          <w:rFonts w:ascii="Times" w:hAnsi="Times"/>
        </w:rPr>
        <w:t xml:space="preserve">, in which Tunisia seeks to build a </w:t>
      </w:r>
      <w:r w:rsidR="00DA5C58">
        <w:rPr>
          <w:rFonts w:ascii="Times" w:hAnsi="Times"/>
        </w:rPr>
        <w:t>“[</w:t>
      </w:r>
      <w:r w:rsidR="00A47E2B" w:rsidRPr="00A47E2B">
        <w:rPr>
          <w:rFonts w:ascii="Times" w:hAnsi="Times"/>
        </w:rPr>
        <w:t>consolidate</w:t>
      </w:r>
      <w:r w:rsidR="006239B2">
        <w:rPr>
          <w:rFonts w:ascii="Times" w:hAnsi="Times"/>
        </w:rPr>
        <w:t>d</w:t>
      </w:r>
      <w:r w:rsidR="00DA5C58">
        <w:rPr>
          <w:rFonts w:ascii="Times" w:hAnsi="Times"/>
        </w:rPr>
        <w:t>]</w:t>
      </w:r>
      <w:r w:rsidR="00A47E2B" w:rsidRPr="00A47E2B">
        <w:rPr>
          <w:rFonts w:ascii="Times" w:hAnsi="Times"/>
        </w:rPr>
        <w:t xml:space="preserve"> affiliation to ‘Muslim nations’ and towards complementary unity with Muslim peoples.”</w:t>
      </w:r>
      <w:r w:rsidR="004C6B00">
        <w:rPr>
          <w:rStyle w:val="FootnoteReference"/>
          <w:rFonts w:ascii="Times" w:hAnsi="Times"/>
        </w:rPr>
        <w:footnoteReference w:id="13"/>
      </w:r>
      <w:r w:rsidR="00A47E2B" w:rsidRPr="00A47E2B">
        <w:rPr>
          <w:rFonts w:ascii="Times" w:hAnsi="Times"/>
        </w:rPr>
        <w:t xml:space="preserve"> </w:t>
      </w:r>
      <w:r w:rsidR="00A47E2B">
        <w:rPr>
          <w:rFonts w:ascii="Times" w:hAnsi="Times"/>
        </w:rPr>
        <w:t xml:space="preserve">Most significantly, although stating that all Tunisians are equal before Tunisian law, the presidency is limited only to a Muslim national, </w:t>
      </w:r>
      <w:r w:rsidR="00DA5C58">
        <w:rPr>
          <w:rFonts w:ascii="Times" w:hAnsi="Times"/>
        </w:rPr>
        <w:t xml:space="preserve">effectively </w:t>
      </w:r>
      <w:r w:rsidR="00347FE4">
        <w:rPr>
          <w:rFonts w:ascii="Times" w:hAnsi="Times"/>
        </w:rPr>
        <w:t>excluding</w:t>
      </w:r>
      <w:r w:rsidR="00A47E2B">
        <w:rPr>
          <w:rFonts w:ascii="Times" w:hAnsi="Times"/>
        </w:rPr>
        <w:t xml:space="preserve"> non-Muslims from the presidency</w:t>
      </w:r>
      <w:r w:rsidR="004C6B00">
        <w:rPr>
          <w:rFonts w:ascii="Times" w:hAnsi="Times"/>
        </w:rPr>
        <w:t>.</w:t>
      </w:r>
      <w:r w:rsidR="004C6B00">
        <w:rPr>
          <w:rStyle w:val="FootnoteReference"/>
          <w:rFonts w:ascii="Times" w:hAnsi="Times"/>
        </w:rPr>
        <w:footnoteReference w:id="14"/>
      </w:r>
      <w:r w:rsidR="00A47E2B">
        <w:rPr>
          <w:rFonts w:ascii="Times" w:hAnsi="Times"/>
        </w:rPr>
        <w:t xml:space="preserve"> </w:t>
      </w:r>
    </w:p>
    <w:p w14:paraId="2656A198" w14:textId="7550D043" w:rsidR="0089467D" w:rsidRDefault="0089467D" w:rsidP="00A2130E">
      <w:pPr>
        <w:spacing w:line="360" w:lineRule="auto"/>
        <w:rPr>
          <w:rFonts w:ascii="Times" w:hAnsi="Times"/>
        </w:rPr>
      </w:pPr>
      <w:r>
        <w:rPr>
          <w:rFonts w:ascii="Times" w:hAnsi="Times"/>
        </w:rPr>
        <w:tab/>
        <w:t xml:space="preserve">Yet, </w:t>
      </w:r>
      <w:r w:rsidR="002E054A">
        <w:rPr>
          <w:rFonts w:ascii="Times" w:hAnsi="Times"/>
        </w:rPr>
        <w:t>Egypt’s</w:t>
      </w:r>
      <w:r>
        <w:rPr>
          <w:rFonts w:ascii="Times" w:hAnsi="Times"/>
        </w:rPr>
        <w:t xml:space="preserve"> constitutional reform was short-lived</w:t>
      </w:r>
      <w:r w:rsidR="001D25AB">
        <w:rPr>
          <w:rFonts w:ascii="Times" w:hAnsi="Times"/>
        </w:rPr>
        <w:t xml:space="preserve">, with the </w:t>
      </w:r>
      <w:r w:rsidR="0093261B">
        <w:rPr>
          <w:rFonts w:ascii="Times" w:hAnsi="Times"/>
        </w:rPr>
        <w:t xml:space="preserve">subsequent </w:t>
      </w:r>
      <w:r w:rsidR="001D25AB">
        <w:rPr>
          <w:rFonts w:ascii="Times" w:hAnsi="Times"/>
        </w:rPr>
        <w:t xml:space="preserve">military takeover of </w:t>
      </w:r>
      <w:r w:rsidR="00992C5D">
        <w:rPr>
          <w:rFonts w:ascii="Times" w:hAnsi="Times"/>
        </w:rPr>
        <w:t>Egypt</w:t>
      </w:r>
      <w:r w:rsidR="001D25AB">
        <w:rPr>
          <w:rFonts w:ascii="Times" w:hAnsi="Times"/>
        </w:rPr>
        <w:t xml:space="preserve">, </w:t>
      </w:r>
      <w:r w:rsidR="00992C5D">
        <w:rPr>
          <w:rFonts w:ascii="Times" w:hAnsi="Times"/>
        </w:rPr>
        <w:t>ousting</w:t>
      </w:r>
      <w:r w:rsidR="001D25AB">
        <w:rPr>
          <w:rFonts w:ascii="Times" w:hAnsi="Times"/>
        </w:rPr>
        <w:t xml:space="preserve"> the Muslim Brotherhood</w:t>
      </w:r>
      <w:r w:rsidR="00992C5D">
        <w:rPr>
          <w:rFonts w:ascii="Times" w:hAnsi="Times"/>
        </w:rPr>
        <w:t xml:space="preserve"> and </w:t>
      </w:r>
      <w:r w:rsidR="001D25AB">
        <w:rPr>
          <w:rFonts w:ascii="Times" w:hAnsi="Times"/>
        </w:rPr>
        <w:t xml:space="preserve">Mohamed Morsi. To counter any </w:t>
      </w:r>
      <w:r w:rsidR="00992C5D">
        <w:rPr>
          <w:rFonts w:ascii="Times" w:hAnsi="Times"/>
        </w:rPr>
        <w:t>prospective</w:t>
      </w:r>
      <w:r w:rsidR="001D25AB">
        <w:rPr>
          <w:rFonts w:ascii="Times" w:hAnsi="Times"/>
        </w:rPr>
        <w:t xml:space="preserve"> </w:t>
      </w:r>
      <w:r w:rsidR="00992C5D">
        <w:rPr>
          <w:rFonts w:ascii="Times" w:hAnsi="Times"/>
        </w:rPr>
        <w:t>movements</w:t>
      </w:r>
      <w:r w:rsidR="001D25AB">
        <w:rPr>
          <w:rFonts w:ascii="Times" w:hAnsi="Times"/>
        </w:rPr>
        <w:t xml:space="preserve"> associated with Islamist political parties, the</w:t>
      </w:r>
      <w:r>
        <w:rPr>
          <w:rFonts w:ascii="Times" w:hAnsi="Times"/>
        </w:rPr>
        <w:t xml:space="preserve"> </w:t>
      </w:r>
      <w:r w:rsidR="002E054A">
        <w:rPr>
          <w:rFonts w:ascii="Times" w:hAnsi="Times"/>
        </w:rPr>
        <w:t xml:space="preserve">newly implemented </w:t>
      </w:r>
      <w:r w:rsidR="001D25AB">
        <w:rPr>
          <w:rFonts w:ascii="Times" w:hAnsi="Times"/>
        </w:rPr>
        <w:t xml:space="preserve">2014 </w:t>
      </w:r>
      <w:r w:rsidR="00992C5D">
        <w:rPr>
          <w:rFonts w:ascii="Times" w:hAnsi="Times"/>
        </w:rPr>
        <w:t>Egyptian</w:t>
      </w:r>
      <w:r w:rsidR="001D25AB">
        <w:rPr>
          <w:rFonts w:ascii="Times" w:hAnsi="Times"/>
        </w:rPr>
        <w:t xml:space="preserve"> Constitution featured a return to </w:t>
      </w:r>
      <w:r w:rsidR="00992C5D">
        <w:rPr>
          <w:rFonts w:ascii="Times" w:hAnsi="Times"/>
        </w:rPr>
        <w:t xml:space="preserve">much of </w:t>
      </w:r>
      <w:r w:rsidR="001D25AB">
        <w:rPr>
          <w:rFonts w:ascii="Times" w:hAnsi="Times"/>
        </w:rPr>
        <w:t xml:space="preserve">Mubarak’s </w:t>
      </w:r>
      <w:r w:rsidR="00E12751">
        <w:rPr>
          <w:rFonts w:ascii="Times" w:hAnsi="Times"/>
        </w:rPr>
        <w:t>C</w:t>
      </w:r>
      <w:r w:rsidR="001D25AB">
        <w:rPr>
          <w:rFonts w:ascii="Times" w:hAnsi="Times"/>
        </w:rPr>
        <w:t xml:space="preserve">onstitution, </w:t>
      </w:r>
      <w:r w:rsidR="00992C5D">
        <w:rPr>
          <w:rFonts w:ascii="Times" w:hAnsi="Times"/>
        </w:rPr>
        <w:t xml:space="preserve">such as in </w:t>
      </w:r>
      <w:r w:rsidR="001D25AB">
        <w:rPr>
          <w:rFonts w:ascii="Times" w:hAnsi="Times"/>
        </w:rPr>
        <w:t>Article 74, which bans the formation of religious political parties.</w:t>
      </w:r>
      <w:r w:rsidR="004C6B00">
        <w:rPr>
          <w:rStyle w:val="FootnoteReference"/>
          <w:rFonts w:ascii="Times" w:hAnsi="Times"/>
        </w:rPr>
        <w:footnoteReference w:id="15"/>
      </w:r>
      <w:r w:rsidR="001D25AB">
        <w:rPr>
          <w:rFonts w:ascii="Times" w:hAnsi="Times"/>
        </w:rPr>
        <w:t xml:space="preserve"> </w:t>
      </w:r>
      <w:r w:rsidR="002E054A">
        <w:rPr>
          <w:rFonts w:ascii="Times" w:hAnsi="Times"/>
        </w:rPr>
        <w:t>Although</w:t>
      </w:r>
      <w:r w:rsidR="001D25AB">
        <w:rPr>
          <w:rFonts w:ascii="Times" w:hAnsi="Times"/>
        </w:rPr>
        <w:t xml:space="preserve"> the tenure of the Muslim Brotherhood and their attempts </w:t>
      </w:r>
      <w:r w:rsidR="00406AE2">
        <w:rPr>
          <w:rFonts w:ascii="Times" w:hAnsi="Times"/>
        </w:rPr>
        <w:t>at</w:t>
      </w:r>
      <w:r w:rsidR="001D25AB">
        <w:rPr>
          <w:rFonts w:ascii="Times" w:hAnsi="Times"/>
        </w:rPr>
        <w:t xml:space="preserve"> reformation of the </w:t>
      </w:r>
      <w:r w:rsidR="0093261B">
        <w:rPr>
          <w:rFonts w:ascii="Times" w:hAnsi="Times"/>
        </w:rPr>
        <w:t>C</w:t>
      </w:r>
      <w:r w:rsidR="001D25AB">
        <w:rPr>
          <w:rFonts w:ascii="Times" w:hAnsi="Times"/>
        </w:rPr>
        <w:t xml:space="preserve">onstitution may have been short, it was nevertheless significant, </w:t>
      </w:r>
      <w:r w:rsidR="00992C5D">
        <w:rPr>
          <w:rFonts w:ascii="Times" w:hAnsi="Times"/>
        </w:rPr>
        <w:t xml:space="preserve">with it being </w:t>
      </w:r>
      <w:r w:rsidR="001D25AB">
        <w:rPr>
          <w:rFonts w:ascii="Times" w:hAnsi="Times"/>
        </w:rPr>
        <w:t xml:space="preserve">reflected in the 2014 </w:t>
      </w:r>
      <w:r w:rsidR="00992C5D">
        <w:rPr>
          <w:rFonts w:ascii="Times" w:hAnsi="Times"/>
        </w:rPr>
        <w:t>Egyptian</w:t>
      </w:r>
      <w:r w:rsidR="001D25AB">
        <w:rPr>
          <w:rFonts w:ascii="Times" w:hAnsi="Times"/>
        </w:rPr>
        <w:t xml:space="preserve"> </w:t>
      </w:r>
      <w:r w:rsidR="002E054A">
        <w:rPr>
          <w:rFonts w:ascii="Times" w:hAnsi="Times"/>
        </w:rPr>
        <w:t>C</w:t>
      </w:r>
      <w:r w:rsidR="001D25AB">
        <w:rPr>
          <w:rFonts w:ascii="Times" w:hAnsi="Times"/>
        </w:rPr>
        <w:t>onstitution. While the Constitution limit</w:t>
      </w:r>
      <w:r w:rsidR="00E12751">
        <w:rPr>
          <w:rFonts w:ascii="Times" w:hAnsi="Times"/>
        </w:rPr>
        <w:t xml:space="preserve">ed </w:t>
      </w:r>
      <w:r w:rsidR="001D25AB">
        <w:rPr>
          <w:rFonts w:ascii="Times" w:hAnsi="Times"/>
        </w:rPr>
        <w:t xml:space="preserve">the formation and expression of </w:t>
      </w:r>
      <w:r w:rsidR="00992C5D">
        <w:rPr>
          <w:rFonts w:ascii="Times" w:hAnsi="Times"/>
        </w:rPr>
        <w:t>Egyptian's</w:t>
      </w:r>
      <w:r w:rsidR="001D25AB">
        <w:rPr>
          <w:rFonts w:ascii="Times" w:hAnsi="Times"/>
        </w:rPr>
        <w:t xml:space="preserve"> Islamist parties, some provisions continued to feature </w:t>
      </w:r>
      <w:r w:rsidR="00992C5D">
        <w:rPr>
          <w:rFonts w:ascii="Times" w:hAnsi="Times"/>
        </w:rPr>
        <w:t>aspects</w:t>
      </w:r>
      <w:r w:rsidR="001D25AB">
        <w:rPr>
          <w:rFonts w:ascii="Times" w:hAnsi="Times"/>
        </w:rPr>
        <w:t xml:space="preserve"> of the 2012 </w:t>
      </w:r>
      <w:r w:rsidR="00AE5234">
        <w:rPr>
          <w:rFonts w:ascii="Times" w:hAnsi="Times"/>
        </w:rPr>
        <w:t>C</w:t>
      </w:r>
      <w:r w:rsidR="001D25AB">
        <w:rPr>
          <w:rFonts w:ascii="Times" w:hAnsi="Times"/>
        </w:rPr>
        <w:t>onstitution</w:t>
      </w:r>
      <w:r w:rsidR="00992C5D">
        <w:rPr>
          <w:rFonts w:ascii="Times" w:hAnsi="Times"/>
        </w:rPr>
        <w:t xml:space="preserve">. This is primarily witnessed under </w:t>
      </w:r>
      <w:r w:rsidR="001D25AB">
        <w:rPr>
          <w:rFonts w:ascii="Times" w:hAnsi="Times"/>
        </w:rPr>
        <w:t xml:space="preserve">Article 2 which maintained </w:t>
      </w:r>
      <w:r w:rsidR="00992C5D">
        <w:rPr>
          <w:rFonts w:ascii="Times" w:hAnsi="Times"/>
        </w:rPr>
        <w:t xml:space="preserve">Islam as Egypt’s official state religion, along with the affirmation that the </w:t>
      </w:r>
      <w:r w:rsidR="00992C5D" w:rsidRPr="00992C5D">
        <w:rPr>
          <w:rFonts w:ascii="Times" w:hAnsi="Times"/>
          <w:i/>
          <w:iCs/>
        </w:rPr>
        <w:t>Sharia</w:t>
      </w:r>
      <w:r w:rsidR="00992C5D">
        <w:rPr>
          <w:rFonts w:ascii="Times" w:hAnsi="Times"/>
        </w:rPr>
        <w:t xml:space="preserve"> is the primary source for legislation, although its implementation can be questioned.</w:t>
      </w:r>
      <w:r w:rsidR="004C6B00">
        <w:rPr>
          <w:rStyle w:val="FootnoteReference"/>
          <w:rFonts w:ascii="Times" w:hAnsi="Times"/>
        </w:rPr>
        <w:footnoteReference w:id="16"/>
      </w:r>
      <w:r w:rsidR="00992C5D">
        <w:rPr>
          <w:rFonts w:ascii="Times" w:hAnsi="Times"/>
        </w:rPr>
        <w:t xml:space="preserve"> </w:t>
      </w:r>
    </w:p>
    <w:p w14:paraId="78635973" w14:textId="166B7E40" w:rsidR="00992C5D" w:rsidRDefault="00992C5D" w:rsidP="00A2130E">
      <w:pPr>
        <w:spacing w:line="360" w:lineRule="auto"/>
        <w:rPr>
          <w:rFonts w:ascii="Times" w:hAnsi="Times"/>
        </w:rPr>
      </w:pPr>
    </w:p>
    <w:p w14:paraId="34D71F43" w14:textId="6AC40CAC" w:rsidR="00992C5D" w:rsidRDefault="00992C5D" w:rsidP="00A2130E">
      <w:pPr>
        <w:spacing w:line="360" w:lineRule="auto"/>
        <w:rPr>
          <w:rFonts w:ascii="Times" w:hAnsi="Times"/>
        </w:rPr>
      </w:pPr>
      <w:r>
        <w:rPr>
          <w:rFonts w:ascii="Times" w:hAnsi="Times"/>
        </w:rPr>
        <w:t>Conclusion</w:t>
      </w:r>
    </w:p>
    <w:p w14:paraId="7E27241B" w14:textId="3EA12927" w:rsidR="00992C5D" w:rsidRDefault="00992C5D" w:rsidP="00A2130E">
      <w:pPr>
        <w:spacing w:line="360" w:lineRule="auto"/>
        <w:rPr>
          <w:rFonts w:ascii="Times" w:hAnsi="Times"/>
        </w:rPr>
      </w:pPr>
    </w:p>
    <w:p w14:paraId="40BBFDA2" w14:textId="3006C604" w:rsidR="00E33934" w:rsidRDefault="00992C5D" w:rsidP="00A2130E">
      <w:pPr>
        <w:spacing w:line="360" w:lineRule="auto"/>
        <w:rPr>
          <w:rFonts w:ascii="Times" w:hAnsi="Times"/>
        </w:rPr>
      </w:pPr>
      <w:r>
        <w:rPr>
          <w:rFonts w:ascii="Times" w:hAnsi="Times"/>
        </w:rPr>
        <w:tab/>
      </w:r>
      <w:r w:rsidR="00A33FD3">
        <w:rPr>
          <w:rFonts w:ascii="Times" w:hAnsi="Times"/>
        </w:rPr>
        <w:t>The Arab Spring movement of 2010-2011 provided a monumental shift in the political structure of the Middle East, primarily in its reinvigoration of Islamic identity. Aspects such as the relevanc</w:t>
      </w:r>
      <w:r w:rsidR="0087327A">
        <w:rPr>
          <w:rFonts w:ascii="Times" w:hAnsi="Times"/>
        </w:rPr>
        <w:t xml:space="preserve">e </w:t>
      </w:r>
      <w:r w:rsidR="00A33FD3">
        <w:rPr>
          <w:rFonts w:ascii="Times" w:hAnsi="Times"/>
        </w:rPr>
        <w:t>of Islamist political parties, as well as institutional reforms aimed at emphasizing a shared Islamic identity, illustrate the effect</w:t>
      </w:r>
      <w:r w:rsidR="00AA3CFE">
        <w:rPr>
          <w:rFonts w:ascii="Times" w:hAnsi="Times"/>
        </w:rPr>
        <w:t>s</w:t>
      </w:r>
      <w:r w:rsidR="0087327A">
        <w:rPr>
          <w:rFonts w:ascii="Times" w:hAnsi="Times"/>
        </w:rPr>
        <w:t xml:space="preserve"> of</w:t>
      </w:r>
      <w:r w:rsidR="00A33FD3">
        <w:rPr>
          <w:rFonts w:ascii="Times" w:hAnsi="Times"/>
        </w:rPr>
        <w:t xml:space="preserve"> the Arab Spring. Yet, in the case of </w:t>
      </w:r>
      <w:r w:rsidR="00406AE2">
        <w:rPr>
          <w:rFonts w:ascii="Times" w:hAnsi="Times"/>
        </w:rPr>
        <w:t>Egypt</w:t>
      </w:r>
      <w:r w:rsidR="00A33FD3">
        <w:rPr>
          <w:rFonts w:ascii="Times" w:hAnsi="Times"/>
        </w:rPr>
        <w:t xml:space="preserve">, the change was </w:t>
      </w:r>
      <w:r w:rsidR="0035407E">
        <w:rPr>
          <w:rFonts w:ascii="Times" w:hAnsi="Times"/>
        </w:rPr>
        <w:t>short-lived</w:t>
      </w:r>
      <w:r w:rsidR="00A33FD3">
        <w:rPr>
          <w:rFonts w:ascii="Times" w:hAnsi="Times"/>
        </w:rPr>
        <w:t>. After the Mohamed Morsi</w:t>
      </w:r>
      <w:r w:rsidR="00784669">
        <w:rPr>
          <w:rFonts w:ascii="Times" w:hAnsi="Times"/>
        </w:rPr>
        <w:t>-led regime</w:t>
      </w:r>
      <w:r w:rsidR="00406AE2">
        <w:rPr>
          <w:rFonts w:ascii="Times" w:hAnsi="Times"/>
        </w:rPr>
        <w:t xml:space="preserve"> </w:t>
      </w:r>
      <w:r w:rsidR="00A33FD3">
        <w:rPr>
          <w:rFonts w:ascii="Times" w:hAnsi="Times"/>
        </w:rPr>
        <w:t xml:space="preserve">failed to provide the economic stability </w:t>
      </w:r>
      <w:r w:rsidR="000B001F">
        <w:rPr>
          <w:rFonts w:ascii="Times" w:hAnsi="Times"/>
        </w:rPr>
        <w:t>it</w:t>
      </w:r>
      <w:r w:rsidR="00A33FD3">
        <w:rPr>
          <w:rFonts w:ascii="Times" w:hAnsi="Times"/>
        </w:rPr>
        <w:t xml:space="preserve"> promised, many </w:t>
      </w:r>
      <w:r w:rsidR="00406AE2">
        <w:rPr>
          <w:rFonts w:ascii="Times" w:hAnsi="Times"/>
        </w:rPr>
        <w:t xml:space="preserve">Egyptians </w:t>
      </w:r>
      <w:r w:rsidR="00A33FD3">
        <w:rPr>
          <w:rFonts w:ascii="Times" w:hAnsi="Times"/>
        </w:rPr>
        <w:t>welcomed military rule</w:t>
      </w:r>
      <w:r w:rsidR="00E33934">
        <w:rPr>
          <w:rFonts w:ascii="Times" w:hAnsi="Times"/>
        </w:rPr>
        <w:t xml:space="preserve"> in 2013</w:t>
      </w:r>
      <w:r w:rsidR="004C6B00">
        <w:rPr>
          <w:rFonts w:ascii="Times" w:hAnsi="Times"/>
        </w:rPr>
        <w:t>.</w:t>
      </w:r>
      <w:r w:rsidR="004C6B00">
        <w:rPr>
          <w:rStyle w:val="FootnoteReference"/>
          <w:rFonts w:ascii="Times" w:hAnsi="Times"/>
        </w:rPr>
        <w:footnoteReference w:id="17"/>
      </w:r>
      <w:r w:rsidR="00E33934">
        <w:rPr>
          <w:rFonts w:ascii="Times" w:hAnsi="Times"/>
        </w:rPr>
        <w:t xml:space="preserve"> </w:t>
      </w:r>
    </w:p>
    <w:p w14:paraId="38EDDD70" w14:textId="0E92A486" w:rsidR="00B704CD" w:rsidRDefault="000B001F" w:rsidP="00E33934">
      <w:pPr>
        <w:spacing w:line="360" w:lineRule="auto"/>
        <w:ind w:firstLine="720"/>
        <w:rPr>
          <w:rFonts w:ascii="Times" w:hAnsi="Times"/>
        </w:rPr>
      </w:pPr>
      <w:r>
        <w:rPr>
          <w:rFonts w:ascii="Times" w:hAnsi="Times"/>
        </w:rPr>
        <w:t>Egypt’s</w:t>
      </w:r>
      <w:r w:rsidR="00E33934">
        <w:rPr>
          <w:rFonts w:ascii="Times" w:hAnsi="Times"/>
        </w:rPr>
        <w:t xml:space="preserve"> short-lived tenure with the Muslim Brotherhood</w:t>
      </w:r>
      <w:r w:rsidR="00F071E4">
        <w:rPr>
          <w:rFonts w:ascii="Times" w:hAnsi="Times"/>
        </w:rPr>
        <w:t xml:space="preserve"> also illustrates the</w:t>
      </w:r>
      <w:r w:rsidR="00E33934">
        <w:rPr>
          <w:rFonts w:ascii="Times" w:hAnsi="Times"/>
        </w:rPr>
        <w:t xml:space="preserve"> possible</w:t>
      </w:r>
      <w:r w:rsidR="00F071E4">
        <w:rPr>
          <w:rFonts w:ascii="Times" w:hAnsi="Times"/>
        </w:rPr>
        <w:t xml:space="preserve"> limitations associated with a perpetuation of Islamic identity, in which religious rhetoric and </w:t>
      </w:r>
      <w:r w:rsidR="00F071E4">
        <w:rPr>
          <w:rFonts w:ascii="Times" w:hAnsi="Times"/>
        </w:rPr>
        <w:lastRenderedPageBreak/>
        <w:t xml:space="preserve">identity </w:t>
      </w:r>
      <w:r w:rsidR="00406AE2">
        <w:rPr>
          <w:rFonts w:ascii="Times" w:hAnsi="Times"/>
        </w:rPr>
        <w:t>don’t</w:t>
      </w:r>
      <w:r w:rsidR="00F071E4">
        <w:rPr>
          <w:rFonts w:ascii="Times" w:hAnsi="Times"/>
        </w:rPr>
        <w:t xml:space="preserve"> satisfy </w:t>
      </w:r>
      <w:r w:rsidR="0035407E">
        <w:rPr>
          <w:rFonts w:ascii="Times" w:hAnsi="Times"/>
        </w:rPr>
        <w:t xml:space="preserve">economic </w:t>
      </w:r>
      <w:r w:rsidR="00E33934">
        <w:rPr>
          <w:rFonts w:ascii="Times" w:hAnsi="Times"/>
        </w:rPr>
        <w:t xml:space="preserve">priorities or even an </w:t>
      </w:r>
      <w:r>
        <w:rPr>
          <w:rFonts w:ascii="Times" w:hAnsi="Times"/>
        </w:rPr>
        <w:t xml:space="preserve">idea of a uniformed </w:t>
      </w:r>
      <w:r w:rsidR="00E33934">
        <w:rPr>
          <w:rFonts w:ascii="Times" w:hAnsi="Times"/>
        </w:rPr>
        <w:t xml:space="preserve">identity. </w:t>
      </w:r>
      <w:r>
        <w:rPr>
          <w:rFonts w:ascii="Times" w:hAnsi="Times"/>
        </w:rPr>
        <w:t xml:space="preserve">Although not the purpose of this study, it is important to note various aspects of identity that are significant in </w:t>
      </w:r>
      <w:r w:rsidR="00024309">
        <w:rPr>
          <w:rFonts w:ascii="Times" w:hAnsi="Times"/>
        </w:rPr>
        <w:t>its</w:t>
      </w:r>
      <w:r>
        <w:rPr>
          <w:rFonts w:ascii="Times" w:hAnsi="Times"/>
        </w:rPr>
        <w:t xml:space="preserve"> coexistence </w:t>
      </w:r>
      <w:r w:rsidR="00024309">
        <w:rPr>
          <w:rFonts w:ascii="Times" w:hAnsi="Times"/>
        </w:rPr>
        <w:t>with</w:t>
      </w:r>
      <w:r>
        <w:rPr>
          <w:rFonts w:ascii="Times" w:hAnsi="Times"/>
        </w:rPr>
        <w:t xml:space="preserve"> an Islamic identity. </w:t>
      </w:r>
      <w:r w:rsidR="00E12751">
        <w:rPr>
          <w:rFonts w:ascii="Times" w:hAnsi="Times"/>
        </w:rPr>
        <w:t>Ethnic</w:t>
      </w:r>
      <w:r>
        <w:rPr>
          <w:rFonts w:ascii="Times" w:hAnsi="Times"/>
        </w:rPr>
        <w:t xml:space="preserve"> identity is a significant aspect of </w:t>
      </w:r>
      <w:r w:rsidR="00D72078">
        <w:rPr>
          <w:rFonts w:ascii="Times" w:hAnsi="Times"/>
        </w:rPr>
        <w:t>identification</w:t>
      </w:r>
      <w:r w:rsidR="00024309">
        <w:rPr>
          <w:rFonts w:ascii="Times" w:hAnsi="Times"/>
        </w:rPr>
        <w:t xml:space="preserve"> </w:t>
      </w:r>
      <w:r>
        <w:rPr>
          <w:rFonts w:ascii="Times" w:hAnsi="Times"/>
        </w:rPr>
        <w:t>across the Arab population of the Middle East</w:t>
      </w:r>
      <w:r w:rsidR="00024309">
        <w:rPr>
          <w:rFonts w:ascii="Times" w:hAnsi="Times"/>
        </w:rPr>
        <w:t>. This is</w:t>
      </w:r>
      <w:r>
        <w:rPr>
          <w:rFonts w:ascii="Times" w:hAnsi="Times"/>
        </w:rPr>
        <w:t xml:space="preserve"> corroborated by </w:t>
      </w:r>
      <w:r w:rsidR="00D72078">
        <w:rPr>
          <w:rFonts w:ascii="Times" w:hAnsi="Times"/>
        </w:rPr>
        <w:t>a study</w:t>
      </w:r>
      <w:r w:rsidR="00024309">
        <w:rPr>
          <w:rFonts w:ascii="Times" w:hAnsi="Times"/>
        </w:rPr>
        <w:t xml:space="preserve"> reflecting how 71% of respondents across Saudi Arabia, Yemen, Iraq, Palestine, Lebanon, Sudan, Egypt, Tunisia, Algeria, </w:t>
      </w:r>
      <w:r w:rsidR="00D72078">
        <w:rPr>
          <w:rFonts w:ascii="Times" w:hAnsi="Times"/>
        </w:rPr>
        <w:t>Morocco,</w:t>
      </w:r>
      <w:r w:rsidR="00024309">
        <w:rPr>
          <w:rFonts w:ascii="Times" w:hAnsi="Times"/>
        </w:rPr>
        <w:t xml:space="preserve"> and Mauritania are unified in the belief of Arab identity, as well as identifying the Palestinian cause as a pan-Arab cause</w:t>
      </w:r>
      <w:r w:rsidR="004C6B00">
        <w:rPr>
          <w:rFonts w:ascii="Times" w:hAnsi="Times"/>
        </w:rPr>
        <w:t>.</w:t>
      </w:r>
      <w:r w:rsidR="004C6B00">
        <w:rPr>
          <w:rStyle w:val="FootnoteReference"/>
          <w:rFonts w:ascii="Times" w:hAnsi="Times"/>
        </w:rPr>
        <w:footnoteReference w:id="18"/>
      </w:r>
      <w:r w:rsidR="00024309">
        <w:rPr>
          <w:rFonts w:ascii="Times" w:hAnsi="Times"/>
        </w:rPr>
        <w:t xml:space="preserve"> </w:t>
      </w:r>
      <w:r w:rsidR="0087327A">
        <w:rPr>
          <w:rFonts w:ascii="Times" w:hAnsi="Times"/>
        </w:rPr>
        <w:t>Nevertheless</w:t>
      </w:r>
      <w:r w:rsidR="00024309">
        <w:rPr>
          <w:rFonts w:ascii="Times" w:hAnsi="Times"/>
        </w:rPr>
        <w:t>, the Arab Spring revitalized an Islamic identity across the region, with its eff</w:t>
      </w:r>
      <w:r w:rsidR="00D72078">
        <w:rPr>
          <w:rFonts w:ascii="Times" w:hAnsi="Times"/>
        </w:rPr>
        <w:t>ects relevant to the contemporary political landscape.</w:t>
      </w:r>
      <w:r w:rsidR="00024309">
        <w:rPr>
          <w:rFonts w:ascii="Times" w:hAnsi="Times"/>
        </w:rPr>
        <w:t xml:space="preserve"> </w:t>
      </w:r>
    </w:p>
    <w:p w14:paraId="0944951A" w14:textId="2718C7DC" w:rsidR="00B704CD" w:rsidRDefault="00B704CD" w:rsidP="00A2130E">
      <w:pPr>
        <w:spacing w:line="360" w:lineRule="auto"/>
        <w:rPr>
          <w:rFonts w:ascii="Times" w:hAnsi="Times"/>
        </w:rPr>
      </w:pPr>
      <w:r>
        <w:rPr>
          <w:rFonts w:ascii="Times" w:hAnsi="Times"/>
        </w:rPr>
        <w:tab/>
      </w:r>
    </w:p>
    <w:p w14:paraId="6F54BB7E" w14:textId="2C80E70E" w:rsidR="000F1CE4" w:rsidRDefault="000F1CE4" w:rsidP="00A2130E">
      <w:pPr>
        <w:spacing w:line="360" w:lineRule="auto"/>
        <w:rPr>
          <w:rFonts w:ascii="Times" w:hAnsi="Times"/>
        </w:rPr>
      </w:pPr>
      <w:r>
        <w:rPr>
          <w:rFonts w:ascii="Times" w:hAnsi="Times"/>
        </w:rPr>
        <w:tab/>
      </w:r>
    </w:p>
    <w:p w14:paraId="682CBF47" w14:textId="17B2F3AB" w:rsidR="000F1CE4" w:rsidRDefault="000F1CE4" w:rsidP="00A2130E">
      <w:pPr>
        <w:spacing w:line="360" w:lineRule="auto"/>
        <w:rPr>
          <w:rFonts w:ascii="Times" w:hAnsi="Times"/>
        </w:rPr>
      </w:pPr>
      <w:r>
        <w:rPr>
          <w:rFonts w:ascii="Times" w:hAnsi="Times"/>
        </w:rPr>
        <w:tab/>
      </w:r>
    </w:p>
    <w:p w14:paraId="46ECA0FE" w14:textId="6A2FD823" w:rsidR="00AA3CFE" w:rsidRDefault="00AA3CFE" w:rsidP="00AA3CFE">
      <w:pPr>
        <w:spacing w:line="360" w:lineRule="auto"/>
        <w:rPr>
          <w:rFonts w:ascii="Times" w:hAnsi="Times"/>
        </w:rPr>
      </w:pPr>
    </w:p>
    <w:p w14:paraId="4883AFF3" w14:textId="7F01D311" w:rsidR="004C6B00" w:rsidRDefault="004C6B00" w:rsidP="00AA3CFE">
      <w:pPr>
        <w:spacing w:line="360" w:lineRule="auto"/>
        <w:rPr>
          <w:rFonts w:ascii="Times" w:hAnsi="Times"/>
        </w:rPr>
      </w:pPr>
    </w:p>
    <w:p w14:paraId="040B328F" w14:textId="3C9F4355" w:rsidR="004C6B00" w:rsidRDefault="004C6B00" w:rsidP="00AA3CFE">
      <w:pPr>
        <w:spacing w:line="360" w:lineRule="auto"/>
        <w:rPr>
          <w:rFonts w:ascii="Times" w:hAnsi="Times"/>
        </w:rPr>
      </w:pPr>
    </w:p>
    <w:p w14:paraId="44E6F43D" w14:textId="6B349243" w:rsidR="004C6B00" w:rsidRDefault="004C6B00" w:rsidP="00AA3CFE">
      <w:pPr>
        <w:spacing w:line="360" w:lineRule="auto"/>
        <w:rPr>
          <w:rFonts w:ascii="Times" w:hAnsi="Times"/>
        </w:rPr>
      </w:pPr>
    </w:p>
    <w:p w14:paraId="5ADC06D4" w14:textId="45FEE1D6" w:rsidR="004C6B00" w:rsidRDefault="004C6B00" w:rsidP="00AA3CFE">
      <w:pPr>
        <w:spacing w:line="360" w:lineRule="auto"/>
        <w:rPr>
          <w:rFonts w:ascii="Times" w:hAnsi="Times"/>
        </w:rPr>
      </w:pPr>
    </w:p>
    <w:p w14:paraId="5E2A9B05" w14:textId="2389E536" w:rsidR="004C6B00" w:rsidRDefault="004C6B00" w:rsidP="00AA3CFE">
      <w:pPr>
        <w:spacing w:line="360" w:lineRule="auto"/>
        <w:rPr>
          <w:rFonts w:ascii="Times" w:hAnsi="Times"/>
        </w:rPr>
      </w:pPr>
    </w:p>
    <w:p w14:paraId="7C2B0CA6" w14:textId="1A9139D0" w:rsidR="004C6B00" w:rsidRDefault="004C6B00" w:rsidP="00AA3CFE">
      <w:pPr>
        <w:spacing w:line="360" w:lineRule="auto"/>
        <w:rPr>
          <w:rFonts w:ascii="Times" w:hAnsi="Times"/>
        </w:rPr>
      </w:pPr>
    </w:p>
    <w:p w14:paraId="50639DA1" w14:textId="18A304C1" w:rsidR="004C6B00" w:rsidRDefault="004C6B00" w:rsidP="00AA3CFE">
      <w:pPr>
        <w:spacing w:line="360" w:lineRule="auto"/>
        <w:rPr>
          <w:rFonts w:ascii="Times" w:hAnsi="Times"/>
        </w:rPr>
      </w:pPr>
    </w:p>
    <w:p w14:paraId="40FA1CBB" w14:textId="562D09C0" w:rsidR="004C6B00" w:rsidRDefault="004C6B00" w:rsidP="00AA3CFE">
      <w:pPr>
        <w:spacing w:line="360" w:lineRule="auto"/>
        <w:rPr>
          <w:rFonts w:ascii="Times" w:hAnsi="Times"/>
        </w:rPr>
      </w:pPr>
    </w:p>
    <w:p w14:paraId="18DBE019" w14:textId="4630CE49" w:rsidR="004C6B00" w:rsidRDefault="004C6B00" w:rsidP="00AA3CFE">
      <w:pPr>
        <w:spacing w:line="360" w:lineRule="auto"/>
        <w:rPr>
          <w:rFonts w:ascii="Times" w:hAnsi="Times"/>
        </w:rPr>
      </w:pPr>
    </w:p>
    <w:p w14:paraId="5966B0FE" w14:textId="53A0DE62" w:rsidR="004C6B00" w:rsidRDefault="004C6B00" w:rsidP="00AA3CFE">
      <w:pPr>
        <w:spacing w:line="360" w:lineRule="auto"/>
        <w:rPr>
          <w:rFonts w:ascii="Times" w:hAnsi="Times"/>
        </w:rPr>
      </w:pPr>
    </w:p>
    <w:p w14:paraId="5D8034D5" w14:textId="1A77CA6A" w:rsidR="004C6B00" w:rsidRDefault="004C6B00" w:rsidP="00AA3CFE">
      <w:pPr>
        <w:spacing w:line="360" w:lineRule="auto"/>
        <w:rPr>
          <w:rFonts w:ascii="Times" w:hAnsi="Times"/>
        </w:rPr>
      </w:pPr>
    </w:p>
    <w:p w14:paraId="009D01BA" w14:textId="2257FF69" w:rsidR="004C6B00" w:rsidRDefault="004C6B00" w:rsidP="00AA3CFE">
      <w:pPr>
        <w:spacing w:line="360" w:lineRule="auto"/>
        <w:rPr>
          <w:rFonts w:ascii="Times" w:hAnsi="Times"/>
        </w:rPr>
      </w:pPr>
    </w:p>
    <w:p w14:paraId="24EE1386" w14:textId="5C6FB962" w:rsidR="004C6B00" w:rsidRDefault="004C6B00" w:rsidP="00AA3CFE">
      <w:pPr>
        <w:spacing w:line="360" w:lineRule="auto"/>
        <w:rPr>
          <w:rFonts w:ascii="Times" w:hAnsi="Times"/>
        </w:rPr>
      </w:pPr>
    </w:p>
    <w:p w14:paraId="4527C18D" w14:textId="77777777" w:rsidR="004C6B00" w:rsidRDefault="004C6B00" w:rsidP="00AA3CFE">
      <w:pPr>
        <w:spacing w:line="360" w:lineRule="auto"/>
        <w:rPr>
          <w:rFonts w:ascii="Times" w:hAnsi="Times"/>
        </w:rPr>
      </w:pPr>
    </w:p>
    <w:p w14:paraId="7D1BC729" w14:textId="77777777" w:rsidR="00E55114" w:rsidRDefault="00E55114" w:rsidP="00AA3CFE">
      <w:pPr>
        <w:spacing w:line="360" w:lineRule="auto"/>
        <w:jc w:val="center"/>
        <w:rPr>
          <w:rFonts w:ascii="Times" w:hAnsi="Times"/>
        </w:rPr>
      </w:pPr>
    </w:p>
    <w:p w14:paraId="7D574B2C" w14:textId="77777777" w:rsidR="00E55114" w:rsidRDefault="00E55114" w:rsidP="00AA3CFE">
      <w:pPr>
        <w:spacing w:line="360" w:lineRule="auto"/>
        <w:jc w:val="center"/>
        <w:rPr>
          <w:rFonts w:ascii="Times" w:hAnsi="Times"/>
        </w:rPr>
      </w:pPr>
    </w:p>
    <w:p w14:paraId="16297907" w14:textId="2DB46A1B" w:rsidR="00F51600" w:rsidRDefault="00F67B29" w:rsidP="00AA3CFE">
      <w:pPr>
        <w:spacing w:line="360" w:lineRule="auto"/>
        <w:jc w:val="center"/>
        <w:rPr>
          <w:rFonts w:ascii="Times" w:hAnsi="Times"/>
        </w:rPr>
      </w:pPr>
      <w:r>
        <w:rPr>
          <w:rFonts w:ascii="Times" w:hAnsi="Times"/>
        </w:rPr>
        <w:lastRenderedPageBreak/>
        <w:t>Bibliography</w:t>
      </w:r>
    </w:p>
    <w:p w14:paraId="7040EB70" w14:textId="77777777" w:rsidR="00CB2C1E" w:rsidRDefault="00CB2C1E" w:rsidP="00CB2C1E">
      <w:pPr>
        <w:rPr>
          <w:rFonts w:ascii="Times" w:hAnsi="Times"/>
        </w:rPr>
      </w:pPr>
    </w:p>
    <w:p w14:paraId="0595153D" w14:textId="40661D91" w:rsidR="00CB2C1E" w:rsidRDefault="00CB2C1E" w:rsidP="00CB2C1E">
      <w:pPr>
        <w:rPr>
          <w:rFonts w:ascii="Times" w:hAnsi="Times"/>
        </w:rPr>
      </w:pPr>
      <w:proofErr w:type="spellStart"/>
      <w:r w:rsidRPr="00CB2C1E">
        <w:rPr>
          <w:rFonts w:ascii="Times" w:hAnsi="Times"/>
        </w:rPr>
        <w:t>Aghaie</w:t>
      </w:r>
      <w:proofErr w:type="spellEnd"/>
      <w:r w:rsidRPr="00CB2C1E">
        <w:rPr>
          <w:rFonts w:ascii="Times" w:hAnsi="Times"/>
        </w:rPr>
        <w:t xml:space="preserve">, Kamran </w:t>
      </w:r>
      <w:proofErr w:type="spellStart"/>
      <w:r w:rsidRPr="00CB2C1E">
        <w:rPr>
          <w:rFonts w:ascii="Times" w:hAnsi="Times"/>
        </w:rPr>
        <w:t>Scot.</w:t>
      </w:r>
      <w:proofErr w:type="spellEnd"/>
      <w:r w:rsidRPr="00CB2C1E">
        <w:rPr>
          <w:rFonts w:ascii="Times" w:hAnsi="Times"/>
        </w:rPr>
        <w:t xml:space="preserve"> 2004. </w:t>
      </w:r>
      <w:r w:rsidRPr="00CB2C1E">
        <w:rPr>
          <w:rFonts w:ascii="Times" w:hAnsi="Times"/>
          <w:i/>
          <w:iCs/>
        </w:rPr>
        <w:t xml:space="preserve">The Martyrs of Karbala: </w:t>
      </w:r>
      <w:proofErr w:type="spellStart"/>
      <w:r w:rsidRPr="00CB2C1E">
        <w:rPr>
          <w:rFonts w:ascii="Times" w:hAnsi="Times"/>
          <w:i/>
          <w:iCs/>
        </w:rPr>
        <w:t>Shi’I</w:t>
      </w:r>
      <w:proofErr w:type="spellEnd"/>
      <w:r w:rsidRPr="00CB2C1E">
        <w:rPr>
          <w:rFonts w:ascii="Times" w:hAnsi="Times"/>
          <w:i/>
          <w:iCs/>
        </w:rPr>
        <w:t xml:space="preserve"> Symbols and Rituals in Modern Iran</w:t>
      </w:r>
      <w:r w:rsidRPr="00CB2C1E">
        <w:rPr>
          <w:rFonts w:ascii="Times" w:hAnsi="Times"/>
        </w:rPr>
        <w:t> (Seattle, WA: University of Washington Press)</w:t>
      </w:r>
    </w:p>
    <w:p w14:paraId="28891101" w14:textId="77777777" w:rsidR="00CB2C1E" w:rsidRPr="00CB2C1E" w:rsidRDefault="00CB2C1E" w:rsidP="00CB2C1E">
      <w:pPr>
        <w:rPr>
          <w:rFonts w:ascii="Times" w:hAnsi="Times"/>
        </w:rPr>
      </w:pPr>
    </w:p>
    <w:p w14:paraId="435C67DA" w14:textId="2D5E1839" w:rsidR="00CB2C1E" w:rsidRDefault="00CB2C1E" w:rsidP="00F053B2">
      <w:pPr>
        <w:rPr>
          <w:rFonts w:ascii="Times" w:hAnsi="Times"/>
        </w:rPr>
      </w:pPr>
      <w:r w:rsidRPr="00F053B2">
        <w:rPr>
          <w:rFonts w:ascii="Times" w:hAnsi="Times"/>
        </w:rPr>
        <w:t>Aswad, Evelyn Mary. 2015. “The Role of Religion in Constitutions Emerging from Arab Spring Revolutions,” </w:t>
      </w:r>
      <w:r w:rsidRPr="00F053B2">
        <w:rPr>
          <w:rFonts w:ascii="Times" w:hAnsi="Times"/>
          <w:i/>
          <w:iCs/>
        </w:rPr>
        <w:t>Georgetown Journal of International Affairs</w:t>
      </w:r>
      <w:r w:rsidRPr="00F053B2">
        <w:rPr>
          <w:rFonts w:ascii="Times" w:hAnsi="Times"/>
        </w:rPr>
        <w:t xml:space="preserve">, 16.1: 159–69 </w:t>
      </w:r>
      <w:hyperlink r:id="rId7" w:history="1">
        <w:r w:rsidRPr="00F053B2">
          <w:rPr>
            <w:rStyle w:val="Hyperlink"/>
            <w:rFonts w:ascii="Times" w:hAnsi="Times"/>
          </w:rPr>
          <w:t>https://www.jstor.org/stable/43773677</w:t>
        </w:r>
      </w:hyperlink>
      <w:r>
        <w:rPr>
          <w:rFonts w:ascii="Times" w:hAnsi="Times"/>
        </w:rPr>
        <w:t xml:space="preserve"> </w:t>
      </w:r>
    </w:p>
    <w:p w14:paraId="0DD419C7" w14:textId="77777777" w:rsidR="00CB2C1E" w:rsidRDefault="00CB2C1E" w:rsidP="00F053B2">
      <w:pPr>
        <w:rPr>
          <w:rFonts w:ascii="Times" w:hAnsi="Times"/>
        </w:rPr>
      </w:pPr>
    </w:p>
    <w:p w14:paraId="4B08F3DB" w14:textId="1CED9D52" w:rsidR="00CB2C1E" w:rsidRDefault="00CB2C1E" w:rsidP="00F053B2">
      <w:pPr>
        <w:rPr>
          <w:rFonts w:ascii="Times" w:hAnsi="Times"/>
        </w:rPr>
      </w:pPr>
      <w:proofErr w:type="spellStart"/>
      <w:r w:rsidRPr="00F053B2">
        <w:rPr>
          <w:rFonts w:ascii="Times" w:hAnsi="Times"/>
        </w:rPr>
        <w:t>Entelis</w:t>
      </w:r>
      <w:proofErr w:type="spellEnd"/>
      <w:r w:rsidRPr="00F053B2">
        <w:rPr>
          <w:rFonts w:ascii="Times" w:hAnsi="Times"/>
        </w:rPr>
        <w:t>, John P. 2014. “Islamic Awakening,” </w:t>
      </w:r>
      <w:r w:rsidRPr="00F053B2">
        <w:rPr>
          <w:rFonts w:ascii="Times" w:hAnsi="Times"/>
          <w:i/>
          <w:iCs/>
        </w:rPr>
        <w:t>Great Decisions</w:t>
      </w:r>
      <w:r w:rsidRPr="00F053B2">
        <w:rPr>
          <w:rFonts w:ascii="Times" w:hAnsi="Times"/>
        </w:rPr>
        <w:t xml:space="preserve">: 41–52 </w:t>
      </w:r>
      <w:hyperlink r:id="rId8" w:history="1">
        <w:r w:rsidRPr="00F053B2">
          <w:rPr>
            <w:rStyle w:val="Hyperlink"/>
            <w:rFonts w:ascii="Times" w:hAnsi="Times"/>
          </w:rPr>
          <w:t>https://www.jstor.org/stable/43681114</w:t>
        </w:r>
      </w:hyperlink>
      <w:r>
        <w:rPr>
          <w:rFonts w:ascii="Times" w:hAnsi="Times"/>
        </w:rPr>
        <w:t xml:space="preserve"> </w:t>
      </w:r>
    </w:p>
    <w:p w14:paraId="62B904D7" w14:textId="77777777" w:rsidR="00CB2C1E" w:rsidRDefault="00CB2C1E" w:rsidP="00F053B2">
      <w:pPr>
        <w:rPr>
          <w:rFonts w:ascii="Times" w:hAnsi="Times"/>
        </w:rPr>
      </w:pPr>
    </w:p>
    <w:p w14:paraId="317FF459" w14:textId="6EFB92D4" w:rsidR="00CB2C1E" w:rsidRDefault="00CB2C1E" w:rsidP="00F053B2">
      <w:pPr>
        <w:rPr>
          <w:rFonts w:ascii="Times" w:hAnsi="Times"/>
        </w:rPr>
      </w:pPr>
      <w:r w:rsidRPr="00CB2C1E">
        <w:rPr>
          <w:rFonts w:ascii="Times" w:hAnsi="Times"/>
        </w:rPr>
        <w:t>Haddad, Yvonne Y. 1987. “Islamic ‘Awakening’ in Egypt,” </w:t>
      </w:r>
      <w:r w:rsidRPr="00CB2C1E">
        <w:rPr>
          <w:rFonts w:ascii="Times" w:hAnsi="Times"/>
          <w:i/>
          <w:iCs/>
        </w:rPr>
        <w:t>Arab Studies Quarterly</w:t>
      </w:r>
      <w:r w:rsidRPr="00CB2C1E">
        <w:rPr>
          <w:rFonts w:ascii="Times" w:hAnsi="Times"/>
        </w:rPr>
        <w:t xml:space="preserve">, 9.3: 234–59 </w:t>
      </w:r>
      <w:hyperlink r:id="rId9" w:history="1">
        <w:r w:rsidRPr="00CB2C1E">
          <w:rPr>
            <w:rStyle w:val="Hyperlink"/>
            <w:rFonts w:ascii="Times" w:hAnsi="Times"/>
          </w:rPr>
          <w:t>https://www.jstor.org/stable/41857930</w:t>
        </w:r>
      </w:hyperlink>
      <w:r>
        <w:rPr>
          <w:rFonts w:ascii="Times" w:hAnsi="Times"/>
        </w:rPr>
        <w:t xml:space="preserve"> </w:t>
      </w:r>
    </w:p>
    <w:p w14:paraId="443CD058" w14:textId="77777777" w:rsidR="00CB2C1E" w:rsidRDefault="00CB2C1E" w:rsidP="00F053B2">
      <w:pPr>
        <w:rPr>
          <w:rFonts w:ascii="Times" w:hAnsi="Times"/>
        </w:rPr>
      </w:pPr>
    </w:p>
    <w:p w14:paraId="14CDC15E" w14:textId="6C118739" w:rsidR="00CB2C1E" w:rsidRDefault="00CB2C1E" w:rsidP="00CB2C1E">
      <w:pPr>
        <w:rPr>
          <w:rFonts w:ascii="Times" w:hAnsi="Times"/>
        </w:rPr>
      </w:pPr>
      <w:r w:rsidRPr="00CB2C1E">
        <w:rPr>
          <w:rFonts w:ascii="Times" w:hAnsi="Times"/>
        </w:rPr>
        <w:t>O’Donnell, Catherine. 2011. “New Study Quantifies Use of Social Media in Arab Spring,” </w:t>
      </w:r>
      <w:r w:rsidRPr="00CB2C1E">
        <w:rPr>
          <w:rFonts w:ascii="Times" w:hAnsi="Times"/>
          <w:i/>
          <w:iCs/>
        </w:rPr>
        <w:t>University of Washington News</w:t>
      </w:r>
      <w:r w:rsidRPr="00CB2C1E">
        <w:rPr>
          <w:rFonts w:ascii="Times" w:hAnsi="Times"/>
        </w:rPr>
        <w:t> </w:t>
      </w:r>
      <w:hyperlink r:id="rId10" w:history="1">
        <w:r w:rsidRPr="00CB2C1E">
          <w:rPr>
            <w:rStyle w:val="Hyperlink"/>
            <w:rFonts w:ascii="Times" w:hAnsi="Times"/>
          </w:rPr>
          <w:t>https://www.washington.edu/news/2011/09/12/new-study-quantifies-use-of-social-media-in-arab-spring/</w:t>
        </w:r>
      </w:hyperlink>
      <w:r>
        <w:rPr>
          <w:rFonts w:ascii="Times" w:hAnsi="Times"/>
        </w:rPr>
        <w:t xml:space="preserve"> </w:t>
      </w:r>
    </w:p>
    <w:p w14:paraId="777D8BF1" w14:textId="77777777" w:rsidR="00CB2C1E" w:rsidRDefault="00CB2C1E" w:rsidP="00CB2C1E">
      <w:pPr>
        <w:rPr>
          <w:rFonts w:ascii="Times" w:hAnsi="Times"/>
        </w:rPr>
      </w:pPr>
    </w:p>
    <w:p w14:paraId="347FEE1E" w14:textId="266E8EAB" w:rsidR="00CB2C1E" w:rsidRDefault="00CB2C1E" w:rsidP="00F67B29">
      <w:pPr>
        <w:rPr>
          <w:rFonts w:ascii="Times" w:hAnsi="Times"/>
        </w:rPr>
      </w:pPr>
      <w:r w:rsidRPr="00F67B29">
        <w:rPr>
          <w:rFonts w:ascii="Times" w:hAnsi="Times"/>
        </w:rPr>
        <w:t>Roy, Oliver. 2017. “Review: Political Islam After the Arab Spring: Between Jihad and Democracy,” </w:t>
      </w:r>
      <w:r w:rsidRPr="00F67B29">
        <w:rPr>
          <w:rFonts w:ascii="Times" w:hAnsi="Times"/>
          <w:i/>
          <w:iCs/>
        </w:rPr>
        <w:t>Foreign Affairs</w:t>
      </w:r>
      <w:r w:rsidRPr="00F67B29">
        <w:rPr>
          <w:rFonts w:ascii="Times" w:hAnsi="Times"/>
        </w:rPr>
        <w:t xml:space="preserve">, 96.6: 127–32 </w:t>
      </w:r>
      <w:hyperlink r:id="rId11" w:history="1">
        <w:r w:rsidRPr="00F67B29">
          <w:rPr>
            <w:rStyle w:val="Hyperlink"/>
            <w:rFonts w:ascii="Times" w:hAnsi="Times"/>
          </w:rPr>
          <w:t>https://www.jstor.org/stable/44823828</w:t>
        </w:r>
      </w:hyperlink>
      <w:r>
        <w:rPr>
          <w:rFonts w:ascii="Times" w:hAnsi="Times"/>
        </w:rPr>
        <w:t xml:space="preserve"> </w:t>
      </w:r>
    </w:p>
    <w:p w14:paraId="7A64022C" w14:textId="77777777" w:rsidR="00CB2C1E" w:rsidRPr="00F67B29" w:rsidRDefault="00CB2C1E" w:rsidP="00F67B29">
      <w:pPr>
        <w:rPr>
          <w:rFonts w:ascii="Times" w:hAnsi="Times"/>
        </w:rPr>
      </w:pPr>
    </w:p>
    <w:p w14:paraId="2ADECCDE" w14:textId="77777777" w:rsidR="00CB2C1E" w:rsidRDefault="00CB2C1E" w:rsidP="00F67B29">
      <w:pPr>
        <w:rPr>
          <w:rFonts w:ascii="Times" w:hAnsi="Times"/>
        </w:rPr>
      </w:pPr>
      <w:proofErr w:type="spellStart"/>
      <w:r w:rsidRPr="00F67B29">
        <w:rPr>
          <w:rFonts w:ascii="Times" w:hAnsi="Times"/>
        </w:rPr>
        <w:t>Sawani</w:t>
      </w:r>
      <w:proofErr w:type="spellEnd"/>
      <w:r w:rsidRPr="00F67B29">
        <w:rPr>
          <w:rFonts w:ascii="Times" w:hAnsi="Times"/>
        </w:rPr>
        <w:t>, Youssef Mohamed. 2012. “The ‘End of Pan-Arabism’ Revisited,” </w:t>
      </w:r>
      <w:r w:rsidRPr="00F67B29">
        <w:rPr>
          <w:rFonts w:ascii="Times" w:hAnsi="Times"/>
          <w:i/>
          <w:iCs/>
        </w:rPr>
        <w:t>Contemporary Arab Affairs</w:t>
      </w:r>
      <w:r w:rsidRPr="00F67B29">
        <w:rPr>
          <w:rFonts w:ascii="Times" w:hAnsi="Times"/>
        </w:rPr>
        <w:t xml:space="preserve">, 5.3: 382–97 </w:t>
      </w:r>
      <w:hyperlink r:id="rId12" w:history="1">
        <w:r w:rsidRPr="00F67B29">
          <w:rPr>
            <w:rStyle w:val="Hyperlink"/>
            <w:rFonts w:ascii="Times" w:hAnsi="Times"/>
          </w:rPr>
          <w:t>https://www.jstor.org/stable/48599901</w:t>
        </w:r>
      </w:hyperlink>
      <w:r>
        <w:rPr>
          <w:rFonts w:ascii="Times" w:hAnsi="Times"/>
        </w:rPr>
        <w:t xml:space="preserve"> </w:t>
      </w:r>
    </w:p>
    <w:p w14:paraId="7B5E1480" w14:textId="77777777" w:rsidR="00CB2C1E" w:rsidRPr="00CB2C1E" w:rsidRDefault="00CB2C1E" w:rsidP="00CB2C1E">
      <w:pPr>
        <w:rPr>
          <w:rFonts w:ascii="Times" w:hAnsi="Times"/>
        </w:rPr>
      </w:pPr>
    </w:p>
    <w:p w14:paraId="31E500B9" w14:textId="77777777" w:rsidR="00CB2C1E" w:rsidRPr="00CB2C1E" w:rsidRDefault="00CB2C1E" w:rsidP="00CB2C1E">
      <w:pPr>
        <w:rPr>
          <w:rFonts w:ascii="Times" w:hAnsi="Times"/>
        </w:rPr>
      </w:pPr>
    </w:p>
    <w:p w14:paraId="75154DD1" w14:textId="77777777" w:rsidR="00CB2C1E" w:rsidRPr="00CB2C1E" w:rsidRDefault="00CB2C1E" w:rsidP="00CB2C1E">
      <w:pPr>
        <w:rPr>
          <w:rFonts w:ascii="Times" w:hAnsi="Times"/>
        </w:rPr>
      </w:pPr>
    </w:p>
    <w:p w14:paraId="7A280DFE" w14:textId="77777777" w:rsidR="00CB2C1E" w:rsidRPr="00F053B2" w:rsidRDefault="00CB2C1E" w:rsidP="00F053B2">
      <w:pPr>
        <w:rPr>
          <w:rFonts w:ascii="Times" w:hAnsi="Times"/>
        </w:rPr>
      </w:pPr>
    </w:p>
    <w:p w14:paraId="03E6EE92" w14:textId="77777777" w:rsidR="00F053B2" w:rsidRPr="00F053B2" w:rsidRDefault="00F053B2" w:rsidP="00F053B2">
      <w:pPr>
        <w:rPr>
          <w:rFonts w:ascii="Times" w:hAnsi="Times"/>
        </w:rPr>
      </w:pPr>
    </w:p>
    <w:p w14:paraId="690F3DE8" w14:textId="77777777" w:rsidR="00F053B2" w:rsidRPr="00F053B2" w:rsidRDefault="00F053B2" w:rsidP="00F053B2">
      <w:pPr>
        <w:rPr>
          <w:rFonts w:ascii="Times" w:hAnsi="Times"/>
        </w:rPr>
      </w:pPr>
    </w:p>
    <w:p w14:paraId="2F37F871" w14:textId="77777777" w:rsidR="00F053B2" w:rsidRPr="00F053B2" w:rsidRDefault="00F053B2" w:rsidP="00F053B2">
      <w:pPr>
        <w:rPr>
          <w:rFonts w:ascii="Times" w:hAnsi="Times"/>
        </w:rPr>
      </w:pPr>
    </w:p>
    <w:p w14:paraId="51251666" w14:textId="77777777" w:rsidR="00F053B2" w:rsidRPr="00F67B29" w:rsidRDefault="00F053B2" w:rsidP="00F67B29">
      <w:pPr>
        <w:rPr>
          <w:rFonts w:ascii="Times" w:hAnsi="Times"/>
        </w:rPr>
      </w:pPr>
    </w:p>
    <w:p w14:paraId="27887198" w14:textId="77777777" w:rsidR="00F67B29" w:rsidRPr="00F67B29" w:rsidRDefault="00F67B29" w:rsidP="00F67B29">
      <w:pPr>
        <w:rPr>
          <w:rFonts w:ascii="Times" w:hAnsi="Times"/>
        </w:rPr>
      </w:pPr>
    </w:p>
    <w:p w14:paraId="56C69C13" w14:textId="77777777" w:rsidR="00F67B29" w:rsidRPr="00F67B29" w:rsidRDefault="00F67B29" w:rsidP="00F67B29">
      <w:pPr>
        <w:rPr>
          <w:rFonts w:ascii="Times" w:hAnsi="Times"/>
        </w:rPr>
      </w:pPr>
    </w:p>
    <w:p w14:paraId="0842847E" w14:textId="77777777" w:rsidR="00F67B29" w:rsidRDefault="00F67B29" w:rsidP="00F67B29">
      <w:pPr>
        <w:rPr>
          <w:rFonts w:ascii="Times" w:hAnsi="Times"/>
        </w:rPr>
      </w:pPr>
    </w:p>
    <w:p w14:paraId="21DADFCB" w14:textId="43DF8F45" w:rsidR="000539D4" w:rsidRPr="00E83C88" w:rsidRDefault="00EC06EA" w:rsidP="00BC3BC8">
      <w:pPr>
        <w:rPr>
          <w:rFonts w:ascii="Times" w:hAnsi="Times"/>
        </w:rPr>
      </w:pPr>
      <w:r>
        <w:rPr>
          <w:rFonts w:ascii="Times" w:hAnsi="Times"/>
        </w:rPr>
        <w:tab/>
      </w:r>
      <w:r w:rsidR="00BC3BC8">
        <w:rPr>
          <w:rFonts w:ascii="Times" w:hAnsi="Times"/>
        </w:rPr>
        <w:tab/>
      </w:r>
      <w:r w:rsidR="000539D4">
        <w:rPr>
          <w:rFonts w:ascii="Times" w:hAnsi="Times"/>
        </w:rPr>
        <w:t xml:space="preserve"> </w:t>
      </w:r>
    </w:p>
    <w:sectPr w:rsidR="000539D4" w:rsidRPr="00E83C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3A4BB" w14:textId="77777777" w:rsidR="00056944" w:rsidRDefault="00056944" w:rsidP="00451356">
      <w:r>
        <w:separator/>
      </w:r>
    </w:p>
  </w:endnote>
  <w:endnote w:type="continuationSeparator" w:id="0">
    <w:p w14:paraId="1AF4AF65" w14:textId="77777777" w:rsidR="00056944" w:rsidRDefault="00056944" w:rsidP="00451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﷽﷽﷽﷽﷽﷽鞑耒ĝ宀ڶ怀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FBF0F" w14:textId="77777777" w:rsidR="00056944" w:rsidRDefault="00056944" w:rsidP="00451356">
      <w:r>
        <w:separator/>
      </w:r>
    </w:p>
  </w:footnote>
  <w:footnote w:type="continuationSeparator" w:id="0">
    <w:p w14:paraId="49D455EC" w14:textId="77777777" w:rsidR="00056944" w:rsidRDefault="00056944" w:rsidP="00451356">
      <w:r>
        <w:continuationSeparator/>
      </w:r>
    </w:p>
  </w:footnote>
  <w:footnote w:id="1">
    <w:p w14:paraId="4ADB6E11" w14:textId="671B6900" w:rsidR="00451356" w:rsidRPr="00451356" w:rsidRDefault="00451356">
      <w:pPr>
        <w:pStyle w:val="FootnoteText"/>
        <w:rPr>
          <w:rFonts w:ascii="Times" w:hAnsi="Times"/>
        </w:rPr>
      </w:pPr>
      <w:r w:rsidRPr="00451356">
        <w:rPr>
          <w:rStyle w:val="FootnoteReference"/>
          <w:rFonts w:ascii="Times" w:hAnsi="Times"/>
        </w:rPr>
        <w:footnoteRef/>
      </w:r>
      <w:r w:rsidRPr="00451356">
        <w:rPr>
          <w:rFonts w:ascii="Times" w:hAnsi="Times"/>
        </w:rPr>
        <w:t xml:space="preserve"> John P. </w:t>
      </w:r>
      <w:proofErr w:type="spellStart"/>
      <w:r w:rsidRPr="00451356">
        <w:rPr>
          <w:rFonts w:ascii="Times" w:hAnsi="Times"/>
        </w:rPr>
        <w:t>Entelis</w:t>
      </w:r>
      <w:proofErr w:type="spellEnd"/>
      <w:r w:rsidRPr="00451356">
        <w:rPr>
          <w:rFonts w:ascii="Times" w:hAnsi="Times"/>
        </w:rPr>
        <w:t>. 2014. “</w:t>
      </w:r>
      <w:r w:rsidRPr="00451356">
        <w:rPr>
          <w:rFonts w:ascii="Times" w:hAnsi="Times"/>
        </w:rPr>
        <w:t>Islamic Awakening,” </w:t>
      </w:r>
      <w:r w:rsidRPr="00451356">
        <w:rPr>
          <w:rFonts w:ascii="Times" w:hAnsi="Times"/>
          <w:i/>
          <w:iCs/>
        </w:rPr>
        <w:t>Great Decisions</w:t>
      </w:r>
      <w:r w:rsidRPr="00451356">
        <w:rPr>
          <w:rFonts w:ascii="Times" w:hAnsi="Times"/>
        </w:rPr>
        <w:t>:</w:t>
      </w:r>
      <w:r w:rsidRPr="00451356">
        <w:rPr>
          <w:rFonts w:ascii="Times" w:hAnsi="Times"/>
        </w:rPr>
        <w:t xml:space="preserve"> p. 42 </w:t>
      </w:r>
      <w:hyperlink r:id="rId1" w:history="1">
        <w:r w:rsidRPr="00451356">
          <w:rPr>
            <w:rStyle w:val="Hyperlink"/>
            <w:rFonts w:ascii="Times" w:hAnsi="Times"/>
          </w:rPr>
          <w:t>https://www.jstor.org/st</w:t>
        </w:r>
        <w:r w:rsidRPr="00451356">
          <w:rPr>
            <w:rStyle w:val="Hyperlink"/>
            <w:rFonts w:ascii="Times" w:hAnsi="Times"/>
          </w:rPr>
          <w:t>a</w:t>
        </w:r>
        <w:r w:rsidRPr="00451356">
          <w:rPr>
            <w:rStyle w:val="Hyperlink"/>
            <w:rFonts w:ascii="Times" w:hAnsi="Times"/>
          </w:rPr>
          <w:t>ble/43681114</w:t>
        </w:r>
      </w:hyperlink>
      <w:r w:rsidRPr="00451356">
        <w:rPr>
          <w:rFonts w:ascii="Times" w:hAnsi="Times"/>
        </w:rPr>
        <w:t xml:space="preserve"> </w:t>
      </w:r>
    </w:p>
  </w:footnote>
  <w:footnote w:id="2">
    <w:p w14:paraId="68013374" w14:textId="617AC1F1" w:rsidR="00451356" w:rsidRPr="00451356" w:rsidRDefault="00451356" w:rsidP="00451356">
      <w:pPr>
        <w:pStyle w:val="FootnoteText"/>
        <w:rPr>
          <w:rFonts w:ascii="Times" w:hAnsi="Times"/>
        </w:rPr>
      </w:pPr>
      <w:r w:rsidRPr="00451356">
        <w:rPr>
          <w:rStyle w:val="FootnoteReference"/>
          <w:rFonts w:ascii="Times" w:hAnsi="Times"/>
        </w:rPr>
        <w:footnoteRef/>
      </w:r>
      <w:r w:rsidRPr="00451356">
        <w:rPr>
          <w:rFonts w:ascii="Times" w:hAnsi="Times"/>
        </w:rPr>
        <w:t xml:space="preserve"> Oliver Roy. 2017. </w:t>
      </w:r>
      <w:r w:rsidRPr="00451356">
        <w:rPr>
          <w:rFonts w:ascii="Times" w:hAnsi="Times"/>
        </w:rPr>
        <w:t>“Review: Political Islam After the Arab Spring: Between Jihad and Democracy,” </w:t>
      </w:r>
      <w:r w:rsidRPr="00451356">
        <w:rPr>
          <w:rFonts w:ascii="Times" w:hAnsi="Times"/>
          <w:i/>
          <w:iCs/>
        </w:rPr>
        <w:t>Foreign Affairs</w:t>
      </w:r>
      <w:r w:rsidRPr="00451356">
        <w:rPr>
          <w:rFonts w:ascii="Times" w:hAnsi="Times"/>
        </w:rPr>
        <w:t>, 96.6:</w:t>
      </w:r>
      <w:r w:rsidRPr="00451356">
        <w:rPr>
          <w:rFonts w:ascii="Times" w:hAnsi="Times"/>
        </w:rPr>
        <w:t xml:space="preserve"> p. 129 </w:t>
      </w:r>
      <w:hyperlink r:id="rId2" w:history="1">
        <w:r w:rsidRPr="00451356">
          <w:rPr>
            <w:rStyle w:val="Hyperlink"/>
            <w:rFonts w:ascii="Times" w:hAnsi="Times"/>
          </w:rPr>
          <w:t>https://www.jstor.org/stable/44823828</w:t>
        </w:r>
      </w:hyperlink>
      <w:r w:rsidRPr="00451356">
        <w:rPr>
          <w:rFonts w:ascii="Times" w:hAnsi="Times"/>
        </w:rPr>
        <w:t xml:space="preserve"> </w:t>
      </w:r>
    </w:p>
    <w:p w14:paraId="27433989" w14:textId="111FE0CE" w:rsidR="00451356" w:rsidRPr="00451356" w:rsidRDefault="00451356" w:rsidP="00451356">
      <w:pPr>
        <w:pStyle w:val="FootnoteText"/>
      </w:pPr>
    </w:p>
    <w:p w14:paraId="146ED33E" w14:textId="5902F2B7" w:rsidR="00451356" w:rsidRDefault="00451356">
      <w:pPr>
        <w:pStyle w:val="FootnoteText"/>
      </w:pPr>
    </w:p>
  </w:footnote>
  <w:footnote w:id="3">
    <w:p w14:paraId="6C95E143" w14:textId="599F25E6" w:rsidR="00451356" w:rsidRPr="00624462" w:rsidRDefault="00451356">
      <w:pPr>
        <w:pStyle w:val="FootnoteText"/>
        <w:rPr>
          <w:rFonts w:ascii="Times" w:hAnsi="Times"/>
        </w:rPr>
      </w:pPr>
      <w:r w:rsidRPr="00624462">
        <w:rPr>
          <w:rStyle w:val="FootnoteReference"/>
          <w:rFonts w:ascii="Times" w:hAnsi="Times"/>
        </w:rPr>
        <w:footnoteRef/>
      </w:r>
      <w:r w:rsidRPr="00624462">
        <w:rPr>
          <w:rFonts w:ascii="Times" w:hAnsi="Times"/>
        </w:rPr>
        <w:t xml:space="preserve"> Kamran Scot </w:t>
      </w:r>
      <w:proofErr w:type="spellStart"/>
      <w:r w:rsidRPr="00624462">
        <w:rPr>
          <w:rFonts w:ascii="Times" w:hAnsi="Times"/>
        </w:rPr>
        <w:t>Aghaie</w:t>
      </w:r>
      <w:proofErr w:type="spellEnd"/>
      <w:r w:rsidRPr="00624462">
        <w:rPr>
          <w:rFonts w:ascii="Times" w:hAnsi="Times"/>
        </w:rPr>
        <w:t xml:space="preserve">. 2004. </w:t>
      </w:r>
      <w:r w:rsidR="000C2817" w:rsidRPr="00624462">
        <w:rPr>
          <w:rFonts w:ascii="Times" w:hAnsi="Times"/>
          <w:i/>
          <w:iCs/>
        </w:rPr>
        <w:t xml:space="preserve">The Martyrs of Karbala: </w:t>
      </w:r>
      <w:proofErr w:type="spellStart"/>
      <w:r w:rsidR="000C2817" w:rsidRPr="00624462">
        <w:rPr>
          <w:rFonts w:ascii="Times" w:hAnsi="Times"/>
          <w:i/>
          <w:iCs/>
        </w:rPr>
        <w:t>Shi’I</w:t>
      </w:r>
      <w:proofErr w:type="spellEnd"/>
      <w:r w:rsidR="000C2817" w:rsidRPr="00624462">
        <w:rPr>
          <w:rFonts w:ascii="Times" w:hAnsi="Times"/>
          <w:i/>
          <w:iCs/>
        </w:rPr>
        <w:t xml:space="preserve"> Symbols and Rituals in Modern Iran</w:t>
      </w:r>
      <w:r w:rsidR="000C2817" w:rsidRPr="00624462">
        <w:rPr>
          <w:rFonts w:ascii="Times" w:hAnsi="Times"/>
        </w:rPr>
        <w:t> (Seattle, WA: University of Washington Press</w:t>
      </w:r>
      <w:r w:rsidR="000C2817" w:rsidRPr="00624462">
        <w:rPr>
          <w:rFonts w:ascii="Times" w:hAnsi="Times"/>
        </w:rPr>
        <w:t>) p. 47</w:t>
      </w:r>
    </w:p>
  </w:footnote>
  <w:footnote w:id="4">
    <w:p w14:paraId="44DF2693" w14:textId="4C870872" w:rsidR="000C2817" w:rsidRPr="00624462" w:rsidRDefault="000C2817">
      <w:pPr>
        <w:pStyle w:val="FootnoteText"/>
        <w:rPr>
          <w:rFonts w:ascii="Times" w:hAnsi="Times"/>
        </w:rPr>
      </w:pPr>
      <w:r w:rsidRPr="00624462">
        <w:rPr>
          <w:rStyle w:val="FootnoteReference"/>
          <w:rFonts w:ascii="Times" w:hAnsi="Times"/>
        </w:rPr>
        <w:footnoteRef/>
      </w:r>
      <w:r w:rsidRPr="00624462">
        <w:rPr>
          <w:rFonts w:ascii="Times" w:hAnsi="Times"/>
        </w:rPr>
        <w:t xml:space="preserve"> Evelyn Mary Aswad. 2015. “T</w:t>
      </w:r>
      <w:r w:rsidRPr="00624462">
        <w:rPr>
          <w:rFonts w:ascii="Times" w:hAnsi="Times"/>
        </w:rPr>
        <w:t>he Role of Religion in Constitutions Emerging from Arab Spring Revolutions,” </w:t>
      </w:r>
      <w:r w:rsidRPr="00624462">
        <w:rPr>
          <w:rFonts w:ascii="Times" w:hAnsi="Times"/>
          <w:i/>
          <w:iCs/>
        </w:rPr>
        <w:t>Georgetown Journal of International Affairs</w:t>
      </w:r>
      <w:r w:rsidRPr="00624462">
        <w:rPr>
          <w:rFonts w:ascii="Times" w:hAnsi="Times"/>
        </w:rPr>
        <w:t>, 16.1:</w:t>
      </w:r>
      <w:r w:rsidRPr="00624462">
        <w:rPr>
          <w:rFonts w:ascii="Times" w:hAnsi="Times"/>
        </w:rPr>
        <w:t xml:space="preserve"> p. 154 </w:t>
      </w:r>
      <w:hyperlink r:id="rId3" w:history="1">
        <w:r w:rsidRPr="00624462">
          <w:rPr>
            <w:rStyle w:val="Hyperlink"/>
            <w:rFonts w:ascii="Times" w:hAnsi="Times"/>
          </w:rPr>
          <w:t>https://www.</w:t>
        </w:r>
        <w:r w:rsidRPr="00624462">
          <w:rPr>
            <w:rStyle w:val="Hyperlink"/>
            <w:rFonts w:ascii="Times" w:hAnsi="Times"/>
          </w:rPr>
          <w:t>j</w:t>
        </w:r>
        <w:r w:rsidRPr="00624462">
          <w:rPr>
            <w:rStyle w:val="Hyperlink"/>
            <w:rFonts w:ascii="Times" w:hAnsi="Times"/>
          </w:rPr>
          <w:t>stor.org/stable/43773677</w:t>
        </w:r>
      </w:hyperlink>
      <w:r w:rsidRPr="00624462">
        <w:rPr>
          <w:rFonts w:ascii="Times" w:hAnsi="Times"/>
        </w:rPr>
        <w:t xml:space="preserve"> </w:t>
      </w:r>
    </w:p>
  </w:footnote>
  <w:footnote w:id="5">
    <w:p w14:paraId="7587FBC1" w14:textId="090C4CFB" w:rsidR="000C2817" w:rsidRPr="00624462" w:rsidRDefault="000C2817">
      <w:pPr>
        <w:pStyle w:val="FootnoteText"/>
        <w:rPr>
          <w:rFonts w:ascii="Times" w:hAnsi="Times"/>
        </w:rPr>
      </w:pPr>
      <w:r w:rsidRPr="00624462">
        <w:rPr>
          <w:rStyle w:val="FootnoteReference"/>
          <w:rFonts w:ascii="Times" w:hAnsi="Times"/>
        </w:rPr>
        <w:footnoteRef/>
      </w:r>
      <w:r w:rsidRPr="00624462">
        <w:rPr>
          <w:rFonts w:ascii="Times" w:hAnsi="Times"/>
        </w:rPr>
        <w:t xml:space="preserve"> </w:t>
      </w:r>
      <w:proofErr w:type="spellStart"/>
      <w:r w:rsidRPr="00624462">
        <w:rPr>
          <w:rFonts w:ascii="Times" w:hAnsi="Times"/>
        </w:rPr>
        <w:t>Aghaie</w:t>
      </w:r>
      <w:proofErr w:type="spellEnd"/>
      <w:r w:rsidRPr="00624462">
        <w:rPr>
          <w:rFonts w:ascii="Times" w:hAnsi="Times"/>
        </w:rPr>
        <w:t>, p. 52</w:t>
      </w:r>
    </w:p>
  </w:footnote>
  <w:footnote w:id="6">
    <w:p w14:paraId="05189C6F" w14:textId="6FBAC681" w:rsidR="000C2817" w:rsidRPr="00624462" w:rsidRDefault="000C2817">
      <w:pPr>
        <w:pStyle w:val="FootnoteText"/>
        <w:rPr>
          <w:rFonts w:ascii="Times" w:hAnsi="Times"/>
        </w:rPr>
      </w:pPr>
      <w:r w:rsidRPr="00624462">
        <w:rPr>
          <w:rStyle w:val="FootnoteReference"/>
          <w:rFonts w:ascii="Times" w:hAnsi="Times"/>
        </w:rPr>
        <w:footnoteRef/>
      </w:r>
      <w:r w:rsidRPr="00624462">
        <w:rPr>
          <w:rFonts w:ascii="Times" w:hAnsi="Times"/>
        </w:rPr>
        <w:t xml:space="preserve"> Yvonne Y. Haddad. 1987. </w:t>
      </w:r>
      <w:r w:rsidR="00624462" w:rsidRPr="00624462">
        <w:rPr>
          <w:rFonts w:ascii="Times" w:hAnsi="Times"/>
        </w:rPr>
        <w:t>“Islamic ‘Awakening’ in Egypt,” </w:t>
      </w:r>
      <w:r w:rsidR="00624462" w:rsidRPr="00624462">
        <w:rPr>
          <w:rFonts w:ascii="Times" w:hAnsi="Times"/>
          <w:i/>
          <w:iCs/>
        </w:rPr>
        <w:t>Arab Studies Quarterly</w:t>
      </w:r>
      <w:r w:rsidR="00624462" w:rsidRPr="00624462">
        <w:rPr>
          <w:rFonts w:ascii="Times" w:hAnsi="Times"/>
        </w:rPr>
        <w:t>, 9.3:</w:t>
      </w:r>
      <w:r w:rsidR="00624462" w:rsidRPr="00624462">
        <w:rPr>
          <w:rFonts w:ascii="Times" w:hAnsi="Times"/>
        </w:rPr>
        <w:t xml:space="preserve"> p. 239 </w:t>
      </w:r>
      <w:hyperlink r:id="rId4" w:history="1">
        <w:r w:rsidR="00624462" w:rsidRPr="00624462">
          <w:rPr>
            <w:rStyle w:val="Hyperlink"/>
            <w:rFonts w:ascii="Times" w:hAnsi="Times"/>
          </w:rPr>
          <w:t>https://www.jstor.org/stable/41857930</w:t>
        </w:r>
      </w:hyperlink>
      <w:r w:rsidR="00624462" w:rsidRPr="00624462">
        <w:rPr>
          <w:rFonts w:ascii="Times" w:hAnsi="Times"/>
        </w:rPr>
        <w:t xml:space="preserve"> </w:t>
      </w:r>
    </w:p>
  </w:footnote>
  <w:footnote w:id="7">
    <w:p w14:paraId="54DD2369" w14:textId="1FB981C4" w:rsidR="00624462" w:rsidRPr="000616AD" w:rsidRDefault="00624462">
      <w:pPr>
        <w:pStyle w:val="FootnoteText"/>
        <w:rPr>
          <w:rFonts w:ascii="Times" w:hAnsi="Times"/>
        </w:rPr>
      </w:pPr>
      <w:r w:rsidRPr="00624462">
        <w:rPr>
          <w:rStyle w:val="FootnoteReference"/>
          <w:rFonts w:ascii="Times" w:hAnsi="Times"/>
        </w:rPr>
        <w:footnoteRef/>
      </w:r>
      <w:r w:rsidRPr="00624462">
        <w:rPr>
          <w:rFonts w:ascii="Times" w:hAnsi="Times"/>
        </w:rPr>
        <w:t xml:space="preserve"> </w:t>
      </w:r>
      <w:r w:rsidRPr="00624462">
        <w:rPr>
          <w:rFonts w:ascii="Times" w:hAnsi="Times"/>
        </w:rPr>
        <w:t xml:space="preserve">Youssef Mohamed </w:t>
      </w:r>
      <w:proofErr w:type="spellStart"/>
      <w:r w:rsidRPr="00624462">
        <w:rPr>
          <w:rFonts w:ascii="Times" w:hAnsi="Times"/>
        </w:rPr>
        <w:t>Sawani</w:t>
      </w:r>
      <w:proofErr w:type="spellEnd"/>
      <w:r w:rsidRPr="00624462">
        <w:rPr>
          <w:rFonts w:ascii="Times" w:hAnsi="Times"/>
        </w:rPr>
        <w:t xml:space="preserve">. 2012. </w:t>
      </w:r>
      <w:r w:rsidRPr="00624462">
        <w:rPr>
          <w:rFonts w:ascii="Times" w:hAnsi="Times"/>
        </w:rPr>
        <w:t>“The ‘End of Pan-Arabism’ Revisited,” </w:t>
      </w:r>
      <w:r w:rsidRPr="00624462">
        <w:rPr>
          <w:rFonts w:ascii="Times" w:hAnsi="Times"/>
          <w:i/>
          <w:iCs/>
        </w:rPr>
        <w:t>Contemporary Arab Affairs</w:t>
      </w:r>
      <w:r w:rsidRPr="00624462">
        <w:rPr>
          <w:rFonts w:ascii="Times" w:hAnsi="Times"/>
        </w:rPr>
        <w:t>, 5.3: </w:t>
      </w:r>
      <w:r w:rsidRPr="00624462">
        <w:rPr>
          <w:rFonts w:ascii="Times" w:hAnsi="Times"/>
        </w:rPr>
        <w:t xml:space="preserve">p. 383 </w:t>
      </w:r>
      <w:hyperlink r:id="rId5" w:history="1">
        <w:r w:rsidRPr="00624462">
          <w:rPr>
            <w:rStyle w:val="Hyperlink"/>
            <w:rFonts w:ascii="Times" w:hAnsi="Times"/>
          </w:rPr>
          <w:t>https://www.jstor.org/stable/48599901</w:t>
        </w:r>
      </w:hyperlink>
      <w:r w:rsidRPr="00624462">
        <w:rPr>
          <w:rFonts w:ascii="Times" w:hAnsi="Times"/>
        </w:rPr>
        <w:t xml:space="preserve"> </w:t>
      </w:r>
    </w:p>
  </w:footnote>
  <w:footnote w:id="8">
    <w:p w14:paraId="2D885D3E" w14:textId="58AE063A" w:rsidR="00624462" w:rsidRPr="00414AA7" w:rsidRDefault="00624462">
      <w:pPr>
        <w:pStyle w:val="FootnoteText"/>
        <w:rPr>
          <w:rFonts w:ascii="Times" w:hAnsi="Times"/>
        </w:rPr>
      </w:pPr>
      <w:r w:rsidRPr="00414AA7">
        <w:rPr>
          <w:rStyle w:val="FootnoteReference"/>
          <w:rFonts w:ascii="Times" w:hAnsi="Times"/>
        </w:rPr>
        <w:footnoteRef/>
      </w:r>
      <w:r w:rsidRPr="00414AA7">
        <w:rPr>
          <w:rFonts w:ascii="Times" w:hAnsi="Times"/>
        </w:rPr>
        <w:t xml:space="preserve"> </w:t>
      </w:r>
      <w:r w:rsidR="00414AA7" w:rsidRPr="00414AA7">
        <w:rPr>
          <w:rFonts w:ascii="Times" w:hAnsi="Times"/>
        </w:rPr>
        <w:t xml:space="preserve">Catherine O’Donnell. 2011. </w:t>
      </w:r>
      <w:r w:rsidR="00414AA7" w:rsidRPr="00414AA7">
        <w:rPr>
          <w:rFonts w:ascii="Times" w:hAnsi="Times"/>
        </w:rPr>
        <w:t>“New Study Quantifies Use of Social Media in Arab Spring,” </w:t>
      </w:r>
      <w:r w:rsidR="00414AA7" w:rsidRPr="00414AA7">
        <w:rPr>
          <w:rFonts w:ascii="Times" w:hAnsi="Times"/>
          <w:i/>
          <w:iCs/>
        </w:rPr>
        <w:t>University of Washington News</w:t>
      </w:r>
      <w:r w:rsidR="00414AA7" w:rsidRPr="00414AA7">
        <w:rPr>
          <w:rFonts w:ascii="Times" w:hAnsi="Times"/>
        </w:rPr>
        <w:t> </w:t>
      </w:r>
      <w:hyperlink r:id="rId6" w:history="1">
        <w:r w:rsidR="00414AA7" w:rsidRPr="00414AA7">
          <w:rPr>
            <w:rStyle w:val="Hyperlink"/>
            <w:rFonts w:ascii="Times" w:hAnsi="Times"/>
          </w:rPr>
          <w:t>https://www.washington.edu/news/2011/09/12/new-study-quantifies-use-of-social-media-in-arab-spring/</w:t>
        </w:r>
      </w:hyperlink>
      <w:r w:rsidR="00414AA7" w:rsidRPr="00414AA7">
        <w:rPr>
          <w:rFonts w:ascii="Times" w:hAnsi="Times"/>
        </w:rPr>
        <w:t xml:space="preserve"> </w:t>
      </w:r>
    </w:p>
  </w:footnote>
  <w:footnote w:id="9">
    <w:p w14:paraId="3DBA0456" w14:textId="7D1FE1C7" w:rsidR="00414AA7" w:rsidRPr="00414AA7" w:rsidRDefault="00414AA7">
      <w:pPr>
        <w:pStyle w:val="FootnoteText"/>
        <w:rPr>
          <w:rFonts w:ascii="Times" w:hAnsi="Times"/>
        </w:rPr>
      </w:pPr>
      <w:r w:rsidRPr="00414AA7">
        <w:rPr>
          <w:rStyle w:val="FootnoteReference"/>
          <w:rFonts w:ascii="Times" w:hAnsi="Times"/>
        </w:rPr>
        <w:footnoteRef/>
      </w:r>
      <w:r w:rsidRPr="00414AA7">
        <w:rPr>
          <w:rFonts w:ascii="Times" w:hAnsi="Times"/>
        </w:rPr>
        <w:t xml:space="preserve"> </w:t>
      </w:r>
      <w:proofErr w:type="spellStart"/>
      <w:r w:rsidRPr="00414AA7">
        <w:rPr>
          <w:rFonts w:ascii="Times" w:hAnsi="Times"/>
        </w:rPr>
        <w:t>Sawani</w:t>
      </w:r>
      <w:proofErr w:type="spellEnd"/>
      <w:r w:rsidRPr="00414AA7">
        <w:rPr>
          <w:rFonts w:ascii="Times" w:hAnsi="Times"/>
        </w:rPr>
        <w:t>, p. 130</w:t>
      </w:r>
    </w:p>
  </w:footnote>
  <w:footnote w:id="10">
    <w:p w14:paraId="260A21D2" w14:textId="63386EB2" w:rsidR="00414AA7" w:rsidRDefault="00414AA7">
      <w:pPr>
        <w:pStyle w:val="FootnoteText"/>
      </w:pPr>
      <w:r w:rsidRPr="00414AA7">
        <w:rPr>
          <w:rStyle w:val="FootnoteReference"/>
          <w:rFonts w:ascii="Times" w:hAnsi="Times"/>
        </w:rPr>
        <w:footnoteRef/>
      </w:r>
      <w:r w:rsidRPr="00414AA7">
        <w:rPr>
          <w:rFonts w:ascii="Times" w:hAnsi="Times"/>
        </w:rPr>
        <w:t xml:space="preserve"> Roy, p. 128</w:t>
      </w:r>
    </w:p>
  </w:footnote>
  <w:footnote w:id="11">
    <w:p w14:paraId="4307E74B" w14:textId="0EAB5106" w:rsidR="004C6B00" w:rsidRPr="004C6B00" w:rsidRDefault="004C6B00">
      <w:pPr>
        <w:pStyle w:val="FootnoteText"/>
        <w:rPr>
          <w:rFonts w:ascii="Times" w:hAnsi="Times"/>
        </w:rPr>
      </w:pPr>
      <w:r w:rsidRPr="004C6B00">
        <w:rPr>
          <w:rStyle w:val="FootnoteReference"/>
          <w:rFonts w:ascii="Times" w:hAnsi="Times"/>
        </w:rPr>
        <w:footnoteRef/>
      </w:r>
      <w:r w:rsidRPr="004C6B00">
        <w:rPr>
          <w:rFonts w:ascii="Times" w:hAnsi="Times"/>
        </w:rPr>
        <w:t xml:space="preserve"> Aswad, p. 161</w:t>
      </w:r>
    </w:p>
  </w:footnote>
  <w:footnote w:id="12">
    <w:p w14:paraId="45F17932" w14:textId="70F27305" w:rsidR="004C6B00" w:rsidRDefault="004C6B00">
      <w:pPr>
        <w:pStyle w:val="FootnoteText"/>
      </w:pPr>
      <w:r w:rsidRPr="004C6B00">
        <w:rPr>
          <w:rStyle w:val="FootnoteReference"/>
          <w:rFonts w:ascii="Times" w:hAnsi="Times"/>
        </w:rPr>
        <w:footnoteRef/>
      </w:r>
      <w:r w:rsidRPr="004C6B00">
        <w:rPr>
          <w:rFonts w:ascii="Times" w:hAnsi="Times"/>
        </w:rPr>
        <w:t xml:space="preserve"> Aswad, p. 164</w:t>
      </w:r>
    </w:p>
  </w:footnote>
  <w:footnote w:id="13">
    <w:p w14:paraId="5FA401AF" w14:textId="79046E1F" w:rsidR="004C6B00" w:rsidRPr="004C6B00" w:rsidRDefault="004C6B00">
      <w:pPr>
        <w:pStyle w:val="FootnoteText"/>
        <w:rPr>
          <w:rFonts w:ascii="Times" w:hAnsi="Times"/>
        </w:rPr>
      </w:pPr>
      <w:r w:rsidRPr="004C6B00">
        <w:rPr>
          <w:rStyle w:val="FootnoteReference"/>
          <w:rFonts w:ascii="Times" w:hAnsi="Times"/>
        </w:rPr>
        <w:footnoteRef/>
      </w:r>
      <w:r w:rsidRPr="004C6B00">
        <w:rPr>
          <w:rFonts w:ascii="Times" w:hAnsi="Times"/>
        </w:rPr>
        <w:t xml:space="preserve"> Aswad, p. 165</w:t>
      </w:r>
    </w:p>
  </w:footnote>
  <w:footnote w:id="14">
    <w:p w14:paraId="7EBBEE4E" w14:textId="51BE8997" w:rsidR="004C6B00" w:rsidRPr="004C6B00" w:rsidRDefault="004C6B00">
      <w:pPr>
        <w:pStyle w:val="FootnoteText"/>
        <w:rPr>
          <w:rFonts w:ascii="Times" w:hAnsi="Times"/>
        </w:rPr>
      </w:pPr>
      <w:r w:rsidRPr="004C6B00">
        <w:rPr>
          <w:rStyle w:val="FootnoteReference"/>
          <w:rFonts w:ascii="Times" w:hAnsi="Times"/>
        </w:rPr>
        <w:footnoteRef/>
      </w:r>
      <w:r w:rsidRPr="004C6B00">
        <w:rPr>
          <w:rFonts w:ascii="Times" w:hAnsi="Times"/>
        </w:rPr>
        <w:t xml:space="preserve"> Aswad, p. 166</w:t>
      </w:r>
    </w:p>
  </w:footnote>
  <w:footnote w:id="15">
    <w:p w14:paraId="2F589C75" w14:textId="714EBADB" w:rsidR="004C6B00" w:rsidRPr="004C6B00" w:rsidRDefault="004C6B00">
      <w:pPr>
        <w:pStyle w:val="FootnoteText"/>
        <w:rPr>
          <w:rFonts w:ascii="Times" w:hAnsi="Times"/>
        </w:rPr>
      </w:pPr>
      <w:r w:rsidRPr="004C6B00">
        <w:rPr>
          <w:rStyle w:val="FootnoteReference"/>
          <w:rFonts w:ascii="Times" w:hAnsi="Times"/>
        </w:rPr>
        <w:footnoteRef/>
      </w:r>
      <w:r w:rsidRPr="004C6B00">
        <w:rPr>
          <w:rFonts w:ascii="Times" w:hAnsi="Times"/>
        </w:rPr>
        <w:t xml:space="preserve"> Aswad, p. 163</w:t>
      </w:r>
    </w:p>
  </w:footnote>
  <w:footnote w:id="16">
    <w:p w14:paraId="4CA44095" w14:textId="0D3CA0B5" w:rsidR="004C6B00" w:rsidRPr="004C6B00" w:rsidRDefault="004C6B00">
      <w:pPr>
        <w:pStyle w:val="FootnoteText"/>
        <w:rPr>
          <w:rFonts w:ascii="Times" w:hAnsi="Times"/>
        </w:rPr>
      </w:pPr>
      <w:r w:rsidRPr="004C6B00">
        <w:rPr>
          <w:rStyle w:val="FootnoteReference"/>
          <w:rFonts w:ascii="Times" w:hAnsi="Times"/>
        </w:rPr>
        <w:footnoteRef/>
      </w:r>
      <w:r w:rsidRPr="004C6B00">
        <w:rPr>
          <w:rFonts w:ascii="Times" w:hAnsi="Times"/>
        </w:rPr>
        <w:t xml:space="preserve"> Aswad, p. 162</w:t>
      </w:r>
    </w:p>
  </w:footnote>
  <w:footnote w:id="17">
    <w:p w14:paraId="0071474F" w14:textId="3DE5B2BD" w:rsidR="004C6B00" w:rsidRDefault="004C6B00">
      <w:pPr>
        <w:pStyle w:val="FootnoteText"/>
      </w:pPr>
      <w:r w:rsidRPr="004C6B00">
        <w:rPr>
          <w:rStyle w:val="FootnoteReference"/>
          <w:rFonts w:ascii="Times" w:hAnsi="Times"/>
        </w:rPr>
        <w:footnoteRef/>
      </w:r>
      <w:r w:rsidRPr="004C6B00">
        <w:rPr>
          <w:rFonts w:ascii="Times" w:hAnsi="Times"/>
        </w:rPr>
        <w:t xml:space="preserve"> Roy, p. 130</w:t>
      </w:r>
    </w:p>
  </w:footnote>
  <w:footnote w:id="18">
    <w:p w14:paraId="13CE7F7F" w14:textId="318D85C7" w:rsidR="004C6B00" w:rsidRPr="004C6B00" w:rsidRDefault="004C6B00">
      <w:pPr>
        <w:pStyle w:val="FootnoteText"/>
        <w:rPr>
          <w:rFonts w:ascii="Times" w:hAnsi="Times"/>
        </w:rPr>
      </w:pPr>
      <w:r w:rsidRPr="004C6B00">
        <w:rPr>
          <w:rStyle w:val="FootnoteReference"/>
          <w:rFonts w:ascii="Times" w:hAnsi="Times"/>
        </w:rPr>
        <w:footnoteRef/>
      </w:r>
      <w:r w:rsidRPr="004C6B00">
        <w:rPr>
          <w:rFonts w:ascii="Times" w:hAnsi="Times"/>
        </w:rPr>
        <w:t xml:space="preserve"> </w:t>
      </w:r>
      <w:proofErr w:type="spellStart"/>
      <w:r w:rsidRPr="004C6B00">
        <w:rPr>
          <w:rFonts w:ascii="Times" w:hAnsi="Times"/>
        </w:rPr>
        <w:t>Sawani</w:t>
      </w:r>
      <w:proofErr w:type="spellEnd"/>
      <w:r w:rsidRPr="004C6B00">
        <w:rPr>
          <w:rFonts w:ascii="Times" w:hAnsi="Times"/>
        </w:rPr>
        <w:t>, p. 385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C88"/>
    <w:rsid w:val="00024309"/>
    <w:rsid w:val="000539D4"/>
    <w:rsid w:val="00056944"/>
    <w:rsid w:val="000616AD"/>
    <w:rsid w:val="00094B33"/>
    <w:rsid w:val="000B001F"/>
    <w:rsid w:val="000C2817"/>
    <w:rsid w:val="000D099B"/>
    <w:rsid w:val="000E21B4"/>
    <w:rsid w:val="000F1CE4"/>
    <w:rsid w:val="00100B92"/>
    <w:rsid w:val="001803A8"/>
    <w:rsid w:val="001A5017"/>
    <w:rsid w:val="001B15BB"/>
    <w:rsid w:val="001D25AB"/>
    <w:rsid w:val="0028477E"/>
    <w:rsid w:val="002C17BD"/>
    <w:rsid w:val="002C1BBB"/>
    <w:rsid w:val="002E054A"/>
    <w:rsid w:val="002E6FAD"/>
    <w:rsid w:val="00305D82"/>
    <w:rsid w:val="00313F6D"/>
    <w:rsid w:val="00347FE4"/>
    <w:rsid w:val="0035407E"/>
    <w:rsid w:val="003826D2"/>
    <w:rsid w:val="00406AE2"/>
    <w:rsid w:val="00414AA7"/>
    <w:rsid w:val="00451356"/>
    <w:rsid w:val="004C6B00"/>
    <w:rsid w:val="004E2750"/>
    <w:rsid w:val="00503AB3"/>
    <w:rsid w:val="00577CB4"/>
    <w:rsid w:val="00603F1B"/>
    <w:rsid w:val="00622859"/>
    <w:rsid w:val="006239B2"/>
    <w:rsid w:val="00624462"/>
    <w:rsid w:val="00647D5D"/>
    <w:rsid w:val="00671A94"/>
    <w:rsid w:val="006863A5"/>
    <w:rsid w:val="006B428D"/>
    <w:rsid w:val="006E09F9"/>
    <w:rsid w:val="006E4E5F"/>
    <w:rsid w:val="006E5BEA"/>
    <w:rsid w:val="0071747C"/>
    <w:rsid w:val="007608F7"/>
    <w:rsid w:val="00767C41"/>
    <w:rsid w:val="007827CA"/>
    <w:rsid w:val="00784669"/>
    <w:rsid w:val="00853F46"/>
    <w:rsid w:val="0087327A"/>
    <w:rsid w:val="00877122"/>
    <w:rsid w:val="00887B30"/>
    <w:rsid w:val="0089467D"/>
    <w:rsid w:val="008B391D"/>
    <w:rsid w:val="008E5AC6"/>
    <w:rsid w:val="0093261B"/>
    <w:rsid w:val="00933134"/>
    <w:rsid w:val="00992C5D"/>
    <w:rsid w:val="009931C7"/>
    <w:rsid w:val="009A1E5D"/>
    <w:rsid w:val="00A001A6"/>
    <w:rsid w:val="00A04399"/>
    <w:rsid w:val="00A20B4E"/>
    <w:rsid w:val="00A2130E"/>
    <w:rsid w:val="00A33FD3"/>
    <w:rsid w:val="00A47E2B"/>
    <w:rsid w:val="00A737C5"/>
    <w:rsid w:val="00AA3CFE"/>
    <w:rsid w:val="00AB64A5"/>
    <w:rsid w:val="00AE5234"/>
    <w:rsid w:val="00B32D4C"/>
    <w:rsid w:val="00B35076"/>
    <w:rsid w:val="00B46088"/>
    <w:rsid w:val="00B67773"/>
    <w:rsid w:val="00B704CD"/>
    <w:rsid w:val="00BB548F"/>
    <w:rsid w:val="00BC3BC8"/>
    <w:rsid w:val="00BD6EFA"/>
    <w:rsid w:val="00C139DA"/>
    <w:rsid w:val="00C76DBA"/>
    <w:rsid w:val="00CB2C1E"/>
    <w:rsid w:val="00CE113D"/>
    <w:rsid w:val="00D076DA"/>
    <w:rsid w:val="00D37128"/>
    <w:rsid w:val="00D53C2B"/>
    <w:rsid w:val="00D72078"/>
    <w:rsid w:val="00D7221D"/>
    <w:rsid w:val="00DA5C58"/>
    <w:rsid w:val="00E12751"/>
    <w:rsid w:val="00E33934"/>
    <w:rsid w:val="00E43118"/>
    <w:rsid w:val="00E55114"/>
    <w:rsid w:val="00E83C88"/>
    <w:rsid w:val="00EB0354"/>
    <w:rsid w:val="00EC06EA"/>
    <w:rsid w:val="00F053B2"/>
    <w:rsid w:val="00F057DB"/>
    <w:rsid w:val="00F071E4"/>
    <w:rsid w:val="00F51600"/>
    <w:rsid w:val="00F56CC9"/>
    <w:rsid w:val="00F67B29"/>
    <w:rsid w:val="00FA4749"/>
    <w:rsid w:val="00FC244B"/>
    <w:rsid w:val="00FF4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0CDA91"/>
  <w15:chartTrackingRefBased/>
  <w15:docId w15:val="{8DAD219B-1D3E-FE42-A491-F9133CAF6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7B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7B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B2C1E"/>
    <w:rPr>
      <w:color w:val="954F72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5135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5135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513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6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01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8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66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1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2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5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3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43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29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215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203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205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02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6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00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91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329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7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8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2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5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77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1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7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stor.org/stable/4368111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jstor.org/stable/43773677" TargetMode="External"/><Relationship Id="rId12" Type="http://schemas.openxmlformats.org/officeDocument/2006/relationships/hyperlink" Target="https://www.jstor.org/stable/4859990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jstor.org/stable/44823828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washington.edu/news/2011/09/12/new-study-quantifies-use-of-social-media-in-arab-sprin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jstor.org/stable/41857930" TargetMode="Externa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jstor.org/stable/43773677" TargetMode="External"/><Relationship Id="rId2" Type="http://schemas.openxmlformats.org/officeDocument/2006/relationships/hyperlink" Target="https://www.jstor.org/stable/44823828" TargetMode="External"/><Relationship Id="rId1" Type="http://schemas.openxmlformats.org/officeDocument/2006/relationships/hyperlink" Target="https://www.jstor.org/stable/43681114" TargetMode="External"/><Relationship Id="rId6" Type="http://schemas.openxmlformats.org/officeDocument/2006/relationships/hyperlink" Target="https://www.washington.edu/news/2011/09/12/new-study-quantifies-use-of-social-media-in-arab-spring/" TargetMode="External"/><Relationship Id="rId5" Type="http://schemas.openxmlformats.org/officeDocument/2006/relationships/hyperlink" Target="https://www.jstor.org/stable/48599901" TargetMode="External"/><Relationship Id="rId4" Type="http://schemas.openxmlformats.org/officeDocument/2006/relationships/hyperlink" Target="https://www.jstor.org/stable/41857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F5940A7-A326-0B45-BE51-3A132A8FE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8</Pages>
  <Words>2045</Words>
  <Characters>11657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Syed Haider</dc:creator>
  <cp:keywords/>
  <dc:description/>
  <cp:lastModifiedBy>Syed Haider</cp:lastModifiedBy>
  <cp:revision>65</cp:revision>
  <dcterms:created xsi:type="dcterms:W3CDTF">2022-05-12T19:41:00Z</dcterms:created>
  <dcterms:modified xsi:type="dcterms:W3CDTF">2022-05-15T02:57:00Z</dcterms:modified>
</cp:coreProperties>
</file>