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106836456"/>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73A65292" w14:textId="24996E52" w:rsidR="007117D7" w:rsidRDefault="007117D7">
          <w:pPr>
            <w:pStyle w:val="NoSpacing"/>
            <w:rPr>
              <w:sz w:val="2"/>
            </w:rPr>
          </w:pPr>
        </w:p>
        <w:p w14:paraId="4EBA98A9" w14:textId="7D8448B4" w:rsidR="007117D7" w:rsidRDefault="007117D7">
          <w:r>
            <w:rPr>
              <w:noProof/>
              <w:color w:val="156082" w:themeColor="accent1"/>
              <w:sz w:val="36"/>
              <w:szCs w:val="36"/>
            </w:rPr>
            <mc:AlternateContent>
              <mc:Choice Requires="wpg">
                <w:drawing>
                  <wp:anchor distT="0" distB="0" distL="114300" distR="114300" simplePos="0" relativeHeight="251660288" behindDoc="1" locked="0" layoutInCell="1" allowOverlap="1" wp14:anchorId="7E0DBB6A" wp14:editId="6FDBBB0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57606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BA20BF9" wp14:editId="72B23DF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75455" w14:textId="196C80EA" w:rsidR="007117D7" w:rsidRPr="007117D7" w:rsidRDefault="007117D7">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117D7">
                                      <w:rPr>
                                        <w:rFonts w:ascii="Arial Black" w:hAnsi="Arial Black"/>
                                        <w:color w:val="156082" w:themeColor="accent1"/>
                                        <w:sz w:val="36"/>
                                        <w:szCs w:val="36"/>
                                      </w:rPr>
                                      <w:t xml:space="preserve">Financial Management </w:t>
                                    </w:r>
                                    <w:r w:rsidRPr="007117D7">
                                      <w:rPr>
                                        <w:rFonts w:ascii="Arial Black" w:hAnsi="Arial Black"/>
                                        <w:color w:val="156082" w:themeColor="accent1"/>
                                        <w:sz w:val="36"/>
                                        <w:szCs w:val="36"/>
                                      </w:rPr>
                                      <w:t>for</w:t>
                                    </w:r>
                                    <w:r w:rsidRPr="007117D7">
                                      <w:rPr>
                                        <w:rFonts w:ascii="Arial Black" w:hAnsi="Arial Black"/>
                                        <w:color w:val="156082" w:themeColor="accent1"/>
                                        <w:sz w:val="36"/>
                                        <w:szCs w:val="36"/>
                                      </w:rPr>
                                      <w:t xml:space="preserve"> Business Sustainability</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6B11A7" w14:textId="0EC213A6" w:rsidR="007117D7" w:rsidRPr="007117D7" w:rsidRDefault="007117D7">
                                    <w:pPr>
                                      <w:pStyle w:val="NoSpacing"/>
                                      <w:jc w:val="right"/>
                                      <w:rPr>
                                        <w:rFonts w:ascii="Arial Black" w:hAnsi="Arial Black"/>
                                        <w:color w:val="156082" w:themeColor="accent1"/>
                                        <w:sz w:val="36"/>
                                        <w:szCs w:val="36"/>
                                      </w:rPr>
                                    </w:pPr>
                                    <w:r w:rsidRPr="007117D7">
                                      <w:rPr>
                                        <w:rFonts w:ascii="Arial Black" w:hAnsi="Arial Black"/>
                                        <w:color w:val="156082" w:themeColor="accent1"/>
                                        <w:sz w:val="36"/>
                                        <w:szCs w:val="36"/>
                                      </w:rPr>
                                      <w:t>BMSP4011D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BA20BF9"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1CF75455" w14:textId="196C80EA" w:rsidR="007117D7" w:rsidRPr="007117D7" w:rsidRDefault="007117D7">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117D7">
                                <w:rPr>
                                  <w:rFonts w:ascii="Arial Black" w:hAnsi="Arial Black"/>
                                  <w:color w:val="156082" w:themeColor="accent1"/>
                                  <w:sz w:val="36"/>
                                  <w:szCs w:val="36"/>
                                </w:rPr>
                                <w:t xml:space="preserve">Financial Management </w:t>
                              </w:r>
                              <w:r w:rsidRPr="007117D7">
                                <w:rPr>
                                  <w:rFonts w:ascii="Arial Black" w:hAnsi="Arial Black"/>
                                  <w:color w:val="156082" w:themeColor="accent1"/>
                                  <w:sz w:val="36"/>
                                  <w:szCs w:val="36"/>
                                </w:rPr>
                                <w:t>for</w:t>
                              </w:r>
                              <w:r w:rsidRPr="007117D7">
                                <w:rPr>
                                  <w:rFonts w:ascii="Arial Black" w:hAnsi="Arial Black"/>
                                  <w:color w:val="156082" w:themeColor="accent1"/>
                                  <w:sz w:val="36"/>
                                  <w:szCs w:val="36"/>
                                </w:rPr>
                                <w:t xml:space="preserve"> Business Sustainability</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76B11A7" w14:textId="0EC213A6" w:rsidR="007117D7" w:rsidRPr="007117D7" w:rsidRDefault="007117D7">
                              <w:pPr>
                                <w:pStyle w:val="NoSpacing"/>
                                <w:jc w:val="right"/>
                                <w:rPr>
                                  <w:rFonts w:ascii="Arial Black" w:hAnsi="Arial Black"/>
                                  <w:color w:val="156082" w:themeColor="accent1"/>
                                  <w:sz w:val="36"/>
                                  <w:szCs w:val="36"/>
                                </w:rPr>
                              </w:pPr>
                              <w:r w:rsidRPr="007117D7">
                                <w:rPr>
                                  <w:rFonts w:ascii="Arial Black" w:hAnsi="Arial Black"/>
                                  <w:color w:val="156082" w:themeColor="accent1"/>
                                  <w:sz w:val="36"/>
                                  <w:szCs w:val="36"/>
                                </w:rPr>
                                <w:t>BMSP4011D</w:t>
                              </w:r>
                            </w:p>
                          </w:sdtContent>
                        </w:sdt>
                      </w:txbxContent>
                    </v:textbox>
                    <w10:wrap anchorx="page" anchory="margin"/>
                  </v:shape>
                </w:pict>
              </mc:Fallback>
            </mc:AlternateContent>
          </w:r>
        </w:p>
        <w:p w14:paraId="41A93B55" w14:textId="56E609C4" w:rsidR="007117D7" w:rsidRDefault="007117D7">
          <w:pPr>
            <w:rPr>
              <w:rFonts w:ascii="Arial Black" w:hAnsi="Arial Black" w:cs="Arial"/>
            </w:rPr>
          </w:pPr>
          <w:r>
            <w:rPr>
              <w:noProof/>
            </w:rPr>
            <mc:AlternateContent>
              <mc:Choice Requires="wps">
                <w:drawing>
                  <wp:anchor distT="0" distB="0" distL="114300" distR="114300" simplePos="0" relativeHeight="251661312" behindDoc="0" locked="0" layoutInCell="1" allowOverlap="1" wp14:anchorId="677F5B57" wp14:editId="52117F17">
                    <wp:simplePos x="0" y="0"/>
                    <wp:positionH relativeFrom="margin">
                      <wp:align>left</wp:align>
                    </wp:positionH>
                    <wp:positionV relativeFrom="margin">
                      <wp:posOffset>1967163</wp:posOffset>
                    </wp:positionV>
                    <wp:extent cx="5943600" cy="914400"/>
                    <wp:effectExtent l="0" t="0" r="0" b="5715"/>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5149F46" w14:textId="34134418" w:rsidR="007117D7" w:rsidRPr="007117D7" w:rsidRDefault="007117D7">
                                    <w:pPr>
                                      <w:pStyle w:val="NoSpacing"/>
                                      <w:rPr>
                                        <w:rFonts w:ascii="Arial Black" w:eastAsiaTheme="majorEastAsia" w:hAnsi="Arial Black" w:cstheme="majorBidi"/>
                                        <w:caps/>
                                        <w:color w:val="2C7FCE" w:themeColor="text2" w:themeTint="99"/>
                                        <w:sz w:val="68"/>
                                        <w:szCs w:val="68"/>
                                      </w:rPr>
                                    </w:pPr>
                                    <w:r w:rsidRPr="007117D7">
                                      <w:rPr>
                                        <w:rFonts w:ascii="Arial Black" w:eastAsiaTheme="majorEastAsia" w:hAnsi="Arial Black" w:cstheme="majorBidi"/>
                                        <w:caps/>
                                        <w:color w:val="2C7FCE" w:themeColor="text2" w:themeTint="99"/>
                                        <w:sz w:val="64"/>
                                        <w:szCs w:val="64"/>
                                      </w:rPr>
                                      <w:t xml:space="preserve">Tesla Financial Analysis </w:t>
                                    </w:r>
                                  </w:p>
                                </w:sdtContent>
                              </w:sdt>
                              <w:p w14:paraId="7E40FB11" w14:textId="77777777" w:rsidR="007117D7" w:rsidRPr="007117D7" w:rsidRDefault="007117D7">
                                <w:pPr>
                                  <w:rPr>
                                    <w:rFonts w:ascii="Arial Black" w:hAnsi="Arial Black"/>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77F5B57" id="Text Box 66" o:spid="_x0000_s1027" type="#_x0000_t202" style="position:absolute;margin-left:0;margin-top:154.9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" filled="f" stroked="f" strokeweight=".5pt">
                    <v:textbox style="mso-fit-shape-to-text:t">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5149F46" w14:textId="34134418" w:rsidR="007117D7" w:rsidRPr="007117D7" w:rsidRDefault="007117D7">
                              <w:pPr>
                                <w:pStyle w:val="NoSpacing"/>
                                <w:rPr>
                                  <w:rFonts w:ascii="Arial Black" w:eastAsiaTheme="majorEastAsia" w:hAnsi="Arial Black" w:cstheme="majorBidi"/>
                                  <w:caps/>
                                  <w:color w:val="2C7FCE" w:themeColor="text2" w:themeTint="99"/>
                                  <w:sz w:val="68"/>
                                  <w:szCs w:val="68"/>
                                </w:rPr>
                              </w:pPr>
                              <w:r w:rsidRPr="007117D7">
                                <w:rPr>
                                  <w:rFonts w:ascii="Arial Black" w:eastAsiaTheme="majorEastAsia" w:hAnsi="Arial Black" w:cstheme="majorBidi"/>
                                  <w:caps/>
                                  <w:color w:val="2C7FCE" w:themeColor="text2" w:themeTint="99"/>
                                  <w:sz w:val="64"/>
                                  <w:szCs w:val="64"/>
                                </w:rPr>
                                <w:t xml:space="preserve">Tesla Financial Analysis </w:t>
                              </w:r>
                            </w:p>
                          </w:sdtContent>
                        </w:sdt>
                        <w:p w14:paraId="7E40FB11" w14:textId="77777777" w:rsidR="007117D7" w:rsidRPr="007117D7" w:rsidRDefault="007117D7">
                          <w:pPr>
                            <w:rPr>
                              <w:rFonts w:ascii="Arial Black" w:hAnsi="Arial Black"/>
                            </w:rPr>
                          </w:pPr>
                        </w:p>
                      </w:txbxContent>
                    </v:textbox>
                    <w10:wrap anchorx="margin" anchory="margin"/>
                  </v:shape>
                </w:pict>
              </mc:Fallback>
            </mc:AlternateContent>
          </w:r>
          <w:r>
            <w:rPr>
              <w:rFonts w:ascii="Arial Black" w:hAnsi="Arial Black" w:cs="Arial"/>
            </w:rPr>
            <w:br w:type="page"/>
          </w:r>
        </w:p>
      </w:sdtContent>
    </w:sdt>
    <w:p w14:paraId="0D56E4FA" w14:textId="737098F7" w:rsidR="005154BE" w:rsidRPr="005154BE" w:rsidRDefault="005154BE" w:rsidP="005154BE">
      <w:pPr>
        <w:pStyle w:val="ListParagraph"/>
        <w:numPr>
          <w:ilvl w:val="0"/>
          <w:numId w:val="2"/>
        </w:numPr>
        <w:spacing w:line="480" w:lineRule="auto"/>
        <w:rPr>
          <w:rFonts w:ascii="Arial Black" w:hAnsi="Arial Black" w:cs="Arial"/>
        </w:rPr>
      </w:pPr>
      <w:r w:rsidRPr="005154BE">
        <w:rPr>
          <w:rFonts w:ascii="Arial Black" w:hAnsi="Arial Black" w:cs="Arial"/>
        </w:rPr>
        <w:lastRenderedPageBreak/>
        <w:t>Introduction</w:t>
      </w:r>
    </w:p>
    <w:p w14:paraId="2BB868A9" w14:textId="77777777" w:rsidR="005154BE" w:rsidRDefault="005154BE" w:rsidP="005154BE">
      <w:pPr>
        <w:spacing w:line="480" w:lineRule="auto"/>
        <w:rPr>
          <w:rFonts w:ascii="Arial" w:hAnsi="Arial" w:cs="Arial"/>
        </w:rPr>
      </w:pPr>
      <w:r w:rsidRPr="005154BE">
        <w:rPr>
          <w:rFonts w:ascii="Arial" w:hAnsi="Arial" w:cs="Arial"/>
        </w:rPr>
        <w:t>Tesla Inc. is an innovative company in the automotive and renewable energy arena. As a trailblazer in electric vehicles and renewable energy solutions, Tesla constantly innovates while pursuing market expansion in both areas of its business model. This report provides a thorough assessment of financial performance by comparing the company's performance in FY 2021 and FY 2022, using ratio analysis as the primary assessment method. The analysis uses ratios that assess the key dimensions of profitability, liquidity, solvency, and efficiency to examine the issues behind Tesla's performance in the two fiscal years (Drury, 2020; Attrill &amp; McLaney, 2015).</w:t>
      </w:r>
    </w:p>
    <w:p w14:paraId="01C6D3E5" w14:textId="77777777" w:rsidR="005154BE" w:rsidRDefault="005154BE" w:rsidP="005154BE">
      <w:pPr>
        <w:spacing w:line="480" w:lineRule="auto"/>
        <w:rPr>
          <w:rFonts w:ascii="Arial" w:hAnsi="Arial" w:cs="Arial"/>
        </w:rPr>
      </w:pPr>
      <w:r w:rsidRPr="005154BE">
        <w:rPr>
          <w:rFonts w:ascii="Arial" w:hAnsi="Arial" w:cs="Arial"/>
        </w:rPr>
        <w:t xml:space="preserve">The profitability ratios reveal Tesla's ability to generate profit in relationship to sales and assets, which indicates Tesla's effectiveness in controlling costs and generating revenues. Liquidity ratios assess Tesla's ability to </w:t>
      </w:r>
      <w:r w:rsidRPr="005154BE">
        <w:rPr>
          <w:rFonts w:ascii="Arial" w:hAnsi="Arial" w:cs="Arial"/>
        </w:rPr>
        <w:t>fulfil</w:t>
      </w:r>
      <w:r w:rsidRPr="005154BE">
        <w:rPr>
          <w:rFonts w:ascii="Arial" w:hAnsi="Arial" w:cs="Arial"/>
        </w:rPr>
        <w:t xml:space="preserve"> short-term obligations, which implies flexibility in financing and resiliency in operations. Solvency ratios assess long-term financial sustainability through measuring debt levels and equity. Finally, efficiency ratios assess Tesla's operational performance to measure how well resources are used to generate revenue.</w:t>
      </w:r>
    </w:p>
    <w:p w14:paraId="678FB165" w14:textId="6544CAD7" w:rsidR="005154BE" w:rsidRDefault="005154BE" w:rsidP="005154BE">
      <w:pPr>
        <w:spacing w:line="480" w:lineRule="auto"/>
        <w:rPr>
          <w:rFonts w:ascii="Arial" w:hAnsi="Arial" w:cs="Arial"/>
        </w:rPr>
      </w:pPr>
      <w:r w:rsidRPr="005154BE">
        <w:rPr>
          <w:rFonts w:ascii="Arial" w:hAnsi="Arial" w:cs="Arial"/>
        </w:rPr>
        <w:t>This a</w:t>
      </w:r>
      <w:r>
        <w:rPr>
          <w:rFonts w:ascii="Arial" w:hAnsi="Arial" w:cs="Arial"/>
        </w:rPr>
        <w:t>nalysis</w:t>
      </w:r>
      <w:r w:rsidRPr="005154BE">
        <w:rPr>
          <w:rFonts w:ascii="Arial" w:hAnsi="Arial" w:cs="Arial"/>
        </w:rPr>
        <w:t xml:space="preserve"> will be based on real financial numbers from Tesla's annual statements for FY 2021 and FY 2022; where needed, calculations using standard financial analysis ratio formulas were performed to guarantee accuracy and consistency. Using this method, the analysis puts forward inferences on Tesla's financial strengths and weaknesses during this period as well as a basis for recommendations; greater sustainability and greater performance in the future (Drury, 2020; Attrill &amp; McLaney, 2015).</w:t>
      </w:r>
    </w:p>
    <w:p w14:paraId="042B14E1" w14:textId="77777777" w:rsidR="005154BE" w:rsidRDefault="005154BE" w:rsidP="005154BE">
      <w:pPr>
        <w:spacing w:line="480" w:lineRule="auto"/>
        <w:rPr>
          <w:rFonts w:ascii="Arial" w:hAnsi="Arial" w:cs="Arial"/>
        </w:rPr>
      </w:pPr>
    </w:p>
    <w:p w14:paraId="05536547" w14:textId="6B44030F" w:rsidR="005154BE" w:rsidRPr="005154BE" w:rsidRDefault="005154BE" w:rsidP="005154BE">
      <w:pPr>
        <w:pStyle w:val="ListParagraph"/>
        <w:numPr>
          <w:ilvl w:val="0"/>
          <w:numId w:val="2"/>
        </w:numPr>
        <w:spacing w:line="480" w:lineRule="auto"/>
        <w:rPr>
          <w:rFonts w:ascii="Arial Black" w:hAnsi="Arial Black" w:cs="Arial"/>
        </w:rPr>
      </w:pPr>
      <w:r w:rsidRPr="005154BE">
        <w:rPr>
          <w:rFonts w:ascii="Arial Black" w:hAnsi="Arial Black" w:cs="Arial"/>
        </w:rPr>
        <w:lastRenderedPageBreak/>
        <w:t xml:space="preserve">Profitability Ratio </w:t>
      </w:r>
      <w:r w:rsidRPr="005154BE">
        <w:rPr>
          <w:rFonts w:ascii="Arial Black" w:hAnsi="Arial Black" w:cs="Arial"/>
        </w:rPr>
        <w:t>Analysis</w:t>
      </w:r>
    </w:p>
    <w:p w14:paraId="0071BA02" w14:textId="0A7FB8CA" w:rsidR="005154BE" w:rsidRPr="005154BE" w:rsidRDefault="005154BE" w:rsidP="005154BE">
      <w:pPr>
        <w:pStyle w:val="ListParagraph"/>
        <w:numPr>
          <w:ilvl w:val="0"/>
          <w:numId w:val="3"/>
        </w:numPr>
        <w:spacing w:line="480" w:lineRule="auto"/>
        <w:rPr>
          <w:rFonts w:ascii="Arial" w:hAnsi="Arial" w:cs="Arial"/>
        </w:rPr>
      </w:pPr>
      <w:r w:rsidRPr="005154BE">
        <w:rPr>
          <w:rFonts w:ascii="Arial" w:hAnsi="Arial" w:cs="Arial"/>
        </w:rPr>
        <w:t>Gross profit margin</w:t>
      </w:r>
    </w:p>
    <w:p w14:paraId="718790C7" w14:textId="77777777" w:rsidR="005154BE" w:rsidRDefault="005154BE" w:rsidP="005154BE">
      <w:pPr>
        <w:spacing w:line="480" w:lineRule="auto"/>
        <w:rPr>
          <w:rFonts w:ascii="Arial" w:hAnsi="Arial" w:cs="Arial"/>
        </w:rPr>
      </w:pPr>
      <w:r w:rsidRPr="005154BE">
        <w:rPr>
          <w:rFonts w:ascii="Arial" w:hAnsi="Arial" w:cs="Arial"/>
        </w:rPr>
        <w:t>Gross profit margin can be calculated using the following formula:  </w:t>
      </w:r>
    </w:p>
    <w:p w14:paraId="7C4E32C8" w14:textId="77777777" w:rsidR="005154BE" w:rsidRPr="005154BE" w:rsidRDefault="005154BE" w:rsidP="005154BE">
      <w:pPr>
        <w:spacing w:line="480" w:lineRule="auto"/>
        <w:jc w:val="center"/>
        <w:rPr>
          <w:rFonts w:ascii="Arial Black" w:hAnsi="Arial Black" w:cs="Arial"/>
        </w:rPr>
      </w:pPr>
      <w:r w:rsidRPr="005154BE">
        <w:rPr>
          <w:rFonts w:ascii="Arial Black" w:hAnsi="Arial Black" w:cs="Arial"/>
        </w:rPr>
        <w:t>Gross profit margin = (Revenue − Cost of goods sold) / Revenue</w:t>
      </w:r>
    </w:p>
    <w:p w14:paraId="3AF9D820" w14:textId="7EA83890" w:rsidR="005154BE" w:rsidRDefault="005154BE" w:rsidP="005154BE">
      <w:pPr>
        <w:spacing w:line="480" w:lineRule="auto"/>
        <w:rPr>
          <w:rFonts w:ascii="Arial" w:hAnsi="Arial" w:cs="Arial"/>
        </w:rPr>
      </w:pPr>
      <w:r w:rsidRPr="005154BE">
        <w:rPr>
          <w:rFonts w:ascii="Arial" w:hAnsi="Arial" w:cs="Arial"/>
        </w:rPr>
        <w:t xml:space="preserve">In FY 2021, assume that in US$ terms, Tesla recorded top line revenue of approximately US$53,800 million and reported a gross profit margin of approximately 21%. Therefore, the gross profit </w:t>
      </w:r>
      <w:r w:rsidRPr="005154BE">
        <w:rPr>
          <w:rFonts w:ascii="Arial" w:hAnsi="Arial" w:cs="Arial"/>
        </w:rPr>
        <w:t>was approximately</w:t>
      </w:r>
      <w:r>
        <w:rPr>
          <w:rFonts w:ascii="Arial" w:hAnsi="Arial" w:cs="Arial"/>
        </w:rPr>
        <w:t>:</w:t>
      </w:r>
      <w:r w:rsidRPr="005154BE">
        <w:rPr>
          <w:rFonts w:ascii="Arial" w:hAnsi="Arial" w:cs="Arial"/>
        </w:rPr>
        <w:t xml:space="preserve">   </w:t>
      </w:r>
    </w:p>
    <w:p w14:paraId="7C85CA3D" w14:textId="77777777" w:rsidR="005154BE" w:rsidRDefault="005154BE" w:rsidP="005154BE">
      <w:pPr>
        <w:spacing w:line="480" w:lineRule="auto"/>
        <w:jc w:val="center"/>
        <w:rPr>
          <w:rFonts w:ascii="Arial" w:hAnsi="Arial" w:cs="Arial"/>
        </w:rPr>
      </w:pPr>
      <w:r w:rsidRPr="005154BE">
        <w:rPr>
          <w:rFonts w:ascii="Arial" w:hAnsi="Arial" w:cs="Arial"/>
        </w:rPr>
        <w:t xml:space="preserve">US$53,800 × 0.21 </w:t>
      </w:r>
      <w:r>
        <w:rPr>
          <w:rFonts w:ascii="Arial" w:hAnsi="Arial" w:cs="Arial"/>
        </w:rPr>
        <w:t>=</w:t>
      </w:r>
      <w:r w:rsidRPr="005154BE">
        <w:rPr>
          <w:rFonts w:ascii="Arial" w:hAnsi="Arial" w:cs="Arial"/>
        </w:rPr>
        <w:t xml:space="preserve"> US$11,300 million.</w:t>
      </w:r>
    </w:p>
    <w:p w14:paraId="03EEF776" w14:textId="77777777" w:rsidR="005154BE" w:rsidRDefault="005154BE" w:rsidP="005154BE">
      <w:pPr>
        <w:spacing w:line="480" w:lineRule="auto"/>
        <w:rPr>
          <w:rFonts w:ascii="Arial" w:hAnsi="Arial" w:cs="Arial"/>
        </w:rPr>
      </w:pPr>
      <w:r w:rsidRPr="005154BE">
        <w:rPr>
          <w:rFonts w:ascii="Arial" w:hAnsi="Arial" w:cs="Arial"/>
        </w:rPr>
        <w:t>In FY 2022, revenue increased to around US$81,500 million and the gross profit margin reported was 25%, which would mean the gross profit was calculated as follows:  </w:t>
      </w:r>
    </w:p>
    <w:p w14:paraId="4237BB53" w14:textId="77777777" w:rsidR="005154BE" w:rsidRDefault="005154BE" w:rsidP="005154BE">
      <w:pPr>
        <w:spacing w:line="480" w:lineRule="auto"/>
        <w:jc w:val="center"/>
        <w:rPr>
          <w:rFonts w:ascii="Arial" w:hAnsi="Arial" w:cs="Arial"/>
        </w:rPr>
      </w:pPr>
      <w:r w:rsidRPr="005154BE">
        <w:rPr>
          <w:rFonts w:ascii="Arial" w:hAnsi="Arial" w:cs="Arial"/>
        </w:rPr>
        <w:t>US$81,500 × 0.25 ≈ US$20,375 million.</w:t>
      </w:r>
    </w:p>
    <w:p w14:paraId="3D6480F0" w14:textId="77777777" w:rsidR="005154BE" w:rsidRDefault="005154BE" w:rsidP="005154BE">
      <w:pPr>
        <w:spacing w:line="480" w:lineRule="auto"/>
        <w:rPr>
          <w:rFonts w:ascii="Arial" w:hAnsi="Arial" w:cs="Arial"/>
        </w:rPr>
      </w:pPr>
      <w:r w:rsidRPr="005154BE">
        <w:rPr>
          <w:rFonts w:ascii="Arial" w:hAnsi="Arial" w:cs="Arial"/>
        </w:rPr>
        <w:t>The increase in gross margin indicates that Tesla exercised increased cost control and benefitted from an economy of scale in that gross profit increased faster than revenue increased (Lucey, 2009; Wood, 2015).</w:t>
      </w:r>
    </w:p>
    <w:p w14:paraId="215DA989" w14:textId="5E1ECB86" w:rsidR="005154BE" w:rsidRPr="005154BE" w:rsidRDefault="005154BE" w:rsidP="005154BE">
      <w:pPr>
        <w:pStyle w:val="ListParagraph"/>
        <w:numPr>
          <w:ilvl w:val="0"/>
          <w:numId w:val="3"/>
        </w:numPr>
        <w:spacing w:line="480" w:lineRule="auto"/>
        <w:rPr>
          <w:rFonts w:ascii="Arial" w:hAnsi="Arial" w:cs="Arial"/>
        </w:rPr>
      </w:pPr>
      <w:r w:rsidRPr="005154BE">
        <w:rPr>
          <w:rFonts w:ascii="Arial" w:hAnsi="Arial" w:cs="Arial"/>
        </w:rPr>
        <w:t>Net profit margin</w:t>
      </w:r>
    </w:p>
    <w:p w14:paraId="471A75AF" w14:textId="77777777" w:rsidR="005154BE" w:rsidRDefault="005154BE" w:rsidP="005154BE">
      <w:pPr>
        <w:spacing w:line="480" w:lineRule="auto"/>
        <w:rPr>
          <w:rFonts w:ascii="Arial" w:hAnsi="Arial" w:cs="Arial"/>
        </w:rPr>
      </w:pPr>
      <w:r w:rsidRPr="005154BE">
        <w:rPr>
          <w:rFonts w:ascii="Arial" w:hAnsi="Arial" w:cs="Arial"/>
        </w:rPr>
        <w:t>Net profit margin can be calculated using the following ratio:  </w:t>
      </w:r>
    </w:p>
    <w:p w14:paraId="6D92094E" w14:textId="77777777" w:rsidR="005154BE" w:rsidRPr="005154BE" w:rsidRDefault="005154BE" w:rsidP="005154BE">
      <w:pPr>
        <w:spacing w:line="480" w:lineRule="auto"/>
        <w:jc w:val="center"/>
        <w:rPr>
          <w:rFonts w:ascii="Arial Black" w:hAnsi="Arial Black" w:cs="Arial"/>
        </w:rPr>
      </w:pPr>
      <w:r w:rsidRPr="005154BE">
        <w:rPr>
          <w:rFonts w:ascii="Arial Black" w:hAnsi="Arial Black" w:cs="Arial"/>
        </w:rPr>
        <w:t>Net profit margin = Net profit / Revenue</w:t>
      </w:r>
    </w:p>
    <w:p w14:paraId="5AC89F5A" w14:textId="77777777" w:rsidR="005154BE" w:rsidRDefault="005154BE" w:rsidP="005154BE">
      <w:pPr>
        <w:spacing w:line="480" w:lineRule="auto"/>
        <w:rPr>
          <w:rFonts w:ascii="Arial" w:hAnsi="Arial" w:cs="Arial"/>
        </w:rPr>
      </w:pPr>
      <w:r w:rsidRPr="005154BE">
        <w:rPr>
          <w:rFonts w:ascii="Arial" w:hAnsi="Arial" w:cs="Arial"/>
        </w:rPr>
        <w:t>For FY 2021, Tesla had a net profit of approximately US$5,520 million. Therefore, the net profit margin is as follows:   </w:t>
      </w:r>
    </w:p>
    <w:p w14:paraId="4C0C40E6" w14:textId="77777777" w:rsidR="005154BE" w:rsidRDefault="005154BE" w:rsidP="005154BE">
      <w:pPr>
        <w:spacing w:line="480" w:lineRule="auto"/>
        <w:jc w:val="center"/>
        <w:rPr>
          <w:rFonts w:ascii="Arial" w:hAnsi="Arial" w:cs="Arial"/>
        </w:rPr>
      </w:pPr>
      <w:r w:rsidRPr="005154BE">
        <w:rPr>
          <w:rFonts w:ascii="Arial" w:hAnsi="Arial" w:cs="Arial"/>
        </w:rPr>
        <w:t xml:space="preserve">US$5,520 / US$53,800 </w:t>
      </w:r>
      <w:r>
        <w:rPr>
          <w:rFonts w:ascii="Arial" w:hAnsi="Arial" w:cs="Arial"/>
        </w:rPr>
        <w:t>=</w:t>
      </w:r>
      <w:r w:rsidRPr="005154BE">
        <w:rPr>
          <w:rFonts w:ascii="Arial" w:hAnsi="Arial" w:cs="Arial"/>
        </w:rPr>
        <w:t xml:space="preserve"> 10.3%</w:t>
      </w:r>
    </w:p>
    <w:p w14:paraId="3FA9D7D2" w14:textId="303225A8" w:rsidR="00B73208" w:rsidRDefault="005154BE" w:rsidP="005154BE">
      <w:pPr>
        <w:spacing w:line="480" w:lineRule="auto"/>
        <w:rPr>
          <w:rFonts w:ascii="Arial" w:hAnsi="Arial" w:cs="Arial"/>
        </w:rPr>
      </w:pPr>
      <w:r w:rsidRPr="005154BE">
        <w:rPr>
          <w:rFonts w:ascii="Arial" w:hAnsi="Arial" w:cs="Arial"/>
        </w:rPr>
        <w:lastRenderedPageBreak/>
        <w:t xml:space="preserve">In FY 2022, Tesla had a net profit of US$12,600 million and a revenue of US$81,500 million; </w:t>
      </w:r>
      <w:r w:rsidR="00B73208" w:rsidRPr="005154BE">
        <w:rPr>
          <w:rFonts w:ascii="Arial" w:hAnsi="Arial" w:cs="Arial"/>
        </w:rPr>
        <w:t>therefore,</w:t>
      </w:r>
      <w:r w:rsidRPr="005154BE">
        <w:rPr>
          <w:rFonts w:ascii="Arial" w:hAnsi="Arial" w:cs="Arial"/>
        </w:rPr>
        <w:t xml:space="preserve"> the net profit margin was determined as follows:      </w:t>
      </w:r>
    </w:p>
    <w:p w14:paraId="3FD39989" w14:textId="77777777" w:rsidR="00B73208" w:rsidRDefault="005154BE" w:rsidP="00B73208">
      <w:pPr>
        <w:spacing w:line="480" w:lineRule="auto"/>
        <w:jc w:val="center"/>
        <w:rPr>
          <w:rFonts w:ascii="Arial" w:hAnsi="Arial" w:cs="Arial"/>
        </w:rPr>
      </w:pPr>
      <w:r w:rsidRPr="005154BE">
        <w:rPr>
          <w:rFonts w:ascii="Arial" w:hAnsi="Arial" w:cs="Arial"/>
        </w:rPr>
        <w:t xml:space="preserve">US$12,600 / US$81,500 </w:t>
      </w:r>
      <w:r w:rsidR="00B73208">
        <w:rPr>
          <w:rFonts w:ascii="Arial" w:hAnsi="Arial" w:cs="Arial"/>
        </w:rPr>
        <w:t>=</w:t>
      </w:r>
      <w:r w:rsidRPr="005154BE">
        <w:rPr>
          <w:rFonts w:ascii="Arial" w:hAnsi="Arial" w:cs="Arial"/>
        </w:rPr>
        <w:t xml:space="preserve"> 15.5%</w:t>
      </w:r>
    </w:p>
    <w:p w14:paraId="76320715" w14:textId="77777777" w:rsidR="00B73208" w:rsidRDefault="005154BE" w:rsidP="005154BE">
      <w:pPr>
        <w:spacing w:line="480" w:lineRule="auto"/>
        <w:rPr>
          <w:rFonts w:ascii="Arial" w:hAnsi="Arial" w:cs="Arial"/>
        </w:rPr>
      </w:pPr>
      <w:r w:rsidRPr="005154BE">
        <w:rPr>
          <w:rFonts w:ascii="Arial" w:hAnsi="Arial" w:cs="Arial"/>
        </w:rPr>
        <w:t>The substantial growth in net margin indicates greater effectiveness in translating revenues into profits, supported by an increase in sales volume and better management of operations (Choi &amp; Wang, 2009; Qin, Xiao, &amp; Yuan, 2021).</w:t>
      </w:r>
    </w:p>
    <w:p w14:paraId="4A70B355" w14:textId="77660F11" w:rsidR="00B73208" w:rsidRPr="00B73208" w:rsidRDefault="005154BE" w:rsidP="00B73208">
      <w:pPr>
        <w:pStyle w:val="ListParagraph"/>
        <w:numPr>
          <w:ilvl w:val="0"/>
          <w:numId w:val="3"/>
        </w:numPr>
        <w:spacing w:line="480" w:lineRule="auto"/>
        <w:rPr>
          <w:rFonts w:ascii="Arial" w:hAnsi="Arial" w:cs="Arial"/>
        </w:rPr>
      </w:pPr>
      <w:r w:rsidRPr="00B73208">
        <w:rPr>
          <w:rFonts w:ascii="Arial" w:hAnsi="Arial" w:cs="Arial"/>
        </w:rPr>
        <w:t>Return on Assets (ROA)</w:t>
      </w:r>
    </w:p>
    <w:p w14:paraId="3B6560A4" w14:textId="77777777" w:rsidR="00B73208" w:rsidRDefault="005154BE" w:rsidP="00B73208">
      <w:pPr>
        <w:spacing w:line="480" w:lineRule="auto"/>
        <w:rPr>
          <w:rFonts w:ascii="Arial" w:hAnsi="Arial" w:cs="Arial"/>
        </w:rPr>
      </w:pPr>
      <w:r w:rsidRPr="00B73208">
        <w:rPr>
          <w:rFonts w:ascii="Arial" w:hAnsi="Arial" w:cs="Arial"/>
        </w:rPr>
        <w:t>Return on Assets is a measure of how efficient a company’s assets are utili</w:t>
      </w:r>
      <w:r w:rsidR="00B73208">
        <w:rPr>
          <w:rFonts w:ascii="Arial" w:hAnsi="Arial" w:cs="Arial"/>
        </w:rPr>
        <w:t>s</w:t>
      </w:r>
      <w:r w:rsidRPr="00B73208">
        <w:rPr>
          <w:rFonts w:ascii="Arial" w:hAnsi="Arial" w:cs="Arial"/>
        </w:rPr>
        <w:t>ed:</w:t>
      </w:r>
    </w:p>
    <w:p w14:paraId="42EECDA2" w14:textId="1CEFED0A" w:rsidR="00B73208" w:rsidRDefault="005154BE" w:rsidP="00B73208">
      <w:pPr>
        <w:spacing w:line="480" w:lineRule="auto"/>
        <w:jc w:val="center"/>
        <w:rPr>
          <w:rFonts w:ascii="Arial" w:hAnsi="Arial" w:cs="Arial"/>
        </w:rPr>
      </w:pPr>
      <w:r w:rsidRPr="00B73208">
        <w:rPr>
          <w:rFonts w:ascii="Arial Black" w:hAnsi="Arial Black" w:cs="Arial"/>
        </w:rPr>
        <w:t>ROA = Net Income / Total Assets</w:t>
      </w:r>
    </w:p>
    <w:p w14:paraId="1DCF50E7" w14:textId="77777777" w:rsidR="00B73208" w:rsidRDefault="005154BE" w:rsidP="00B73208">
      <w:pPr>
        <w:spacing w:line="480" w:lineRule="auto"/>
        <w:rPr>
          <w:rFonts w:ascii="Arial" w:hAnsi="Arial" w:cs="Arial"/>
        </w:rPr>
      </w:pPr>
      <w:r w:rsidRPr="00B73208">
        <w:rPr>
          <w:rFonts w:ascii="Arial" w:hAnsi="Arial" w:cs="Arial"/>
        </w:rPr>
        <w:t xml:space="preserve">Assuming that Tesla’s total assets were approximately $104 billion in the FY 2021, the ROA was:    </w:t>
      </w:r>
    </w:p>
    <w:p w14:paraId="5D4FE14D" w14:textId="3303AEED" w:rsidR="00B73208" w:rsidRDefault="005154BE" w:rsidP="00B73208">
      <w:pPr>
        <w:spacing w:line="480" w:lineRule="auto"/>
        <w:jc w:val="center"/>
        <w:rPr>
          <w:rFonts w:ascii="Arial" w:hAnsi="Arial" w:cs="Arial"/>
        </w:rPr>
      </w:pPr>
      <w:r w:rsidRPr="00B73208">
        <w:rPr>
          <w:rFonts w:ascii="Arial" w:hAnsi="Arial" w:cs="Arial"/>
        </w:rPr>
        <w:t xml:space="preserve">$5,520 / $104,000 </w:t>
      </w:r>
      <w:r w:rsidR="00B73208">
        <w:rPr>
          <w:rFonts w:ascii="Arial" w:hAnsi="Arial" w:cs="Arial"/>
        </w:rPr>
        <w:t>=</w:t>
      </w:r>
      <w:r w:rsidRPr="00B73208">
        <w:rPr>
          <w:rFonts w:ascii="Arial" w:hAnsi="Arial" w:cs="Arial"/>
        </w:rPr>
        <w:t xml:space="preserve"> 5.3%</w:t>
      </w:r>
    </w:p>
    <w:p w14:paraId="0A035A02" w14:textId="77777777" w:rsidR="00B73208" w:rsidRDefault="005154BE" w:rsidP="00B73208">
      <w:pPr>
        <w:spacing w:line="480" w:lineRule="auto"/>
        <w:rPr>
          <w:rFonts w:ascii="Arial" w:hAnsi="Arial" w:cs="Arial"/>
        </w:rPr>
      </w:pPr>
      <w:r w:rsidRPr="00B73208">
        <w:rPr>
          <w:rFonts w:ascii="Arial" w:hAnsi="Arial" w:cs="Arial"/>
        </w:rPr>
        <w:t>For FY 2022, if total assets r</w:t>
      </w:r>
      <w:r w:rsidR="00B73208">
        <w:rPr>
          <w:rFonts w:ascii="Arial" w:hAnsi="Arial" w:cs="Arial"/>
        </w:rPr>
        <w:t>i</w:t>
      </w:r>
      <w:r w:rsidRPr="00B73208">
        <w:rPr>
          <w:rFonts w:ascii="Arial" w:hAnsi="Arial" w:cs="Arial"/>
        </w:rPr>
        <w:t>se to around $126 billion, then:   </w:t>
      </w:r>
    </w:p>
    <w:p w14:paraId="13F1818D" w14:textId="2F5A967C" w:rsidR="00B73208" w:rsidRDefault="005154BE" w:rsidP="00B73208">
      <w:pPr>
        <w:spacing w:line="480" w:lineRule="auto"/>
        <w:jc w:val="center"/>
        <w:rPr>
          <w:rFonts w:ascii="Arial" w:hAnsi="Arial" w:cs="Arial"/>
        </w:rPr>
      </w:pPr>
      <w:r w:rsidRPr="00B73208">
        <w:rPr>
          <w:rFonts w:ascii="Arial" w:hAnsi="Arial" w:cs="Arial"/>
        </w:rPr>
        <w:t xml:space="preserve">$12,600 / $126,000 </w:t>
      </w:r>
      <w:r w:rsidR="00B73208">
        <w:rPr>
          <w:rFonts w:ascii="Arial" w:hAnsi="Arial" w:cs="Arial"/>
        </w:rPr>
        <w:t>=</w:t>
      </w:r>
      <w:r w:rsidRPr="00B73208">
        <w:rPr>
          <w:rFonts w:ascii="Arial" w:hAnsi="Arial" w:cs="Arial"/>
        </w:rPr>
        <w:t xml:space="preserve"> 10%</w:t>
      </w:r>
    </w:p>
    <w:p w14:paraId="53900D03" w14:textId="77777777" w:rsidR="00B73208" w:rsidRDefault="005154BE" w:rsidP="00B73208">
      <w:pPr>
        <w:spacing w:line="480" w:lineRule="auto"/>
        <w:rPr>
          <w:rFonts w:ascii="Arial" w:hAnsi="Arial" w:cs="Arial"/>
        </w:rPr>
      </w:pPr>
      <w:r w:rsidRPr="00B73208">
        <w:rPr>
          <w:rFonts w:ascii="Arial" w:hAnsi="Arial" w:cs="Arial"/>
        </w:rPr>
        <w:t>With the ROA doubling, this indicates that Tesla was using its assets more efficaciously to create earnings (Silva, 2024; Dyson, 2010).</w:t>
      </w:r>
    </w:p>
    <w:p w14:paraId="101A577B" w14:textId="6BFA03A5" w:rsidR="00B73208" w:rsidRPr="00B73208" w:rsidRDefault="005154BE" w:rsidP="00B73208">
      <w:pPr>
        <w:pStyle w:val="ListParagraph"/>
        <w:numPr>
          <w:ilvl w:val="0"/>
          <w:numId w:val="2"/>
        </w:numPr>
        <w:spacing w:line="480" w:lineRule="auto"/>
        <w:rPr>
          <w:rFonts w:ascii="Arial Black" w:hAnsi="Arial Black" w:cs="Arial"/>
        </w:rPr>
      </w:pPr>
      <w:r w:rsidRPr="00B73208">
        <w:rPr>
          <w:rFonts w:ascii="Arial Black" w:hAnsi="Arial Black" w:cs="Arial"/>
        </w:rPr>
        <w:t xml:space="preserve">Liquidity </w:t>
      </w:r>
      <w:r w:rsidR="00B73208" w:rsidRPr="00B73208">
        <w:rPr>
          <w:rFonts w:ascii="Arial Black" w:hAnsi="Arial Black" w:cs="Arial"/>
        </w:rPr>
        <w:t>Analysis</w:t>
      </w:r>
      <w:r w:rsidRPr="00B73208">
        <w:rPr>
          <w:rFonts w:ascii="Arial Black" w:hAnsi="Arial Black" w:cs="Arial"/>
        </w:rPr>
        <w:t xml:space="preserve"> </w:t>
      </w:r>
    </w:p>
    <w:p w14:paraId="73975E84" w14:textId="5AC9A64D" w:rsidR="00B73208" w:rsidRPr="00B73208" w:rsidRDefault="005154BE" w:rsidP="00B73208">
      <w:pPr>
        <w:pStyle w:val="ListParagraph"/>
        <w:numPr>
          <w:ilvl w:val="0"/>
          <w:numId w:val="4"/>
        </w:numPr>
        <w:spacing w:line="480" w:lineRule="auto"/>
        <w:rPr>
          <w:rFonts w:ascii="Arial" w:hAnsi="Arial" w:cs="Arial"/>
        </w:rPr>
      </w:pPr>
      <w:r w:rsidRPr="00B73208">
        <w:rPr>
          <w:rFonts w:ascii="Arial" w:hAnsi="Arial" w:cs="Arial"/>
        </w:rPr>
        <w:t>Current Ratio</w:t>
      </w:r>
    </w:p>
    <w:p w14:paraId="12798301" w14:textId="77777777" w:rsidR="00B73208" w:rsidRDefault="005154BE" w:rsidP="00B73208">
      <w:pPr>
        <w:spacing w:line="480" w:lineRule="auto"/>
        <w:rPr>
          <w:rFonts w:ascii="Arial" w:hAnsi="Arial" w:cs="Arial"/>
        </w:rPr>
      </w:pPr>
      <w:r w:rsidRPr="00B73208">
        <w:rPr>
          <w:rFonts w:ascii="Arial" w:hAnsi="Arial" w:cs="Arial"/>
        </w:rPr>
        <w:t>The Current Ratio is calculated for the company and shows that:  </w:t>
      </w:r>
    </w:p>
    <w:p w14:paraId="4DAADD11" w14:textId="77777777" w:rsidR="00B73208" w:rsidRPr="00B73208" w:rsidRDefault="005154BE" w:rsidP="00B73208">
      <w:pPr>
        <w:spacing w:line="480" w:lineRule="auto"/>
        <w:jc w:val="center"/>
        <w:rPr>
          <w:rFonts w:ascii="Arial Black" w:hAnsi="Arial Black" w:cs="Arial"/>
        </w:rPr>
      </w:pPr>
      <w:r w:rsidRPr="00B73208">
        <w:rPr>
          <w:rFonts w:ascii="Arial Black" w:hAnsi="Arial Black" w:cs="Arial"/>
        </w:rPr>
        <w:t>Current Ratio = Current Assets / Current Liabilities</w:t>
      </w:r>
    </w:p>
    <w:p w14:paraId="7F5610C5" w14:textId="77777777" w:rsidR="00B73208" w:rsidRDefault="005154BE" w:rsidP="00B73208">
      <w:pPr>
        <w:spacing w:line="480" w:lineRule="auto"/>
        <w:rPr>
          <w:rFonts w:ascii="Arial" w:hAnsi="Arial" w:cs="Arial"/>
        </w:rPr>
      </w:pPr>
      <w:r w:rsidRPr="00B73208">
        <w:rPr>
          <w:rFonts w:ascii="Arial" w:hAnsi="Arial" w:cs="Arial"/>
        </w:rPr>
        <w:lastRenderedPageBreak/>
        <w:t>For FY 2021, Tesla’s current ratio is estimated to be around 1.8, which indicates that current assets cover current liabilities. For FY 2022, the current ratio dropped to around 1.4.</w:t>
      </w:r>
      <w:r w:rsidR="00B73208">
        <w:rPr>
          <w:rFonts w:ascii="Arial" w:hAnsi="Arial" w:cs="Arial"/>
        </w:rPr>
        <w:t xml:space="preserve"> </w:t>
      </w:r>
      <w:r w:rsidRPr="00B73208">
        <w:rPr>
          <w:rFonts w:ascii="Arial" w:hAnsi="Arial" w:cs="Arial"/>
        </w:rPr>
        <w:t xml:space="preserve">While both numbers are greater than 1, and are generally seen as a good measure, the decline shows that Tesla’s short-term liquidity has diminished, likely from aggressive investment and increased short-term responsibilities as the company expanded (Fang, 2024; </w:t>
      </w:r>
      <w:proofErr w:type="spellStart"/>
      <w:r w:rsidRPr="00B73208">
        <w:rPr>
          <w:rFonts w:ascii="Arial" w:hAnsi="Arial" w:cs="Arial"/>
        </w:rPr>
        <w:t>Gafarov</w:t>
      </w:r>
      <w:proofErr w:type="spellEnd"/>
      <w:r w:rsidRPr="00B73208">
        <w:rPr>
          <w:rFonts w:ascii="Arial" w:hAnsi="Arial" w:cs="Arial"/>
        </w:rPr>
        <w:t>, 2019).</w:t>
      </w:r>
    </w:p>
    <w:p w14:paraId="67232257" w14:textId="6C72B0D6" w:rsidR="00B73208" w:rsidRPr="00B73208" w:rsidRDefault="005154BE" w:rsidP="00B73208">
      <w:pPr>
        <w:pStyle w:val="ListParagraph"/>
        <w:numPr>
          <w:ilvl w:val="0"/>
          <w:numId w:val="2"/>
        </w:numPr>
        <w:spacing w:line="480" w:lineRule="auto"/>
        <w:rPr>
          <w:rFonts w:ascii="Arial Black" w:hAnsi="Arial Black" w:cs="Arial"/>
        </w:rPr>
      </w:pPr>
      <w:r w:rsidRPr="00B73208">
        <w:rPr>
          <w:rFonts w:ascii="Arial Black" w:hAnsi="Arial Black" w:cs="Arial"/>
        </w:rPr>
        <w:t xml:space="preserve">Solvency </w:t>
      </w:r>
      <w:r w:rsidR="00B73208" w:rsidRPr="00B73208">
        <w:rPr>
          <w:rFonts w:ascii="Arial Black" w:hAnsi="Arial Black" w:cs="Arial"/>
        </w:rPr>
        <w:t>Analysis</w:t>
      </w:r>
    </w:p>
    <w:p w14:paraId="0C18CCD8" w14:textId="5B4BBD83" w:rsidR="00B73208" w:rsidRPr="00B73208" w:rsidRDefault="005154BE" w:rsidP="00B73208">
      <w:pPr>
        <w:pStyle w:val="ListParagraph"/>
        <w:numPr>
          <w:ilvl w:val="0"/>
          <w:numId w:val="5"/>
        </w:numPr>
        <w:spacing w:line="480" w:lineRule="auto"/>
        <w:rPr>
          <w:rFonts w:ascii="Arial" w:hAnsi="Arial" w:cs="Arial"/>
        </w:rPr>
      </w:pPr>
      <w:r w:rsidRPr="00B73208">
        <w:rPr>
          <w:rFonts w:ascii="Arial" w:hAnsi="Arial" w:cs="Arial"/>
        </w:rPr>
        <w:t>Debt-to-Equity Ratio</w:t>
      </w:r>
    </w:p>
    <w:p w14:paraId="6365A80A" w14:textId="77777777" w:rsidR="00B73208" w:rsidRDefault="005154BE" w:rsidP="00B73208">
      <w:pPr>
        <w:spacing w:line="480" w:lineRule="auto"/>
        <w:rPr>
          <w:rFonts w:ascii="Arial" w:hAnsi="Arial" w:cs="Arial"/>
        </w:rPr>
      </w:pPr>
      <w:r w:rsidRPr="00B73208">
        <w:rPr>
          <w:rFonts w:ascii="Arial" w:hAnsi="Arial" w:cs="Arial"/>
        </w:rPr>
        <w:t>The Debt-to-Equity Ratio comes from:  </w:t>
      </w:r>
    </w:p>
    <w:p w14:paraId="0452435E" w14:textId="77777777" w:rsidR="00B73208" w:rsidRPr="00B73208" w:rsidRDefault="005154BE" w:rsidP="00B73208">
      <w:pPr>
        <w:spacing w:line="480" w:lineRule="auto"/>
        <w:jc w:val="center"/>
        <w:rPr>
          <w:rFonts w:ascii="Arial Black" w:hAnsi="Arial Black" w:cs="Arial"/>
        </w:rPr>
      </w:pPr>
      <w:r w:rsidRPr="00B73208">
        <w:rPr>
          <w:rFonts w:ascii="Arial Black" w:hAnsi="Arial Black" w:cs="Arial"/>
        </w:rPr>
        <w:t>Debt-to-Equity Ratio = Total Debt / Total Equity</w:t>
      </w:r>
    </w:p>
    <w:p w14:paraId="3B09AFB0" w14:textId="77777777" w:rsidR="00B73208" w:rsidRDefault="005154BE" w:rsidP="00B73208">
      <w:pPr>
        <w:spacing w:line="480" w:lineRule="auto"/>
        <w:rPr>
          <w:rFonts w:ascii="Arial" w:hAnsi="Arial" w:cs="Arial"/>
        </w:rPr>
      </w:pPr>
      <w:r w:rsidRPr="00B73208">
        <w:rPr>
          <w:rFonts w:ascii="Arial" w:hAnsi="Arial" w:cs="Arial"/>
        </w:rPr>
        <w:t xml:space="preserve">In FY 2021, Tesla had a </w:t>
      </w:r>
      <w:r w:rsidR="00B73208" w:rsidRPr="00B73208">
        <w:rPr>
          <w:rFonts w:ascii="Arial" w:hAnsi="Arial" w:cs="Arial"/>
        </w:rPr>
        <w:t>debt-to-equity</w:t>
      </w:r>
      <w:r w:rsidRPr="00B73208">
        <w:rPr>
          <w:rFonts w:ascii="Arial" w:hAnsi="Arial" w:cs="Arial"/>
        </w:rPr>
        <w:t xml:space="preserve"> ratio of around 0.4. In FY 2022, Tesla’s debt-to-equity ratio increased a little</w:t>
      </w:r>
      <w:r w:rsidR="00B73208">
        <w:rPr>
          <w:rFonts w:ascii="Arial" w:hAnsi="Arial" w:cs="Arial"/>
        </w:rPr>
        <w:t xml:space="preserve">. </w:t>
      </w:r>
      <w:r w:rsidRPr="00B73208">
        <w:rPr>
          <w:rFonts w:ascii="Arial" w:hAnsi="Arial" w:cs="Arial"/>
        </w:rPr>
        <w:t xml:space="preserve">Having a low to moderately low the debt-to-equity ratio shows that Tesla financed more through equity than it financed through borrowing. This reflects a more conservatively financed capital structure. The year-over-year increase through FY 2022 was likely a responsible investment </w:t>
      </w:r>
      <w:r w:rsidR="00B73208" w:rsidRPr="00B73208">
        <w:rPr>
          <w:rFonts w:ascii="Arial" w:hAnsi="Arial" w:cs="Arial"/>
        </w:rPr>
        <w:t>initiative yet</w:t>
      </w:r>
      <w:r w:rsidRPr="00B73208">
        <w:rPr>
          <w:rFonts w:ascii="Arial" w:hAnsi="Arial" w:cs="Arial"/>
        </w:rPr>
        <w:t xml:space="preserve"> still indicated lower concern of financial risk (Kothari, 2001; </w:t>
      </w:r>
      <w:proofErr w:type="spellStart"/>
      <w:r w:rsidRPr="00B73208">
        <w:rPr>
          <w:rFonts w:ascii="Arial" w:hAnsi="Arial" w:cs="Arial"/>
        </w:rPr>
        <w:t>Alsharari</w:t>
      </w:r>
      <w:proofErr w:type="spellEnd"/>
      <w:r w:rsidRPr="00B73208">
        <w:rPr>
          <w:rFonts w:ascii="Arial" w:hAnsi="Arial" w:cs="Arial"/>
        </w:rPr>
        <w:t>, 2022).</w:t>
      </w:r>
    </w:p>
    <w:p w14:paraId="599463A8" w14:textId="66476622" w:rsidR="00B73208" w:rsidRPr="00B73208" w:rsidRDefault="005154BE" w:rsidP="00B73208">
      <w:pPr>
        <w:pStyle w:val="ListParagraph"/>
        <w:numPr>
          <w:ilvl w:val="0"/>
          <w:numId w:val="2"/>
        </w:numPr>
        <w:spacing w:line="480" w:lineRule="auto"/>
        <w:rPr>
          <w:rFonts w:ascii="Arial Black" w:hAnsi="Arial Black" w:cs="Arial"/>
        </w:rPr>
      </w:pPr>
      <w:r w:rsidRPr="00B73208">
        <w:rPr>
          <w:rFonts w:ascii="Arial Black" w:hAnsi="Arial Black" w:cs="Arial"/>
        </w:rPr>
        <w:t xml:space="preserve">Efficiency </w:t>
      </w:r>
      <w:r w:rsidR="00B73208" w:rsidRPr="00B73208">
        <w:rPr>
          <w:rFonts w:ascii="Arial Black" w:hAnsi="Arial Black" w:cs="Arial"/>
        </w:rPr>
        <w:t>Analysis</w:t>
      </w:r>
      <w:r w:rsidRPr="00B73208">
        <w:rPr>
          <w:rFonts w:ascii="Arial Black" w:hAnsi="Arial Black" w:cs="Arial"/>
        </w:rPr>
        <w:t xml:space="preserve"> </w:t>
      </w:r>
    </w:p>
    <w:p w14:paraId="6B5265D2" w14:textId="08414E46" w:rsidR="00B73208" w:rsidRPr="00B73208" w:rsidRDefault="005154BE" w:rsidP="00B73208">
      <w:pPr>
        <w:pStyle w:val="ListParagraph"/>
        <w:numPr>
          <w:ilvl w:val="0"/>
          <w:numId w:val="6"/>
        </w:numPr>
        <w:spacing w:line="480" w:lineRule="auto"/>
        <w:rPr>
          <w:rFonts w:ascii="Arial" w:hAnsi="Arial" w:cs="Arial"/>
        </w:rPr>
      </w:pPr>
      <w:r w:rsidRPr="00B73208">
        <w:rPr>
          <w:rFonts w:ascii="Arial" w:hAnsi="Arial" w:cs="Arial"/>
        </w:rPr>
        <w:t>Asset Turnover</w:t>
      </w:r>
    </w:p>
    <w:p w14:paraId="2E51D60C" w14:textId="77777777" w:rsidR="00B73208" w:rsidRDefault="00B73208" w:rsidP="00B73208">
      <w:pPr>
        <w:spacing w:line="480" w:lineRule="auto"/>
        <w:rPr>
          <w:rFonts w:ascii="Arial" w:hAnsi="Arial" w:cs="Arial"/>
        </w:rPr>
      </w:pPr>
      <w:r w:rsidRPr="00B73208">
        <w:rPr>
          <w:rFonts w:ascii="Arial" w:hAnsi="Arial" w:cs="Arial"/>
        </w:rPr>
        <w:t>Ratio Assets</w:t>
      </w:r>
      <w:r w:rsidR="005154BE" w:rsidRPr="00B73208">
        <w:rPr>
          <w:rFonts w:ascii="Arial" w:hAnsi="Arial" w:cs="Arial"/>
        </w:rPr>
        <w:t xml:space="preserve"> Turnover is the metric determined by:  </w:t>
      </w:r>
    </w:p>
    <w:p w14:paraId="0F9766B6" w14:textId="77777777" w:rsidR="00B73208" w:rsidRPr="00B73208" w:rsidRDefault="005154BE" w:rsidP="00B73208">
      <w:pPr>
        <w:spacing w:line="480" w:lineRule="auto"/>
        <w:jc w:val="center"/>
        <w:rPr>
          <w:rFonts w:ascii="Arial Black" w:hAnsi="Arial Black" w:cs="Arial"/>
        </w:rPr>
      </w:pPr>
      <w:r w:rsidRPr="00B73208">
        <w:rPr>
          <w:rFonts w:ascii="Arial Black" w:hAnsi="Arial Black" w:cs="Arial"/>
        </w:rPr>
        <w:t>Asset Turnover Ratio = Revenue / Total Assets</w:t>
      </w:r>
    </w:p>
    <w:p w14:paraId="7C4C2F8D" w14:textId="77777777" w:rsidR="00B73208" w:rsidRDefault="005154BE" w:rsidP="00B73208">
      <w:pPr>
        <w:spacing w:line="480" w:lineRule="auto"/>
        <w:rPr>
          <w:rFonts w:ascii="Arial" w:hAnsi="Arial" w:cs="Arial"/>
        </w:rPr>
      </w:pPr>
      <w:r w:rsidRPr="00B73208">
        <w:rPr>
          <w:rFonts w:ascii="Arial" w:hAnsi="Arial" w:cs="Arial"/>
        </w:rPr>
        <w:t>For FY 2021, Tesla's turnover ratio was nearly:   </w:t>
      </w:r>
    </w:p>
    <w:p w14:paraId="18298ABD" w14:textId="77777777" w:rsidR="00B73208" w:rsidRDefault="005154BE" w:rsidP="00B73208">
      <w:pPr>
        <w:spacing w:line="480" w:lineRule="auto"/>
        <w:jc w:val="center"/>
        <w:rPr>
          <w:rFonts w:ascii="Arial" w:hAnsi="Arial" w:cs="Arial"/>
        </w:rPr>
      </w:pPr>
      <w:r w:rsidRPr="00B73208">
        <w:rPr>
          <w:rFonts w:ascii="Arial" w:hAnsi="Arial" w:cs="Arial"/>
        </w:rPr>
        <w:t xml:space="preserve">US$53,800 million / US$104,000 million </w:t>
      </w:r>
      <w:r w:rsidR="00B73208">
        <w:rPr>
          <w:rFonts w:ascii="Arial" w:hAnsi="Arial" w:cs="Arial"/>
        </w:rPr>
        <w:t>=</w:t>
      </w:r>
      <w:r w:rsidRPr="00B73208">
        <w:rPr>
          <w:rFonts w:ascii="Arial" w:hAnsi="Arial" w:cs="Arial"/>
        </w:rPr>
        <w:t xml:space="preserve"> 0.52</w:t>
      </w:r>
    </w:p>
    <w:p w14:paraId="2A622C9F" w14:textId="77777777" w:rsidR="00B73208" w:rsidRDefault="005154BE" w:rsidP="00B73208">
      <w:pPr>
        <w:spacing w:line="480" w:lineRule="auto"/>
        <w:rPr>
          <w:rFonts w:ascii="Arial" w:hAnsi="Arial" w:cs="Arial"/>
        </w:rPr>
      </w:pPr>
      <w:r w:rsidRPr="00B73208">
        <w:rPr>
          <w:rFonts w:ascii="Arial" w:hAnsi="Arial" w:cs="Arial"/>
        </w:rPr>
        <w:lastRenderedPageBreak/>
        <w:t>Industry estimates and internal efficiency measure suggest a much more effective turnover ratio in the range of 0.70 if operational factors are included. In FY 2022, with increases in revenue and a moderate increase in total assets:   </w:t>
      </w:r>
    </w:p>
    <w:p w14:paraId="3C2A9A0B" w14:textId="2D6470EF" w:rsidR="00B73208" w:rsidRDefault="005154BE" w:rsidP="00B73208">
      <w:pPr>
        <w:spacing w:line="480" w:lineRule="auto"/>
        <w:jc w:val="center"/>
        <w:rPr>
          <w:rFonts w:ascii="Arial" w:hAnsi="Arial" w:cs="Arial"/>
        </w:rPr>
      </w:pPr>
      <w:r w:rsidRPr="00B73208">
        <w:rPr>
          <w:rFonts w:ascii="Arial" w:hAnsi="Arial" w:cs="Arial"/>
        </w:rPr>
        <w:t xml:space="preserve">US$81,500 million / US$126,000 million </w:t>
      </w:r>
      <w:r w:rsidR="00B73208">
        <w:rPr>
          <w:rFonts w:ascii="Arial" w:hAnsi="Arial" w:cs="Arial"/>
        </w:rPr>
        <w:t>=</w:t>
      </w:r>
      <w:r w:rsidRPr="00B73208">
        <w:rPr>
          <w:rFonts w:ascii="Arial" w:hAnsi="Arial" w:cs="Arial"/>
        </w:rPr>
        <w:t xml:space="preserve"> 0.65</w:t>
      </w:r>
    </w:p>
    <w:p w14:paraId="34B441AD" w14:textId="77777777" w:rsidR="00B73208" w:rsidRDefault="005154BE" w:rsidP="00B73208">
      <w:pPr>
        <w:spacing w:line="480" w:lineRule="auto"/>
        <w:rPr>
          <w:rFonts w:ascii="Arial" w:hAnsi="Arial" w:cs="Arial"/>
        </w:rPr>
      </w:pPr>
      <w:r w:rsidRPr="00B73208">
        <w:rPr>
          <w:rFonts w:ascii="Arial" w:hAnsi="Arial" w:cs="Arial"/>
        </w:rPr>
        <w:t>This suggests that Tesla effectively increased applicable revenue for every dollar of asset, in a spectrum of operational outputs and processing efficiency (Mehta &amp; Bhavani, 2018; de Almeida, 2024).</w:t>
      </w:r>
    </w:p>
    <w:p w14:paraId="2C776BF2" w14:textId="1EFE9A14" w:rsidR="00B73208" w:rsidRPr="00B73208" w:rsidRDefault="005154BE" w:rsidP="00B73208">
      <w:pPr>
        <w:pStyle w:val="ListParagraph"/>
        <w:numPr>
          <w:ilvl w:val="0"/>
          <w:numId w:val="2"/>
        </w:numPr>
        <w:spacing w:line="480" w:lineRule="auto"/>
        <w:rPr>
          <w:rFonts w:ascii="Arial Black" w:hAnsi="Arial Black" w:cs="Arial"/>
        </w:rPr>
      </w:pPr>
      <w:r w:rsidRPr="00B73208">
        <w:rPr>
          <w:rFonts w:ascii="Arial Black" w:hAnsi="Arial Black" w:cs="Arial"/>
        </w:rPr>
        <w:t>Discussion of Performance Changes</w:t>
      </w:r>
    </w:p>
    <w:p w14:paraId="1B3BC441" w14:textId="77777777" w:rsidR="004710BF" w:rsidRDefault="005154BE" w:rsidP="00B73208">
      <w:pPr>
        <w:spacing w:line="480" w:lineRule="auto"/>
        <w:rPr>
          <w:rFonts w:ascii="Arial" w:hAnsi="Arial" w:cs="Arial"/>
        </w:rPr>
      </w:pPr>
      <w:r w:rsidRPr="00B73208">
        <w:rPr>
          <w:rFonts w:ascii="Arial" w:hAnsi="Arial" w:cs="Arial"/>
        </w:rPr>
        <w:t>Tesla's financial performance improved through FY 2021 to FY 2022. The increase in gross and net profit margins demonstrates enhanced performance and outperformance. An element that contributed to the improved profit margins is</w:t>
      </w:r>
      <w:r w:rsidR="00B73208">
        <w:rPr>
          <w:rFonts w:ascii="Arial" w:hAnsi="Arial" w:cs="Arial"/>
        </w:rPr>
        <w:t xml:space="preserve"> s</w:t>
      </w:r>
      <w:r w:rsidRPr="00B73208">
        <w:rPr>
          <w:rFonts w:ascii="Arial" w:hAnsi="Arial" w:cs="Arial"/>
        </w:rPr>
        <w:t>ales growth attributed to be an increased demand for electric vehicles placed on the world market.</w:t>
      </w:r>
    </w:p>
    <w:p w14:paraId="52D72E99" w14:textId="77777777" w:rsidR="004710BF" w:rsidRPr="004710BF" w:rsidRDefault="005154BE" w:rsidP="004710BF">
      <w:pPr>
        <w:pStyle w:val="ListParagraph"/>
        <w:numPr>
          <w:ilvl w:val="0"/>
          <w:numId w:val="7"/>
        </w:numPr>
        <w:spacing w:line="480" w:lineRule="auto"/>
        <w:rPr>
          <w:rFonts w:ascii="Arial" w:hAnsi="Arial" w:cs="Arial"/>
        </w:rPr>
      </w:pPr>
      <w:r w:rsidRPr="004710BF">
        <w:rPr>
          <w:rFonts w:ascii="Arial" w:hAnsi="Arial" w:cs="Arial"/>
        </w:rPr>
        <w:t xml:space="preserve">Economies of Scale: The expansion of capacity through new gigafactories and mass production allowed the company to reduce per-unit costs of </w:t>
      </w:r>
      <w:r w:rsidR="004710BF" w:rsidRPr="004710BF">
        <w:rPr>
          <w:rFonts w:ascii="Arial" w:hAnsi="Arial" w:cs="Arial"/>
        </w:rPr>
        <w:t xml:space="preserve">manufacture. </w:t>
      </w:r>
    </w:p>
    <w:p w14:paraId="6E731168" w14:textId="27AB546A" w:rsidR="004710BF" w:rsidRPr="004710BF" w:rsidRDefault="004710BF" w:rsidP="004710BF">
      <w:pPr>
        <w:pStyle w:val="ListParagraph"/>
        <w:numPr>
          <w:ilvl w:val="0"/>
          <w:numId w:val="7"/>
        </w:numPr>
        <w:spacing w:line="480" w:lineRule="auto"/>
        <w:rPr>
          <w:rFonts w:ascii="Arial" w:hAnsi="Arial" w:cs="Arial"/>
        </w:rPr>
      </w:pPr>
      <w:r w:rsidRPr="004710BF">
        <w:rPr>
          <w:rFonts w:ascii="Arial" w:hAnsi="Arial" w:cs="Arial"/>
        </w:rPr>
        <w:t>Improved</w:t>
      </w:r>
      <w:r w:rsidR="005154BE" w:rsidRPr="004710BF">
        <w:rPr>
          <w:rFonts w:ascii="Arial" w:hAnsi="Arial" w:cs="Arial"/>
        </w:rPr>
        <w:t xml:space="preserve"> operational efficiency: Innovative production and improved supply chain management had allowed Tesla to manage costs more efficiently while leveraging company assets (Ohlson, 1995; Sikharulidze, G.</w:t>
      </w:r>
      <w:r w:rsidRPr="004710BF">
        <w:rPr>
          <w:rFonts w:ascii="Arial" w:hAnsi="Arial" w:cs="Arial"/>
        </w:rPr>
        <w:t>). Conversely</w:t>
      </w:r>
      <w:r w:rsidR="005154BE" w:rsidRPr="004710BF">
        <w:rPr>
          <w:rFonts w:ascii="Arial" w:hAnsi="Arial" w:cs="Arial"/>
        </w:rPr>
        <w:t xml:space="preserve">, the declined current ratio </w:t>
      </w:r>
      <w:r w:rsidRPr="004710BF">
        <w:rPr>
          <w:rFonts w:ascii="Arial" w:hAnsi="Arial" w:cs="Arial"/>
        </w:rPr>
        <w:t>refers</w:t>
      </w:r>
      <w:r w:rsidR="005154BE" w:rsidRPr="004710BF">
        <w:rPr>
          <w:rFonts w:ascii="Arial" w:hAnsi="Arial" w:cs="Arial"/>
        </w:rPr>
        <w:t xml:space="preserve"> to the challenges that the company is facing in managing liquidity. A significant investment in capacity expansion and in research and development is now leading to an increase in short-term </w:t>
      </w:r>
      <w:r w:rsidRPr="004710BF">
        <w:rPr>
          <w:rFonts w:ascii="Arial" w:hAnsi="Arial" w:cs="Arial"/>
        </w:rPr>
        <w:t>liabilities and</w:t>
      </w:r>
      <w:r w:rsidR="005154BE" w:rsidRPr="004710BF">
        <w:rPr>
          <w:rFonts w:ascii="Arial" w:hAnsi="Arial" w:cs="Arial"/>
        </w:rPr>
        <w:t xml:space="preserve"> therefore requires more management of working capital to </w:t>
      </w:r>
      <w:r w:rsidR="005154BE" w:rsidRPr="004710BF">
        <w:rPr>
          <w:rFonts w:ascii="Arial" w:hAnsi="Arial" w:cs="Arial"/>
        </w:rPr>
        <w:lastRenderedPageBreak/>
        <w:t xml:space="preserve">mitigate the effects of liquidity </w:t>
      </w:r>
      <w:r w:rsidRPr="004710BF">
        <w:rPr>
          <w:rFonts w:ascii="Arial" w:hAnsi="Arial" w:cs="Arial"/>
        </w:rPr>
        <w:t>squeezes</w:t>
      </w:r>
      <w:r w:rsidR="005154BE" w:rsidRPr="004710BF">
        <w:rPr>
          <w:rFonts w:ascii="Arial" w:hAnsi="Arial" w:cs="Arial"/>
        </w:rPr>
        <w:t xml:space="preserve"> (Huang, 2023; Walls, Berrone, &amp; Phan, 2012).</w:t>
      </w:r>
    </w:p>
    <w:p w14:paraId="04ED5FAD" w14:textId="584EE78C" w:rsidR="004710BF" w:rsidRPr="004710BF" w:rsidRDefault="005154BE" w:rsidP="004710BF">
      <w:pPr>
        <w:pStyle w:val="ListParagraph"/>
        <w:numPr>
          <w:ilvl w:val="0"/>
          <w:numId w:val="2"/>
        </w:numPr>
        <w:spacing w:line="480" w:lineRule="auto"/>
        <w:rPr>
          <w:rFonts w:ascii="Arial Black" w:hAnsi="Arial Black" w:cs="Arial"/>
        </w:rPr>
      </w:pPr>
      <w:r w:rsidRPr="004710BF">
        <w:rPr>
          <w:rFonts w:ascii="Arial Black" w:hAnsi="Arial Black" w:cs="Arial"/>
        </w:rPr>
        <w:t>Recommendations for improved finance and sustainability</w:t>
      </w:r>
    </w:p>
    <w:p w14:paraId="06640565" w14:textId="77777777" w:rsidR="004710BF" w:rsidRDefault="005154BE" w:rsidP="00B73208">
      <w:pPr>
        <w:spacing w:line="480" w:lineRule="auto"/>
        <w:rPr>
          <w:rFonts w:ascii="Arial" w:hAnsi="Arial" w:cs="Arial"/>
        </w:rPr>
      </w:pPr>
      <w:r w:rsidRPr="00B73208">
        <w:rPr>
          <w:rFonts w:ascii="Arial" w:hAnsi="Arial" w:cs="Arial"/>
        </w:rPr>
        <w:t xml:space="preserve">Based on the ratio analysis, the following suggestions are provided: </w:t>
      </w:r>
    </w:p>
    <w:p w14:paraId="18504A56" w14:textId="6B2E2219" w:rsidR="004710BF" w:rsidRPr="004710BF" w:rsidRDefault="005154BE" w:rsidP="004710BF">
      <w:pPr>
        <w:pStyle w:val="ListParagraph"/>
        <w:numPr>
          <w:ilvl w:val="0"/>
          <w:numId w:val="8"/>
        </w:numPr>
        <w:spacing w:line="480" w:lineRule="auto"/>
        <w:rPr>
          <w:rFonts w:ascii="Arial" w:hAnsi="Arial" w:cs="Arial"/>
        </w:rPr>
      </w:pPr>
      <w:r w:rsidRPr="004710BF">
        <w:rPr>
          <w:rFonts w:ascii="Arial" w:hAnsi="Arial" w:cs="Arial"/>
        </w:rPr>
        <w:t>Improve liquidity management</w:t>
      </w:r>
      <w:r w:rsidR="004710BF" w:rsidRPr="004710BF">
        <w:rPr>
          <w:rFonts w:ascii="Arial" w:hAnsi="Arial" w:cs="Arial"/>
        </w:rPr>
        <w:t>:</w:t>
      </w:r>
      <w:r w:rsidRPr="004710BF">
        <w:rPr>
          <w:rFonts w:ascii="Arial" w:hAnsi="Arial" w:cs="Arial"/>
        </w:rPr>
        <w:t xml:space="preserve"> Tesla needs to improve management of working capital which involves:  </w:t>
      </w:r>
    </w:p>
    <w:p w14:paraId="57241152" w14:textId="77777777" w:rsidR="004710BF" w:rsidRPr="004710BF" w:rsidRDefault="005154BE" w:rsidP="004710BF">
      <w:pPr>
        <w:pStyle w:val="ListParagraph"/>
        <w:numPr>
          <w:ilvl w:val="0"/>
          <w:numId w:val="12"/>
        </w:numPr>
        <w:spacing w:line="480" w:lineRule="auto"/>
        <w:rPr>
          <w:rFonts w:ascii="Arial" w:hAnsi="Arial" w:cs="Arial"/>
        </w:rPr>
      </w:pPr>
      <w:r w:rsidRPr="004710BF">
        <w:rPr>
          <w:rFonts w:ascii="Arial" w:hAnsi="Arial" w:cs="Arial"/>
        </w:rPr>
        <w:t xml:space="preserve">Improved Inventory Management: Introducing advanced inventory controls to better match supply and demand. </w:t>
      </w:r>
    </w:p>
    <w:p w14:paraId="1FC9D22D" w14:textId="77777777" w:rsidR="004710BF" w:rsidRPr="004710BF" w:rsidRDefault="005154BE" w:rsidP="004710BF">
      <w:pPr>
        <w:pStyle w:val="ListParagraph"/>
        <w:numPr>
          <w:ilvl w:val="0"/>
          <w:numId w:val="12"/>
        </w:numPr>
        <w:spacing w:line="480" w:lineRule="auto"/>
        <w:rPr>
          <w:rFonts w:ascii="Arial" w:hAnsi="Arial" w:cs="Arial"/>
        </w:rPr>
      </w:pPr>
      <w:r w:rsidRPr="004710BF">
        <w:rPr>
          <w:rFonts w:ascii="Arial" w:hAnsi="Arial" w:cs="Arial"/>
        </w:rPr>
        <w:t>Improved receivables: Modifying the collection systems to improve cash flows sooner - likely leading to less involvement in short term financing (Weetman, 2016).</w:t>
      </w:r>
    </w:p>
    <w:p w14:paraId="646D814D" w14:textId="42FC18DD" w:rsidR="004710BF" w:rsidRPr="004710BF" w:rsidRDefault="005154BE" w:rsidP="004710BF">
      <w:pPr>
        <w:pStyle w:val="ListParagraph"/>
        <w:numPr>
          <w:ilvl w:val="0"/>
          <w:numId w:val="8"/>
        </w:numPr>
        <w:spacing w:line="480" w:lineRule="auto"/>
        <w:rPr>
          <w:rFonts w:ascii="Arial" w:hAnsi="Arial" w:cs="Arial"/>
        </w:rPr>
      </w:pPr>
      <w:r w:rsidRPr="004710BF">
        <w:rPr>
          <w:rFonts w:ascii="Arial" w:hAnsi="Arial" w:cs="Arial"/>
        </w:rPr>
        <w:t>Improve operational efficiency</w:t>
      </w:r>
      <w:r w:rsidR="004710BF" w:rsidRPr="004710BF">
        <w:rPr>
          <w:rFonts w:ascii="Arial" w:hAnsi="Arial" w:cs="Arial"/>
        </w:rPr>
        <w:t xml:space="preserve">: </w:t>
      </w:r>
      <w:r w:rsidRPr="004710BF">
        <w:rPr>
          <w:rFonts w:ascii="Arial" w:hAnsi="Arial" w:cs="Arial"/>
        </w:rPr>
        <w:t xml:space="preserve">The company must also develop its innovative capability in production, to help reduce costs: </w:t>
      </w:r>
    </w:p>
    <w:p w14:paraId="7B4639F1" w14:textId="77777777" w:rsidR="004710BF" w:rsidRPr="004710BF" w:rsidRDefault="005154BE" w:rsidP="004710BF">
      <w:pPr>
        <w:pStyle w:val="ListParagraph"/>
        <w:numPr>
          <w:ilvl w:val="0"/>
          <w:numId w:val="11"/>
        </w:numPr>
        <w:spacing w:line="480" w:lineRule="auto"/>
        <w:rPr>
          <w:rFonts w:ascii="Arial" w:hAnsi="Arial" w:cs="Arial"/>
        </w:rPr>
      </w:pPr>
      <w:r w:rsidRPr="004710BF">
        <w:rPr>
          <w:rFonts w:ascii="Arial" w:hAnsi="Arial" w:cs="Arial"/>
        </w:rPr>
        <w:t xml:space="preserve">Lean manufacturing: Implementing Lean practices that reduce waste and improve production times. </w:t>
      </w:r>
    </w:p>
    <w:p w14:paraId="6B75CEE8" w14:textId="77777777" w:rsidR="004710BF" w:rsidRPr="004710BF" w:rsidRDefault="005154BE" w:rsidP="004710BF">
      <w:pPr>
        <w:pStyle w:val="ListParagraph"/>
        <w:numPr>
          <w:ilvl w:val="0"/>
          <w:numId w:val="11"/>
        </w:numPr>
        <w:spacing w:line="480" w:lineRule="auto"/>
        <w:rPr>
          <w:rFonts w:ascii="Arial" w:hAnsi="Arial" w:cs="Arial"/>
        </w:rPr>
      </w:pPr>
      <w:r w:rsidRPr="004710BF">
        <w:rPr>
          <w:rFonts w:ascii="Arial" w:hAnsi="Arial" w:cs="Arial"/>
        </w:rPr>
        <w:t>Supplier consolidation: Having long-term arrangements with suppliers for better pricing and cost stabili</w:t>
      </w:r>
      <w:r w:rsidR="004710BF" w:rsidRPr="004710BF">
        <w:rPr>
          <w:rFonts w:ascii="Arial" w:hAnsi="Arial" w:cs="Arial"/>
        </w:rPr>
        <w:t>s</w:t>
      </w:r>
      <w:r w:rsidRPr="004710BF">
        <w:rPr>
          <w:rFonts w:ascii="Arial" w:hAnsi="Arial" w:cs="Arial"/>
        </w:rPr>
        <w:t xml:space="preserve">ation (Drury, 2020; Attrill &amp; McLaney, 2015). </w:t>
      </w:r>
    </w:p>
    <w:p w14:paraId="0CBA04BC" w14:textId="77777777" w:rsidR="004710BF" w:rsidRDefault="005154BE" w:rsidP="004710BF">
      <w:pPr>
        <w:pStyle w:val="ListParagraph"/>
        <w:numPr>
          <w:ilvl w:val="0"/>
          <w:numId w:val="8"/>
        </w:numPr>
        <w:spacing w:line="480" w:lineRule="auto"/>
        <w:rPr>
          <w:rFonts w:ascii="Arial" w:hAnsi="Arial" w:cs="Arial"/>
        </w:rPr>
      </w:pPr>
      <w:r w:rsidRPr="004710BF">
        <w:rPr>
          <w:rFonts w:ascii="Arial" w:hAnsi="Arial" w:cs="Arial"/>
        </w:rPr>
        <w:t xml:space="preserve">Invest in growth and sustainable consumption Keep focusing on sustainable energy and green technology: </w:t>
      </w:r>
    </w:p>
    <w:p w14:paraId="38FBADEA" w14:textId="702DAA2B" w:rsidR="004710BF" w:rsidRPr="004710BF" w:rsidRDefault="005154BE" w:rsidP="004710BF">
      <w:pPr>
        <w:pStyle w:val="ListParagraph"/>
        <w:numPr>
          <w:ilvl w:val="0"/>
          <w:numId w:val="10"/>
        </w:numPr>
        <w:spacing w:line="480" w:lineRule="auto"/>
        <w:rPr>
          <w:rFonts w:ascii="Arial" w:hAnsi="Arial" w:cs="Arial"/>
        </w:rPr>
      </w:pPr>
      <w:r w:rsidRPr="004710BF">
        <w:rPr>
          <w:rFonts w:ascii="Arial" w:hAnsi="Arial" w:cs="Arial"/>
        </w:rPr>
        <w:t xml:space="preserve">Research and development: Commit to development of batteries and renewable technology for </w:t>
      </w:r>
      <w:r w:rsidR="004710BF" w:rsidRPr="004710BF">
        <w:rPr>
          <w:rFonts w:ascii="Arial" w:hAnsi="Arial" w:cs="Arial"/>
        </w:rPr>
        <w:t>next generation</w:t>
      </w:r>
      <w:r w:rsidRPr="004710BF">
        <w:rPr>
          <w:rFonts w:ascii="Arial" w:hAnsi="Arial" w:cs="Arial"/>
        </w:rPr>
        <w:t xml:space="preserve"> </w:t>
      </w:r>
      <w:r w:rsidR="004710BF" w:rsidRPr="004710BF">
        <w:rPr>
          <w:rFonts w:ascii="Arial" w:hAnsi="Arial" w:cs="Arial"/>
        </w:rPr>
        <w:t>types and</w:t>
      </w:r>
      <w:r w:rsidRPr="004710BF">
        <w:rPr>
          <w:rFonts w:ascii="Arial" w:hAnsi="Arial" w:cs="Arial"/>
        </w:rPr>
        <w:t xml:space="preserve"> possibly retaining a competitive advantage.</w:t>
      </w:r>
    </w:p>
    <w:p w14:paraId="3E79DC95" w14:textId="77777777" w:rsidR="004710BF" w:rsidRPr="004710BF" w:rsidRDefault="005154BE" w:rsidP="004710BF">
      <w:pPr>
        <w:pStyle w:val="ListParagraph"/>
        <w:numPr>
          <w:ilvl w:val="0"/>
          <w:numId w:val="10"/>
        </w:numPr>
        <w:spacing w:line="480" w:lineRule="auto"/>
        <w:rPr>
          <w:rFonts w:ascii="Arial" w:hAnsi="Arial" w:cs="Arial"/>
        </w:rPr>
      </w:pPr>
      <w:r w:rsidRPr="004710BF">
        <w:rPr>
          <w:rFonts w:ascii="Arial" w:hAnsi="Arial" w:cs="Arial"/>
        </w:rPr>
        <w:lastRenderedPageBreak/>
        <w:t>Expansion into New Markets: Increasing operations in new markets may diversify income streams and reduce risks associated with economic fluctuations by region (Lucey, 2009; Wood, 2015).</w:t>
      </w:r>
    </w:p>
    <w:p w14:paraId="6E9DD960" w14:textId="21D614ED" w:rsidR="004710BF" w:rsidRPr="004710BF" w:rsidRDefault="005154BE" w:rsidP="004710BF">
      <w:pPr>
        <w:pStyle w:val="ListParagraph"/>
        <w:numPr>
          <w:ilvl w:val="0"/>
          <w:numId w:val="8"/>
        </w:numPr>
        <w:spacing w:line="480" w:lineRule="auto"/>
        <w:rPr>
          <w:rFonts w:ascii="Arial" w:hAnsi="Arial" w:cs="Arial"/>
        </w:rPr>
      </w:pPr>
      <w:r w:rsidRPr="004710BF">
        <w:rPr>
          <w:rFonts w:ascii="Arial" w:hAnsi="Arial" w:cs="Arial"/>
        </w:rPr>
        <w:t>Wise Use of Debt</w:t>
      </w:r>
      <w:r w:rsidR="004710BF" w:rsidRPr="004710BF">
        <w:rPr>
          <w:rFonts w:ascii="Arial" w:hAnsi="Arial" w:cs="Arial"/>
        </w:rPr>
        <w:t>:</w:t>
      </w:r>
      <w:r w:rsidRPr="004710BF">
        <w:rPr>
          <w:rFonts w:ascii="Arial" w:hAnsi="Arial" w:cs="Arial"/>
        </w:rPr>
        <w:t xml:space="preserve"> While leverage remains relatively low, Tesla may benefit from:</w:t>
      </w:r>
    </w:p>
    <w:p w14:paraId="4A70B818" w14:textId="77777777" w:rsidR="004710BF" w:rsidRPr="004710BF" w:rsidRDefault="005154BE" w:rsidP="004710BF">
      <w:pPr>
        <w:pStyle w:val="ListParagraph"/>
        <w:numPr>
          <w:ilvl w:val="0"/>
          <w:numId w:val="9"/>
        </w:numPr>
        <w:spacing w:line="480" w:lineRule="auto"/>
        <w:rPr>
          <w:rFonts w:ascii="Arial" w:hAnsi="Arial" w:cs="Arial"/>
        </w:rPr>
      </w:pPr>
      <w:r w:rsidRPr="004710BF">
        <w:rPr>
          <w:rFonts w:ascii="Arial" w:hAnsi="Arial" w:cs="Arial"/>
        </w:rPr>
        <w:t>Tactical Borrowing: All using periods of low interest rates to fund high return projects without jeopardi</w:t>
      </w:r>
      <w:r w:rsidR="004710BF" w:rsidRPr="004710BF">
        <w:rPr>
          <w:rFonts w:ascii="Arial" w:hAnsi="Arial" w:cs="Arial"/>
        </w:rPr>
        <w:t>s</w:t>
      </w:r>
      <w:r w:rsidRPr="004710BF">
        <w:rPr>
          <w:rFonts w:ascii="Arial" w:hAnsi="Arial" w:cs="Arial"/>
        </w:rPr>
        <w:t xml:space="preserve">ing long-term solvency. </w:t>
      </w:r>
    </w:p>
    <w:p w14:paraId="28B892F1" w14:textId="77777777" w:rsidR="004710BF" w:rsidRPr="004710BF" w:rsidRDefault="005154BE" w:rsidP="004710BF">
      <w:pPr>
        <w:pStyle w:val="ListParagraph"/>
        <w:numPr>
          <w:ilvl w:val="0"/>
          <w:numId w:val="9"/>
        </w:numPr>
        <w:spacing w:line="480" w:lineRule="auto"/>
        <w:rPr>
          <w:rFonts w:ascii="Arial" w:hAnsi="Arial" w:cs="Arial"/>
        </w:rPr>
      </w:pPr>
      <w:r w:rsidRPr="004710BF">
        <w:rPr>
          <w:rFonts w:ascii="Arial" w:hAnsi="Arial" w:cs="Arial"/>
        </w:rPr>
        <w:t xml:space="preserve">Refinancing Existing Debt: Assessing ways to refinance existing liabilities may decrease interest costs and further enhance net margins (Choi &amp; Wang, 2009; Qin, Xiao, &amp; Yuan, 2021). </w:t>
      </w:r>
    </w:p>
    <w:p w14:paraId="675BD801" w14:textId="1C179F0E" w:rsidR="004710BF" w:rsidRPr="004710BF" w:rsidRDefault="005154BE" w:rsidP="004710BF">
      <w:pPr>
        <w:pStyle w:val="ListParagraph"/>
        <w:numPr>
          <w:ilvl w:val="0"/>
          <w:numId w:val="2"/>
        </w:numPr>
        <w:spacing w:line="480" w:lineRule="auto"/>
        <w:rPr>
          <w:rFonts w:ascii="Arial Black" w:hAnsi="Arial Black" w:cs="Arial"/>
        </w:rPr>
      </w:pPr>
      <w:r w:rsidRPr="004710BF">
        <w:rPr>
          <w:rFonts w:ascii="Arial Black" w:hAnsi="Arial Black" w:cs="Arial"/>
        </w:rPr>
        <w:t xml:space="preserve">Conclusion </w:t>
      </w:r>
    </w:p>
    <w:p w14:paraId="61840E2C" w14:textId="77777777" w:rsidR="004710BF" w:rsidRDefault="005154BE" w:rsidP="004710BF">
      <w:pPr>
        <w:spacing w:line="480" w:lineRule="auto"/>
        <w:rPr>
          <w:rFonts w:ascii="Arial" w:hAnsi="Arial" w:cs="Arial"/>
        </w:rPr>
      </w:pPr>
      <w:r w:rsidRPr="004710BF">
        <w:rPr>
          <w:rFonts w:ascii="Arial" w:hAnsi="Arial" w:cs="Arial"/>
        </w:rPr>
        <w:t>The ratio analysis of Tesla Inc. utili</w:t>
      </w:r>
      <w:r w:rsidR="004710BF">
        <w:rPr>
          <w:rFonts w:ascii="Arial" w:hAnsi="Arial" w:cs="Arial"/>
        </w:rPr>
        <w:t>s</w:t>
      </w:r>
      <w:r w:rsidRPr="004710BF">
        <w:rPr>
          <w:rFonts w:ascii="Arial" w:hAnsi="Arial" w:cs="Arial"/>
        </w:rPr>
        <w:t>ing FY 2021 and FY 2022 revealed distinct patterns in profitability, operational efficiency with improving assets, as well as some small changes in liquidity and solvency. Gross margin improved from 21% to 25% and net profit margin improved from roughly 10.3% to 15.5% indicating better cost management and sales efficiency. Similarly, doubling of ROA from about 5.3% to 10% suggests improved efficiency with asset utili</w:t>
      </w:r>
      <w:r w:rsidR="004710BF">
        <w:rPr>
          <w:rFonts w:ascii="Arial" w:hAnsi="Arial" w:cs="Arial"/>
        </w:rPr>
        <w:t>s</w:t>
      </w:r>
      <w:r w:rsidRPr="004710BF">
        <w:rPr>
          <w:rFonts w:ascii="Arial" w:hAnsi="Arial" w:cs="Arial"/>
        </w:rPr>
        <w:t xml:space="preserve">ation. While the current ratio declined and suggests liquidity management improvement could be further strengthened, the </w:t>
      </w:r>
      <w:r w:rsidR="004710BF" w:rsidRPr="004710BF">
        <w:rPr>
          <w:rFonts w:ascii="Arial" w:hAnsi="Arial" w:cs="Arial"/>
        </w:rPr>
        <w:t>debt-to-equity</w:t>
      </w:r>
      <w:r w:rsidRPr="004710BF">
        <w:rPr>
          <w:rFonts w:ascii="Arial" w:hAnsi="Arial" w:cs="Arial"/>
        </w:rPr>
        <w:t xml:space="preserve"> ratio remained low and</w:t>
      </w:r>
      <w:r w:rsidR="004710BF">
        <w:rPr>
          <w:rFonts w:ascii="Arial" w:hAnsi="Arial" w:cs="Arial"/>
        </w:rPr>
        <w:t xml:space="preserve"> is going</w:t>
      </w:r>
      <w:r w:rsidRPr="004710BF">
        <w:rPr>
          <w:rFonts w:ascii="Arial" w:hAnsi="Arial" w:cs="Arial"/>
        </w:rPr>
        <w:t xml:space="preserve"> well for a sustained financing structure.</w:t>
      </w:r>
    </w:p>
    <w:p w14:paraId="362B72FD" w14:textId="0E23C318" w:rsidR="005154BE" w:rsidRDefault="005154BE" w:rsidP="004710BF">
      <w:pPr>
        <w:spacing w:line="480" w:lineRule="auto"/>
        <w:rPr>
          <w:rFonts w:ascii="Arial" w:hAnsi="Arial" w:cs="Arial"/>
        </w:rPr>
      </w:pPr>
      <w:r w:rsidRPr="004710BF">
        <w:rPr>
          <w:rFonts w:ascii="Arial" w:hAnsi="Arial" w:cs="Arial"/>
        </w:rPr>
        <w:t xml:space="preserve">Improvement to the asset turnover from prior ratio testing suggests better operating efficiency had occurred. These financial ratios have provided helpful information related to returns </w:t>
      </w:r>
      <w:r w:rsidR="004710BF">
        <w:rPr>
          <w:rFonts w:ascii="Arial" w:hAnsi="Arial" w:cs="Arial"/>
        </w:rPr>
        <w:t>on</w:t>
      </w:r>
      <w:r w:rsidRPr="004710BF">
        <w:rPr>
          <w:rFonts w:ascii="Arial" w:hAnsi="Arial" w:cs="Arial"/>
        </w:rPr>
        <w:t xml:space="preserve"> Tesla's performance over the two fiscal </w:t>
      </w:r>
      <w:r w:rsidR="004710BF" w:rsidRPr="004710BF">
        <w:rPr>
          <w:rFonts w:ascii="Arial" w:hAnsi="Arial" w:cs="Arial"/>
        </w:rPr>
        <w:t>years and</w:t>
      </w:r>
      <w:r w:rsidRPr="004710BF">
        <w:rPr>
          <w:rFonts w:ascii="Arial" w:hAnsi="Arial" w:cs="Arial"/>
        </w:rPr>
        <w:t xml:space="preserve"> identified areas for potential improvement. Improving liquidity related to effective management </w:t>
      </w:r>
      <w:r w:rsidRPr="004710BF">
        <w:rPr>
          <w:rFonts w:ascii="Arial" w:hAnsi="Arial" w:cs="Arial"/>
        </w:rPr>
        <w:lastRenderedPageBreak/>
        <w:t>of working capital, optimi</w:t>
      </w:r>
      <w:r w:rsidR="004710BF">
        <w:rPr>
          <w:rFonts w:ascii="Arial" w:hAnsi="Arial" w:cs="Arial"/>
        </w:rPr>
        <w:t>s</w:t>
      </w:r>
      <w:r w:rsidRPr="004710BF">
        <w:rPr>
          <w:rFonts w:ascii="Arial" w:hAnsi="Arial" w:cs="Arial"/>
        </w:rPr>
        <w:t>ing and sustaining cost efficiencies, and engaging in strategic and tactical approaches to leverage debt for expansion and innovation were among some suggested actions. These actions can help Tesla sustain its growth in line with a strategy that will enhance its competitive advantage with automotive and clean energy offerings. This analysis reflects a systematic ratio approach is valuable for understanding the overall financial health of an organi</w:t>
      </w:r>
      <w:r w:rsidR="0085682A">
        <w:rPr>
          <w:rFonts w:ascii="Arial" w:hAnsi="Arial" w:cs="Arial"/>
        </w:rPr>
        <w:t>s</w:t>
      </w:r>
      <w:r w:rsidRPr="004710BF">
        <w:rPr>
          <w:rFonts w:ascii="Arial" w:hAnsi="Arial" w:cs="Arial"/>
        </w:rPr>
        <w:t>ation and to develop planning for strategic purposes. (Silva, 2024; Dyson, 2010; Fang, 2024).</w:t>
      </w:r>
    </w:p>
    <w:p w14:paraId="1DAA5371" w14:textId="77777777" w:rsidR="0085682A" w:rsidRDefault="0085682A" w:rsidP="004710BF">
      <w:pPr>
        <w:spacing w:line="480" w:lineRule="auto"/>
        <w:rPr>
          <w:rFonts w:ascii="Arial" w:hAnsi="Arial" w:cs="Arial"/>
        </w:rPr>
      </w:pPr>
    </w:p>
    <w:p w14:paraId="553D4BD2" w14:textId="77777777" w:rsidR="0085682A" w:rsidRDefault="0085682A" w:rsidP="004710BF">
      <w:pPr>
        <w:spacing w:line="480" w:lineRule="auto"/>
        <w:rPr>
          <w:rFonts w:ascii="Arial" w:hAnsi="Arial" w:cs="Arial"/>
        </w:rPr>
      </w:pPr>
    </w:p>
    <w:p w14:paraId="33CA6EA6" w14:textId="77777777" w:rsidR="0085682A" w:rsidRDefault="0085682A" w:rsidP="004710BF">
      <w:pPr>
        <w:spacing w:line="480" w:lineRule="auto"/>
        <w:rPr>
          <w:rFonts w:ascii="Arial" w:hAnsi="Arial" w:cs="Arial"/>
        </w:rPr>
      </w:pPr>
    </w:p>
    <w:p w14:paraId="3F053E93" w14:textId="77777777" w:rsidR="0085682A" w:rsidRDefault="0085682A" w:rsidP="004710BF">
      <w:pPr>
        <w:spacing w:line="480" w:lineRule="auto"/>
        <w:rPr>
          <w:rFonts w:ascii="Arial" w:hAnsi="Arial" w:cs="Arial"/>
        </w:rPr>
      </w:pPr>
    </w:p>
    <w:p w14:paraId="3D2028D2" w14:textId="77777777" w:rsidR="0085682A" w:rsidRDefault="0085682A" w:rsidP="004710BF">
      <w:pPr>
        <w:spacing w:line="480" w:lineRule="auto"/>
        <w:rPr>
          <w:rFonts w:ascii="Arial" w:hAnsi="Arial" w:cs="Arial"/>
        </w:rPr>
      </w:pPr>
    </w:p>
    <w:p w14:paraId="21A63B18" w14:textId="77777777" w:rsidR="0085682A" w:rsidRDefault="0085682A" w:rsidP="004710BF">
      <w:pPr>
        <w:spacing w:line="480" w:lineRule="auto"/>
        <w:rPr>
          <w:rFonts w:ascii="Arial" w:hAnsi="Arial" w:cs="Arial"/>
        </w:rPr>
      </w:pPr>
    </w:p>
    <w:p w14:paraId="083B1DBB" w14:textId="77777777" w:rsidR="0085682A" w:rsidRDefault="0085682A" w:rsidP="004710BF">
      <w:pPr>
        <w:spacing w:line="480" w:lineRule="auto"/>
        <w:rPr>
          <w:rFonts w:ascii="Arial" w:hAnsi="Arial" w:cs="Arial"/>
        </w:rPr>
      </w:pPr>
    </w:p>
    <w:p w14:paraId="44FF32FD" w14:textId="77777777" w:rsidR="0085682A" w:rsidRDefault="0085682A" w:rsidP="004710BF">
      <w:pPr>
        <w:spacing w:line="480" w:lineRule="auto"/>
        <w:rPr>
          <w:rFonts w:ascii="Arial" w:hAnsi="Arial" w:cs="Arial"/>
        </w:rPr>
      </w:pPr>
    </w:p>
    <w:p w14:paraId="6508F09F" w14:textId="77777777" w:rsidR="0085682A" w:rsidRDefault="0085682A" w:rsidP="004710BF">
      <w:pPr>
        <w:spacing w:line="480" w:lineRule="auto"/>
        <w:rPr>
          <w:rFonts w:ascii="Arial" w:hAnsi="Arial" w:cs="Arial"/>
        </w:rPr>
      </w:pPr>
    </w:p>
    <w:p w14:paraId="6A94DDDC" w14:textId="77777777" w:rsidR="0085682A" w:rsidRDefault="0085682A" w:rsidP="004710BF">
      <w:pPr>
        <w:spacing w:line="480" w:lineRule="auto"/>
        <w:rPr>
          <w:rFonts w:ascii="Arial" w:hAnsi="Arial" w:cs="Arial"/>
        </w:rPr>
      </w:pPr>
    </w:p>
    <w:p w14:paraId="43B0FC0D" w14:textId="77777777" w:rsidR="0085682A" w:rsidRDefault="0085682A" w:rsidP="004710BF">
      <w:pPr>
        <w:spacing w:line="480" w:lineRule="auto"/>
        <w:rPr>
          <w:rFonts w:ascii="Arial" w:hAnsi="Arial" w:cs="Arial"/>
        </w:rPr>
      </w:pPr>
    </w:p>
    <w:p w14:paraId="75F49C2C" w14:textId="77777777" w:rsidR="0085682A" w:rsidRDefault="0085682A" w:rsidP="004710BF">
      <w:pPr>
        <w:spacing w:line="480" w:lineRule="auto"/>
        <w:rPr>
          <w:rFonts w:ascii="Arial" w:hAnsi="Arial" w:cs="Arial"/>
        </w:rPr>
      </w:pPr>
    </w:p>
    <w:p w14:paraId="6F05D953" w14:textId="77777777" w:rsidR="0085682A" w:rsidRDefault="0085682A" w:rsidP="004710BF">
      <w:pPr>
        <w:spacing w:line="480" w:lineRule="auto"/>
        <w:rPr>
          <w:rFonts w:ascii="Arial" w:hAnsi="Arial" w:cs="Arial"/>
        </w:rPr>
      </w:pPr>
    </w:p>
    <w:p w14:paraId="1B0FC50D" w14:textId="77777777" w:rsidR="0085682A" w:rsidRDefault="0085682A" w:rsidP="004710BF">
      <w:pPr>
        <w:spacing w:line="480" w:lineRule="auto"/>
        <w:rPr>
          <w:rFonts w:ascii="Arial" w:hAnsi="Arial" w:cs="Arial"/>
        </w:rPr>
      </w:pPr>
    </w:p>
    <w:p w14:paraId="7C3F014A" w14:textId="55578CC8" w:rsidR="0085682A" w:rsidRPr="0085682A" w:rsidRDefault="0085682A" w:rsidP="004710BF">
      <w:pPr>
        <w:spacing w:line="480" w:lineRule="auto"/>
        <w:rPr>
          <w:rFonts w:ascii="Arial Black" w:hAnsi="Arial Black" w:cs="Arial"/>
        </w:rPr>
      </w:pPr>
      <w:r w:rsidRPr="0085682A">
        <w:rPr>
          <w:rFonts w:ascii="Arial Black" w:hAnsi="Arial Black" w:cs="Arial"/>
        </w:rPr>
        <w:lastRenderedPageBreak/>
        <w:t>References list</w:t>
      </w:r>
    </w:p>
    <w:p w14:paraId="2C70C26E" w14:textId="77777777" w:rsidR="0085682A" w:rsidRPr="0085682A" w:rsidRDefault="0085682A" w:rsidP="0085682A">
      <w:pPr>
        <w:spacing w:line="480" w:lineRule="auto"/>
        <w:rPr>
          <w:rFonts w:ascii="Arial" w:hAnsi="Arial" w:cs="Arial"/>
        </w:rPr>
      </w:pPr>
      <w:proofErr w:type="spellStart"/>
      <w:r w:rsidRPr="0085682A">
        <w:rPr>
          <w:rFonts w:ascii="Arial" w:hAnsi="Arial" w:cs="Arial"/>
        </w:rPr>
        <w:t>Alsharari</w:t>
      </w:r>
      <w:proofErr w:type="spellEnd"/>
      <w:r w:rsidRPr="0085682A">
        <w:rPr>
          <w:rFonts w:ascii="Arial" w:hAnsi="Arial" w:cs="Arial"/>
        </w:rPr>
        <w:t xml:space="preserve">, N. M. (2022). </w:t>
      </w:r>
      <w:r w:rsidRPr="0085682A">
        <w:rPr>
          <w:rFonts w:ascii="Arial" w:hAnsi="Arial" w:cs="Arial"/>
          <w:i/>
          <w:iCs/>
        </w:rPr>
        <w:t>Financial reporting and analysis of Tesla green technology</w:t>
      </w:r>
      <w:r w:rsidRPr="0085682A">
        <w:rPr>
          <w:rFonts w:ascii="Arial" w:hAnsi="Arial" w:cs="Arial"/>
        </w:rPr>
        <w:t>. Banking and Accounting Issues, 3.</w:t>
      </w:r>
    </w:p>
    <w:p w14:paraId="2C377691" w14:textId="77777777" w:rsidR="0085682A" w:rsidRPr="0085682A" w:rsidRDefault="0085682A" w:rsidP="0085682A">
      <w:pPr>
        <w:spacing w:line="480" w:lineRule="auto"/>
        <w:rPr>
          <w:rFonts w:ascii="Arial" w:hAnsi="Arial" w:cs="Arial"/>
        </w:rPr>
      </w:pPr>
      <w:r w:rsidRPr="0085682A">
        <w:rPr>
          <w:rFonts w:ascii="Arial" w:hAnsi="Arial" w:cs="Arial"/>
        </w:rPr>
        <w:t xml:space="preserve">Attrill, P., &amp; McLaney. (2015). </w:t>
      </w:r>
      <w:r w:rsidRPr="0085682A">
        <w:rPr>
          <w:rFonts w:ascii="Arial" w:hAnsi="Arial" w:cs="Arial"/>
          <w:i/>
          <w:iCs/>
        </w:rPr>
        <w:t>Management accounting for decision makers</w:t>
      </w:r>
      <w:r w:rsidRPr="0085682A">
        <w:rPr>
          <w:rFonts w:ascii="Arial" w:hAnsi="Arial" w:cs="Arial"/>
        </w:rPr>
        <w:t xml:space="preserve"> (8th ed.). Cengage Learning.</w:t>
      </w:r>
    </w:p>
    <w:p w14:paraId="4A861851" w14:textId="77777777" w:rsidR="0085682A" w:rsidRPr="0085682A" w:rsidRDefault="0085682A" w:rsidP="0085682A">
      <w:pPr>
        <w:spacing w:line="480" w:lineRule="auto"/>
        <w:rPr>
          <w:rFonts w:ascii="Arial" w:hAnsi="Arial" w:cs="Arial"/>
        </w:rPr>
      </w:pPr>
      <w:r w:rsidRPr="0085682A">
        <w:rPr>
          <w:rFonts w:ascii="Arial" w:hAnsi="Arial" w:cs="Arial"/>
        </w:rPr>
        <w:t xml:space="preserve">Choi, J., &amp; Wang, H. (2009). Stakeholder relations and the persistence of corporate financial performance. </w:t>
      </w:r>
      <w:r w:rsidRPr="0085682A">
        <w:rPr>
          <w:rFonts w:ascii="Arial" w:hAnsi="Arial" w:cs="Arial"/>
          <w:i/>
          <w:iCs/>
        </w:rPr>
        <w:t>Strategic Management Journal, 30</w:t>
      </w:r>
      <w:r w:rsidRPr="0085682A">
        <w:rPr>
          <w:rFonts w:ascii="Arial" w:hAnsi="Arial" w:cs="Arial"/>
        </w:rPr>
        <w:t>(8), 895–907.</w:t>
      </w:r>
    </w:p>
    <w:p w14:paraId="14BC77BD" w14:textId="0B093E03" w:rsidR="0085682A" w:rsidRPr="0085682A" w:rsidRDefault="0085682A" w:rsidP="0085682A">
      <w:pPr>
        <w:spacing w:line="480" w:lineRule="auto"/>
        <w:rPr>
          <w:rFonts w:ascii="Arial" w:hAnsi="Arial" w:cs="Arial"/>
        </w:rPr>
      </w:pPr>
      <w:r w:rsidRPr="0085682A">
        <w:rPr>
          <w:rFonts w:ascii="Arial" w:hAnsi="Arial" w:cs="Arial"/>
        </w:rPr>
        <w:t xml:space="preserve">de Almeida, J. B. T. (2024). </w:t>
      </w:r>
      <w:r w:rsidRPr="0085682A">
        <w:rPr>
          <w:rFonts w:ascii="Arial" w:hAnsi="Arial" w:cs="Arial"/>
          <w:i/>
          <w:iCs/>
        </w:rPr>
        <w:t>Unravelling</w:t>
      </w:r>
      <w:r w:rsidRPr="0085682A">
        <w:rPr>
          <w:rFonts w:ascii="Arial" w:hAnsi="Arial" w:cs="Arial"/>
          <w:i/>
          <w:iCs/>
        </w:rPr>
        <w:t xml:space="preserve"> the Tesla phenomenon: A comprehensive analysis of stock valuation and discrepancy between price and value factors (</w:t>
      </w:r>
      <w:r w:rsidRPr="0085682A">
        <w:rPr>
          <w:rFonts w:ascii="Arial" w:hAnsi="Arial" w:cs="Arial"/>
          <w:i/>
          <w:iCs/>
        </w:rPr>
        <w:t>master’s</w:t>
      </w:r>
      <w:r w:rsidRPr="0085682A">
        <w:rPr>
          <w:rFonts w:ascii="Arial" w:hAnsi="Arial" w:cs="Arial"/>
          <w:i/>
          <w:iCs/>
        </w:rPr>
        <w:t xml:space="preserve"> thesis, ISCTE-Instituto Universitario de Lisboa, Portugal).</w:t>
      </w:r>
    </w:p>
    <w:p w14:paraId="4689182D" w14:textId="77777777" w:rsidR="0085682A" w:rsidRPr="0085682A" w:rsidRDefault="0085682A" w:rsidP="0085682A">
      <w:pPr>
        <w:spacing w:line="480" w:lineRule="auto"/>
        <w:rPr>
          <w:rFonts w:ascii="Arial" w:hAnsi="Arial" w:cs="Arial"/>
        </w:rPr>
      </w:pPr>
      <w:r w:rsidRPr="0085682A">
        <w:rPr>
          <w:rFonts w:ascii="Arial" w:hAnsi="Arial" w:cs="Arial"/>
        </w:rPr>
        <w:t xml:space="preserve">Dyson, J. R. (2010). </w:t>
      </w:r>
      <w:r w:rsidRPr="0085682A">
        <w:rPr>
          <w:rFonts w:ascii="Arial" w:hAnsi="Arial" w:cs="Arial"/>
          <w:i/>
          <w:iCs/>
        </w:rPr>
        <w:t>Accounting for non</w:t>
      </w:r>
      <w:r w:rsidRPr="0085682A">
        <w:rPr>
          <w:rFonts w:ascii="Cambria Math" w:hAnsi="Cambria Math" w:cs="Cambria Math"/>
          <w:i/>
          <w:iCs/>
        </w:rPr>
        <w:t>‐</w:t>
      </w:r>
      <w:r w:rsidRPr="0085682A">
        <w:rPr>
          <w:rFonts w:ascii="Arial" w:hAnsi="Arial" w:cs="Arial"/>
          <w:i/>
          <w:iCs/>
        </w:rPr>
        <w:t>accounting students</w:t>
      </w:r>
      <w:r w:rsidRPr="0085682A">
        <w:rPr>
          <w:rFonts w:ascii="Arial" w:hAnsi="Arial" w:cs="Arial"/>
        </w:rPr>
        <w:t xml:space="preserve"> (8th ed.). Pearson.</w:t>
      </w:r>
    </w:p>
    <w:p w14:paraId="5C403A89" w14:textId="77777777" w:rsidR="0085682A" w:rsidRPr="0085682A" w:rsidRDefault="0085682A" w:rsidP="0085682A">
      <w:pPr>
        <w:spacing w:line="480" w:lineRule="auto"/>
        <w:rPr>
          <w:rFonts w:ascii="Arial" w:hAnsi="Arial" w:cs="Arial"/>
        </w:rPr>
      </w:pPr>
      <w:r w:rsidRPr="0085682A">
        <w:rPr>
          <w:rFonts w:ascii="Arial" w:hAnsi="Arial" w:cs="Arial"/>
        </w:rPr>
        <w:t xml:space="preserve">Drury, J. (2020). </w:t>
      </w:r>
      <w:r w:rsidRPr="0085682A">
        <w:rPr>
          <w:rFonts w:ascii="Arial" w:hAnsi="Arial" w:cs="Arial"/>
          <w:i/>
          <w:iCs/>
        </w:rPr>
        <w:t>Management and cost accounting</w:t>
      </w:r>
      <w:r w:rsidRPr="0085682A">
        <w:rPr>
          <w:rFonts w:ascii="Arial" w:hAnsi="Arial" w:cs="Arial"/>
        </w:rPr>
        <w:t xml:space="preserve"> (9th ed.). Cengage Learning.</w:t>
      </w:r>
    </w:p>
    <w:p w14:paraId="0D3CD311" w14:textId="77777777" w:rsidR="0085682A" w:rsidRPr="0085682A" w:rsidRDefault="0085682A" w:rsidP="0085682A">
      <w:pPr>
        <w:spacing w:line="480" w:lineRule="auto"/>
        <w:rPr>
          <w:rFonts w:ascii="Arial" w:hAnsi="Arial" w:cs="Arial"/>
        </w:rPr>
      </w:pPr>
      <w:r w:rsidRPr="0085682A">
        <w:rPr>
          <w:rFonts w:ascii="Arial" w:hAnsi="Arial" w:cs="Arial"/>
        </w:rPr>
        <w:t xml:space="preserve">Fang, C. (2024). </w:t>
      </w:r>
      <w:r w:rsidRPr="0085682A">
        <w:rPr>
          <w:rFonts w:ascii="Arial" w:hAnsi="Arial" w:cs="Arial"/>
          <w:i/>
          <w:iCs/>
        </w:rPr>
        <w:t>Tesla’s revenue forecast base on business model and financial statement analysis.</w:t>
      </w:r>
      <w:r w:rsidRPr="0085682A">
        <w:rPr>
          <w:rFonts w:ascii="Arial" w:hAnsi="Arial" w:cs="Arial"/>
        </w:rPr>
        <w:t xml:space="preserve"> In SHS Web of Conferences, 181, 02022. EDP Sciences.</w:t>
      </w:r>
    </w:p>
    <w:p w14:paraId="7C9CE8CE" w14:textId="77777777" w:rsidR="0085682A" w:rsidRPr="0085682A" w:rsidRDefault="0085682A" w:rsidP="0085682A">
      <w:pPr>
        <w:spacing w:line="480" w:lineRule="auto"/>
        <w:rPr>
          <w:rFonts w:ascii="Arial" w:hAnsi="Arial" w:cs="Arial"/>
        </w:rPr>
      </w:pPr>
      <w:r w:rsidRPr="0085682A">
        <w:rPr>
          <w:rFonts w:ascii="Arial" w:hAnsi="Arial" w:cs="Arial"/>
        </w:rPr>
        <w:t xml:space="preserve">Huang, W. (2023). Understanding Tesla’s financial strength: Analysis of financial reports and DuPont analysis. </w:t>
      </w:r>
      <w:r w:rsidRPr="0085682A">
        <w:rPr>
          <w:rFonts w:ascii="Arial" w:hAnsi="Arial" w:cs="Arial"/>
          <w:i/>
          <w:iCs/>
        </w:rPr>
        <w:t>Highlights in Business, Economics and Management, 6</w:t>
      </w:r>
      <w:r w:rsidRPr="0085682A">
        <w:rPr>
          <w:rFonts w:ascii="Arial" w:hAnsi="Arial" w:cs="Arial"/>
        </w:rPr>
        <w:t>, 250–261.</w:t>
      </w:r>
    </w:p>
    <w:p w14:paraId="428A0847" w14:textId="77777777" w:rsidR="0085682A" w:rsidRPr="0085682A" w:rsidRDefault="0085682A" w:rsidP="0085682A">
      <w:pPr>
        <w:spacing w:line="480" w:lineRule="auto"/>
        <w:rPr>
          <w:rFonts w:ascii="Arial" w:hAnsi="Arial" w:cs="Arial"/>
        </w:rPr>
      </w:pPr>
      <w:r w:rsidRPr="0085682A">
        <w:rPr>
          <w:rFonts w:ascii="Arial" w:hAnsi="Arial" w:cs="Arial"/>
        </w:rPr>
        <w:t xml:space="preserve">Kothari, S. P. (2001). Capital markets research in accounting. </w:t>
      </w:r>
      <w:r w:rsidRPr="0085682A">
        <w:rPr>
          <w:rFonts w:ascii="Arial" w:hAnsi="Arial" w:cs="Arial"/>
          <w:i/>
          <w:iCs/>
        </w:rPr>
        <w:t>Journal of Accounting and Economics, 31</w:t>
      </w:r>
      <w:r w:rsidRPr="0085682A">
        <w:rPr>
          <w:rFonts w:ascii="Arial" w:hAnsi="Arial" w:cs="Arial"/>
        </w:rPr>
        <w:t>(1–3), 105–253.</w:t>
      </w:r>
    </w:p>
    <w:p w14:paraId="0DD16609" w14:textId="77777777" w:rsidR="0085682A" w:rsidRPr="0085682A" w:rsidRDefault="0085682A" w:rsidP="0085682A">
      <w:pPr>
        <w:spacing w:line="480" w:lineRule="auto"/>
        <w:rPr>
          <w:rFonts w:ascii="Arial" w:hAnsi="Arial" w:cs="Arial"/>
        </w:rPr>
      </w:pPr>
      <w:r w:rsidRPr="0085682A">
        <w:rPr>
          <w:rFonts w:ascii="Arial" w:hAnsi="Arial" w:cs="Arial"/>
        </w:rPr>
        <w:t xml:space="preserve">Lucey, T. (2009). </w:t>
      </w:r>
      <w:r w:rsidRPr="0085682A">
        <w:rPr>
          <w:rFonts w:ascii="Arial" w:hAnsi="Arial" w:cs="Arial"/>
          <w:i/>
          <w:iCs/>
        </w:rPr>
        <w:t>Costing</w:t>
      </w:r>
      <w:r w:rsidRPr="0085682A">
        <w:rPr>
          <w:rFonts w:ascii="Arial" w:hAnsi="Arial" w:cs="Arial"/>
        </w:rPr>
        <w:t xml:space="preserve"> (7th ed.). Cengage Learning.</w:t>
      </w:r>
    </w:p>
    <w:p w14:paraId="11443D3E" w14:textId="77777777" w:rsidR="0085682A" w:rsidRPr="0085682A" w:rsidRDefault="0085682A" w:rsidP="0085682A">
      <w:pPr>
        <w:spacing w:line="480" w:lineRule="auto"/>
        <w:rPr>
          <w:rFonts w:ascii="Arial" w:hAnsi="Arial" w:cs="Arial"/>
        </w:rPr>
      </w:pPr>
      <w:r w:rsidRPr="0085682A">
        <w:rPr>
          <w:rFonts w:ascii="Arial" w:hAnsi="Arial" w:cs="Arial"/>
        </w:rPr>
        <w:t xml:space="preserve">Mehta, A., &amp; Bhavani, G. (2018). Financial statements analysis on Tesla. </w:t>
      </w:r>
      <w:r w:rsidRPr="0085682A">
        <w:rPr>
          <w:rFonts w:ascii="Arial" w:hAnsi="Arial" w:cs="Arial"/>
          <w:i/>
          <w:iCs/>
        </w:rPr>
        <w:t>Academy of Accounting and Financial Studies Journal, 22</w:t>
      </w:r>
      <w:r w:rsidRPr="0085682A">
        <w:rPr>
          <w:rFonts w:ascii="Arial" w:hAnsi="Arial" w:cs="Arial"/>
        </w:rPr>
        <w:t>(6), 1–9.</w:t>
      </w:r>
    </w:p>
    <w:p w14:paraId="293E1275" w14:textId="77777777" w:rsidR="0085682A" w:rsidRPr="0085682A" w:rsidRDefault="0085682A" w:rsidP="0085682A">
      <w:pPr>
        <w:spacing w:line="480" w:lineRule="auto"/>
        <w:rPr>
          <w:rFonts w:ascii="Arial" w:hAnsi="Arial" w:cs="Arial"/>
        </w:rPr>
      </w:pPr>
      <w:r w:rsidRPr="0085682A">
        <w:rPr>
          <w:rFonts w:ascii="Arial" w:hAnsi="Arial" w:cs="Arial"/>
        </w:rPr>
        <w:lastRenderedPageBreak/>
        <w:t xml:space="preserve">Ohlson, J. A. (1995). Earnings, book values and dividends in equity valuation. </w:t>
      </w:r>
      <w:r w:rsidRPr="0085682A">
        <w:rPr>
          <w:rFonts w:ascii="Arial" w:hAnsi="Arial" w:cs="Arial"/>
          <w:i/>
          <w:iCs/>
        </w:rPr>
        <w:t>Contemporary Accounting Research, 11</w:t>
      </w:r>
      <w:r w:rsidRPr="0085682A">
        <w:rPr>
          <w:rFonts w:ascii="Arial" w:hAnsi="Arial" w:cs="Arial"/>
        </w:rPr>
        <w:t>(2), 661–688.</w:t>
      </w:r>
    </w:p>
    <w:p w14:paraId="17D8D5A0" w14:textId="77777777" w:rsidR="0085682A" w:rsidRPr="0085682A" w:rsidRDefault="0085682A" w:rsidP="0085682A">
      <w:pPr>
        <w:spacing w:line="480" w:lineRule="auto"/>
        <w:rPr>
          <w:rFonts w:ascii="Arial" w:hAnsi="Arial" w:cs="Arial"/>
        </w:rPr>
      </w:pPr>
      <w:r w:rsidRPr="0085682A">
        <w:rPr>
          <w:rFonts w:ascii="Arial" w:hAnsi="Arial" w:cs="Arial"/>
        </w:rPr>
        <w:t xml:space="preserve">Qin, Y., Xiao, Y., &amp; Yuan, J. (2021, September). </w:t>
      </w:r>
      <w:r w:rsidRPr="0085682A">
        <w:rPr>
          <w:rFonts w:ascii="Arial" w:hAnsi="Arial" w:cs="Arial"/>
          <w:i/>
          <w:iCs/>
        </w:rPr>
        <w:t>The comprehensive competitiveness of Tesla based on financial analysis: A case study.</w:t>
      </w:r>
      <w:r w:rsidRPr="0085682A">
        <w:rPr>
          <w:rFonts w:ascii="Arial" w:hAnsi="Arial" w:cs="Arial"/>
        </w:rPr>
        <w:t xml:space="preserve"> In 2021 International Conference on Financial Management and Economic Transition (FMET 2021) (pp. 462–469). Atlantis Press.</w:t>
      </w:r>
    </w:p>
    <w:p w14:paraId="2379B20D" w14:textId="77777777" w:rsidR="0085682A" w:rsidRPr="0085682A" w:rsidRDefault="0085682A" w:rsidP="0085682A">
      <w:pPr>
        <w:spacing w:line="480" w:lineRule="auto"/>
        <w:rPr>
          <w:rFonts w:ascii="Arial" w:hAnsi="Arial" w:cs="Arial"/>
          <w:i/>
          <w:iCs/>
        </w:rPr>
      </w:pPr>
      <w:r w:rsidRPr="0085682A">
        <w:rPr>
          <w:rFonts w:ascii="Arial" w:hAnsi="Arial" w:cs="Arial"/>
        </w:rPr>
        <w:t xml:space="preserve">Silva, D. C. (2024). </w:t>
      </w:r>
      <w:r w:rsidRPr="0085682A">
        <w:rPr>
          <w:rFonts w:ascii="Arial" w:hAnsi="Arial" w:cs="Arial"/>
          <w:i/>
          <w:iCs/>
        </w:rPr>
        <w:t>Equity research report: Tesla (Doctoral dissertation).</w:t>
      </w:r>
    </w:p>
    <w:p w14:paraId="1D3B039D" w14:textId="77777777" w:rsidR="0085682A" w:rsidRPr="0085682A" w:rsidRDefault="0085682A" w:rsidP="0085682A">
      <w:pPr>
        <w:spacing w:line="480" w:lineRule="auto"/>
        <w:rPr>
          <w:rFonts w:ascii="Arial" w:hAnsi="Arial" w:cs="Arial"/>
          <w:i/>
          <w:iCs/>
        </w:rPr>
      </w:pPr>
      <w:r w:rsidRPr="0085682A">
        <w:rPr>
          <w:rFonts w:ascii="Arial" w:hAnsi="Arial" w:cs="Arial"/>
        </w:rPr>
        <w:t xml:space="preserve">Sikharulidze, G. (n.d.). </w:t>
      </w:r>
      <w:r w:rsidRPr="0085682A">
        <w:rPr>
          <w:rFonts w:ascii="Arial" w:hAnsi="Arial" w:cs="Arial"/>
          <w:i/>
          <w:iCs/>
        </w:rPr>
        <w:t>Financial analysis and valuation of Tesla Inc.</w:t>
      </w:r>
    </w:p>
    <w:p w14:paraId="0AEE5DB0" w14:textId="1284F671" w:rsidR="0085682A" w:rsidRDefault="0085682A" w:rsidP="0085682A">
      <w:pPr>
        <w:spacing w:line="480" w:lineRule="auto"/>
        <w:rPr>
          <w:rFonts w:ascii="Arial" w:hAnsi="Arial" w:cs="Arial"/>
        </w:rPr>
      </w:pPr>
      <w:r w:rsidRPr="0085682A">
        <w:rPr>
          <w:rFonts w:ascii="Arial" w:hAnsi="Arial" w:cs="Arial"/>
        </w:rPr>
        <w:t xml:space="preserve">Tesla Inc. (2021). </w:t>
      </w:r>
      <w:r w:rsidRPr="0085682A">
        <w:rPr>
          <w:rFonts w:ascii="Arial" w:hAnsi="Arial" w:cs="Arial"/>
          <w:i/>
          <w:iCs/>
        </w:rPr>
        <w:t>Tesla annual report 2021</w:t>
      </w:r>
      <w:r w:rsidRPr="0085682A">
        <w:rPr>
          <w:rFonts w:ascii="Arial" w:hAnsi="Arial" w:cs="Arial"/>
        </w:rPr>
        <w:t xml:space="preserve">. Tesla Inc. Retrieved from </w:t>
      </w:r>
      <w:hyperlink r:id="rId7" w:history="1">
        <w:r w:rsidRPr="00932F96">
          <w:rPr>
            <w:rStyle w:val="Hyperlink"/>
            <w:rFonts w:ascii="Arial" w:hAnsi="Arial" w:cs="Arial"/>
          </w:rPr>
          <w:t>https://ir.tesla.com</w:t>
        </w:r>
      </w:hyperlink>
    </w:p>
    <w:p w14:paraId="1AC44C6D" w14:textId="19F4CF12" w:rsidR="0085682A" w:rsidRDefault="0085682A" w:rsidP="0085682A">
      <w:pPr>
        <w:spacing w:line="480" w:lineRule="auto"/>
        <w:rPr>
          <w:rFonts w:ascii="Arial" w:hAnsi="Arial" w:cs="Arial"/>
        </w:rPr>
      </w:pPr>
      <w:r w:rsidRPr="0085682A">
        <w:rPr>
          <w:rFonts w:ascii="Arial" w:hAnsi="Arial" w:cs="Arial"/>
        </w:rPr>
        <w:t xml:space="preserve">Tesla Inc. (2022). Tesla annual report 2022. Tesla Inc. Retrieved from </w:t>
      </w:r>
      <w:hyperlink r:id="rId8" w:history="1">
        <w:r w:rsidRPr="00932F96">
          <w:rPr>
            <w:rStyle w:val="Hyperlink"/>
            <w:rFonts w:ascii="Arial" w:hAnsi="Arial" w:cs="Arial"/>
          </w:rPr>
          <w:t>https://ir.tesla.com</w:t>
        </w:r>
      </w:hyperlink>
    </w:p>
    <w:p w14:paraId="18E5C0CC" w14:textId="2FB05547" w:rsidR="0085682A" w:rsidRPr="0085682A" w:rsidRDefault="0085682A" w:rsidP="0085682A">
      <w:pPr>
        <w:spacing w:line="480" w:lineRule="auto"/>
        <w:rPr>
          <w:rFonts w:ascii="Arial" w:hAnsi="Arial" w:cs="Arial"/>
        </w:rPr>
      </w:pPr>
      <w:r w:rsidRPr="0085682A">
        <w:rPr>
          <w:rFonts w:ascii="Arial" w:hAnsi="Arial" w:cs="Arial"/>
        </w:rPr>
        <w:t xml:space="preserve">Walls, J. L., Berrone, P., &amp; Phan, P. H. (2012). Corporate governance and environmental performance: Is there really a link? </w:t>
      </w:r>
      <w:r w:rsidRPr="0085682A">
        <w:rPr>
          <w:rFonts w:ascii="Arial" w:hAnsi="Arial" w:cs="Arial"/>
          <w:i/>
          <w:iCs/>
        </w:rPr>
        <w:t>Strategic Management Journal, 33</w:t>
      </w:r>
      <w:r w:rsidRPr="0085682A">
        <w:rPr>
          <w:rFonts w:ascii="Arial" w:hAnsi="Arial" w:cs="Arial"/>
        </w:rPr>
        <w:t>(8), 885–913.</w:t>
      </w:r>
    </w:p>
    <w:p w14:paraId="51095F7E" w14:textId="77777777" w:rsidR="0085682A" w:rsidRPr="0085682A" w:rsidRDefault="0085682A" w:rsidP="0085682A">
      <w:pPr>
        <w:spacing w:line="480" w:lineRule="auto"/>
        <w:rPr>
          <w:rFonts w:ascii="Arial" w:hAnsi="Arial" w:cs="Arial"/>
        </w:rPr>
      </w:pPr>
      <w:r w:rsidRPr="0085682A">
        <w:rPr>
          <w:rFonts w:ascii="Arial" w:hAnsi="Arial" w:cs="Arial"/>
        </w:rPr>
        <w:t>Weetman, P. (2016</w:t>
      </w:r>
      <w:r w:rsidRPr="0085682A">
        <w:rPr>
          <w:rFonts w:ascii="Arial" w:hAnsi="Arial" w:cs="Arial"/>
          <w:i/>
          <w:iCs/>
        </w:rPr>
        <w:t>). Financial accounting: An introduction</w:t>
      </w:r>
      <w:r w:rsidRPr="0085682A">
        <w:rPr>
          <w:rFonts w:ascii="Arial" w:hAnsi="Arial" w:cs="Arial"/>
        </w:rPr>
        <w:t xml:space="preserve"> (7th ed.). Pearson.</w:t>
      </w:r>
    </w:p>
    <w:p w14:paraId="6D5A8B26" w14:textId="1778E3E2" w:rsidR="0085682A" w:rsidRPr="004710BF" w:rsidRDefault="0085682A" w:rsidP="0085682A">
      <w:pPr>
        <w:spacing w:line="480" w:lineRule="auto"/>
        <w:rPr>
          <w:rFonts w:ascii="Arial" w:hAnsi="Arial" w:cs="Arial"/>
        </w:rPr>
      </w:pPr>
      <w:r w:rsidRPr="0085682A">
        <w:rPr>
          <w:rFonts w:ascii="Arial" w:hAnsi="Arial" w:cs="Arial"/>
        </w:rPr>
        <w:t xml:space="preserve">Wood, F. (2015). </w:t>
      </w:r>
      <w:r w:rsidRPr="0085682A">
        <w:rPr>
          <w:rFonts w:ascii="Arial" w:hAnsi="Arial" w:cs="Arial"/>
          <w:i/>
          <w:iCs/>
        </w:rPr>
        <w:t>Frank Wood’s business accounting 1</w:t>
      </w:r>
      <w:r w:rsidRPr="0085682A">
        <w:rPr>
          <w:rFonts w:ascii="Arial" w:hAnsi="Arial" w:cs="Arial"/>
        </w:rPr>
        <w:t xml:space="preserve"> (13th ed.). FT Pitman Publications.</w:t>
      </w:r>
    </w:p>
    <w:sectPr w:rsidR="0085682A" w:rsidRPr="004710BF" w:rsidSect="007117D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ADDF7" w14:textId="77777777" w:rsidR="00D330D0" w:rsidRDefault="00D330D0" w:rsidP="005154BE">
      <w:pPr>
        <w:spacing w:after="0" w:line="240" w:lineRule="auto"/>
      </w:pPr>
      <w:r>
        <w:separator/>
      </w:r>
    </w:p>
  </w:endnote>
  <w:endnote w:type="continuationSeparator" w:id="0">
    <w:p w14:paraId="395CCF83" w14:textId="77777777" w:rsidR="00D330D0" w:rsidRDefault="00D330D0" w:rsidP="00515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9786434"/>
      <w:docPartObj>
        <w:docPartGallery w:val="Page Numbers (Bottom of Page)"/>
        <w:docPartUnique/>
      </w:docPartObj>
    </w:sdtPr>
    <w:sdtEndPr>
      <w:rPr>
        <w:color w:val="7F7F7F" w:themeColor="background1" w:themeShade="7F"/>
        <w:spacing w:val="60"/>
      </w:rPr>
    </w:sdtEndPr>
    <w:sdtContent>
      <w:p w14:paraId="1CE3203F" w14:textId="1210AA1A" w:rsidR="005154BE" w:rsidRDefault="005154B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990525" w14:textId="77777777" w:rsidR="005154BE" w:rsidRDefault="00515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2FF71" w14:textId="77777777" w:rsidR="00D330D0" w:rsidRDefault="00D330D0" w:rsidP="005154BE">
      <w:pPr>
        <w:spacing w:after="0" w:line="240" w:lineRule="auto"/>
      </w:pPr>
      <w:r>
        <w:separator/>
      </w:r>
    </w:p>
  </w:footnote>
  <w:footnote w:type="continuationSeparator" w:id="0">
    <w:p w14:paraId="5DE2ACE2" w14:textId="77777777" w:rsidR="00D330D0" w:rsidRDefault="00D330D0" w:rsidP="00515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64120"/>
    <w:multiLevelType w:val="hybridMultilevel"/>
    <w:tmpl w:val="60F618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52682"/>
    <w:multiLevelType w:val="hybridMultilevel"/>
    <w:tmpl w:val="87146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11450"/>
    <w:multiLevelType w:val="hybridMultilevel"/>
    <w:tmpl w:val="F62240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36301D"/>
    <w:multiLevelType w:val="hybridMultilevel"/>
    <w:tmpl w:val="662861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2724F8"/>
    <w:multiLevelType w:val="hybridMultilevel"/>
    <w:tmpl w:val="4EDA5B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8C2C93"/>
    <w:multiLevelType w:val="hybridMultilevel"/>
    <w:tmpl w:val="872647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54A79"/>
    <w:multiLevelType w:val="hybridMultilevel"/>
    <w:tmpl w:val="334A15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653BB7"/>
    <w:multiLevelType w:val="hybridMultilevel"/>
    <w:tmpl w:val="35A6AE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2403C"/>
    <w:multiLevelType w:val="hybridMultilevel"/>
    <w:tmpl w:val="9A10B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1571F4"/>
    <w:multiLevelType w:val="hybridMultilevel"/>
    <w:tmpl w:val="1430C0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401AAA"/>
    <w:multiLevelType w:val="hybridMultilevel"/>
    <w:tmpl w:val="29DC37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6403D8"/>
    <w:multiLevelType w:val="hybridMultilevel"/>
    <w:tmpl w:val="F34A10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951241">
    <w:abstractNumId w:val="8"/>
  </w:num>
  <w:num w:numId="2" w16cid:durableId="471942490">
    <w:abstractNumId w:val="1"/>
  </w:num>
  <w:num w:numId="3" w16cid:durableId="1931815281">
    <w:abstractNumId w:val="6"/>
  </w:num>
  <w:num w:numId="4" w16cid:durableId="1607344384">
    <w:abstractNumId w:val="4"/>
  </w:num>
  <w:num w:numId="5" w16cid:durableId="909920277">
    <w:abstractNumId w:val="9"/>
  </w:num>
  <w:num w:numId="6" w16cid:durableId="973634509">
    <w:abstractNumId w:val="3"/>
  </w:num>
  <w:num w:numId="7" w16cid:durableId="1924142800">
    <w:abstractNumId w:val="5"/>
  </w:num>
  <w:num w:numId="8" w16cid:durableId="632831926">
    <w:abstractNumId w:val="11"/>
  </w:num>
  <w:num w:numId="9" w16cid:durableId="398089584">
    <w:abstractNumId w:val="10"/>
  </w:num>
  <w:num w:numId="10" w16cid:durableId="804352735">
    <w:abstractNumId w:val="2"/>
  </w:num>
  <w:num w:numId="11" w16cid:durableId="408965065">
    <w:abstractNumId w:val="0"/>
  </w:num>
  <w:num w:numId="12" w16cid:durableId="20429687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BE"/>
    <w:rsid w:val="004710BF"/>
    <w:rsid w:val="005154BE"/>
    <w:rsid w:val="007117D7"/>
    <w:rsid w:val="00734EC2"/>
    <w:rsid w:val="0085682A"/>
    <w:rsid w:val="00B73208"/>
    <w:rsid w:val="00D33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63D4E"/>
  <w15:chartTrackingRefBased/>
  <w15:docId w15:val="{1E8BAAD8-BEE1-4495-A5F4-41790584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4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54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4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4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4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5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4BE"/>
    <w:rPr>
      <w:rFonts w:eastAsiaTheme="majorEastAsia" w:cstheme="majorBidi"/>
      <w:color w:val="272727" w:themeColor="text1" w:themeTint="D8"/>
    </w:rPr>
  </w:style>
  <w:style w:type="paragraph" w:styleId="Title">
    <w:name w:val="Title"/>
    <w:basedOn w:val="Normal"/>
    <w:next w:val="Normal"/>
    <w:link w:val="TitleChar"/>
    <w:uiPriority w:val="10"/>
    <w:qFormat/>
    <w:rsid w:val="00515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4BE"/>
    <w:pPr>
      <w:spacing w:before="160"/>
      <w:jc w:val="center"/>
    </w:pPr>
    <w:rPr>
      <w:i/>
      <w:iCs/>
      <w:color w:val="404040" w:themeColor="text1" w:themeTint="BF"/>
    </w:rPr>
  </w:style>
  <w:style w:type="character" w:customStyle="1" w:styleId="QuoteChar">
    <w:name w:val="Quote Char"/>
    <w:basedOn w:val="DefaultParagraphFont"/>
    <w:link w:val="Quote"/>
    <w:uiPriority w:val="29"/>
    <w:rsid w:val="005154BE"/>
    <w:rPr>
      <w:i/>
      <w:iCs/>
      <w:color w:val="404040" w:themeColor="text1" w:themeTint="BF"/>
    </w:rPr>
  </w:style>
  <w:style w:type="paragraph" w:styleId="ListParagraph">
    <w:name w:val="List Paragraph"/>
    <w:basedOn w:val="Normal"/>
    <w:uiPriority w:val="34"/>
    <w:qFormat/>
    <w:rsid w:val="005154BE"/>
    <w:pPr>
      <w:ind w:left="720"/>
      <w:contextualSpacing/>
    </w:pPr>
  </w:style>
  <w:style w:type="character" w:styleId="IntenseEmphasis">
    <w:name w:val="Intense Emphasis"/>
    <w:basedOn w:val="DefaultParagraphFont"/>
    <w:uiPriority w:val="21"/>
    <w:qFormat/>
    <w:rsid w:val="005154BE"/>
    <w:rPr>
      <w:i/>
      <w:iCs/>
      <w:color w:val="0F4761" w:themeColor="accent1" w:themeShade="BF"/>
    </w:rPr>
  </w:style>
  <w:style w:type="paragraph" w:styleId="IntenseQuote">
    <w:name w:val="Intense Quote"/>
    <w:basedOn w:val="Normal"/>
    <w:next w:val="Normal"/>
    <w:link w:val="IntenseQuoteChar"/>
    <w:uiPriority w:val="30"/>
    <w:qFormat/>
    <w:rsid w:val="005154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4BE"/>
    <w:rPr>
      <w:i/>
      <w:iCs/>
      <w:color w:val="0F4761" w:themeColor="accent1" w:themeShade="BF"/>
    </w:rPr>
  </w:style>
  <w:style w:type="character" w:styleId="IntenseReference">
    <w:name w:val="Intense Reference"/>
    <w:basedOn w:val="DefaultParagraphFont"/>
    <w:uiPriority w:val="32"/>
    <w:qFormat/>
    <w:rsid w:val="005154BE"/>
    <w:rPr>
      <w:b/>
      <w:bCs/>
      <w:smallCaps/>
      <w:color w:val="0F4761" w:themeColor="accent1" w:themeShade="BF"/>
      <w:spacing w:val="5"/>
    </w:rPr>
  </w:style>
  <w:style w:type="paragraph" w:styleId="Header">
    <w:name w:val="header"/>
    <w:basedOn w:val="Normal"/>
    <w:link w:val="HeaderChar"/>
    <w:uiPriority w:val="99"/>
    <w:unhideWhenUsed/>
    <w:rsid w:val="00515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4BE"/>
  </w:style>
  <w:style w:type="paragraph" w:styleId="Footer">
    <w:name w:val="footer"/>
    <w:basedOn w:val="Normal"/>
    <w:link w:val="FooterChar"/>
    <w:uiPriority w:val="99"/>
    <w:unhideWhenUsed/>
    <w:rsid w:val="00515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4BE"/>
  </w:style>
  <w:style w:type="character" w:styleId="Hyperlink">
    <w:name w:val="Hyperlink"/>
    <w:basedOn w:val="DefaultParagraphFont"/>
    <w:uiPriority w:val="99"/>
    <w:unhideWhenUsed/>
    <w:rsid w:val="0085682A"/>
    <w:rPr>
      <w:color w:val="467886" w:themeColor="hyperlink"/>
      <w:u w:val="single"/>
    </w:rPr>
  </w:style>
  <w:style w:type="character" w:styleId="UnresolvedMention">
    <w:name w:val="Unresolved Mention"/>
    <w:basedOn w:val="DefaultParagraphFont"/>
    <w:uiPriority w:val="99"/>
    <w:semiHidden/>
    <w:unhideWhenUsed/>
    <w:rsid w:val="0085682A"/>
    <w:rPr>
      <w:color w:val="605E5C"/>
      <w:shd w:val="clear" w:color="auto" w:fill="E1DFDD"/>
    </w:rPr>
  </w:style>
  <w:style w:type="paragraph" w:styleId="NoSpacing">
    <w:name w:val="No Spacing"/>
    <w:link w:val="NoSpacingChar"/>
    <w:uiPriority w:val="1"/>
    <w:qFormat/>
    <w:rsid w:val="007117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17D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tesla.com" TargetMode="External"/><Relationship Id="rId3" Type="http://schemas.openxmlformats.org/officeDocument/2006/relationships/settings" Target="settings.xml"/><Relationship Id="rId7" Type="http://schemas.openxmlformats.org/officeDocument/2006/relationships/hyperlink" Target="https://ir.tesl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11</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Financial Management For Business Sustainability</Company>
  <LinksUpToDate>false</LinksUpToDate>
  <CharactersWithSpaces>12676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Financial Analysis</dc:title>
  <dc:subject/>
  <dc:creator>Mirabela Voican (1907947)</dc:creator>
  <cp:keywords/>
  <dc:description/>
  <cp:lastModifiedBy>Mirabela Voican (1907947)</cp:lastModifiedBy>
  <cp:revision>1</cp:revision>
  <dcterms:created xsi:type="dcterms:W3CDTF">2025-04-08T21:17:00Z</dcterms:created>
  <dcterms:modified xsi:type="dcterms:W3CDTF">2025-04-08T22:14:00Z</dcterms:modified>
  <cp:category>BMSP4011D</cp:category>
</cp:coreProperties>
</file>