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9913" w:type="dxa"/>
        <w:tblLook w:val="04A0" w:firstRow="1" w:lastRow="0" w:firstColumn="1" w:lastColumn="0" w:noHBand="0" w:noVBand="1"/>
      </w:tblPr>
      <w:tblGrid>
        <w:gridCol w:w="1398"/>
        <w:gridCol w:w="8515"/>
      </w:tblGrid>
      <w:tr w:rsidR="00325B9F" w14:paraId="678BE813" w14:textId="77777777" w:rsidTr="00336447">
        <w:trPr>
          <w:trHeight w:val="1749"/>
        </w:trPr>
        <w:tc>
          <w:tcPr>
            <w:tcW w:w="1398" w:type="dxa"/>
          </w:tcPr>
          <w:p w14:paraId="7B14923A" w14:textId="13A1DF05" w:rsidR="00325B9F" w:rsidRPr="00336447" w:rsidRDefault="00325B9F" w:rsidP="00932B38">
            <w:pPr>
              <w:pStyle w:val="NormalWeb"/>
              <w:rPr>
                <w:rFonts w:asciiTheme="minorHAnsi" w:hAnsiTheme="minorHAnsi" w:cstheme="minorHAnsi"/>
                <w:color w:val="212121"/>
                <w:sz w:val="32"/>
                <w:szCs w:val="32"/>
                <w:lang w:val="cy-GB"/>
              </w:rPr>
            </w:pPr>
            <w:r w:rsidRPr="00336447">
              <w:rPr>
                <w:rFonts w:asciiTheme="minorHAnsi" w:hAnsiTheme="minorHAnsi" w:cstheme="minorHAnsi"/>
                <w:color w:val="212121"/>
                <w:sz w:val="32"/>
                <w:szCs w:val="32"/>
                <w:lang w:val="cy-GB"/>
              </w:rPr>
              <w:t>Targed 1</w:t>
            </w:r>
          </w:p>
        </w:tc>
        <w:tc>
          <w:tcPr>
            <w:tcW w:w="8515" w:type="dxa"/>
          </w:tcPr>
          <w:p w14:paraId="5F3AA2FF" w14:textId="65D3C274" w:rsidR="00325B9F" w:rsidRPr="00336447" w:rsidRDefault="00325B9F" w:rsidP="00932B38">
            <w:pPr>
              <w:pStyle w:val="NormalWeb"/>
              <w:rPr>
                <w:rFonts w:asciiTheme="minorHAnsi" w:hAnsiTheme="minorHAnsi" w:cstheme="minorHAnsi"/>
                <w:color w:val="212121"/>
                <w:sz w:val="32"/>
                <w:szCs w:val="32"/>
                <w:lang w:val="cy-GB"/>
              </w:rPr>
            </w:pPr>
            <w:proofErr w:type="spellStart"/>
            <w:r w:rsidRPr="00336447">
              <w:rPr>
                <w:rFonts w:asciiTheme="minorHAnsi" w:hAnsiTheme="minorHAnsi" w:cstheme="minorHAnsi"/>
                <w:color w:val="212121"/>
                <w:sz w:val="32"/>
                <w:szCs w:val="32"/>
              </w:rPr>
              <w:t>Parhau</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i</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ddatblygu</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agwedd</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feirniadol</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drwyddi</w:t>
            </w:r>
            <w:proofErr w:type="spellEnd"/>
            <w:r w:rsidRPr="00336447">
              <w:rPr>
                <w:rFonts w:asciiTheme="minorHAnsi" w:hAnsiTheme="minorHAnsi" w:cstheme="minorHAnsi"/>
                <w:color w:val="212121"/>
                <w:sz w:val="32"/>
                <w:szCs w:val="32"/>
              </w:rPr>
              <w:t xml:space="preserve"> draw, </w:t>
            </w:r>
            <w:proofErr w:type="spellStart"/>
            <w:r w:rsidRPr="00336447">
              <w:rPr>
                <w:rFonts w:asciiTheme="minorHAnsi" w:hAnsiTheme="minorHAnsi" w:cstheme="minorHAnsi"/>
                <w:color w:val="212121"/>
                <w:sz w:val="32"/>
                <w:szCs w:val="32"/>
              </w:rPr>
              <w:t>gan</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gynnig</w:t>
            </w:r>
            <w:proofErr w:type="spellEnd"/>
            <w:r w:rsidRPr="00336447">
              <w:rPr>
                <w:rFonts w:asciiTheme="minorHAnsi" w:hAnsiTheme="minorHAnsi" w:cstheme="minorHAnsi"/>
                <w:color w:val="212121"/>
                <w:sz w:val="32"/>
                <w:szCs w:val="32"/>
              </w:rPr>
              <w:t xml:space="preserve"> y </w:t>
            </w:r>
            <w:proofErr w:type="spellStart"/>
            <w:r w:rsidRPr="00336447">
              <w:rPr>
                <w:rFonts w:asciiTheme="minorHAnsi" w:hAnsiTheme="minorHAnsi" w:cstheme="minorHAnsi"/>
                <w:color w:val="212121"/>
                <w:sz w:val="32"/>
                <w:szCs w:val="32"/>
              </w:rPr>
              <w:t>farn</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gyferbyniol</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pryd</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bynnag</w:t>
            </w:r>
            <w:proofErr w:type="spellEnd"/>
            <w:r w:rsidRPr="00336447">
              <w:rPr>
                <w:rFonts w:asciiTheme="minorHAnsi" w:hAnsiTheme="minorHAnsi" w:cstheme="minorHAnsi"/>
                <w:color w:val="212121"/>
                <w:sz w:val="32"/>
                <w:szCs w:val="32"/>
              </w:rPr>
              <w:t xml:space="preserve"> y </w:t>
            </w:r>
            <w:proofErr w:type="spellStart"/>
            <w:r w:rsidRPr="00336447">
              <w:rPr>
                <w:rFonts w:asciiTheme="minorHAnsi" w:hAnsiTheme="minorHAnsi" w:cstheme="minorHAnsi"/>
                <w:color w:val="212121"/>
                <w:sz w:val="32"/>
                <w:szCs w:val="32"/>
              </w:rPr>
              <w:t>bo</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modd</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gan</w:t>
            </w:r>
            <w:proofErr w:type="spellEnd"/>
            <w:r w:rsidRPr="00336447">
              <w:rPr>
                <w:rFonts w:asciiTheme="minorHAnsi" w:hAnsiTheme="minorHAnsi" w:cstheme="minorHAnsi"/>
                <w:color w:val="212121"/>
                <w:sz w:val="32"/>
                <w:szCs w:val="32"/>
              </w:rPr>
              <w:t> </w:t>
            </w:r>
            <w:proofErr w:type="spellStart"/>
            <w:r w:rsidRPr="00336447">
              <w:rPr>
                <w:rFonts w:asciiTheme="minorHAnsi" w:hAnsiTheme="minorHAnsi" w:cstheme="minorHAnsi"/>
                <w:color w:val="212121"/>
                <w:sz w:val="32"/>
                <w:szCs w:val="32"/>
              </w:rPr>
              <w:t>ystyried</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goblygiadau'r</w:t>
            </w:r>
            <w:proofErr w:type="spellEnd"/>
            <w:r w:rsidRPr="00336447">
              <w:rPr>
                <w:rFonts w:asciiTheme="minorHAnsi" w:hAnsiTheme="minorHAnsi" w:cstheme="minorHAnsi"/>
                <w:b/>
                <w:bCs/>
                <w:color w:val="212121"/>
                <w:sz w:val="32"/>
                <w:szCs w:val="32"/>
              </w:rPr>
              <w:t> </w:t>
            </w:r>
            <w:proofErr w:type="spellStart"/>
            <w:r w:rsidRPr="00336447">
              <w:rPr>
                <w:rFonts w:asciiTheme="minorHAnsi" w:hAnsiTheme="minorHAnsi" w:cstheme="minorHAnsi"/>
                <w:color w:val="212121"/>
                <w:sz w:val="32"/>
                <w:szCs w:val="32"/>
              </w:rPr>
              <w:t>hyn</w:t>
            </w:r>
            <w:proofErr w:type="spellEnd"/>
            <w:r w:rsidRPr="00336447">
              <w:rPr>
                <w:rFonts w:asciiTheme="minorHAnsi" w:hAnsiTheme="minorHAnsi" w:cstheme="minorHAnsi"/>
                <w:color w:val="212121"/>
                <w:sz w:val="32"/>
                <w:szCs w:val="32"/>
              </w:rPr>
              <w:t xml:space="preserve"> </w:t>
            </w:r>
            <w:proofErr w:type="gramStart"/>
            <w:r w:rsidRPr="00336447">
              <w:rPr>
                <w:rFonts w:asciiTheme="minorHAnsi" w:hAnsiTheme="minorHAnsi" w:cstheme="minorHAnsi"/>
                <w:color w:val="212121"/>
                <w:sz w:val="32"/>
                <w:szCs w:val="32"/>
              </w:rPr>
              <w:t>a</w:t>
            </w:r>
            <w:proofErr w:type="gram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ysgrifennwyd</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drwy</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ddadansoddi</w:t>
            </w:r>
            <w:proofErr w:type="spellEnd"/>
            <w:r w:rsidRPr="00336447">
              <w:rPr>
                <w:rFonts w:asciiTheme="minorHAnsi" w:hAnsiTheme="minorHAnsi" w:cstheme="minorHAnsi"/>
                <w:color w:val="212121"/>
                <w:sz w:val="32"/>
                <w:szCs w:val="32"/>
              </w:rPr>
              <w:t xml:space="preserve"> a </w:t>
            </w:r>
            <w:proofErr w:type="spellStart"/>
            <w:r w:rsidRPr="00336447">
              <w:rPr>
                <w:rFonts w:asciiTheme="minorHAnsi" w:hAnsiTheme="minorHAnsi" w:cstheme="minorHAnsi"/>
                <w:color w:val="212121"/>
                <w:sz w:val="32"/>
                <w:szCs w:val="32"/>
              </w:rPr>
              <w:t>gwerthuso'n</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feirniadol</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yn</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gyson</w:t>
            </w:r>
            <w:proofErr w:type="spellEnd"/>
            <w:r w:rsidRPr="00336447">
              <w:rPr>
                <w:rFonts w:asciiTheme="minorHAnsi" w:hAnsiTheme="minorHAnsi" w:cstheme="minorHAnsi"/>
                <w:color w:val="212121"/>
                <w:sz w:val="32"/>
                <w:szCs w:val="32"/>
              </w:rPr>
              <w:t>.</w:t>
            </w:r>
          </w:p>
        </w:tc>
      </w:tr>
      <w:tr w:rsidR="00325B9F" w14:paraId="3C1C1992" w14:textId="77777777" w:rsidTr="00336447">
        <w:trPr>
          <w:trHeight w:val="1177"/>
        </w:trPr>
        <w:tc>
          <w:tcPr>
            <w:tcW w:w="1398" w:type="dxa"/>
          </w:tcPr>
          <w:p w14:paraId="7D532021" w14:textId="49B3F874" w:rsidR="00325B9F" w:rsidRPr="00336447" w:rsidRDefault="00325B9F" w:rsidP="00932B38">
            <w:pPr>
              <w:pStyle w:val="NormalWeb"/>
              <w:rPr>
                <w:rFonts w:asciiTheme="minorHAnsi" w:hAnsiTheme="minorHAnsi" w:cstheme="minorHAnsi"/>
                <w:color w:val="212121"/>
                <w:sz w:val="32"/>
                <w:szCs w:val="32"/>
                <w:lang w:val="cy-GB"/>
              </w:rPr>
            </w:pPr>
            <w:r w:rsidRPr="00336447">
              <w:rPr>
                <w:rFonts w:asciiTheme="minorHAnsi" w:hAnsiTheme="minorHAnsi" w:cstheme="minorHAnsi"/>
                <w:color w:val="212121"/>
                <w:sz w:val="32"/>
                <w:szCs w:val="32"/>
                <w:lang w:val="cy-GB"/>
              </w:rPr>
              <w:t>Targed 2</w:t>
            </w:r>
          </w:p>
        </w:tc>
        <w:tc>
          <w:tcPr>
            <w:tcW w:w="8515" w:type="dxa"/>
          </w:tcPr>
          <w:p w14:paraId="79047C29" w14:textId="086B1813" w:rsidR="00325B9F" w:rsidRPr="00336447" w:rsidRDefault="00325B9F" w:rsidP="00932B38">
            <w:pPr>
              <w:pStyle w:val="NormalWeb"/>
              <w:rPr>
                <w:rFonts w:asciiTheme="minorHAnsi" w:hAnsiTheme="minorHAnsi" w:cstheme="minorHAnsi"/>
                <w:color w:val="212121"/>
                <w:sz w:val="32"/>
                <w:szCs w:val="32"/>
                <w:lang w:val="cy-GB"/>
              </w:rPr>
            </w:pPr>
            <w:proofErr w:type="spellStart"/>
            <w:r w:rsidRPr="00336447">
              <w:rPr>
                <w:rFonts w:asciiTheme="minorHAnsi" w:hAnsiTheme="minorHAnsi" w:cstheme="minorHAnsi"/>
                <w:color w:val="212121"/>
                <w:sz w:val="32"/>
                <w:szCs w:val="32"/>
              </w:rPr>
              <w:t>Parhau</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i</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syntheseiddio</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ymchwil</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i'ch</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gwaith</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ysgrifennu</w:t>
            </w:r>
            <w:proofErr w:type="spellEnd"/>
            <w:r w:rsidRPr="00336447">
              <w:rPr>
                <w:rFonts w:asciiTheme="minorHAnsi" w:hAnsiTheme="minorHAnsi" w:cstheme="minorHAnsi"/>
                <w:color w:val="212121"/>
                <w:sz w:val="32"/>
                <w:szCs w:val="32"/>
              </w:rPr>
              <w:t xml:space="preserve"> er </w:t>
            </w:r>
            <w:proofErr w:type="spellStart"/>
            <w:r w:rsidRPr="00336447">
              <w:rPr>
                <w:rFonts w:asciiTheme="minorHAnsi" w:hAnsiTheme="minorHAnsi" w:cstheme="minorHAnsi"/>
                <w:color w:val="212121"/>
                <w:sz w:val="32"/>
                <w:szCs w:val="32"/>
              </w:rPr>
              <w:t>mwyn</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cefnogi'ch</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pwyntiau</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allweddol</w:t>
            </w:r>
            <w:proofErr w:type="spellEnd"/>
            <w:r w:rsidRPr="00336447">
              <w:rPr>
                <w:rFonts w:asciiTheme="minorHAnsi" w:hAnsiTheme="minorHAnsi" w:cstheme="minorHAnsi"/>
                <w:color w:val="212121"/>
                <w:sz w:val="32"/>
                <w:szCs w:val="32"/>
              </w:rPr>
              <w:t>.</w:t>
            </w:r>
          </w:p>
        </w:tc>
      </w:tr>
      <w:tr w:rsidR="00325B9F" w14:paraId="0F5CC350" w14:textId="77777777" w:rsidTr="00336447">
        <w:trPr>
          <w:trHeight w:val="538"/>
        </w:trPr>
        <w:tc>
          <w:tcPr>
            <w:tcW w:w="1398" w:type="dxa"/>
          </w:tcPr>
          <w:p w14:paraId="1D0DC671" w14:textId="75ADF481" w:rsidR="00325B9F" w:rsidRPr="00336447" w:rsidRDefault="00325B9F" w:rsidP="00932B38">
            <w:pPr>
              <w:pStyle w:val="NormalWeb"/>
              <w:rPr>
                <w:rFonts w:asciiTheme="minorHAnsi" w:hAnsiTheme="minorHAnsi" w:cstheme="minorHAnsi"/>
                <w:color w:val="212121"/>
                <w:sz w:val="32"/>
                <w:szCs w:val="32"/>
                <w:lang w:val="cy-GB"/>
              </w:rPr>
            </w:pPr>
            <w:r w:rsidRPr="00336447">
              <w:rPr>
                <w:rFonts w:asciiTheme="minorHAnsi" w:hAnsiTheme="minorHAnsi" w:cstheme="minorHAnsi"/>
                <w:color w:val="212121"/>
                <w:sz w:val="32"/>
                <w:szCs w:val="32"/>
                <w:lang w:val="cy-GB"/>
              </w:rPr>
              <w:t>Targed 3</w:t>
            </w:r>
          </w:p>
        </w:tc>
        <w:tc>
          <w:tcPr>
            <w:tcW w:w="8515" w:type="dxa"/>
          </w:tcPr>
          <w:p w14:paraId="34828CB5" w14:textId="50B04388" w:rsidR="00325B9F" w:rsidRPr="00336447" w:rsidRDefault="00325B9F" w:rsidP="00932B38">
            <w:pPr>
              <w:pStyle w:val="NormalWeb"/>
              <w:rPr>
                <w:rFonts w:asciiTheme="minorHAnsi" w:hAnsiTheme="minorHAnsi" w:cstheme="minorHAnsi"/>
                <w:color w:val="212121"/>
                <w:sz w:val="32"/>
                <w:szCs w:val="32"/>
                <w:lang w:val="cy-GB"/>
              </w:rPr>
            </w:pPr>
            <w:proofErr w:type="spellStart"/>
            <w:r w:rsidRPr="00336447">
              <w:rPr>
                <w:rFonts w:asciiTheme="minorHAnsi" w:hAnsiTheme="minorHAnsi" w:cstheme="minorHAnsi"/>
                <w:color w:val="212121"/>
                <w:sz w:val="32"/>
                <w:szCs w:val="32"/>
              </w:rPr>
              <w:t>Parhau</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i</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fireinio</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sgiliau</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cyfeirnodi</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drwy</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wirio'r</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llawlyfr</w:t>
            </w:r>
            <w:proofErr w:type="spellEnd"/>
            <w:r w:rsidRPr="00336447">
              <w:rPr>
                <w:rFonts w:asciiTheme="minorHAnsi" w:hAnsiTheme="minorHAnsi" w:cstheme="minorHAnsi"/>
                <w:color w:val="212121"/>
                <w:sz w:val="32"/>
                <w:szCs w:val="32"/>
              </w:rPr>
              <w:t xml:space="preserve"> </w:t>
            </w:r>
            <w:proofErr w:type="spellStart"/>
            <w:r w:rsidRPr="00336447">
              <w:rPr>
                <w:rFonts w:asciiTheme="minorHAnsi" w:hAnsiTheme="minorHAnsi" w:cstheme="minorHAnsi"/>
                <w:color w:val="212121"/>
                <w:sz w:val="32"/>
                <w:szCs w:val="32"/>
              </w:rPr>
              <w:t>cyfeirnodi</w:t>
            </w:r>
            <w:proofErr w:type="spellEnd"/>
            <w:r w:rsidRPr="00336447">
              <w:rPr>
                <w:rFonts w:asciiTheme="minorHAnsi" w:hAnsiTheme="minorHAnsi" w:cstheme="minorHAnsi"/>
                <w:color w:val="212121"/>
                <w:sz w:val="32"/>
                <w:szCs w:val="32"/>
              </w:rPr>
              <w:t>.</w:t>
            </w:r>
          </w:p>
        </w:tc>
      </w:tr>
    </w:tbl>
    <w:p w14:paraId="437F55FF" w14:textId="7A795D48" w:rsidR="00932B38" w:rsidRPr="00EF3DBC" w:rsidRDefault="00932B38" w:rsidP="00932B38">
      <w:pPr>
        <w:pStyle w:val="NormalWeb"/>
        <w:rPr>
          <w:rFonts w:asciiTheme="minorHAnsi" w:hAnsiTheme="minorHAnsi" w:cstheme="minorHAnsi"/>
          <w:color w:val="212121"/>
          <w:lang w:val="cy-GB"/>
        </w:rPr>
      </w:pPr>
    </w:p>
    <w:p w14:paraId="6B1FB2ED" w14:textId="1FADED7B" w:rsidR="00932B38" w:rsidRPr="00325B9F" w:rsidRDefault="00932B38" w:rsidP="00325B9F">
      <w:pPr>
        <w:pStyle w:val="NormalWeb"/>
        <w:spacing w:line="360" w:lineRule="auto"/>
        <w:rPr>
          <w:rFonts w:ascii="Arial" w:hAnsi="Arial" w:cs="Arial"/>
          <w:b/>
          <w:bCs/>
          <w:color w:val="212121"/>
          <w:sz w:val="36"/>
          <w:szCs w:val="36"/>
          <w:lang w:val="cy-GB"/>
        </w:rPr>
      </w:pPr>
      <w:r w:rsidRPr="00325B9F">
        <w:rPr>
          <w:rFonts w:ascii="Arial" w:hAnsi="Arial" w:cs="Arial"/>
          <w:b/>
          <w:bCs/>
          <w:color w:val="212121"/>
          <w:sz w:val="36"/>
          <w:szCs w:val="36"/>
          <w:lang w:val="cy-GB"/>
        </w:rPr>
        <w:t xml:space="preserve">Dylunio a chynnal astudiaeth ymchwil ar raddfa fach, a gwerthuso'n feirniadol effaith offer ymchwil a ddewiswyd, a’r data, ar y dysgwr ac ar eich ymarfer proffesiynol </w:t>
      </w:r>
    </w:p>
    <w:p w14:paraId="74D17920" w14:textId="22A84376" w:rsidR="00D85005" w:rsidRPr="00325B9F" w:rsidRDefault="00952E93" w:rsidP="00325B9F">
      <w:pPr>
        <w:pStyle w:val="NormalWeb"/>
        <w:spacing w:line="360" w:lineRule="auto"/>
        <w:rPr>
          <w:rFonts w:ascii="Arial" w:hAnsi="Arial" w:cs="Arial"/>
          <w:b/>
          <w:bCs/>
          <w:color w:val="212121"/>
          <w:sz w:val="36"/>
          <w:szCs w:val="36"/>
          <w:lang w:val="cy-GB"/>
        </w:rPr>
      </w:pPr>
      <w:r w:rsidRPr="00325B9F">
        <w:rPr>
          <w:rFonts w:ascii="Arial" w:hAnsi="Arial" w:cs="Arial"/>
          <w:b/>
          <w:bCs/>
          <w:color w:val="212121"/>
          <w:sz w:val="36"/>
          <w:szCs w:val="36"/>
          <w:lang w:val="cy-GB"/>
        </w:rPr>
        <w:t>Pa mor effeithiol y mae staff a disgyblion Blwyddyn 5 a 6 yn ystyried cwestiynu fel strategaeth asesu ar gyfer dysgu yn yr ystafell ddosbarth</w:t>
      </w:r>
      <w:r w:rsidR="00325B9F" w:rsidRPr="00325B9F">
        <w:rPr>
          <w:rFonts w:ascii="Arial" w:hAnsi="Arial" w:cs="Arial"/>
          <w:b/>
          <w:bCs/>
          <w:color w:val="212121"/>
          <w:sz w:val="36"/>
          <w:szCs w:val="36"/>
          <w:lang w:val="cy-GB"/>
        </w:rPr>
        <w:t>?</w:t>
      </w:r>
    </w:p>
    <w:p w14:paraId="0BAAC6DB" w14:textId="0CA8879C" w:rsidR="00901F34" w:rsidRPr="00325B9F" w:rsidRDefault="00901F34" w:rsidP="00325B9F">
      <w:pPr>
        <w:pStyle w:val="NormalWeb"/>
        <w:spacing w:line="360" w:lineRule="auto"/>
        <w:rPr>
          <w:rFonts w:ascii="Arial" w:hAnsi="Arial" w:cs="Arial"/>
          <w:b/>
          <w:bCs/>
          <w:color w:val="212121"/>
          <w:sz w:val="28"/>
          <w:szCs w:val="28"/>
          <w:lang w:val="cy-GB"/>
        </w:rPr>
      </w:pPr>
      <w:r w:rsidRPr="00325B9F">
        <w:rPr>
          <w:rFonts w:ascii="Arial" w:hAnsi="Arial" w:cs="Arial"/>
          <w:b/>
          <w:bCs/>
          <w:color w:val="212121"/>
          <w:sz w:val="28"/>
          <w:szCs w:val="28"/>
          <w:lang w:val="cy-GB"/>
        </w:rPr>
        <w:t>Cyflwyniad:</w:t>
      </w:r>
    </w:p>
    <w:p w14:paraId="6F3503A7" w14:textId="754DC531" w:rsidR="005A771D" w:rsidRPr="005A771D" w:rsidRDefault="005A771D" w:rsidP="005A771D">
      <w:pPr>
        <w:pStyle w:val="NormalWeb"/>
        <w:spacing w:line="360" w:lineRule="auto"/>
        <w:rPr>
          <w:rFonts w:ascii="Arial" w:hAnsi="Arial" w:cs="Arial"/>
          <w:color w:val="212121"/>
          <w:sz w:val="22"/>
          <w:szCs w:val="22"/>
          <w:lang w:val="cy-GB"/>
        </w:rPr>
      </w:pPr>
      <w:r w:rsidRPr="005A771D">
        <w:rPr>
          <w:rFonts w:ascii="Arial" w:hAnsi="Arial" w:cs="Arial"/>
          <w:color w:val="212121"/>
          <w:sz w:val="22"/>
          <w:szCs w:val="22"/>
          <w:lang w:val="cy-GB"/>
        </w:rPr>
        <w:t xml:space="preserve">Gwelwn bwysigrwydd enfawr o asesu o fewn ysgolion, a’r nifer o ffurfiau gwahanol gallwn ddefnyddio. Pwrpas yr ymchwil hon oedd dadansoddi’r dull asesu cwestiynu. Dyma un enghraifft o’r pedair elfen o Asesu ar gyfer Dysgu. Yn ystod yr ymchwil, gofynnais i athrawon a disgyblion fy ysgol PAP am eu barn o’r dull cwestiynu. Pwrpas casglu’r data hon oedd dadansoddi’r dull, a’i effeithlonrwydd. Rho hyn y cyfle i mi gymharu’r data â’r adolygiad llenyddiaeth. Cyfwelais dau athro, a ddosbarthais dau holiadur gwahanol i’r staff a disgyblion </w:t>
      </w:r>
      <w:r w:rsidR="00EC54C7">
        <w:rPr>
          <w:rFonts w:ascii="Arial" w:hAnsi="Arial" w:cs="Arial"/>
          <w:color w:val="212121"/>
          <w:sz w:val="22"/>
          <w:szCs w:val="22"/>
          <w:lang w:val="cy-GB"/>
        </w:rPr>
        <w:t>b</w:t>
      </w:r>
      <w:r w:rsidRPr="005A771D">
        <w:rPr>
          <w:rFonts w:ascii="Arial" w:hAnsi="Arial" w:cs="Arial"/>
          <w:color w:val="212121"/>
          <w:sz w:val="22"/>
          <w:szCs w:val="22"/>
          <w:lang w:val="cy-GB"/>
        </w:rPr>
        <w:t xml:space="preserve">lwyddyn pump a chwech. </w:t>
      </w:r>
    </w:p>
    <w:p w14:paraId="0CDD2B23" w14:textId="76B3EA6B" w:rsidR="001329EC" w:rsidRDefault="0001499B" w:rsidP="001329EC">
      <w:pPr>
        <w:pStyle w:val="NormalWeb"/>
        <w:spacing w:line="360" w:lineRule="auto"/>
        <w:ind w:left="720"/>
        <w:rPr>
          <w:rFonts w:ascii="Arial" w:hAnsi="Arial" w:cs="Arial"/>
          <w:i/>
          <w:iCs/>
          <w:sz w:val="22"/>
          <w:szCs w:val="22"/>
          <w:lang w:val="cy-GB"/>
        </w:rPr>
      </w:pPr>
      <w:r w:rsidRPr="001329EC">
        <w:rPr>
          <w:rFonts w:ascii="Arial" w:hAnsi="Arial" w:cs="Arial"/>
          <w:i/>
          <w:iCs/>
          <w:color w:val="212121"/>
          <w:sz w:val="22"/>
          <w:szCs w:val="22"/>
          <w:lang w:val="cy-GB"/>
        </w:rPr>
        <w:lastRenderedPageBreak/>
        <w:t>“</w:t>
      </w:r>
      <w:r w:rsidRPr="001329EC">
        <w:rPr>
          <w:rFonts w:ascii="Arial" w:hAnsi="Arial" w:cs="Arial"/>
          <w:i/>
          <w:iCs/>
          <w:sz w:val="22"/>
          <w:szCs w:val="22"/>
        </w:rPr>
        <w:t>Assessment for learning is the process of seeking and interpreting evidence for use</w:t>
      </w:r>
      <w:r w:rsidR="001329EC">
        <w:rPr>
          <w:rFonts w:ascii="Arial" w:hAnsi="Arial" w:cs="Arial"/>
          <w:i/>
          <w:iCs/>
          <w:sz w:val="22"/>
          <w:szCs w:val="22"/>
        </w:rPr>
        <w:t xml:space="preserve"> </w:t>
      </w:r>
      <w:r w:rsidRPr="001329EC">
        <w:rPr>
          <w:rFonts w:ascii="Arial" w:hAnsi="Arial" w:cs="Arial"/>
          <w:i/>
          <w:iCs/>
          <w:sz w:val="22"/>
          <w:szCs w:val="22"/>
        </w:rPr>
        <w:t xml:space="preserve">by learners and their practitioners to decide </w:t>
      </w:r>
      <w:r w:rsidRPr="001329EC">
        <w:rPr>
          <w:rFonts w:ascii="Arial" w:hAnsi="Arial" w:cs="Arial"/>
          <w:i/>
          <w:iCs/>
          <w:sz w:val="22"/>
          <w:szCs w:val="22"/>
          <w:lang w:val="cy-GB"/>
        </w:rPr>
        <w:t>where the learners are in their learning, where they need to go and how best to get there”</w:t>
      </w:r>
    </w:p>
    <w:p w14:paraId="1E041255" w14:textId="15EBA9C8" w:rsidR="00D85005" w:rsidRPr="001329EC" w:rsidRDefault="0001499B" w:rsidP="001329EC">
      <w:pPr>
        <w:pStyle w:val="NormalWeb"/>
        <w:spacing w:line="360" w:lineRule="auto"/>
        <w:ind w:left="5040"/>
        <w:rPr>
          <w:rFonts w:ascii="Arial" w:hAnsi="Arial" w:cs="Arial"/>
          <w:i/>
          <w:iCs/>
          <w:sz w:val="22"/>
          <w:szCs w:val="22"/>
        </w:rPr>
      </w:pPr>
      <w:r w:rsidRPr="001329EC">
        <w:rPr>
          <w:rFonts w:ascii="Arial" w:hAnsi="Arial" w:cs="Arial"/>
          <w:i/>
          <w:iCs/>
          <w:sz w:val="22"/>
          <w:szCs w:val="22"/>
          <w:lang w:val="cy-GB"/>
        </w:rPr>
        <w:t xml:space="preserve"> (</w:t>
      </w:r>
      <w:r w:rsidR="00FC4B8F" w:rsidRPr="001329EC">
        <w:rPr>
          <w:rFonts w:ascii="Arial" w:hAnsi="Arial" w:cs="Arial"/>
          <w:i/>
          <w:iCs/>
          <w:sz w:val="22"/>
          <w:szCs w:val="22"/>
          <w:lang w:val="cy-GB"/>
        </w:rPr>
        <w:t>Llywodraeth Cymru</w:t>
      </w:r>
      <w:r w:rsidRPr="001329EC">
        <w:rPr>
          <w:rFonts w:ascii="Arial" w:hAnsi="Arial" w:cs="Arial"/>
          <w:i/>
          <w:iCs/>
          <w:sz w:val="22"/>
          <w:szCs w:val="22"/>
          <w:lang w:val="cy-GB"/>
        </w:rPr>
        <w:t>, 2013</w:t>
      </w:r>
      <w:r w:rsidR="00100F1F" w:rsidRPr="001329EC">
        <w:rPr>
          <w:rFonts w:ascii="Arial" w:hAnsi="Arial" w:cs="Arial"/>
          <w:i/>
          <w:iCs/>
          <w:sz w:val="22"/>
          <w:szCs w:val="22"/>
          <w:lang w:val="cy-GB"/>
        </w:rPr>
        <w:t>, Tud 6</w:t>
      </w:r>
      <w:r w:rsidRPr="001329EC">
        <w:rPr>
          <w:rFonts w:ascii="Arial" w:hAnsi="Arial" w:cs="Arial"/>
          <w:i/>
          <w:iCs/>
          <w:sz w:val="22"/>
          <w:szCs w:val="22"/>
          <w:lang w:val="cy-GB"/>
        </w:rPr>
        <w:t>)</w:t>
      </w:r>
    </w:p>
    <w:p w14:paraId="3B1CF04A" w14:textId="4AED0F33" w:rsidR="00481CC0" w:rsidRPr="00325B9F" w:rsidRDefault="005A771D" w:rsidP="00325B9F">
      <w:pPr>
        <w:pStyle w:val="NormalWeb"/>
        <w:spacing w:line="360" w:lineRule="auto"/>
        <w:rPr>
          <w:rFonts w:ascii="Arial" w:hAnsi="Arial" w:cs="Arial"/>
          <w:sz w:val="22"/>
          <w:szCs w:val="22"/>
          <w:lang w:val="cy-GB"/>
        </w:rPr>
      </w:pPr>
      <w:r w:rsidRPr="005A771D">
        <w:rPr>
          <w:rFonts w:ascii="Arial" w:hAnsi="Arial" w:cs="Arial"/>
          <w:sz w:val="22"/>
          <w:szCs w:val="22"/>
          <w:lang w:val="cy-GB"/>
        </w:rPr>
        <w:t>Dywed Cwricwlwm i Gymru fod asesu’n hanfodol i sicrhau cynnydd ym mhob disgybl. Mae pwysigrwydd i’r dysgwyr fod yn rhan o’r broses asesu yn ogystal â’r athro, (Llywodraeth Cymru, 2022). Gall athrawon defnyddio amryw o ddulliau asesu, ac mae’n bwysig ystyried fod rhai dulliau’n fwy effeithiol wrth asesu disgyblion penodol. Wrth ystyried plant ag anghenion, dydy pob dull asesu ddim yn gweithio iddyn nhw, oherwydd rydyn nhw’n dysgu mewn ffordd ei hun. Golyga hyn efallai bydd rhaid iddych addasu’r strategaethau rydych yn defnyddio, (rosa, d.d.). Wrth ffocysu ar y dull cwestiynu, y brif farn o fy nghanfyddiadau oedd ei fod yn ddull effeithiol. Roedd pob athro wnaeth ateb yr holiadur yn cytuno, a rhannon nhw brofiadau positif. Fy rhagdybiaeth i gyn gwneud ymchwil i’r dull asesu yw fydd llawer o gysylltiadau i ddamcaniaethwyr â’r gwaith mae athrawon yn cyflawni wrth asesu. Yn ystod yr ymchwil hon, defnyddiais yr ymagwedd foeseg.</w:t>
      </w:r>
      <w:r w:rsidRPr="005A771D">
        <w:t xml:space="preserve"> </w:t>
      </w:r>
      <w:r w:rsidRPr="005A771D">
        <w:rPr>
          <w:rFonts w:ascii="Arial" w:hAnsi="Arial" w:cs="Arial"/>
          <w:sz w:val="22"/>
          <w:szCs w:val="22"/>
          <w:lang w:val="cy-GB"/>
        </w:rPr>
        <w:t>Mae’n hollbwysig fod yn foesegol wrth gyflawni ymchwil â phobl ifanc, felly dilynais ganllawiau diogelu, cyfrinachedd, cydsyniad a chyfrinachedd, (Goredema-Braid, 2010, Tud 48). Roeddwn yn ymwybodol o’r canllawiau yma wrth gasglu data o’r athrawon a’r disgyblion</w:t>
      </w:r>
      <w:r w:rsidR="00B42EB6" w:rsidRPr="00325B9F">
        <w:rPr>
          <w:rFonts w:ascii="Arial" w:hAnsi="Arial" w:cs="Arial"/>
          <w:sz w:val="22"/>
          <w:szCs w:val="22"/>
          <w:lang w:val="cy-GB"/>
        </w:rPr>
        <w:t xml:space="preserve">. </w:t>
      </w:r>
    </w:p>
    <w:p w14:paraId="2CE9DACA" w14:textId="44E1F484" w:rsidR="00901F34" w:rsidRPr="00325B9F" w:rsidRDefault="00901F34" w:rsidP="00325B9F">
      <w:pPr>
        <w:pStyle w:val="NormalWeb"/>
        <w:spacing w:line="360" w:lineRule="auto"/>
        <w:rPr>
          <w:rFonts w:ascii="Arial" w:hAnsi="Arial" w:cs="Arial"/>
          <w:b/>
          <w:bCs/>
          <w:sz w:val="28"/>
          <w:szCs w:val="28"/>
          <w:lang w:val="cy-GB"/>
        </w:rPr>
      </w:pPr>
      <w:r w:rsidRPr="00325B9F">
        <w:rPr>
          <w:rFonts w:ascii="Arial" w:hAnsi="Arial" w:cs="Arial"/>
          <w:b/>
          <w:bCs/>
          <w:sz w:val="28"/>
          <w:szCs w:val="28"/>
          <w:lang w:val="cy-GB"/>
        </w:rPr>
        <w:t>Adolygiad llenyddiaeth:</w:t>
      </w:r>
    </w:p>
    <w:p w14:paraId="26E7E010" w14:textId="2B976AF3" w:rsidR="006B0878" w:rsidRDefault="006B0878" w:rsidP="00325B9F">
      <w:pPr>
        <w:pStyle w:val="NormalWeb"/>
        <w:spacing w:line="360" w:lineRule="auto"/>
        <w:rPr>
          <w:rFonts w:ascii="Arial" w:hAnsi="Arial" w:cs="Arial"/>
          <w:sz w:val="22"/>
          <w:szCs w:val="22"/>
          <w:lang w:val="cy-GB"/>
        </w:rPr>
      </w:pPr>
      <w:r w:rsidRPr="006B0878">
        <w:rPr>
          <w:rFonts w:ascii="Arial" w:hAnsi="Arial" w:cs="Arial"/>
          <w:sz w:val="22"/>
          <w:szCs w:val="22"/>
          <w:lang w:val="cy-GB"/>
        </w:rPr>
        <w:t>Mae pedair elfen ar gyfer yr egwyddor AagD, sef rhannu meini prawf llwyddiant gyda’r disgyblion, cwestiynu/ ansawdd y cwestiynau, ansawdd yr adborth a hunan asesu/ asesu cyfoedion. Mae pwysigrwydd i gynnwys pob elfen o AagD yn eich proses asesu, ond gwelwn fod rhai dulliau penodol yn gweithio’n well i athrawon neu’r disgyblion. Mae cwestiynu’n enghraifft o asesu ffurfiannol. Gallwch gymharu’r fath hyn o asesu i asesu crynodol, sef profion. Mae asesu ffurfiannol yn golygu eich bod yn monitro beth mae disgyblion yn dysgu, a’r ffordd rydyn nhw’n datblygu. Wrth roi adborth byw i ddisgyblion, mae’n rhoi'r cyfle i’r disgybl gweithredu’n syth, (Carnegie Mellon University, 2019). Damcaniaethwr sy’n penodi ar asesu ffurfiannol yw Sadler.</w:t>
      </w:r>
    </w:p>
    <w:p w14:paraId="7606B89F" w14:textId="536D65D1" w:rsidR="00F3639B" w:rsidRPr="006B0878" w:rsidRDefault="00F3639B" w:rsidP="006B0878">
      <w:pPr>
        <w:pStyle w:val="NormalWeb"/>
        <w:spacing w:line="360" w:lineRule="auto"/>
        <w:ind w:left="720"/>
        <w:rPr>
          <w:rFonts w:ascii="Arial" w:hAnsi="Arial" w:cs="Arial"/>
          <w:i/>
          <w:iCs/>
          <w:color w:val="000000" w:themeColor="text1"/>
          <w:sz w:val="22"/>
          <w:szCs w:val="22"/>
        </w:rPr>
      </w:pPr>
      <w:r w:rsidRPr="006B0878">
        <w:rPr>
          <w:rFonts w:ascii="Arial" w:hAnsi="Arial" w:cs="Arial"/>
          <w:i/>
          <w:iCs/>
          <w:color w:val="000000" w:themeColor="text1"/>
          <w:sz w:val="22"/>
          <w:szCs w:val="22"/>
        </w:rPr>
        <w:t>“Formative assessment is concerned with how judgments about the quality of student responses (performances, pieces, or works) can be used to shape and improve the student's competence by short-circuiting the randomness and inefficiency of trial-and-error learning.”</w:t>
      </w:r>
    </w:p>
    <w:p w14:paraId="1C162D06" w14:textId="6AEEC66A" w:rsidR="00F3639B" w:rsidRPr="00325B9F" w:rsidRDefault="00F3639B" w:rsidP="006B0878">
      <w:pPr>
        <w:pStyle w:val="NormalWeb"/>
        <w:spacing w:line="360" w:lineRule="auto"/>
        <w:ind w:left="720"/>
        <w:rPr>
          <w:rFonts w:ascii="Arial" w:hAnsi="Arial" w:cs="Arial"/>
          <w:color w:val="000000" w:themeColor="text1"/>
          <w:sz w:val="22"/>
          <w:szCs w:val="22"/>
        </w:rPr>
      </w:pPr>
      <w:r w:rsidRPr="006B0878">
        <w:rPr>
          <w:rFonts w:ascii="Arial" w:hAnsi="Arial" w:cs="Arial"/>
          <w:i/>
          <w:iCs/>
          <w:color w:val="000000" w:themeColor="text1"/>
          <w:sz w:val="22"/>
          <w:szCs w:val="22"/>
        </w:rPr>
        <w:lastRenderedPageBreak/>
        <w:tab/>
      </w:r>
      <w:r w:rsidRPr="006B0878">
        <w:rPr>
          <w:rFonts w:ascii="Arial" w:hAnsi="Arial" w:cs="Arial"/>
          <w:i/>
          <w:iCs/>
          <w:color w:val="000000" w:themeColor="text1"/>
          <w:sz w:val="22"/>
          <w:szCs w:val="22"/>
        </w:rPr>
        <w:tab/>
      </w:r>
      <w:r w:rsidRPr="006B0878">
        <w:rPr>
          <w:rFonts w:ascii="Arial" w:hAnsi="Arial" w:cs="Arial"/>
          <w:i/>
          <w:iCs/>
          <w:color w:val="000000" w:themeColor="text1"/>
          <w:sz w:val="22"/>
          <w:szCs w:val="22"/>
        </w:rPr>
        <w:tab/>
      </w:r>
      <w:r w:rsidRPr="006B0878">
        <w:rPr>
          <w:rFonts w:ascii="Arial" w:hAnsi="Arial" w:cs="Arial"/>
          <w:i/>
          <w:iCs/>
          <w:color w:val="000000" w:themeColor="text1"/>
          <w:sz w:val="22"/>
          <w:szCs w:val="22"/>
        </w:rPr>
        <w:tab/>
      </w:r>
      <w:r w:rsidRPr="006B0878">
        <w:rPr>
          <w:rFonts w:ascii="Arial" w:hAnsi="Arial" w:cs="Arial"/>
          <w:i/>
          <w:iCs/>
          <w:color w:val="000000" w:themeColor="text1"/>
          <w:sz w:val="22"/>
          <w:szCs w:val="22"/>
        </w:rPr>
        <w:tab/>
      </w:r>
      <w:r w:rsidRPr="006B0878">
        <w:rPr>
          <w:rFonts w:ascii="Arial" w:hAnsi="Arial" w:cs="Arial"/>
          <w:i/>
          <w:iCs/>
          <w:color w:val="000000" w:themeColor="text1"/>
          <w:sz w:val="22"/>
          <w:szCs w:val="22"/>
        </w:rPr>
        <w:tab/>
      </w:r>
      <w:r w:rsidRPr="006B0878">
        <w:rPr>
          <w:rFonts w:ascii="Arial" w:hAnsi="Arial" w:cs="Arial"/>
          <w:i/>
          <w:iCs/>
          <w:color w:val="000000" w:themeColor="text1"/>
          <w:sz w:val="22"/>
          <w:szCs w:val="22"/>
        </w:rPr>
        <w:tab/>
      </w:r>
      <w:r w:rsidRPr="006B0878">
        <w:rPr>
          <w:rFonts w:ascii="Arial" w:hAnsi="Arial" w:cs="Arial"/>
          <w:i/>
          <w:iCs/>
          <w:color w:val="000000" w:themeColor="text1"/>
          <w:sz w:val="22"/>
          <w:szCs w:val="22"/>
        </w:rPr>
        <w:tab/>
      </w:r>
      <w:r w:rsidRPr="006B0878">
        <w:rPr>
          <w:rFonts w:ascii="Arial" w:hAnsi="Arial" w:cs="Arial"/>
          <w:i/>
          <w:iCs/>
          <w:color w:val="000000" w:themeColor="text1"/>
          <w:sz w:val="22"/>
          <w:szCs w:val="22"/>
          <w:shd w:val="clear" w:color="auto" w:fill="FFFFFF"/>
        </w:rPr>
        <w:t xml:space="preserve">(Sadler, </w:t>
      </w:r>
      <w:r w:rsidRPr="006B0878">
        <w:rPr>
          <w:rFonts w:ascii="Arial" w:hAnsi="Arial" w:cs="Arial"/>
          <w:i/>
          <w:iCs/>
          <w:color w:val="000000" w:themeColor="text1"/>
          <w:sz w:val="22"/>
          <w:szCs w:val="22"/>
          <w:shd w:val="clear" w:color="auto" w:fill="FFFFFF"/>
          <w:lang w:val="cy-GB"/>
        </w:rPr>
        <w:t>1989, Tud 120)</w:t>
      </w:r>
      <w:r w:rsidRPr="006B0878">
        <w:rPr>
          <w:rFonts w:ascii="Arial" w:hAnsi="Arial" w:cs="Arial"/>
          <w:i/>
          <w:iCs/>
          <w:color w:val="000000" w:themeColor="text1"/>
          <w:sz w:val="22"/>
          <w:szCs w:val="22"/>
        </w:rPr>
        <w:t xml:space="preserve"> </w:t>
      </w:r>
    </w:p>
    <w:p w14:paraId="18CA5073" w14:textId="68B4E95F" w:rsidR="006B0878" w:rsidRDefault="006B0878" w:rsidP="00325B9F">
      <w:pPr>
        <w:pStyle w:val="NormalWeb"/>
        <w:spacing w:line="360" w:lineRule="auto"/>
        <w:rPr>
          <w:rFonts w:ascii="Arial" w:hAnsi="Arial" w:cs="Arial"/>
          <w:color w:val="000000" w:themeColor="text1"/>
          <w:sz w:val="22"/>
          <w:szCs w:val="22"/>
          <w:lang w:val="cy-GB"/>
        </w:rPr>
      </w:pPr>
      <w:r w:rsidRPr="006B0878">
        <w:rPr>
          <w:rFonts w:ascii="Arial" w:hAnsi="Arial" w:cs="Arial"/>
          <w:color w:val="000000" w:themeColor="text1"/>
          <w:sz w:val="22"/>
          <w:szCs w:val="22"/>
          <w:lang w:val="cy-GB"/>
        </w:rPr>
        <w:t>Wrth gwestiynu plant, mae’r ymatebion rydych yn derbyn yn adlewyrchu’r wybodaeth mae’r plant wedi dysgu. Dywed Sanders (1966) fod cwestiynu’n ffordd effeithiol i gymell plant ac i werthuso’u cynnydd, (Jiang, 2020). Gwelwn sawl strwythur gall athrawon defnyddio i gwestiynu plant, er enghraifft, pyramid Bloom (1956).</w:t>
      </w:r>
    </w:p>
    <w:p w14:paraId="4A1FF0A6" w14:textId="4C2FB4BD" w:rsidR="006B0878" w:rsidRDefault="006B0878" w:rsidP="00325B9F">
      <w:pPr>
        <w:pStyle w:val="NormalWeb"/>
        <w:spacing w:line="360" w:lineRule="auto"/>
        <w:rPr>
          <w:rFonts w:ascii="Arial" w:hAnsi="Arial" w:cs="Arial"/>
          <w:sz w:val="22"/>
          <w:szCs w:val="22"/>
          <w:lang w:val="cy-GB"/>
        </w:rPr>
      </w:pPr>
      <w:r w:rsidRPr="006B0878">
        <w:rPr>
          <w:rFonts w:ascii="Arial" w:hAnsi="Arial" w:cs="Arial"/>
          <w:sz w:val="22"/>
          <w:szCs w:val="22"/>
          <w:lang w:val="cy-GB"/>
        </w:rPr>
        <w:t>Yn 1956, datblygodd Bloom pyramid o lefelau i gwestiynu plant. Wrth symud lan y pyramid, gallwch werthuso’r ffordd mae plant yn defnyddio’r wybodaeth rydyn wedi dysgu. Ffocws Bloom oedd barth gwybyddol,  (Forehand, 2005). Dywed Forehand fod y dacsonomeg yn ffordd effeithiol i annog plant i ddatblygu’n bellach, ac i gyflawni i safon uchel. Mae’n bwysig ystyried y ffaith fod y theori wedi dyddio nawr, felly mae’n hanfodol i athrawon gyfeirio at adolygiadau newydd. Yn 2001, adolygodd Anderson a Krathwohl (2001) y dacsonomeg, i asesu ba mor berthnasol oedd y ddamcaniaeth yn bresennol. Y prif newidiad i’r ddamcaniaeth yw’r datblygiad o’r pyramid. Ychwanegon nhw ‘creu’ i dop y pyramid, a symudon nhw werthuso lawr, (Wilson, 2016).</w:t>
      </w:r>
    </w:p>
    <w:p w14:paraId="3A57C050" w14:textId="2C731A3E" w:rsidR="006B0878" w:rsidRDefault="006B0878" w:rsidP="00325B9F">
      <w:pPr>
        <w:pStyle w:val="NormalWeb"/>
        <w:spacing w:line="360" w:lineRule="auto"/>
        <w:rPr>
          <w:rFonts w:ascii="Arial" w:hAnsi="Arial" w:cs="Arial"/>
          <w:sz w:val="22"/>
          <w:szCs w:val="22"/>
          <w:lang w:val="cy-GB"/>
        </w:rPr>
      </w:pPr>
      <w:r w:rsidRPr="006B0878">
        <w:rPr>
          <w:rFonts w:ascii="Arial" w:hAnsi="Arial" w:cs="Arial"/>
          <w:sz w:val="22"/>
          <w:szCs w:val="22"/>
          <w:lang w:val="cy-GB"/>
        </w:rPr>
        <w:t>Beirniadodd Bloom gwaith ei hunain wrth nodi fod gwahaniaeth rhwng yr elfen ‘gwybodaeth’ a’r pum elfen arall, (Wilson, 2016). Mae hyn yn bwysig wrth ddefnyddio’r theori yn eich dosbarth, oherwydd mae’n amlwg fod yr adolygiad newydd yn fwy perthnasol i addysg heddiw. Dywed Huitt (2009) fod yr elfen synthesis a gwerthuso yn hafal, sy’n beirniadu’r syniad o blant yn cynyddu lan y pyramid, (Akin, 2012).</w:t>
      </w:r>
    </w:p>
    <w:p w14:paraId="49AE2185" w14:textId="639B746C" w:rsidR="00AF28C6" w:rsidRDefault="00AF28C6" w:rsidP="00325B9F">
      <w:pPr>
        <w:pStyle w:val="NormalWeb"/>
        <w:spacing w:line="360" w:lineRule="auto"/>
        <w:rPr>
          <w:rFonts w:ascii="Arial" w:hAnsi="Arial" w:cs="Arial"/>
          <w:sz w:val="22"/>
          <w:szCs w:val="22"/>
          <w:lang w:val="cy-GB"/>
        </w:rPr>
      </w:pPr>
      <w:r w:rsidRPr="00AF28C6">
        <w:rPr>
          <w:rFonts w:ascii="Arial" w:hAnsi="Arial" w:cs="Arial"/>
          <w:sz w:val="22"/>
          <w:szCs w:val="22"/>
          <w:lang w:val="cy-GB"/>
        </w:rPr>
        <w:t>Damcaniaeth arall allweddol wrth edrych ar asesu yw ‘Inside the Black Box’ gan Black a Wiliam (1998). Edrychodd y damcaniaethwyr ar asesu ffurfiannol. Y syniad o’r ‘Black Box’ yw’r dysgu mae plant yn brofiad, ac i ddim ffocysu ar y canlyniadau fel graddau mae plant yn cyflawni. Wrth roi adborth i blant, maen nhw’n ymwybodol o’r cynnydd rydyn nhw’n cyflawni. Rho hyn y cyfle i blant penderfynu’r camau nesaf i ddatblygu’u sgiliau academaidd, (Black and Wiliam, 2009). Mae cwestiynu’n cysylltu â’r syniad hon, oherwydd mae’n ffordd effeithiol o roi adborth ar lafar. Awgryma Black a Wiliam (1998) fod pwysigrwydd i athrawon adnabod cynnydd plant, a’i anawsterau dysgu. Golyga hyn fod athrawon gallu gwahaniaethu yn gywir, sy’n cynnwys y ffordd rydych yn cwestiynu plant, (Black and Wiliam, 1998, Tud 82).</w:t>
      </w:r>
      <w:r>
        <w:rPr>
          <w:rFonts w:ascii="Arial" w:hAnsi="Arial" w:cs="Arial"/>
          <w:sz w:val="22"/>
          <w:szCs w:val="22"/>
          <w:lang w:val="cy-GB"/>
        </w:rPr>
        <w:t xml:space="preserve"> </w:t>
      </w:r>
      <w:r w:rsidRPr="00AF28C6">
        <w:rPr>
          <w:rFonts w:ascii="Arial" w:hAnsi="Arial" w:cs="Arial"/>
          <w:sz w:val="22"/>
          <w:szCs w:val="22"/>
          <w:lang w:val="cy-GB"/>
        </w:rPr>
        <w:t>I feirniadu damcaniaeth Black a Wiliam (1998), nododd Bennett (2011) dydych ddim gallu crynhoi'r ddamcaniaeth o ganlyniad i’r feta-dadansoddiad ddim yn cael eu cyhoeddi. Mae’r ddamcaniaeth hefyd wedi dyddio, felly gallwch ddadlau eu bod ddim yn gywir i addysgu heddiw, (Bennett, 2011, Tud 11).</w:t>
      </w:r>
    </w:p>
    <w:p w14:paraId="3F3120F5" w14:textId="6B0C371E" w:rsidR="00AF28C6" w:rsidRDefault="00AF28C6" w:rsidP="00325B9F">
      <w:pPr>
        <w:pStyle w:val="NormalWeb"/>
        <w:spacing w:line="360" w:lineRule="auto"/>
        <w:rPr>
          <w:rFonts w:ascii="Arial" w:hAnsi="Arial" w:cs="Arial"/>
          <w:color w:val="000000" w:themeColor="text1"/>
          <w:sz w:val="22"/>
          <w:szCs w:val="22"/>
          <w:lang w:val="cy-GB"/>
        </w:rPr>
      </w:pPr>
      <w:r w:rsidRPr="00AF28C6">
        <w:rPr>
          <w:rFonts w:ascii="Arial" w:hAnsi="Arial" w:cs="Arial"/>
          <w:color w:val="000000" w:themeColor="text1"/>
          <w:sz w:val="22"/>
          <w:szCs w:val="22"/>
          <w:lang w:val="cy-GB"/>
        </w:rPr>
        <w:lastRenderedPageBreak/>
        <w:t>Mae amseru’n allweddol wrth gwestiynu plant. Darganfyddodd Rowe (1974) fod athrawon yn tueddu i roi llai nag un eiliad i blant ateb cwestiwn, (Black a Wiliam, 2005, Tud 25). Gwelodd fod athrawon yn symud ymlaen i gwestiwn newydd neu’n ateb y cwestiwn eu hunain, heb roi’r cyfle i’r disgybl meddwl am ateb. Dywed taw’r cwestiynau sydd gallu cael ei ateb yn cloi yw’r rhai gallwch gyfyngu’r amser. I gysylltu â Thacsonomeg Bloom, dyma’r cwestiynau byddaf ar waelod y pyramid. Mae’n bwysig sicrhau fod digon o amser yn eich gwers i gwestiynu’n effeithiol ac yn gywir.</w:t>
      </w:r>
    </w:p>
    <w:p w14:paraId="43C0A6B5" w14:textId="39941503" w:rsidR="00DD74A9" w:rsidRDefault="00DD74A9" w:rsidP="00325B9F">
      <w:pPr>
        <w:pStyle w:val="NormalWeb"/>
        <w:spacing w:line="360" w:lineRule="auto"/>
        <w:rPr>
          <w:rFonts w:ascii="Arial" w:hAnsi="Arial" w:cs="Arial"/>
          <w:color w:val="000000" w:themeColor="text1"/>
          <w:sz w:val="22"/>
          <w:szCs w:val="22"/>
          <w:lang w:val="cy-GB"/>
        </w:rPr>
      </w:pPr>
      <w:r w:rsidRPr="00DD74A9">
        <w:rPr>
          <w:rFonts w:ascii="Arial" w:hAnsi="Arial" w:cs="Arial"/>
          <w:color w:val="000000" w:themeColor="text1"/>
          <w:sz w:val="22"/>
          <w:szCs w:val="22"/>
          <w:lang w:val="cy-GB"/>
        </w:rPr>
        <w:t>Damcaniaethwr arall sy’n edrych ar adborth yw John Hattie (2003). Ffocysau ar ddysgu gweladwy, sef i sicrhau fod disgyblion yn cael eu cynnwys yn eu haddysg. Mae’r term hefyd yn berthnasol i athrawon, oherwydd wrth i blant dysgu yn weladwy, mae’n haws i athrawon adnabod y fath o ddysgu sy’n bodoli, (David-Lang a Hattie, 2012, Tud 1). Gwelwn gydweithrediad effeithiol rhwng y disgybl ac athro.</w:t>
      </w:r>
      <w:r w:rsidR="00103121">
        <w:rPr>
          <w:rFonts w:ascii="Arial" w:hAnsi="Arial" w:cs="Arial"/>
          <w:color w:val="000000" w:themeColor="text1"/>
          <w:sz w:val="22"/>
          <w:szCs w:val="22"/>
          <w:lang w:val="cy-GB"/>
        </w:rPr>
        <w:t xml:space="preserve"> </w:t>
      </w:r>
    </w:p>
    <w:p w14:paraId="51D0CEC1" w14:textId="24439669" w:rsidR="00CF280C" w:rsidRDefault="00CF280C" w:rsidP="00325B9F">
      <w:pPr>
        <w:pStyle w:val="NormalWeb"/>
        <w:spacing w:line="360" w:lineRule="auto"/>
        <w:rPr>
          <w:rFonts w:ascii="Arial" w:hAnsi="Arial" w:cs="Arial"/>
          <w:color w:val="000000" w:themeColor="text1"/>
          <w:sz w:val="22"/>
          <w:szCs w:val="22"/>
          <w:lang w:val="cy-GB"/>
        </w:rPr>
      </w:pPr>
      <w:r w:rsidRPr="00CF280C">
        <w:rPr>
          <w:rFonts w:ascii="Arial" w:hAnsi="Arial" w:cs="Arial"/>
          <w:color w:val="000000" w:themeColor="text1"/>
          <w:sz w:val="22"/>
          <w:szCs w:val="22"/>
          <w:lang w:val="cy-GB"/>
        </w:rPr>
        <w:t>Mae sawl dull gallwch ddefnyddio wrth ystyried y theoriau hyn, er enghraifft, ffiniau loli a marcio byw. Yn fy marn i, mae dull fel ffiniau loli neu fyrddau gwyn bach yn ffordd gyflym ac effeithiol i asesu dealltwriaeth plant. Mae’n arddangos y wybodaeth sylfaenol mae plant wedi dysgu. Wrth edrych ar farcio byw, dyma’r ffordd i asesu sut mae plant yn defnyddio’r wybodaeth yma. Dangosa ymchwil fod marcio byw yn effeithiol oherwydd roedd yn ffordd gyflym i gadw’n drefnus. Wrth i blant derbyn adborth cyson ar eu gwaith, sicrha hyn cynnydd effeithiol, (Richards a Richardson, 2019).</w:t>
      </w:r>
    </w:p>
    <w:p w14:paraId="354507EF" w14:textId="0A7F5447" w:rsidR="00901F34" w:rsidRPr="00325B9F" w:rsidRDefault="00901F34" w:rsidP="00325B9F">
      <w:pPr>
        <w:pStyle w:val="NormalWeb"/>
        <w:spacing w:line="360" w:lineRule="auto"/>
        <w:rPr>
          <w:rFonts w:ascii="Arial" w:hAnsi="Arial" w:cs="Arial"/>
          <w:b/>
          <w:bCs/>
          <w:sz w:val="28"/>
          <w:szCs w:val="28"/>
          <w:lang w:val="cy-GB"/>
        </w:rPr>
      </w:pPr>
      <w:r w:rsidRPr="00325B9F">
        <w:rPr>
          <w:rFonts w:ascii="Arial" w:hAnsi="Arial" w:cs="Arial"/>
          <w:b/>
          <w:bCs/>
          <w:sz w:val="28"/>
          <w:szCs w:val="28"/>
          <w:lang w:val="cy-GB"/>
        </w:rPr>
        <w:t>Methodoleg:</w:t>
      </w:r>
    </w:p>
    <w:p w14:paraId="0C147173" w14:textId="27F8D79E" w:rsidR="00D04C62" w:rsidRPr="00325B9F" w:rsidRDefault="00CF280C" w:rsidP="00325B9F">
      <w:pPr>
        <w:pStyle w:val="NormalWeb"/>
        <w:spacing w:line="360" w:lineRule="auto"/>
        <w:rPr>
          <w:rFonts w:ascii="Arial" w:hAnsi="Arial" w:cs="Arial"/>
          <w:color w:val="FF0000"/>
          <w:sz w:val="22"/>
          <w:szCs w:val="22"/>
          <w:lang w:val="cy-GB"/>
        </w:rPr>
      </w:pPr>
      <w:r w:rsidRPr="00CF280C">
        <w:rPr>
          <w:rFonts w:ascii="Arial" w:hAnsi="Arial" w:cs="Arial"/>
          <w:sz w:val="22"/>
          <w:szCs w:val="22"/>
          <w:lang w:val="cy-GB"/>
        </w:rPr>
        <w:t>Wrth gynnal ymchwil, mae’n hollbwysig i ddilyn canllawiau moesegol. I ddarganfod gwybodaeth gywir am y cwestiwn hwn, roedd casglu barnau athrawon a disgyblion yn hanfodol. Mae sawl dull ymchwil gallwch ddefnyddio i gasglu data. Y dulliau defnyddiais i oedd holiaduron a chyfweliadau. Dywed Kaplan (1973) taw bwriad methodoleg yw gwerthuso’r dulliau ymchwil rydych yn defnyddio. Golyga hyn gallwch ystyried y rhwystrau i’r dull cyn dechrau eich ymchwil</w:t>
      </w:r>
      <w:r w:rsidR="00BF1AA6" w:rsidRPr="00325B9F">
        <w:rPr>
          <w:rFonts w:ascii="Arial" w:hAnsi="Arial" w:cs="Arial"/>
          <w:sz w:val="22"/>
          <w:szCs w:val="22"/>
          <w:lang w:val="cy-GB"/>
        </w:rPr>
        <w:t>, (Thomas, 2017</w:t>
      </w:r>
      <w:r w:rsidR="00B42961" w:rsidRPr="00325B9F">
        <w:rPr>
          <w:rFonts w:ascii="Arial" w:hAnsi="Arial" w:cs="Arial"/>
          <w:sz w:val="22"/>
          <w:szCs w:val="22"/>
          <w:lang w:val="cy-GB"/>
        </w:rPr>
        <w:t>, Tud 15</w:t>
      </w:r>
      <w:r w:rsidR="00BF1AA6" w:rsidRPr="00325B9F">
        <w:rPr>
          <w:rFonts w:ascii="Arial" w:hAnsi="Arial" w:cs="Arial"/>
          <w:sz w:val="22"/>
          <w:szCs w:val="22"/>
          <w:lang w:val="cy-GB"/>
        </w:rPr>
        <w:t>).</w:t>
      </w:r>
    </w:p>
    <w:p w14:paraId="69A16072" w14:textId="77777777" w:rsidR="00CF280C" w:rsidRDefault="00CF280C" w:rsidP="00325B9F">
      <w:pPr>
        <w:pStyle w:val="NormalWeb"/>
        <w:spacing w:line="360" w:lineRule="auto"/>
        <w:rPr>
          <w:rFonts w:ascii="Arial" w:hAnsi="Arial" w:cs="Arial"/>
          <w:color w:val="000000" w:themeColor="text1"/>
          <w:sz w:val="22"/>
          <w:szCs w:val="22"/>
          <w:lang w:val="cy-GB"/>
        </w:rPr>
      </w:pPr>
      <w:r w:rsidRPr="00CF280C">
        <w:rPr>
          <w:rFonts w:ascii="Arial" w:hAnsi="Arial" w:cs="Arial"/>
          <w:color w:val="000000" w:themeColor="text1"/>
          <w:sz w:val="22"/>
          <w:szCs w:val="22"/>
          <w:lang w:val="cy-GB"/>
        </w:rPr>
        <w:t>Mae’n bwysig cyfeirio at yr agwedd moeseg Clark wrth gynnal ymchwil â phlant. Mae cynnwys plant yn eich ymchwil yn rhoi’r cyfle i gael dealltwriaeth dda o sut mae plant yn feddwl. Rydych allu dadansoddi yn union beth mae’r plentyn yn dweud, sy’n gwneud eich ymchwil yn ddilys. Dywed Brooker (2002), wrth i athrawon datblygu dealltwriaeth o’r ffordd mae plant yn meddwl, byddai’n cael effaith positif ar y plentyn, (Clark, 2001, Tud 27). Wrth wrando ar lais y disgybl, rydych yn rhoi pŵer i’r plant. Wrth i mi gasglu data ar farn y disgyblion o gwestiynu, roeddwn allu cymharu’r atebion ag atebion yr athrawon</w:t>
      </w:r>
      <w:r>
        <w:rPr>
          <w:rFonts w:ascii="Arial" w:hAnsi="Arial" w:cs="Arial"/>
          <w:color w:val="000000" w:themeColor="text1"/>
          <w:sz w:val="22"/>
          <w:szCs w:val="22"/>
          <w:lang w:val="cy-GB"/>
        </w:rPr>
        <w:t>.</w:t>
      </w:r>
    </w:p>
    <w:p w14:paraId="003B1B78" w14:textId="3E15DF7E" w:rsidR="007F6866" w:rsidRPr="00325B9F" w:rsidRDefault="00CF280C" w:rsidP="00325B9F">
      <w:pPr>
        <w:pStyle w:val="NormalWeb"/>
        <w:spacing w:line="360" w:lineRule="auto"/>
        <w:rPr>
          <w:rFonts w:ascii="Arial" w:hAnsi="Arial" w:cs="Arial"/>
          <w:color w:val="000000" w:themeColor="text1"/>
          <w:sz w:val="22"/>
          <w:szCs w:val="22"/>
          <w:lang w:val="cy-GB"/>
        </w:rPr>
      </w:pPr>
      <w:r w:rsidRPr="00CF280C">
        <w:rPr>
          <w:rFonts w:ascii="Arial" w:hAnsi="Arial" w:cs="Arial"/>
          <w:color w:val="000000" w:themeColor="text1"/>
          <w:sz w:val="22"/>
          <w:szCs w:val="22"/>
          <w:lang w:val="cy-GB"/>
        </w:rPr>
        <w:lastRenderedPageBreak/>
        <w:t>Yn gyntaf, cyfwelais dau athro. Mae’r dull cyfweliad yn effeithiol i gasglu gwybodaeth fanwl. Mae tair math o gyfweliad, a’r dull dewisais i oedd cyfweliad lled- strwythuredig. Golyga hyn fy mod yn ysgrifennu set o gwestiynau, ond roeddwn allu ehangu yn seiliedig ar eu hatebion. Rydych yn nodi ar y pethau mae’r cyfranogwr yn ddweud, felly mae’n bwysig ystyried dilysrwydd y wybodaeth, (Denscombe, 2014, Tud 184). Wrth werthuso barn person, dydy hyn dim yn seiliedig ar ffeithiau. Wrth werthuso’r data casglais, mae’n bwysig ystyried beth mae damcaniaethwyr ac ymchwil pellach yn nodi. Awgryma Denscombe (2014) fod y dull yn derbyn gradd ymateb dda. Yn ôl fy mhrofiad i, roedd y ddau athro gofynnais i i gymryd rhan wedi cytuno. Gall hyn ymwneud â’r ffaith fod y dull yn hyblyg iawn yn gyffredinol. Yn amlwg, yn fy ymchwil i, roeddwn i yn yr ysgol am un ddiwrnod, felly roedd rhaid cynnal yr ymchwil ar y dydd hynny. Ond yn gyffredinol, gallwch drefnu amser cyfleus i’r cyfranogwr, (Denscombe, 2014, Tud 202). Mae cyfweliadau hefyd yn cynnwys adnoddau syml. Gallwch recordio’r cyfweliad a chymryd nodiadau ar gyd. Ar ôl i mi recordio, ysgrifennais drawsgrifiad. Mae hyn yn helpu gwerthuso’r data, (Opdenakker, 2006). Anfantais i gymryd nodiadau yw rydych yn tueddu i grynhoi'r wybodaeth. Golyga hyn fod y data’n anodd gwerthuso, sy’n creu’r ymchwil yn anddibynadwy,</w:t>
      </w:r>
      <w:r w:rsidRPr="00CF280C">
        <w:rPr>
          <w:rFonts w:ascii="Arial" w:hAnsi="Arial" w:cs="Arial"/>
          <w:color w:val="000000" w:themeColor="text1"/>
          <w:sz w:val="22"/>
          <w:szCs w:val="22"/>
          <w:lang w:val="cy-GB"/>
        </w:rPr>
        <w:t xml:space="preserve"> </w:t>
      </w:r>
      <w:r w:rsidR="007F6866" w:rsidRPr="00325B9F">
        <w:rPr>
          <w:rFonts w:ascii="Arial" w:hAnsi="Arial" w:cs="Arial"/>
          <w:color w:val="000000" w:themeColor="text1"/>
          <w:sz w:val="22"/>
          <w:szCs w:val="22"/>
          <w:lang w:val="cy-GB"/>
        </w:rPr>
        <w:t>(Austin, 2016</w:t>
      </w:r>
      <w:r w:rsidR="008550E5" w:rsidRPr="00325B9F">
        <w:rPr>
          <w:rFonts w:ascii="Arial" w:hAnsi="Arial" w:cs="Arial"/>
          <w:color w:val="000000" w:themeColor="text1"/>
          <w:sz w:val="22"/>
          <w:szCs w:val="22"/>
          <w:lang w:val="cy-GB"/>
        </w:rPr>
        <w:t>, Tud 50</w:t>
      </w:r>
      <w:r w:rsidR="007F6866" w:rsidRPr="00325B9F">
        <w:rPr>
          <w:rFonts w:ascii="Arial" w:hAnsi="Arial" w:cs="Arial"/>
          <w:color w:val="000000" w:themeColor="text1"/>
          <w:sz w:val="22"/>
          <w:szCs w:val="22"/>
          <w:lang w:val="cy-GB"/>
        </w:rPr>
        <w:t>).</w:t>
      </w:r>
    </w:p>
    <w:p w14:paraId="43F55693" w14:textId="087BFFC9" w:rsidR="00EC54C7" w:rsidRDefault="00EC54C7" w:rsidP="00325B9F">
      <w:pPr>
        <w:pStyle w:val="NormalWeb"/>
        <w:spacing w:line="360" w:lineRule="auto"/>
        <w:rPr>
          <w:rFonts w:ascii="Arial" w:hAnsi="Arial" w:cs="Arial"/>
          <w:color w:val="000000" w:themeColor="text1"/>
          <w:sz w:val="22"/>
          <w:szCs w:val="22"/>
          <w:lang w:val="cy-GB"/>
        </w:rPr>
      </w:pPr>
      <w:r w:rsidRPr="00EC54C7">
        <w:rPr>
          <w:rFonts w:ascii="Arial" w:hAnsi="Arial" w:cs="Arial"/>
          <w:color w:val="000000" w:themeColor="text1"/>
          <w:sz w:val="22"/>
          <w:szCs w:val="22"/>
          <w:lang w:val="cy-GB"/>
        </w:rPr>
        <w:t>Awgryma Descombe (2014) fod rhwystrau i’r dull hefyd. Yn amlwg, dydych ddim gallu dibynnu ar y data i fod yn hollol ddilys. Dydy eu barn rydyn nhw’n rhannu ddim yn seiliedig ar ymchwil dibynadwy, dim ond o brofiad personol, (Denscombe, 2014, Tud 202). Mae’r Effaith Hawthorn yn bwysig i osgoi wrth gynnal cyfweliad. Golyga hyn fod ymddygiad y cyfranogwyr yn newid oherwydd rydyn yn ymwybodol eu bod yn cael eu hymchwilio, (Sedgwick and Greenwood, 2015). Wrth werthuso’r elfen o recordio’r cyfweliadau, gall y sain llesteirio’r lleisiau. Bydd hyn yn effeithio’r wybodaeth byddwch yn nodi. Mae hefyd risg o dresmasu ar breifatrwydd y cyfranogwyr, sy’n cael effaith moesegol ar yr ymchwil, (Denscombe, 2014, Tud 203). Mae anhysbysrwydd yn hollbwysig wrth gynnal ymchwil, ond wrth gynnal cyfweliad wyneb i wyneb, rydw i’n gwybod pwy oedd wedi ateb, (Alshenqeeti, 2014, Tud 43). I osgoi hyn, dydw i ddim yn nodi enwau, neu unrhyw wybodaeth gall cysylltu â’r unigolyn.</w:t>
      </w:r>
    </w:p>
    <w:p w14:paraId="13D9D16D" w14:textId="061CDB2E" w:rsidR="00A70C9C" w:rsidRPr="00325B9F" w:rsidRDefault="00EC54C7" w:rsidP="00325B9F">
      <w:pPr>
        <w:pStyle w:val="NormalWeb"/>
        <w:spacing w:line="360" w:lineRule="auto"/>
        <w:rPr>
          <w:rFonts w:ascii="Arial" w:hAnsi="Arial" w:cs="Arial"/>
          <w:color w:val="000000" w:themeColor="text1"/>
          <w:sz w:val="22"/>
          <w:szCs w:val="22"/>
          <w:lang w:val="cy-GB"/>
        </w:rPr>
      </w:pPr>
      <w:r w:rsidRPr="00EC54C7">
        <w:rPr>
          <w:rFonts w:ascii="Arial" w:hAnsi="Arial" w:cs="Arial"/>
          <w:color w:val="000000" w:themeColor="text1"/>
          <w:sz w:val="22"/>
          <w:szCs w:val="22"/>
          <w:lang w:val="cy-GB"/>
        </w:rPr>
        <w:t xml:space="preserve">Y dull arall defnyddiais yn fy ymchwil oedd holiaduron. Dosbarthais dau holiadur gwahanol i’r staff a disgyblion. Mae’r dull yma’n effeithiol oherwydd mae’n rhad ac yn gyflym. Roeddwn i wedi creu holiadur ar lein, felly doedd dim cost i greu, a chymerodd tua phum munud i ateb, (Charlton, 2000). Mae’r dull yma yn effeithiol iawn i adnabod patrymau. Wrth ofyn yr un cwestiynau, roeddwn yn derbyn atebion tebyg. Mae hyn yn gwneud y data’n hawdd trefnu ac yn gywir, (Descombe, 2014, Tud 181). I feirniadu’r dull, gall y cwestiynau sydd wedi cael eu gosod cael effaith ar atebion y cyfranogwyr. Efallai dydy’r unigolyn ddim yn cael barn bersonol am y cwestiwn, ond yn ateb oherwydd mae’n hanfodol. Dydy’r dull hon ddim yn </w:t>
      </w:r>
      <w:r w:rsidRPr="00EC54C7">
        <w:rPr>
          <w:rFonts w:ascii="Arial" w:hAnsi="Arial" w:cs="Arial"/>
          <w:color w:val="000000" w:themeColor="text1"/>
          <w:sz w:val="22"/>
          <w:szCs w:val="22"/>
          <w:lang w:val="cy-GB"/>
        </w:rPr>
        <w:lastRenderedPageBreak/>
        <w:t>ddull wyneb i wyneb, felly mae’n anodd gwybod os mae’r atebion yn ddilys, (Descombe, 2014, Tud 181). Rhwystr i’r dull hwynebais i oedd yr ymatebion isel. Anfonais yr holiadur i fy mentor dosbarth cyn y diwrnod ymchwil, ond derbynais dim ond tri ateb. Dydy hyn ddim yn rhoi llawer o ddata i mi ddadansoddi,</w:t>
      </w:r>
      <w:r w:rsidRPr="00EC54C7">
        <w:rPr>
          <w:rFonts w:ascii="Arial" w:hAnsi="Arial" w:cs="Arial"/>
          <w:color w:val="000000" w:themeColor="text1"/>
          <w:sz w:val="22"/>
          <w:szCs w:val="22"/>
          <w:lang w:val="cy-GB"/>
        </w:rPr>
        <w:t xml:space="preserve"> </w:t>
      </w:r>
      <w:r w:rsidR="0059181F" w:rsidRPr="00325B9F">
        <w:rPr>
          <w:rFonts w:ascii="Arial" w:hAnsi="Arial" w:cs="Arial"/>
          <w:color w:val="000000" w:themeColor="text1"/>
          <w:sz w:val="22"/>
          <w:szCs w:val="22"/>
          <w:lang w:val="cy-GB"/>
        </w:rPr>
        <w:t>(Patten, 2017, Tud 2)</w:t>
      </w:r>
      <w:r w:rsidR="00112283" w:rsidRPr="00325B9F">
        <w:rPr>
          <w:rFonts w:ascii="Arial" w:hAnsi="Arial" w:cs="Arial"/>
          <w:color w:val="000000" w:themeColor="text1"/>
          <w:sz w:val="22"/>
          <w:szCs w:val="22"/>
          <w:lang w:val="cy-GB"/>
        </w:rPr>
        <w:t xml:space="preserve">. </w:t>
      </w:r>
    </w:p>
    <w:p w14:paraId="373C2143" w14:textId="4BD7B522" w:rsidR="00112283" w:rsidRPr="00325B9F" w:rsidRDefault="00D05A95" w:rsidP="00325B9F">
      <w:pPr>
        <w:pStyle w:val="NormalWeb"/>
        <w:spacing w:line="360" w:lineRule="auto"/>
        <w:rPr>
          <w:rFonts w:ascii="Arial" w:hAnsi="Arial" w:cs="Arial"/>
          <w:color w:val="000000" w:themeColor="text1"/>
          <w:sz w:val="22"/>
          <w:szCs w:val="22"/>
          <w:lang w:val="cy-GB"/>
        </w:rPr>
      </w:pPr>
      <w:r w:rsidRPr="00D05A95">
        <w:rPr>
          <w:rFonts w:ascii="Arial" w:hAnsi="Arial" w:cs="Arial"/>
          <w:color w:val="000000" w:themeColor="text1"/>
          <w:sz w:val="22"/>
          <w:szCs w:val="22"/>
          <w:lang w:val="cy-GB"/>
        </w:rPr>
        <w:t>Y sampl casglais oedd tua ugain disgybl o flwyddyn pump a chwech, a pum athro. Casglais tri ymateb o’r holiadur staff, a chyfwelais dau athro. Roedd y broses dadansoddi yn wahanol wrth gymharu’r holiadur a chyfweliadau. Casglais ddata meintiol yn yr holiadur disgyblion. I ddadansoddi’r canlyniadau, gwnaeth forms graffiau i mi ddefnyddio. Mae gwerthusiad data meintiol yn effeithiol am ymchwiliai mawr, ond hefyd yn gweithio am rhai llai, (Cohen, Manion a Morrison, 2017, Tud 501). I gymharu, casglais ddata ansoddol yn y cyfweliadau. Wrth i mi drawsgrifio’r recordiad, rydw i’n creu data manwl. Dangosa’r holiadur staff cymysgedd o ddata ansoddol a feintiol. Mae hyn yn gwella gwerthusiad yr ymchwil, oherwydd mae’r manteision yn cydbwyso gyda’i gilydd</w:t>
      </w:r>
      <w:r w:rsidR="00F72B00" w:rsidRPr="00325B9F">
        <w:rPr>
          <w:rFonts w:ascii="Arial" w:hAnsi="Arial" w:cs="Arial"/>
          <w:color w:val="000000" w:themeColor="text1"/>
          <w:sz w:val="22"/>
          <w:szCs w:val="22"/>
          <w:lang w:val="cy-GB"/>
        </w:rPr>
        <w:t>,</w:t>
      </w:r>
      <w:r>
        <w:rPr>
          <w:rFonts w:ascii="Arial" w:hAnsi="Arial" w:cs="Arial"/>
          <w:color w:val="000000" w:themeColor="text1"/>
          <w:sz w:val="22"/>
          <w:szCs w:val="22"/>
        </w:rPr>
        <w:t xml:space="preserve"> </w:t>
      </w:r>
      <w:r w:rsidR="00F72B00" w:rsidRPr="00325B9F">
        <w:rPr>
          <w:rFonts w:ascii="Arial" w:hAnsi="Arial" w:cs="Arial"/>
          <w:color w:val="000000" w:themeColor="text1"/>
          <w:sz w:val="22"/>
          <w:szCs w:val="22"/>
        </w:rPr>
        <w:t>(Better Evaluation, 2022).</w:t>
      </w:r>
    </w:p>
    <w:p w14:paraId="585208EE" w14:textId="26491345" w:rsidR="0007458E" w:rsidRPr="00325B9F" w:rsidRDefault="00D05A95" w:rsidP="00325B9F">
      <w:pPr>
        <w:pStyle w:val="NormalWeb"/>
        <w:spacing w:line="360" w:lineRule="auto"/>
        <w:rPr>
          <w:rFonts w:ascii="Arial" w:hAnsi="Arial" w:cs="Arial"/>
          <w:color w:val="000000" w:themeColor="text1"/>
          <w:sz w:val="22"/>
          <w:szCs w:val="22"/>
          <w:lang w:val="cy-GB"/>
        </w:rPr>
      </w:pPr>
      <w:r w:rsidRPr="00D05A95">
        <w:rPr>
          <w:rFonts w:ascii="Arial" w:hAnsi="Arial" w:cs="Arial"/>
          <w:color w:val="000000" w:themeColor="text1"/>
          <w:sz w:val="22"/>
          <w:szCs w:val="22"/>
          <w:lang w:val="cy-GB"/>
        </w:rPr>
        <w:t>Cyfyngiad yr ymchwil hon oedd doeddwn i ddim wedi cyfweld disgyblion y dosbarth. Hyd yn oed casglais ddata o’r disgyblion yn eu holiadur, byddai chyfweliad yn dda i gymharu. Pwysleisia Danby, Ewing a Thorpe (2010) fod plant yn tueddu i rannu gwybodaeth yn gyfweliad byddwn nhw ddim fel arfer yn o fewn sgwrs. Mae pwysigrwydd i gynnwys hawliau plant yn eich ymchwil, i roi'r cyfle iddyn nhw fynegi eu barn</w:t>
      </w:r>
      <w:r w:rsidR="00FA72FF" w:rsidRPr="00325B9F">
        <w:rPr>
          <w:rFonts w:ascii="Arial" w:hAnsi="Arial" w:cs="Arial"/>
          <w:color w:val="000000" w:themeColor="text1"/>
          <w:sz w:val="22"/>
          <w:szCs w:val="22"/>
          <w:lang w:val="cy-GB"/>
        </w:rPr>
        <w:t xml:space="preserve">, </w:t>
      </w:r>
      <w:r w:rsidR="0007458E" w:rsidRPr="00325B9F">
        <w:rPr>
          <w:rFonts w:ascii="Arial" w:hAnsi="Arial" w:cs="Arial"/>
          <w:color w:val="000000" w:themeColor="text1"/>
          <w:sz w:val="22"/>
          <w:szCs w:val="22"/>
          <w:lang w:val="cy-GB"/>
        </w:rPr>
        <w:t>(Danby, Ewing, a Thorpe, 2010</w:t>
      </w:r>
      <w:r w:rsidR="00FA72FF" w:rsidRPr="00325B9F">
        <w:rPr>
          <w:rFonts w:ascii="Arial" w:hAnsi="Arial" w:cs="Arial"/>
          <w:color w:val="000000" w:themeColor="text1"/>
          <w:sz w:val="22"/>
          <w:szCs w:val="22"/>
          <w:lang w:val="cy-GB"/>
        </w:rPr>
        <w:t>, Tud 74</w:t>
      </w:r>
      <w:r w:rsidR="0007458E" w:rsidRPr="00325B9F">
        <w:rPr>
          <w:rFonts w:ascii="Arial" w:hAnsi="Arial" w:cs="Arial"/>
          <w:color w:val="000000" w:themeColor="text1"/>
          <w:sz w:val="22"/>
          <w:szCs w:val="22"/>
          <w:lang w:val="cy-GB"/>
        </w:rPr>
        <w:t>)</w:t>
      </w:r>
      <w:r w:rsidR="00FA72FF" w:rsidRPr="00325B9F">
        <w:rPr>
          <w:rFonts w:ascii="Arial" w:hAnsi="Arial" w:cs="Arial"/>
          <w:color w:val="000000" w:themeColor="text1"/>
          <w:sz w:val="22"/>
          <w:szCs w:val="22"/>
          <w:lang w:val="cy-GB"/>
        </w:rPr>
        <w:t xml:space="preserve">. </w:t>
      </w:r>
    </w:p>
    <w:p w14:paraId="7F49B433" w14:textId="352CAC1F" w:rsidR="00D05A95" w:rsidRDefault="00D05A95" w:rsidP="00325B9F">
      <w:pPr>
        <w:pStyle w:val="NormalWeb"/>
        <w:spacing w:line="360" w:lineRule="auto"/>
        <w:rPr>
          <w:rFonts w:ascii="Arial" w:hAnsi="Arial" w:cs="Arial"/>
          <w:color w:val="000000" w:themeColor="text1"/>
          <w:sz w:val="22"/>
          <w:szCs w:val="22"/>
          <w:lang w:val="cy-GB"/>
        </w:rPr>
      </w:pPr>
      <w:r w:rsidRPr="00D05A95">
        <w:rPr>
          <w:rFonts w:ascii="Arial" w:hAnsi="Arial" w:cs="Arial"/>
          <w:color w:val="000000" w:themeColor="text1"/>
          <w:sz w:val="22"/>
          <w:szCs w:val="22"/>
          <w:lang w:val="cy-GB"/>
        </w:rPr>
        <w:t>Mae’r Canllawiau BERA yn allweddol i ddilyn wrth gynnal ymchwil. Ysgrifennodd Blackburn (2015) y ganllaw i ddilyn wrth gynnal ymchwil â phlant ifanc. Anfonais ffurflen foesegol i’r ysgol o flaenllaw, i roi’r cyfle i’r ysgol cytuno i’r ymchwil. Pan roeddwn i yn yr ysgol, llofnododd y dirprwy'r ffurflen caniatâd. Pwysleisia Mason (2004)  pwysigrwydd cydsyniad plant, ond dydy plant o dan 18 ddim gallu cytuno ar eu hun. Golyga hyn, roedd angen i mi ddosbarthu ffurflenni caniatâd rhieni. Derbyniais tua ugain nôl, felly doeddwn i ddim ond gallu rhannu’r holiadur â’r plant yma. Mae’r ‘1948 United Nations Convention on Human Rights of the Child’ yn caniatai llais y plentyn, oherwydd mae rhaid i’r ymchwilydd gwrando a pharchu’r plant, (BERA, 2018, Tud 45). Awgryma Flewitt (2005) fod plant ifanc yn tueddu i fod yn ddigon hyderus i tynnu mas o ymchwil, (BERA, 2018, Tud 46). Golyga hyn fod pwysigrwydd i atgoffa plant o’r hawl yma.</w:t>
      </w:r>
    </w:p>
    <w:p w14:paraId="45773BBB" w14:textId="55466894" w:rsidR="006327F7" w:rsidRDefault="006327F7" w:rsidP="00325B9F">
      <w:pPr>
        <w:pStyle w:val="NormalWeb"/>
        <w:spacing w:line="360" w:lineRule="auto"/>
        <w:rPr>
          <w:rFonts w:ascii="Arial" w:hAnsi="Arial" w:cs="Arial"/>
          <w:color w:val="000000" w:themeColor="text1"/>
          <w:sz w:val="22"/>
          <w:szCs w:val="22"/>
          <w:lang w:val="cy-GB"/>
        </w:rPr>
      </w:pPr>
      <w:r w:rsidRPr="006327F7">
        <w:rPr>
          <w:rFonts w:ascii="Arial" w:hAnsi="Arial" w:cs="Arial"/>
          <w:color w:val="000000" w:themeColor="text1"/>
          <w:sz w:val="22"/>
          <w:szCs w:val="22"/>
          <w:lang w:val="cy-GB"/>
        </w:rPr>
        <w:t xml:space="preserve">I sicrhau anhysbysrwydd, doedd dim angen rhoi enw, neu unrhyw wybodaeth bersonol wrth lenwi’r holiadur. Rydw i’n ymwybodol o bwy gyfwelais, ond byddai ddim yn rhannu’r wybodaeth yna yn fy ymchwil. Gofynnais am ganiatâd y ddau athro cyn i mi ddechrau, ac esboniais fwriad yr ymchwil. Dyma enghraifft o gyfrinachedd. Wrth edrych ar holiaduron, </w:t>
      </w:r>
      <w:r w:rsidRPr="006327F7">
        <w:rPr>
          <w:rFonts w:ascii="Arial" w:hAnsi="Arial" w:cs="Arial"/>
          <w:color w:val="000000" w:themeColor="text1"/>
          <w:sz w:val="22"/>
          <w:szCs w:val="22"/>
          <w:lang w:val="cy-GB"/>
        </w:rPr>
        <w:lastRenderedPageBreak/>
        <w:t>bydd rhai pobl yn teimlo fel rydyn orfod ateb mewn ffordd benodol, hyd yn oed eu bod yn ymwybodol eu bod yn anhysbys, (Thomas, 2017, Tud 218). Gall y broblem hon codi os dydych ddim yn dilyn materion sensitif. Mae’n bwysig i eirio cwestiynau yn gywir, a ddim disgwyl i bob cyfranogwr ateb pob cwestiwn. I geisio fod y fwyaf anhysbys gallaf, byddaf yn cadw’r data’n ddiogel o fewn ffeil ar Office. Golyga hynny taw dim ond fi bydd â mynediad iddo. I leihau risg i’r cyfranogwyr, roeddwn i wedi cynnal yr ymchwil yn amgylchedd anffurfiol. Cafodd y risgiau eu rhestru o fewn Adran H ar y ffurflen foesegol. Roedd hyn yn sicrhau fod yr ysgol yn ymwybodol o sut byddaf yn osgoi hyn.</w:t>
      </w:r>
    </w:p>
    <w:p w14:paraId="634BC951" w14:textId="22FC55E0" w:rsidR="00901F34" w:rsidRPr="00325B9F" w:rsidRDefault="00901F34" w:rsidP="00325B9F">
      <w:pPr>
        <w:pStyle w:val="NormalWeb"/>
        <w:spacing w:line="360" w:lineRule="auto"/>
        <w:rPr>
          <w:rFonts w:ascii="Arial" w:hAnsi="Arial" w:cs="Arial"/>
          <w:b/>
          <w:bCs/>
          <w:sz w:val="28"/>
          <w:szCs w:val="28"/>
          <w:lang w:val="cy-GB"/>
        </w:rPr>
      </w:pPr>
      <w:r w:rsidRPr="00325B9F">
        <w:rPr>
          <w:rFonts w:ascii="Arial" w:hAnsi="Arial" w:cs="Arial"/>
          <w:b/>
          <w:bCs/>
          <w:sz w:val="28"/>
          <w:szCs w:val="28"/>
          <w:lang w:val="cy-GB"/>
        </w:rPr>
        <w:t>Canlyniadau a Thrafodaeth:</w:t>
      </w:r>
    </w:p>
    <w:p w14:paraId="1EF1CBEB" w14:textId="77777777" w:rsidR="006327F7" w:rsidRDefault="006327F7" w:rsidP="00325B9F">
      <w:pPr>
        <w:pStyle w:val="NormalWeb"/>
        <w:spacing w:line="360" w:lineRule="auto"/>
        <w:rPr>
          <w:rFonts w:ascii="Arial" w:hAnsi="Arial" w:cs="Arial"/>
          <w:sz w:val="22"/>
          <w:szCs w:val="22"/>
          <w:lang w:val="cy-GB"/>
        </w:rPr>
      </w:pPr>
      <w:r w:rsidRPr="006327F7">
        <w:rPr>
          <w:rFonts w:ascii="Arial" w:hAnsi="Arial" w:cs="Arial"/>
          <w:sz w:val="22"/>
          <w:szCs w:val="22"/>
          <w:lang w:val="cy-GB"/>
        </w:rPr>
        <w:t xml:space="preserve">I werthuso’r canlyniadau, byddaf yn defnyddio’r wybodaeth casglais o’r adolygiad llenyddiaeth, i gymharu â safbwyntiau athrawon. Yn gyntaf, byddaf yn edrych ar y data casglais o’r cyfweliadau. I ddechrau, gofynnais pa ddulliau cwestiynu rydyn nhw’n gweld sy’n gweithio orau. Dywed y ddau athro fod cwestiynau agored yn bwysig iawn. Dywed Athro A bod cwestiynau agored yn hanfodol i asesu dealltwriaeth, ac i roi’r cyfle iddyn nhw fynegi eu barn. Mae’n galluogi plant i greu cysylltiadau rhwng y wybodaeth roedden nhw’n gwybod yn barod, a’r wybodaeth newydd, (Inoue and Buczyński, 2011, Tud 10). Dywed Athro B fod cwestiynau caeedig hefyd yn ddefnyddiol, i dderbyn atebion syml a gyflym. Rydych yn defnyddio cwestiynau caeedig i werthuso’r wybodaeth mae plant wedi dysgu ar ôl y wers, (Ortlieb and Bowden, 2012, Tud 31). </w:t>
      </w:r>
    </w:p>
    <w:p w14:paraId="0D094145" w14:textId="77777777" w:rsidR="006327F7" w:rsidRDefault="006327F7" w:rsidP="00325B9F">
      <w:pPr>
        <w:pStyle w:val="NormalWeb"/>
        <w:spacing w:line="360" w:lineRule="auto"/>
        <w:rPr>
          <w:rFonts w:ascii="Arial" w:hAnsi="Arial" w:cs="Arial"/>
          <w:sz w:val="22"/>
          <w:szCs w:val="22"/>
          <w:lang w:val="cy-GB"/>
        </w:rPr>
      </w:pPr>
      <w:r w:rsidRPr="006327F7">
        <w:rPr>
          <w:rFonts w:ascii="Arial" w:hAnsi="Arial" w:cs="Arial"/>
          <w:sz w:val="22"/>
          <w:szCs w:val="22"/>
          <w:lang w:val="cy-GB"/>
        </w:rPr>
        <w:t xml:space="preserve">Dull cwestiynu arall rhannodd Athro A oedd y Sgiliau uwch feddwl. Dyma enghraifft o feddwl yn feirniadol, sgil allweddol i blant datblygu. Mae cysylltiad i’r Dacsonomeg Bloom o fewn y Sgiliau uwch feddwl. Mae pwyslais i wthio plant o’r elfennau isel i’r sgiliau feddwl uwch, (Costa, 2021). Gofynnais gwestiwn ychwanegol ar ôl i’r athro rhannu’r dull yma, sef “Wyt ti’n asesu’r atebion maen nhw’n rhoi o safon y cwestiwn?”. Dywed Athro A'u fod yn asesu dealltwriaeth plant ar sail y cwestiwn wrth edrych ar ddyfnder yr ateb. </w:t>
      </w:r>
    </w:p>
    <w:p w14:paraId="00F67DED" w14:textId="694045B2" w:rsidR="00B34115" w:rsidRPr="00325B9F" w:rsidRDefault="006327F7" w:rsidP="00325B9F">
      <w:pPr>
        <w:pStyle w:val="NormalWeb"/>
        <w:spacing w:line="360" w:lineRule="auto"/>
        <w:rPr>
          <w:rFonts w:ascii="Arial" w:hAnsi="Arial" w:cs="Arial"/>
          <w:sz w:val="22"/>
          <w:szCs w:val="22"/>
        </w:rPr>
      </w:pPr>
      <w:r w:rsidRPr="006327F7">
        <w:rPr>
          <w:rFonts w:ascii="Arial" w:hAnsi="Arial" w:cs="Arial"/>
          <w:sz w:val="22"/>
          <w:szCs w:val="22"/>
          <w:lang w:val="cy-GB"/>
        </w:rPr>
        <w:t xml:space="preserve">Wrth ofyn i’r ddau athro “Ydych chi’n gweld y dull cwestiynu’n effeithiol a pham?”, cytunodd y ddau eu bod yn effeithiol. Pwynt diddorol dywedodd Athro A oedd bod y dull cwestiynu’n helpu plant swil a hyderus mewn ffordd wahanol. Yn amlwg mae’r plant hyderus yn barod i ateb cwestiynau a mynegi’u barn, ond gall hyn cael effaith positif ar y plant swil. Dywed Athro A hyn ar ddechrau’r cyfweliad am y plant swil a hyderus, heb wybod y cwestiwn roeddwn i’n ofyn pellach mewn i’r ymchwil. Ei farn oedd bod dysgwyr swil yn dysgu o’i chyfoedion hyderus, oherwydd rydyn nhw’n clywed atebion ei gilydd. Dywed Athro A “mae nhw gallu hunan asesu yn y pen os roedden nhw ar y drywydd cywir neu beidio”. Awgryma </w:t>
      </w:r>
      <w:r w:rsidRPr="006327F7">
        <w:rPr>
          <w:rFonts w:ascii="Arial" w:hAnsi="Arial" w:cs="Arial"/>
          <w:sz w:val="22"/>
          <w:szCs w:val="22"/>
          <w:lang w:val="cy-GB"/>
        </w:rPr>
        <w:lastRenderedPageBreak/>
        <w:t>Shepard (2001) fod hunan asesu’n canlyniad mewn cymhelliant a hunan hyder gwell ym mhlant. Rydyn nhw’n datblygu’r sgil o greu cysylltiadau rhwng y wybodaeth rydyn nhw wedi dysgu yn yr orffennol a’r wybodaeth newydd,</w:t>
      </w:r>
      <w:r w:rsidRPr="006327F7">
        <w:rPr>
          <w:rFonts w:ascii="Arial" w:hAnsi="Arial" w:cs="Arial"/>
          <w:sz w:val="22"/>
          <w:szCs w:val="22"/>
          <w:lang w:val="cy-GB"/>
        </w:rPr>
        <w:t xml:space="preserve"> </w:t>
      </w:r>
      <w:r w:rsidR="005902F3" w:rsidRPr="00325B9F">
        <w:rPr>
          <w:rFonts w:ascii="Arial" w:hAnsi="Arial" w:cs="Arial"/>
          <w:sz w:val="22"/>
          <w:szCs w:val="22"/>
          <w:lang w:val="cy-GB"/>
        </w:rPr>
        <w:t>(Mcmillan and Hearn, 2008, Tud 42-43)</w:t>
      </w:r>
      <w:r w:rsidR="00F96BE0" w:rsidRPr="00325B9F">
        <w:rPr>
          <w:rFonts w:ascii="Arial" w:hAnsi="Arial" w:cs="Arial"/>
          <w:sz w:val="22"/>
          <w:szCs w:val="22"/>
          <w:lang w:val="cy-GB"/>
        </w:rPr>
        <w:t>.</w:t>
      </w:r>
      <w:r w:rsidR="00F96BE0" w:rsidRPr="00325B9F">
        <w:rPr>
          <w:rFonts w:ascii="Arial" w:hAnsi="Arial" w:cs="Arial"/>
          <w:sz w:val="22"/>
          <w:szCs w:val="22"/>
        </w:rPr>
        <w:t xml:space="preserve">   </w:t>
      </w:r>
    </w:p>
    <w:p w14:paraId="0DF6791C" w14:textId="469569D9" w:rsidR="001E6DA8" w:rsidRPr="00325B9F" w:rsidRDefault="006327F7" w:rsidP="00325B9F">
      <w:pPr>
        <w:pStyle w:val="NormalWeb"/>
        <w:spacing w:line="360" w:lineRule="auto"/>
        <w:rPr>
          <w:rFonts w:ascii="Arial" w:hAnsi="Arial" w:cs="Arial"/>
          <w:sz w:val="22"/>
          <w:szCs w:val="22"/>
          <w:lang w:val="cy-GB"/>
        </w:rPr>
      </w:pPr>
      <w:r w:rsidRPr="006327F7">
        <w:rPr>
          <w:rFonts w:ascii="Arial" w:hAnsi="Arial" w:cs="Arial"/>
          <w:sz w:val="22"/>
          <w:szCs w:val="22"/>
          <w:lang w:val="cy-GB"/>
        </w:rPr>
        <w:t>Nododd llawer o’r staff fod ffiniau loli yn ddull defnyddiol i gwestiynu’r plant. Dywed Athro A bod dulliau wrandem yn rhoi hyder i lawer o’r dysgwyr swil. Mae hyn yn gwrthgyferbynnu’r safbwynt fod y dull ffiniau loli’n cael effaith negyddol ar ddysgwyr swil. Mae’r fath yma o asesu ffurfiannol gallu canlyniad mewn plant yn teimlo’n anghyfforddus. Gall rhai plant fod yn swil i ateb o flaen gweddill y dosbarth os dydyn nhw ddim yn hyderus yn eu hateb. Mae tystiolaeth o ddisgyblion sy’n awyddus i ateb yn mynd yn rhwystredig â’r dull hon, oherwydd dydyn nhw ddim yn cael y cyfle i ateb yn aml</w:t>
      </w:r>
      <w:r w:rsidR="00FD0595" w:rsidRPr="00325B9F">
        <w:rPr>
          <w:rFonts w:ascii="Arial" w:hAnsi="Arial" w:cs="Arial"/>
          <w:sz w:val="22"/>
          <w:szCs w:val="22"/>
          <w:lang w:val="cy-GB"/>
        </w:rPr>
        <w:t xml:space="preserve">, </w:t>
      </w:r>
      <w:r w:rsidR="001E6DA8" w:rsidRPr="00325B9F">
        <w:rPr>
          <w:rFonts w:ascii="Arial" w:hAnsi="Arial" w:cs="Arial"/>
          <w:sz w:val="22"/>
          <w:szCs w:val="22"/>
          <w:lang w:val="cy-GB"/>
        </w:rPr>
        <w:t>(Hartell, 2018</w:t>
      </w:r>
      <w:r w:rsidRPr="006327F7">
        <w:rPr>
          <w:rFonts w:ascii="Arial" w:hAnsi="Arial" w:cs="Arial"/>
          <w:sz w:val="22"/>
          <w:szCs w:val="22"/>
          <w:lang w:val="cy-GB"/>
        </w:rPr>
        <w:t xml:space="preserve">). Gofynnais i’r disgyblion yn eu holiadur os roedden nhw’n hoffi defnyddio’r dull ffiniau loli. Fel gwelir yn Atodiad 8, dywed deuddeg o’r disgyblion eu bod yn hoffi’r dull, ond dywed chwech dydyn nhw ddim yn hoffi’r dull. Yn amlwg, roedd yr holiadur yn anhysbys, felly dydw i ddim gallu asesu os taw’r dysgwyr swil neu hyderus atebodd ‘ydw’ neu ‘nac ydw’. Ar y cyfan, mae’r dull yn tueddu i fod yn effeithiol o fewn y dosbarth. Wrth edrych ar Atodiad 7, gwelir fod dwy o’r tair ymateb o’r holiadur staff yn defnyddio ffiniau loli o fewn y dosbarth. Y ddau ddull defnyddir pob athro oedd byrddau gwyn bach a munud i feddwl. </w:t>
      </w:r>
      <w:r w:rsidR="00802456" w:rsidRPr="00325B9F">
        <w:rPr>
          <w:rFonts w:ascii="Arial" w:hAnsi="Arial" w:cs="Arial"/>
          <w:color w:val="000000" w:themeColor="text1"/>
          <w:sz w:val="22"/>
          <w:szCs w:val="22"/>
          <w:lang w:val="cy-GB"/>
        </w:rPr>
        <w:t xml:space="preserve"> </w:t>
      </w:r>
    </w:p>
    <w:p w14:paraId="11B5F1D2" w14:textId="2201B586" w:rsidR="00802456" w:rsidRPr="00325B9F" w:rsidRDefault="00615EB3" w:rsidP="00325B9F">
      <w:pPr>
        <w:pStyle w:val="NormalWeb"/>
        <w:spacing w:line="360" w:lineRule="auto"/>
        <w:rPr>
          <w:rFonts w:ascii="Arial" w:hAnsi="Arial" w:cs="Arial"/>
          <w:color w:val="000000" w:themeColor="text1"/>
          <w:sz w:val="22"/>
          <w:szCs w:val="22"/>
          <w:lang w:val="cy-GB"/>
        </w:rPr>
      </w:pPr>
      <w:r w:rsidRPr="00615EB3">
        <w:rPr>
          <w:rFonts w:ascii="Arial" w:hAnsi="Arial" w:cs="Arial"/>
          <w:color w:val="000000" w:themeColor="text1"/>
          <w:sz w:val="22"/>
          <w:szCs w:val="22"/>
          <w:lang w:val="cy-GB"/>
        </w:rPr>
        <w:t xml:space="preserve">Cwestiwn allweddol i werthuso o’r cyfweliadau oedd “Ydych chi’n gweld y Dacsonomeg Bloom yn ddefnyddiol o fewn eich dosbarth?”. Edrychais ar yr effeithlonrwydd o’r Dacsonomeg Bloom yn fy adolygiad llenyddiaeth, felly mae’n ddiddorol iawn i weld fod y ddau athro yn defnyddio’r theori yn ddyddiol. Ymateb Athro A oedd, “Ydy, er mwyn gwahaniaethu, mae’n debyg i’r sgiliau uwch feddwl”. Mae gwahaniaethu’n allweddol o fewn dosbarth. Wrth gyflwyno cwricwlwm gwahaniaethol, mae hyn yn cynnwys cryfderau amrywiol disgyblion, (Noble, 2004, Tud 193). O fewn ymchwil Noble (2004), gwelir fod 47% o athrawon yn gweld cynnwys y Dacsonomeg Bloom yn eu haddysgu yn helpu gwahaniaethu, </w:t>
      </w:r>
      <w:r w:rsidR="0064151F" w:rsidRPr="00325B9F">
        <w:rPr>
          <w:rFonts w:ascii="Arial" w:hAnsi="Arial" w:cs="Arial"/>
          <w:color w:val="000000" w:themeColor="text1"/>
          <w:sz w:val="22"/>
          <w:szCs w:val="22"/>
          <w:lang w:val="cy-GB"/>
        </w:rPr>
        <w:t xml:space="preserve"> (Noble, 2004, Tud 200). </w:t>
      </w:r>
    </w:p>
    <w:p w14:paraId="6FC88E64" w14:textId="6142A204" w:rsidR="00615EB3" w:rsidRDefault="00615EB3" w:rsidP="00325B9F">
      <w:pPr>
        <w:pStyle w:val="NormalWeb"/>
        <w:spacing w:line="360" w:lineRule="auto"/>
        <w:rPr>
          <w:rFonts w:ascii="Arial" w:hAnsi="Arial" w:cs="Arial"/>
          <w:color w:val="000000" w:themeColor="text1"/>
          <w:sz w:val="22"/>
          <w:szCs w:val="22"/>
          <w:lang w:val="cy-GB"/>
        </w:rPr>
      </w:pPr>
      <w:r w:rsidRPr="00615EB3">
        <w:rPr>
          <w:rFonts w:ascii="Arial" w:hAnsi="Arial" w:cs="Arial"/>
          <w:color w:val="000000" w:themeColor="text1"/>
          <w:sz w:val="22"/>
          <w:szCs w:val="22"/>
          <w:lang w:val="cy-GB"/>
        </w:rPr>
        <w:t xml:space="preserve">I gysylltu â theori amseru Rowe (1974), gofynnais i’r disgyblion, “Wyt ti’n cael digon o amser i ateb cwestiynau ar ddechrau’r wers?”. Fel gwelir yn Atodiad 9, dywedodd un deg tri disgybl rydyn nhw yn cael digon o amser, ond anghytunodd chwe disgybl. Mae athrawon yn tueddu i aros un eiliad neu lai i blentyn ateb cwestiwn. Awgryma Rowe (1974), wrth ddim adael digon o amser i blentyn ateb, mae hyn yn gwneud e’n anodd i blentyn dysgu, (Rowe, 1986, Tud 43). Yn amlwg, os roeddwn i wedi gofyn faint o amser bydden nhw eisiau, byddai’r atebion wedi amrywio. Felly fel athrawon, gallwch bwysleisio fod angen iddych asesu faint mae unigolion eisiau i ateb cwestiwn.  </w:t>
      </w:r>
    </w:p>
    <w:p w14:paraId="6B9CF8B2" w14:textId="562BF7A6" w:rsidR="00901F34" w:rsidRPr="00325B9F" w:rsidRDefault="00901F34" w:rsidP="00325B9F">
      <w:pPr>
        <w:pStyle w:val="NormalWeb"/>
        <w:spacing w:line="360" w:lineRule="auto"/>
        <w:rPr>
          <w:rFonts w:ascii="Arial" w:hAnsi="Arial" w:cs="Arial"/>
          <w:b/>
          <w:bCs/>
          <w:sz w:val="28"/>
          <w:szCs w:val="28"/>
          <w:lang w:val="cy-GB"/>
        </w:rPr>
      </w:pPr>
      <w:r w:rsidRPr="00325B9F">
        <w:rPr>
          <w:rFonts w:ascii="Arial" w:hAnsi="Arial" w:cs="Arial"/>
          <w:b/>
          <w:bCs/>
          <w:sz w:val="28"/>
          <w:szCs w:val="28"/>
          <w:lang w:val="cy-GB"/>
        </w:rPr>
        <w:lastRenderedPageBreak/>
        <w:t>Casgliad:</w:t>
      </w:r>
    </w:p>
    <w:p w14:paraId="4ADDA817" w14:textId="7DDBD824" w:rsidR="002E2440" w:rsidRPr="00325B9F" w:rsidRDefault="00615EB3" w:rsidP="00325B9F">
      <w:pPr>
        <w:pStyle w:val="NormalWeb"/>
        <w:spacing w:line="360" w:lineRule="auto"/>
        <w:rPr>
          <w:rFonts w:ascii="Arial" w:hAnsi="Arial" w:cs="Arial"/>
          <w:sz w:val="22"/>
          <w:szCs w:val="22"/>
          <w:lang w:val="cy-GB"/>
        </w:rPr>
      </w:pPr>
      <w:r w:rsidRPr="00615EB3">
        <w:rPr>
          <w:rFonts w:ascii="Arial" w:hAnsi="Arial" w:cs="Arial"/>
          <w:sz w:val="22"/>
          <w:szCs w:val="22"/>
          <w:lang w:val="cy-GB"/>
        </w:rPr>
        <w:t xml:space="preserve">I gasglu, mae’n amlwg fod y dull cwestiynu yn allweddol wrth asesu plant. Yn gyffredinol, dywed pob aelod o staff fod y dull yn effeithiol, a’u fod yn defnyddio yn ddyddiol. I gymharu, darganfyddai fod barnau plant yn amrywio am y dull cwestiynau. Roedd rhai dulliau cwestiynu’n amlwg i fod yn fwy addas i ddisgyblion penodol. Pwrpas yr ymchwil hon oedd gwerthuso pa mor ddefnyddiol yw’r dull cwestiynu i asesu cynnydd plant. Ar ôl cynnal ymchwil, fy marn i yw bod cwestiynu’n dull allweddol i ddefnyddio yn eich dosbarth. Golyga hyn fy mod yn gwybod y strategaethau penodol i ddilyn yn y dyfodol, i sicrhau cynnydd effeithiol. Y beth pwysicaf yn fy marn i yw amrywio’r ffurfiau rydych yn cwestiynu plant. Mae hyn yn sicrhau cynnydd cyson. </w:t>
      </w:r>
      <w:r w:rsidR="002E2440" w:rsidRPr="00325B9F">
        <w:rPr>
          <w:rFonts w:ascii="Arial" w:hAnsi="Arial" w:cs="Arial"/>
          <w:sz w:val="22"/>
          <w:szCs w:val="22"/>
          <w:lang w:val="cy-GB"/>
        </w:rPr>
        <w:t xml:space="preserve"> “</w:t>
      </w:r>
      <w:r w:rsidR="002E2440" w:rsidRPr="002E2440">
        <w:rPr>
          <w:rFonts w:ascii="Arial" w:hAnsi="Arial" w:cs="Arial"/>
          <w:sz w:val="22"/>
          <w:szCs w:val="22"/>
          <w:lang w:val="cy-GB"/>
        </w:rPr>
        <w:t>Some teachers have had success in actively developing the skills of learners in understanding what makes a ‘high order’ question.</w:t>
      </w:r>
      <w:r w:rsidR="002E2440" w:rsidRPr="00325B9F">
        <w:rPr>
          <w:rFonts w:ascii="Arial" w:hAnsi="Arial" w:cs="Arial"/>
          <w:sz w:val="22"/>
          <w:szCs w:val="22"/>
          <w:lang w:val="cy-GB"/>
        </w:rPr>
        <w:t>”, (Llywodraeth Cymru, 2010, Tud 19).</w:t>
      </w:r>
      <w:r w:rsidR="002E2440" w:rsidRPr="00325B9F">
        <w:rPr>
          <w:rFonts w:ascii="Arial" w:hAnsi="Arial" w:cs="Arial"/>
          <w:sz w:val="22"/>
          <w:szCs w:val="22"/>
        </w:rPr>
        <w:t xml:space="preserve"> </w:t>
      </w:r>
    </w:p>
    <w:p w14:paraId="194CFB4F" w14:textId="77777777" w:rsidR="00615EB3" w:rsidRPr="00615EB3" w:rsidRDefault="00615EB3" w:rsidP="00615EB3">
      <w:pPr>
        <w:pStyle w:val="NormalWeb"/>
        <w:spacing w:line="360" w:lineRule="auto"/>
        <w:rPr>
          <w:rFonts w:ascii="Arial" w:hAnsi="Arial" w:cs="Arial"/>
          <w:sz w:val="22"/>
          <w:szCs w:val="22"/>
          <w:lang w:val="cy-GB"/>
        </w:rPr>
      </w:pPr>
      <w:r w:rsidRPr="00615EB3">
        <w:rPr>
          <w:rFonts w:ascii="Arial" w:hAnsi="Arial" w:cs="Arial"/>
          <w:sz w:val="22"/>
          <w:szCs w:val="22"/>
          <w:lang w:val="cy-GB"/>
        </w:rPr>
        <w:t>Wrth gyfeirio nôl at fy rhagfynegiad, roedd llawer o gysylltiadau rhwng gwaith damcaniaethwyr a’r ffordd mae athrawon yn dysgu. Darganfyddai fod sawl theori yn cael eu defnyddio o fewn y dosbarth. Wrth i mi ddysgu dosbarth fy hun, byddaf yn treialu sawl dull cwestiynu gwahanol. Yn amlwg, rydw i’n defnyddio amryw o ddulliau gwahanol yn ystod fy nghyfnodau PAP, ond mae’n amrywio yn seiliedig ar eich dosbarth. Wrth weithio ar yr aseiniad hwn, datblygais fy sgiliau ymchwil. Dyma’r tro cyntaf i mi gynnal cyfweliadau, ac i ysgrifennu trawsgrifiad. Bydd y sgiliau yma’n ddefnyddiol am fy aseiniad ymchwil yn y drydedd flwyddyn. Mae’n amlwg fod sawl dull gallwch ddefnyddio i gwestiynu plant, ac wrth addysgu dosbarth eich hun, rydych yn darganfod y dulliau sy’n gweithio’r orau i chi a’ch disgyblion.</w:t>
      </w:r>
    </w:p>
    <w:p w14:paraId="76212963" w14:textId="6CAF39E5" w:rsidR="00103121" w:rsidRPr="00CF280C" w:rsidRDefault="00BE6171" w:rsidP="00CF280C">
      <w:pPr>
        <w:pStyle w:val="NormalWeb"/>
        <w:spacing w:line="360" w:lineRule="auto"/>
        <w:rPr>
          <w:rStyle w:val="Hyperlink"/>
          <w:rFonts w:ascii="Arial" w:hAnsi="Arial" w:cs="Arial"/>
          <w:b/>
          <w:bCs/>
          <w:color w:val="auto"/>
          <w:sz w:val="28"/>
          <w:szCs w:val="28"/>
          <w:u w:val="none"/>
          <w:lang w:val="cy-GB"/>
        </w:rPr>
      </w:pPr>
      <w:r w:rsidRPr="00103121">
        <w:rPr>
          <w:rFonts w:ascii="Arial" w:hAnsi="Arial" w:cs="Arial"/>
          <w:b/>
          <w:bCs/>
          <w:sz w:val="28"/>
          <w:szCs w:val="28"/>
          <w:lang w:val="cy-GB"/>
        </w:rPr>
        <w:t>Rhestr Cyfeirnodi:</w:t>
      </w:r>
    </w:p>
    <w:p w14:paraId="713DC0A2" w14:textId="26F2E346" w:rsidR="00103121" w:rsidRDefault="00103121" w:rsidP="00325B9F">
      <w:pPr>
        <w:spacing w:line="360" w:lineRule="auto"/>
        <w:rPr>
          <w:rFonts w:ascii="Arial" w:hAnsi="Arial" w:cs="Arial"/>
          <w:sz w:val="22"/>
          <w:szCs w:val="22"/>
        </w:rPr>
      </w:pPr>
      <w:r w:rsidRPr="00325B9F">
        <w:rPr>
          <w:rFonts w:ascii="Arial" w:hAnsi="Arial" w:cs="Arial"/>
          <w:sz w:val="22"/>
          <w:szCs w:val="22"/>
        </w:rPr>
        <w:t>Akin, A. (2012). The Online Journal of Counselling and Education, Volume 1- Issue 3</w:t>
      </w:r>
    </w:p>
    <w:p w14:paraId="4F05AA01" w14:textId="77777777" w:rsidR="00103121" w:rsidRPr="00325B9F" w:rsidRDefault="00103121" w:rsidP="00325B9F">
      <w:pPr>
        <w:spacing w:line="360" w:lineRule="auto"/>
        <w:rPr>
          <w:rFonts w:ascii="Arial" w:hAnsi="Arial" w:cs="Arial"/>
          <w:sz w:val="22"/>
          <w:szCs w:val="22"/>
        </w:rPr>
      </w:pPr>
    </w:p>
    <w:p w14:paraId="691408DA" w14:textId="2757BD55" w:rsidR="00103121" w:rsidRDefault="00103121" w:rsidP="00325B9F">
      <w:pPr>
        <w:spacing w:line="360" w:lineRule="auto"/>
        <w:rPr>
          <w:rFonts w:ascii="Arial" w:hAnsi="Arial" w:cs="Arial"/>
          <w:sz w:val="22"/>
          <w:szCs w:val="22"/>
        </w:rPr>
      </w:pPr>
      <w:proofErr w:type="spellStart"/>
      <w:r w:rsidRPr="00325B9F">
        <w:rPr>
          <w:rFonts w:ascii="Arial" w:hAnsi="Arial" w:cs="Arial"/>
          <w:sz w:val="22"/>
          <w:szCs w:val="22"/>
        </w:rPr>
        <w:t>Alshenqeeti</w:t>
      </w:r>
      <w:proofErr w:type="spellEnd"/>
      <w:r w:rsidRPr="00325B9F">
        <w:rPr>
          <w:rFonts w:ascii="Arial" w:hAnsi="Arial" w:cs="Arial"/>
          <w:sz w:val="22"/>
          <w:szCs w:val="22"/>
        </w:rPr>
        <w:t xml:space="preserve">, H. (2014). Interviewing as a Data Collection Method: </w:t>
      </w:r>
      <w:proofErr w:type="gramStart"/>
      <w:r w:rsidRPr="00325B9F">
        <w:rPr>
          <w:rFonts w:ascii="Arial" w:hAnsi="Arial" w:cs="Arial"/>
          <w:sz w:val="22"/>
          <w:szCs w:val="22"/>
        </w:rPr>
        <w:t>a</w:t>
      </w:r>
      <w:proofErr w:type="gramEnd"/>
      <w:r w:rsidRPr="00325B9F">
        <w:rPr>
          <w:rFonts w:ascii="Arial" w:hAnsi="Arial" w:cs="Arial"/>
          <w:sz w:val="22"/>
          <w:szCs w:val="22"/>
        </w:rPr>
        <w:t xml:space="preserve"> Critical Review. </w:t>
      </w:r>
      <w:r w:rsidRPr="00325B9F">
        <w:rPr>
          <w:rFonts w:ascii="Arial" w:hAnsi="Arial" w:cs="Arial"/>
          <w:i/>
          <w:iCs/>
          <w:sz w:val="22"/>
          <w:szCs w:val="22"/>
        </w:rPr>
        <w:t>English Linguistics Research</w:t>
      </w:r>
      <w:r w:rsidRPr="00325B9F">
        <w:rPr>
          <w:rFonts w:ascii="Arial" w:hAnsi="Arial" w:cs="Arial"/>
          <w:sz w:val="22"/>
          <w:szCs w:val="22"/>
        </w:rPr>
        <w:t xml:space="preserve">, 3(1), pp.39–45. </w:t>
      </w:r>
      <w:hyperlink r:id="rId5" w:history="1">
        <w:r w:rsidRPr="00325B9F">
          <w:rPr>
            <w:rStyle w:val="Hyperlink"/>
            <w:rFonts w:ascii="Arial" w:hAnsi="Arial" w:cs="Arial"/>
            <w:sz w:val="22"/>
            <w:szCs w:val="22"/>
          </w:rPr>
          <w:t>https://doi.org/10.5430/elr.v3n1p39</w:t>
        </w:r>
      </w:hyperlink>
      <w:r w:rsidRPr="00325B9F">
        <w:rPr>
          <w:rFonts w:ascii="Arial" w:hAnsi="Arial" w:cs="Arial"/>
          <w:sz w:val="22"/>
          <w:szCs w:val="22"/>
        </w:rPr>
        <w:t>.</w:t>
      </w:r>
    </w:p>
    <w:p w14:paraId="6C073EF7" w14:textId="77777777" w:rsidR="00103121" w:rsidRPr="00325B9F" w:rsidRDefault="00103121" w:rsidP="00325B9F">
      <w:pPr>
        <w:spacing w:line="360" w:lineRule="auto"/>
        <w:rPr>
          <w:rFonts w:ascii="Arial" w:hAnsi="Arial" w:cs="Arial"/>
          <w:sz w:val="22"/>
          <w:szCs w:val="22"/>
        </w:rPr>
      </w:pPr>
    </w:p>
    <w:p w14:paraId="7FD23A1C" w14:textId="77777777" w:rsidR="00103121" w:rsidRPr="00325B9F" w:rsidRDefault="00103121" w:rsidP="00325B9F">
      <w:pPr>
        <w:spacing w:line="360" w:lineRule="auto"/>
        <w:rPr>
          <w:rFonts w:ascii="Arial" w:hAnsi="Arial" w:cs="Arial"/>
          <w:sz w:val="22"/>
          <w:szCs w:val="22"/>
        </w:rPr>
      </w:pPr>
      <w:r w:rsidRPr="00325B9F">
        <w:rPr>
          <w:rFonts w:ascii="Arial" w:hAnsi="Arial" w:cs="Arial"/>
          <w:sz w:val="22"/>
          <w:szCs w:val="22"/>
        </w:rPr>
        <w:t>Austin, R. (2016). </w:t>
      </w:r>
      <w:r w:rsidRPr="00325B9F">
        <w:rPr>
          <w:rFonts w:ascii="Arial" w:hAnsi="Arial" w:cs="Arial"/>
          <w:i/>
          <w:iCs/>
          <w:sz w:val="22"/>
          <w:szCs w:val="22"/>
        </w:rPr>
        <w:t>Researching primary education</w:t>
      </w:r>
      <w:r w:rsidRPr="00325B9F">
        <w:rPr>
          <w:rFonts w:ascii="Arial" w:hAnsi="Arial" w:cs="Arial"/>
          <w:sz w:val="22"/>
          <w:szCs w:val="22"/>
        </w:rPr>
        <w:t>. London: Learning Matters/Sage.</w:t>
      </w:r>
    </w:p>
    <w:p w14:paraId="3F0C3DA2" w14:textId="0D9CD21A" w:rsidR="00103121" w:rsidRDefault="00103121" w:rsidP="00325B9F">
      <w:pPr>
        <w:spacing w:line="360" w:lineRule="auto"/>
        <w:rPr>
          <w:rFonts w:ascii="Arial" w:hAnsi="Arial" w:cs="Arial"/>
          <w:sz w:val="22"/>
          <w:szCs w:val="22"/>
        </w:rPr>
      </w:pPr>
      <w:r w:rsidRPr="00325B9F">
        <w:rPr>
          <w:rFonts w:ascii="Arial" w:hAnsi="Arial" w:cs="Arial"/>
          <w:sz w:val="22"/>
          <w:szCs w:val="22"/>
        </w:rPr>
        <w:t>Bennett, R.E. (2011). Formative assessment: a critical review. </w:t>
      </w:r>
      <w:r w:rsidRPr="00325B9F">
        <w:rPr>
          <w:rFonts w:ascii="Arial" w:hAnsi="Arial" w:cs="Arial"/>
          <w:i/>
          <w:iCs/>
          <w:sz w:val="22"/>
          <w:szCs w:val="22"/>
        </w:rPr>
        <w:t>Assessment in Education: Principles, Policy &amp; Practice</w:t>
      </w:r>
      <w:r w:rsidRPr="00325B9F">
        <w:rPr>
          <w:rFonts w:ascii="Arial" w:hAnsi="Arial" w:cs="Arial"/>
          <w:sz w:val="22"/>
          <w:szCs w:val="22"/>
        </w:rPr>
        <w:t xml:space="preserve">, 18(1), pp.5–25. </w:t>
      </w:r>
      <w:hyperlink r:id="rId6" w:history="1">
        <w:r w:rsidRPr="00325B9F">
          <w:rPr>
            <w:rStyle w:val="Hyperlink"/>
            <w:rFonts w:ascii="Arial" w:hAnsi="Arial" w:cs="Arial"/>
            <w:sz w:val="22"/>
            <w:szCs w:val="22"/>
          </w:rPr>
          <w:t>https://doi.org/10.1080/0969594X.2010.513678</w:t>
        </w:r>
      </w:hyperlink>
      <w:r w:rsidRPr="00325B9F">
        <w:rPr>
          <w:rFonts w:ascii="Arial" w:hAnsi="Arial" w:cs="Arial"/>
          <w:sz w:val="22"/>
          <w:szCs w:val="22"/>
        </w:rPr>
        <w:t>.</w:t>
      </w:r>
    </w:p>
    <w:p w14:paraId="5434DF2C" w14:textId="77777777" w:rsidR="00103121" w:rsidRPr="00325B9F" w:rsidRDefault="00103121" w:rsidP="00325B9F">
      <w:pPr>
        <w:spacing w:line="360" w:lineRule="auto"/>
        <w:rPr>
          <w:rFonts w:ascii="Arial" w:hAnsi="Arial" w:cs="Arial"/>
          <w:sz w:val="22"/>
          <w:szCs w:val="22"/>
        </w:rPr>
      </w:pPr>
    </w:p>
    <w:p w14:paraId="53A53443" w14:textId="0B628FE0" w:rsidR="00103121" w:rsidRDefault="00103121" w:rsidP="00325B9F">
      <w:pPr>
        <w:spacing w:line="360" w:lineRule="auto"/>
        <w:rPr>
          <w:rFonts w:ascii="Arial" w:hAnsi="Arial" w:cs="Arial"/>
          <w:sz w:val="22"/>
          <w:szCs w:val="22"/>
        </w:rPr>
      </w:pPr>
      <w:r w:rsidRPr="00325B9F">
        <w:rPr>
          <w:rFonts w:ascii="Arial" w:hAnsi="Arial" w:cs="Arial"/>
          <w:sz w:val="22"/>
          <w:szCs w:val="22"/>
        </w:rPr>
        <w:lastRenderedPageBreak/>
        <w:t>Better Evaluation (2022). </w:t>
      </w:r>
      <w:r w:rsidRPr="00325B9F">
        <w:rPr>
          <w:rFonts w:ascii="Arial" w:hAnsi="Arial" w:cs="Arial"/>
          <w:i/>
          <w:iCs/>
          <w:sz w:val="22"/>
          <w:szCs w:val="22"/>
        </w:rPr>
        <w:t>Combine qualitative and quantitative data - Rainbow Framework</w:t>
      </w:r>
      <w:r w:rsidRPr="00325B9F">
        <w:rPr>
          <w:rFonts w:ascii="Arial" w:hAnsi="Arial" w:cs="Arial"/>
          <w:sz w:val="22"/>
          <w:szCs w:val="22"/>
        </w:rPr>
        <w:t xml:space="preserve">. </w:t>
      </w:r>
      <w:hyperlink r:id="rId7" w:history="1">
        <w:r w:rsidRPr="00325B9F">
          <w:rPr>
            <w:rStyle w:val="Hyperlink"/>
            <w:rFonts w:ascii="Arial" w:hAnsi="Arial" w:cs="Arial"/>
            <w:sz w:val="22"/>
            <w:szCs w:val="22"/>
          </w:rPr>
          <w:t>https://www.betterevaluation.org/frameworks-guides/rainbow-framework/describe/combine-qualitative-quantitative-data</w:t>
        </w:r>
      </w:hyperlink>
      <w:r w:rsidRPr="00325B9F">
        <w:rPr>
          <w:rFonts w:ascii="Arial" w:hAnsi="Arial" w:cs="Arial"/>
          <w:sz w:val="22"/>
          <w:szCs w:val="22"/>
        </w:rPr>
        <w:t>.</w:t>
      </w:r>
    </w:p>
    <w:p w14:paraId="5F3645A3" w14:textId="77777777" w:rsidR="00103121" w:rsidRPr="00325B9F" w:rsidRDefault="00103121" w:rsidP="00325B9F">
      <w:pPr>
        <w:spacing w:line="360" w:lineRule="auto"/>
        <w:rPr>
          <w:rFonts w:ascii="Arial" w:hAnsi="Arial" w:cs="Arial"/>
          <w:sz w:val="22"/>
          <w:szCs w:val="22"/>
        </w:rPr>
      </w:pPr>
    </w:p>
    <w:p w14:paraId="03D2C1F7" w14:textId="401A6012"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Black, P. a </w:t>
      </w:r>
      <w:proofErr w:type="spellStart"/>
      <w:r w:rsidRPr="00325B9F">
        <w:rPr>
          <w:rFonts w:ascii="Arial" w:hAnsi="Arial" w:cs="Arial"/>
          <w:sz w:val="22"/>
          <w:szCs w:val="22"/>
        </w:rPr>
        <w:t>Wiliam</w:t>
      </w:r>
      <w:proofErr w:type="spellEnd"/>
      <w:r w:rsidRPr="00325B9F">
        <w:rPr>
          <w:rFonts w:ascii="Arial" w:hAnsi="Arial" w:cs="Arial"/>
          <w:sz w:val="22"/>
          <w:szCs w:val="22"/>
        </w:rPr>
        <w:t>, D. (1998). Inside the Black Box: Raising Standards through Classroom Assessment. </w:t>
      </w:r>
      <w:r w:rsidRPr="00325B9F">
        <w:rPr>
          <w:rFonts w:ascii="Arial" w:hAnsi="Arial" w:cs="Arial"/>
          <w:i/>
          <w:iCs/>
          <w:sz w:val="22"/>
          <w:szCs w:val="22"/>
        </w:rPr>
        <w:t xml:space="preserve">Phi Delta </w:t>
      </w:r>
      <w:proofErr w:type="spellStart"/>
      <w:r w:rsidRPr="00325B9F">
        <w:rPr>
          <w:rFonts w:ascii="Arial" w:hAnsi="Arial" w:cs="Arial"/>
          <w:i/>
          <w:iCs/>
          <w:sz w:val="22"/>
          <w:szCs w:val="22"/>
        </w:rPr>
        <w:t>Kappan</w:t>
      </w:r>
      <w:proofErr w:type="spellEnd"/>
      <w:r w:rsidRPr="00325B9F">
        <w:rPr>
          <w:rFonts w:ascii="Arial" w:hAnsi="Arial" w:cs="Arial"/>
          <w:sz w:val="22"/>
          <w:szCs w:val="22"/>
        </w:rPr>
        <w:t xml:space="preserve">, 92(1), pp.81–90. </w:t>
      </w:r>
      <w:hyperlink r:id="rId8" w:history="1">
        <w:r w:rsidRPr="00325B9F">
          <w:rPr>
            <w:rStyle w:val="Hyperlink"/>
            <w:rFonts w:ascii="Arial" w:hAnsi="Arial" w:cs="Arial"/>
            <w:sz w:val="22"/>
            <w:szCs w:val="22"/>
          </w:rPr>
          <w:t>https://doi.org/10.1177/003172171009200119</w:t>
        </w:r>
      </w:hyperlink>
      <w:r w:rsidRPr="00325B9F">
        <w:rPr>
          <w:rFonts w:ascii="Arial" w:hAnsi="Arial" w:cs="Arial"/>
          <w:sz w:val="22"/>
          <w:szCs w:val="22"/>
        </w:rPr>
        <w:t>.</w:t>
      </w:r>
    </w:p>
    <w:p w14:paraId="4EE474EB" w14:textId="77777777" w:rsidR="00103121" w:rsidRPr="00325B9F" w:rsidRDefault="00103121" w:rsidP="00325B9F">
      <w:pPr>
        <w:spacing w:line="360" w:lineRule="auto"/>
        <w:rPr>
          <w:rFonts w:ascii="Arial" w:hAnsi="Arial" w:cs="Arial"/>
          <w:sz w:val="22"/>
          <w:szCs w:val="22"/>
        </w:rPr>
      </w:pPr>
    </w:p>
    <w:p w14:paraId="4767C91E" w14:textId="2D66482B"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Black, P. a </w:t>
      </w:r>
      <w:proofErr w:type="spellStart"/>
      <w:r w:rsidRPr="00325B9F">
        <w:rPr>
          <w:rFonts w:ascii="Arial" w:hAnsi="Arial" w:cs="Arial"/>
          <w:sz w:val="22"/>
          <w:szCs w:val="22"/>
        </w:rPr>
        <w:t>Wiliam</w:t>
      </w:r>
      <w:proofErr w:type="spellEnd"/>
      <w:r w:rsidRPr="00325B9F">
        <w:rPr>
          <w:rFonts w:ascii="Arial" w:hAnsi="Arial" w:cs="Arial"/>
          <w:sz w:val="22"/>
          <w:szCs w:val="22"/>
        </w:rPr>
        <w:t>, D. (2005). The Formative Purpose: Assessment Must First Promote Learning. </w:t>
      </w:r>
      <w:r w:rsidRPr="00325B9F">
        <w:rPr>
          <w:rFonts w:ascii="Arial" w:hAnsi="Arial" w:cs="Arial"/>
          <w:i/>
          <w:iCs/>
          <w:sz w:val="22"/>
          <w:szCs w:val="22"/>
        </w:rPr>
        <w:t>Yearbook of the National Society for the Study of Education</w:t>
      </w:r>
      <w:r w:rsidRPr="00325B9F">
        <w:rPr>
          <w:rFonts w:ascii="Arial" w:hAnsi="Arial" w:cs="Arial"/>
          <w:sz w:val="22"/>
          <w:szCs w:val="22"/>
        </w:rPr>
        <w:t xml:space="preserve">, 103(2), pp.20–50. </w:t>
      </w:r>
      <w:hyperlink r:id="rId9" w:history="1">
        <w:r w:rsidRPr="00325B9F">
          <w:rPr>
            <w:rStyle w:val="Hyperlink"/>
            <w:rFonts w:ascii="Arial" w:hAnsi="Arial" w:cs="Arial"/>
            <w:sz w:val="22"/>
            <w:szCs w:val="22"/>
          </w:rPr>
          <w:t>https://doi.org/10.1111/j.1744-7984.2004.tb00047.x</w:t>
        </w:r>
      </w:hyperlink>
      <w:r w:rsidRPr="00325B9F">
        <w:rPr>
          <w:rFonts w:ascii="Arial" w:hAnsi="Arial" w:cs="Arial"/>
          <w:sz w:val="22"/>
          <w:szCs w:val="22"/>
        </w:rPr>
        <w:t>.</w:t>
      </w:r>
    </w:p>
    <w:p w14:paraId="47EB6992" w14:textId="77777777" w:rsidR="00103121" w:rsidRPr="00325B9F" w:rsidRDefault="00103121" w:rsidP="00325B9F">
      <w:pPr>
        <w:spacing w:line="360" w:lineRule="auto"/>
        <w:rPr>
          <w:rFonts w:ascii="Arial" w:hAnsi="Arial" w:cs="Arial"/>
          <w:sz w:val="22"/>
          <w:szCs w:val="22"/>
        </w:rPr>
      </w:pPr>
    </w:p>
    <w:p w14:paraId="739B5A10" w14:textId="2D3DD89D"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Black, P. a </w:t>
      </w:r>
      <w:proofErr w:type="spellStart"/>
      <w:r w:rsidRPr="00325B9F">
        <w:rPr>
          <w:rFonts w:ascii="Arial" w:hAnsi="Arial" w:cs="Arial"/>
          <w:sz w:val="22"/>
          <w:szCs w:val="22"/>
        </w:rPr>
        <w:t>Wiliam</w:t>
      </w:r>
      <w:proofErr w:type="spellEnd"/>
      <w:r w:rsidRPr="00325B9F">
        <w:rPr>
          <w:rFonts w:ascii="Arial" w:hAnsi="Arial" w:cs="Arial"/>
          <w:sz w:val="22"/>
          <w:szCs w:val="22"/>
        </w:rPr>
        <w:t>, D. (2009). Developing the Theory of Formative Assessment. </w:t>
      </w:r>
      <w:r w:rsidRPr="00325B9F">
        <w:rPr>
          <w:rFonts w:ascii="Arial" w:hAnsi="Arial" w:cs="Arial"/>
          <w:i/>
          <w:iCs/>
          <w:sz w:val="22"/>
          <w:szCs w:val="22"/>
        </w:rPr>
        <w:t>Educational Assessment, Evaluation and Accountability</w:t>
      </w:r>
      <w:r w:rsidRPr="00325B9F">
        <w:rPr>
          <w:rFonts w:ascii="Arial" w:hAnsi="Arial" w:cs="Arial"/>
          <w:sz w:val="22"/>
          <w:szCs w:val="22"/>
        </w:rPr>
        <w:t>, 21(1), p.8.</w:t>
      </w:r>
    </w:p>
    <w:p w14:paraId="38ABB8F5" w14:textId="77777777" w:rsidR="00103121" w:rsidRPr="00325B9F" w:rsidRDefault="00103121" w:rsidP="00325B9F">
      <w:pPr>
        <w:spacing w:line="360" w:lineRule="auto"/>
        <w:rPr>
          <w:rFonts w:ascii="Arial" w:hAnsi="Arial" w:cs="Arial"/>
          <w:sz w:val="22"/>
          <w:szCs w:val="22"/>
        </w:rPr>
      </w:pPr>
    </w:p>
    <w:p w14:paraId="29DB13AC" w14:textId="2EE35224" w:rsidR="00103121" w:rsidRDefault="00103121" w:rsidP="00325B9F">
      <w:pPr>
        <w:spacing w:line="360" w:lineRule="auto"/>
        <w:rPr>
          <w:rStyle w:val="Hyperlink"/>
          <w:rFonts w:ascii="Arial" w:hAnsi="Arial" w:cs="Arial"/>
          <w:sz w:val="22"/>
          <w:szCs w:val="22"/>
        </w:rPr>
      </w:pPr>
      <w:r w:rsidRPr="00325B9F">
        <w:rPr>
          <w:rFonts w:ascii="Arial" w:hAnsi="Arial" w:cs="Arial"/>
          <w:sz w:val="22"/>
          <w:szCs w:val="22"/>
        </w:rPr>
        <w:t xml:space="preserve">British Educational Research Guidelines (2018) </w:t>
      </w:r>
      <w:hyperlink r:id="rId10" w:history="1">
        <w:r w:rsidRPr="00325B9F">
          <w:rPr>
            <w:rStyle w:val="Hyperlink"/>
            <w:rFonts w:ascii="Arial" w:hAnsi="Arial" w:cs="Arial"/>
            <w:sz w:val="22"/>
            <w:szCs w:val="22"/>
          </w:rPr>
          <w:t>https://www.bera.ac.uk/publication/ethical-guidelines-for-educational-research-2018</w:t>
        </w:r>
      </w:hyperlink>
    </w:p>
    <w:p w14:paraId="61D2FF53" w14:textId="77777777" w:rsidR="00103121" w:rsidRPr="00325B9F" w:rsidRDefault="00103121" w:rsidP="00325B9F">
      <w:pPr>
        <w:spacing w:line="360" w:lineRule="auto"/>
        <w:rPr>
          <w:rFonts w:ascii="Arial" w:hAnsi="Arial" w:cs="Arial"/>
          <w:sz w:val="22"/>
          <w:szCs w:val="22"/>
        </w:rPr>
      </w:pPr>
    </w:p>
    <w:p w14:paraId="548E6AB3" w14:textId="769A0198"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Carnegie Mellon University (2019). Formative vs summative </w:t>
      </w:r>
      <w:proofErr w:type="gramStart"/>
      <w:r w:rsidRPr="00325B9F">
        <w:rPr>
          <w:rFonts w:ascii="Arial" w:hAnsi="Arial" w:cs="Arial"/>
          <w:sz w:val="22"/>
          <w:szCs w:val="22"/>
        </w:rPr>
        <w:t>assessment .</w:t>
      </w:r>
      <w:proofErr w:type="gramEnd"/>
      <w:r w:rsidRPr="00325B9F">
        <w:rPr>
          <w:rFonts w:ascii="Arial" w:hAnsi="Arial" w:cs="Arial"/>
          <w:sz w:val="22"/>
          <w:szCs w:val="22"/>
        </w:rPr>
        <w:t xml:space="preserve"> Carnegie Mellon University. </w:t>
      </w:r>
      <w:hyperlink r:id="rId11" w:history="1">
        <w:r w:rsidRPr="00325B9F">
          <w:rPr>
            <w:rStyle w:val="Hyperlink"/>
            <w:rFonts w:ascii="Arial" w:hAnsi="Arial" w:cs="Arial"/>
            <w:sz w:val="22"/>
            <w:szCs w:val="22"/>
          </w:rPr>
          <w:t>https://www.cmu.edu/teaching/assessment/basics/formative-summative.html</w:t>
        </w:r>
      </w:hyperlink>
      <w:r w:rsidRPr="00325B9F">
        <w:rPr>
          <w:rFonts w:ascii="Arial" w:hAnsi="Arial" w:cs="Arial"/>
          <w:sz w:val="22"/>
          <w:szCs w:val="22"/>
        </w:rPr>
        <w:t>.</w:t>
      </w:r>
    </w:p>
    <w:p w14:paraId="0D3C1A62" w14:textId="77777777" w:rsidR="00103121" w:rsidRPr="00325B9F" w:rsidRDefault="00103121" w:rsidP="00325B9F">
      <w:pPr>
        <w:spacing w:line="360" w:lineRule="auto"/>
        <w:rPr>
          <w:rFonts w:ascii="Arial" w:hAnsi="Arial" w:cs="Arial"/>
          <w:sz w:val="22"/>
          <w:szCs w:val="22"/>
        </w:rPr>
      </w:pPr>
    </w:p>
    <w:p w14:paraId="76A03E39" w14:textId="55CCE64F"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Clark, A (2001) Ways of seeing: using the Mosaic approach to listen to young children’s perspectives </w:t>
      </w:r>
    </w:p>
    <w:p w14:paraId="30AC5432" w14:textId="77777777" w:rsidR="00103121" w:rsidRPr="00325B9F" w:rsidRDefault="00103121" w:rsidP="00325B9F">
      <w:pPr>
        <w:spacing w:line="360" w:lineRule="auto"/>
        <w:rPr>
          <w:rFonts w:ascii="Arial" w:hAnsi="Arial" w:cs="Arial"/>
          <w:sz w:val="22"/>
          <w:szCs w:val="22"/>
        </w:rPr>
      </w:pPr>
    </w:p>
    <w:p w14:paraId="7C8011CE" w14:textId="5E26C06E" w:rsidR="00103121" w:rsidRDefault="00103121" w:rsidP="00325B9F">
      <w:pPr>
        <w:spacing w:line="360" w:lineRule="auto"/>
        <w:rPr>
          <w:rFonts w:ascii="Arial" w:hAnsi="Arial" w:cs="Arial"/>
          <w:sz w:val="22"/>
          <w:szCs w:val="22"/>
        </w:rPr>
      </w:pPr>
      <w:r w:rsidRPr="00325B9F">
        <w:rPr>
          <w:rFonts w:ascii="Arial" w:hAnsi="Arial" w:cs="Arial"/>
          <w:sz w:val="22"/>
          <w:szCs w:val="22"/>
        </w:rPr>
        <w:t>Cohen, L., Manion, L. and Morrison, K. (2017). </w:t>
      </w:r>
      <w:r w:rsidRPr="00325B9F">
        <w:rPr>
          <w:rFonts w:ascii="Arial" w:hAnsi="Arial" w:cs="Arial"/>
          <w:i/>
          <w:iCs/>
          <w:sz w:val="22"/>
          <w:szCs w:val="22"/>
        </w:rPr>
        <w:t>Research Methods in Education</w:t>
      </w:r>
      <w:r w:rsidRPr="00325B9F">
        <w:rPr>
          <w:rFonts w:ascii="Arial" w:hAnsi="Arial" w:cs="Arial"/>
          <w:sz w:val="22"/>
          <w:szCs w:val="22"/>
        </w:rPr>
        <w:t>. 8th ed. New York: Routledge.</w:t>
      </w:r>
    </w:p>
    <w:p w14:paraId="0FB113A1" w14:textId="77777777" w:rsidR="00103121" w:rsidRPr="00325B9F" w:rsidRDefault="00103121" w:rsidP="00325B9F">
      <w:pPr>
        <w:spacing w:line="360" w:lineRule="auto"/>
        <w:rPr>
          <w:rFonts w:ascii="Arial" w:hAnsi="Arial" w:cs="Arial"/>
          <w:sz w:val="22"/>
          <w:szCs w:val="22"/>
        </w:rPr>
      </w:pPr>
    </w:p>
    <w:p w14:paraId="58380AD7" w14:textId="174ACEE6" w:rsidR="00103121" w:rsidRDefault="00103121" w:rsidP="00325B9F">
      <w:pPr>
        <w:spacing w:line="360" w:lineRule="auto"/>
        <w:rPr>
          <w:rFonts w:ascii="Arial" w:hAnsi="Arial" w:cs="Arial"/>
          <w:sz w:val="22"/>
          <w:szCs w:val="22"/>
        </w:rPr>
      </w:pPr>
      <w:r w:rsidRPr="00325B9F">
        <w:rPr>
          <w:rFonts w:ascii="Arial" w:hAnsi="Arial" w:cs="Arial"/>
          <w:sz w:val="22"/>
          <w:szCs w:val="22"/>
        </w:rPr>
        <w:t>Costa, B. (2021). </w:t>
      </w:r>
      <w:r w:rsidRPr="00325B9F">
        <w:rPr>
          <w:rFonts w:ascii="Arial" w:hAnsi="Arial" w:cs="Arial"/>
          <w:i/>
          <w:iCs/>
          <w:sz w:val="22"/>
          <w:szCs w:val="22"/>
        </w:rPr>
        <w:t xml:space="preserve">Critical Thinking and other Higher-Order Thinking Skills | </w:t>
      </w:r>
      <w:proofErr w:type="spellStart"/>
      <w:r w:rsidRPr="00325B9F">
        <w:rPr>
          <w:rFonts w:ascii="Arial" w:hAnsi="Arial" w:cs="Arial"/>
          <w:i/>
          <w:iCs/>
          <w:sz w:val="22"/>
          <w:szCs w:val="22"/>
        </w:rPr>
        <w:t>Center</w:t>
      </w:r>
      <w:proofErr w:type="spellEnd"/>
      <w:r w:rsidRPr="00325B9F">
        <w:rPr>
          <w:rFonts w:ascii="Arial" w:hAnsi="Arial" w:cs="Arial"/>
          <w:i/>
          <w:iCs/>
          <w:sz w:val="22"/>
          <w:szCs w:val="22"/>
        </w:rPr>
        <w:t xml:space="preserve"> for Excellence in Teaching and Learning</w:t>
      </w:r>
      <w:r w:rsidRPr="00325B9F">
        <w:rPr>
          <w:rFonts w:ascii="Arial" w:hAnsi="Arial" w:cs="Arial"/>
          <w:sz w:val="22"/>
          <w:szCs w:val="22"/>
        </w:rPr>
        <w:t xml:space="preserve">.  University Of </w:t>
      </w:r>
      <w:proofErr w:type="spellStart"/>
      <w:r w:rsidRPr="00325B9F">
        <w:rPr>
          <w:rFonts w:ascii="Arial" w:hAnsi="Arial" w:cs="Arial"/>
          <w:sz w:val="22"/>
          <w:szCs w:val="22"/>
        </w:rPr>
        <w:t>Conneticut</w:t>
      </w:r>
      <w:proofErr w:type="spellEnd"/>
      <w:r w:rsidRPr="00325B9F">
        <w:rPr>
          <w:rFonts w:ascii="Arial" w:hAnsi="Arial" w:cs="Arial"/>
          <w:sz w:val="22"/>
          <w:szCs w:val="22"/>
        </w:rPr>
        <w:t xml:space="preserve">.  </w:t>
      </w:r>
      <w:hyperlink r:id="rId12" w:history="1">
        <w:r w:rsidRPr="00325B9F">
          <w:rPr>
            <w:rStyle w:val="Hyperlink"/>
            <w:rFonts w:ascii="Arial" w:hAnsi="Arial" w:cs="Arial"/>
            <w:sz w:val="22"/>
            <w:szCs w:val="22"/>
          </w:rPr>
          <w:t>https://cetl.uconn.edu/resources/design-your-course/teaching-and-learning-techniques/critical-thinking-and-other-higher-order-thinking-skills/</w:t>
        </w:r>
      </w:hyperlink>
      <w:r w:rsidRPr="00325B9F">
        <w:rPr>
          <w:rFonts w:ascii="Arial" w:hAnsi="Arial" w:cs="Arial"/>
          <w:sz w:val="22"/>
          <w:szCs w:val="22"/>
        </w:rPr>
        <w:t>.</w:t>
      </w:r>
    </w:p>
    <w:p w14:paraId="2BF00501" w14:textId="77777777" w:rsidR="00103121" w:rsidRPr="00325B9F" w:rsidRDefault="00103121" w:rsidP="00325B9F">
      <w:pPr>
        <w:spacing w:line="360" w:lineRule="auto"/>
        <w:rPr>
          <w:rFonts w:ascii="Arial" w:hAnsi="Arial" w:cs="Arial"/>
          <w:sz w:val="22"/>
          <w:szCs w:val="22"/>
        </w:rPr>
      </w:pPr>
    </w:p>
    <w:p w14:paraId="7904AF72" w14:textId="31FCBABA"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Charlton, R. (2000). RESEARCH: IS AN ‘IDEAL’ QUESTIONNAIRE </w:t>
      </w:r>
      <w:proofErr w:type="gramStart"/>
      <w:r w:rsidRPr="00325B9F">
        <w:rPr>
          <w:rFonts w:ascii="Arial" w:hAnsi="Arial" w:cs="Arial"/>
          <w:sz w:val="22"/>
          <w:szCs w:val="22"/>
        </w:rPr>
        <w:t>POSSIBLE?.</w:t>
      </w:r>
      <w:proofErr w:type="gramEnd"/>
      <w:r w:rsidRPr="00325B9F">
        <w:rPr>
          <w:rFonts w:ascii="Arial" w:hAnsi="Arial" w:cs="Arial"/>
          <w:sz w:val="22"/>
          <w:szCs w:val="22"/>
        </w:rPr>
        <w:t xml:space="preserve"> 54(6), pp.356–359. </w:t>
      </w:r>
      <w:hyperlink r:id="rId13" w:history="1">
        <w:r w:rsidRPr="00325B9F">
          <w:rPr>
            <w:rStyle w:val="Hyperlink"/>
            <w:rFonts w:ascii="Arial" w:hAnsi="Arial" w:cs="Arial"/>
            <w:sz w:val="22"/>
            <w:szCs w:val="22"/>
          </w:rPr>
          <w:t>https://doi.org/10.1111/j.1742-1241.2000.tb11922.x</w:t>
        </w:r>
      </w:hyperlink>
      <w:r w:rsidRPr="00325B9F">
        <w:rPr>
          <w:rFonts w:ascii="Arial" w:hAnsi="Arial" w:cs="Arial"/>
          <w:sz w:val="22"/>
          <w:szCs w:val="22"/>
        </w:rPr>
        <w:t>.</w:t>
      </w:r>
    </w:p>
    <w:p w14:paraId="4794305C" w14:textId="77777777" w:rsidR="00103121" w:rsidRPr="00325B9F" w:rsidRDefault="00103121" w:rsidP="00325B9F">
      <w:pPr>
        <w:spacing w:line="360" w:lineRule="auto"/>
        <w:rPr>
          <w:rFonts w:ascii="Arial" w:hAnsi="Arial" w:cs="Arial"/>
          <w:sz w:val="22"/>
          <w:szCs w:val="22"/>
        </w:rPr>
      </w:pPr>
    </w:p>
    <w:p w14:paraId="43CBA458" w14:textId="1B101B81" w:rsidR="00103121" w:rsidRDefault="00103121" w:rsidP="00325B9F">
      <w:pPr>
        <w:spacing w:line="360" w:lineRule="auto"/>
        <w:rPr>
          <w:rFonts w:ascii="Arial" w:hAnsi="Arial" w:cs="Arial"/>
          <w:sz w:val="22"/>
          <w:szCs w:val="22"/>
        </w:rPr>
      </w:pPr>
      <w:r w:rsidRPr="00325B9F">
        <w:rPr>
          <w:rFonts w:ascii="Arial" w:hAnsi="Arial" w:cs="Arial"/>
          <w:sz w:val="22"/>
          <w:szCs w:val="22"/>
        </w:rPr>
        <w:t>Danby, S., Ewing, L. and Thorpe, K. (2010) 'The Novice Researcher: Interviewing Young children,' </w:t>
      </w:r>
      <w:r w:rsidRPr="00325B9F">
        <w:rPr>
          <w:rFonts w:ascii="Arial" w:hAnsi="Arial" w:cs="Arial"/>
          <w:i/>
          <w:iCs/>
          <w:sz w:val="22"/>
          <w:szCs w:val="22"/>
        </w:rPr>
        <w:t>Qualitative Inquiry</w:t>
      </w:r>
      <w:r w:rsidRPr="00325B9F">
        <w:rPr>
          <w:rFonts w:ascii="Arial" w:hAnsi="Arial" w:cs="Arial"/>
          <w:sz w:val="22"/>
          <w:szCs w:val="22"/>
        </w:rPr>
        <w:t>, 17(1), pp. 74–84. </w:t>
      </w:r>
      <w:hyperlink r:id="rId14" w:history="1">
        <w:r w:rsidRPr="00325B9F">
          <w:rPr>
            <w:rStyle w:val="Hyperlink"/>
            <w:rFonts w:ascii="Arial" w:hAnsi="Arial" w:cs="Arial"/>
            <w:sz w:val="22"/>
            <w:szCs w:val="22"/>
          </w:rPr>
          <w:t>https://doi.org/10.1177/1077800410389754</w:t>
        </w:r>
      </w:hyperlink>
      <w:r w:rsidRPr="00325B9F">
        <w:rPr>
          <w:rFonts w:ascii="Arial" w:hAnsi="Arial" w:cs="Arial"/>
          <w:sz w:val="22"/>
          <w:szCs w:val="22"/>
        </w:rPr>
        <w:t>.</w:t>
      </w:r>
    </w:p>
    <w:p w14:paraId="53FBF4C9" w14:textId="77777777" w:rsidR="00103121" w:rsidRPr="00325B9F" w:rsidRDefault="00103121" w:rsidP="00325B9F">
      <w:pPr>
        <w:spacing w:line="360" w:lineRule="auto"/>
        <w:rPr>
          <w:rFonts w:ascii="Arial" w:hAnsi="Arial" w:cs="Arial"/>
          <w:sz w:val="22"/>
          <w:szCs w:val="22"/>
        </w:rPr>
      </w:pPr>
    </w:p>
    <w:p w14:paraId="766CAE97" w14:textId="03EAA375" w:rsidR="00103121" w:rsidRDefault="00103121" w:rsidP="00325B9F">
      <w:pPr>
        <w:spacing w:line="360" w:lineRule="auto"/>
        <w:rPr>
          <w:rFonts w:ascii="Arial" w:hAnsi="Arial" w:cs="Arial"/>
          <w:sz w:val="22"/>
          <w:szCs w:val="22"/>
        </w:rPr>
      </w:pPr>
      <w:r w:rsidRPr="00325B9F">
        <w:rPr>
          <w:rFonts w:ascii="Arial" w:hAnsi="Arial" w:cs="Arial"/>
          <w:sz w:val="22"/>
          <w:szCs w:val="22"/>
        </w:rPr>
        <w:t>David-Lang, J. a Hattie, J. (2012). </w:t>
      </w:r>
      <w:r w:rsidRPr="00325B9F">
        <w:rPr>
          <w:rFonts w:ascii="Arial" w:hAnsi="Arial" w:cs="Arial"/>
          <w:i/>
          <w:iCs/>
          <w:sz w:val="22"/>
          <w:szCs w:val="22"/>
        </w:rPr>
        <w:t>Visible Learning for Teachers: Maximizing Impact on Learning</w:t>
      </w:r>
      <w:r w:rsidRPr="00325B9F">
        <w:rPr>
          <w:rFonts w:ascii="Arial" w:hAnsi="Arial" w:cs="Arial"/>
          <w:sz w:val="22"/>
          <w:szCs w:val="22"/>
        </w:rPr>
        <w:t xml:space="preserve">.  </w:t>
      </w:r>
      <w:hyperlink r:id="rId15" w:history="1">
        <w:r w:rsidRPr="00325B9F">
          <w:rPr>
            <w:rStyle w:val="Hyperlink"/>
            <w:rFonts w:ascii="Arial" w:hAnsi="Arial" w:cs="Arial"/>
            <w:sz w:val="22"/>
            <w:szCs w:val="22"/>
          </w:rPr>
          <w:t>https://cmapspublic.ihmc.us/rid=1QBSTV8BZ-PF4KC0-2MNN/visible%20learning%20book%20summary.pdf</w:t>
        </w:r>
      </w:hyperlink>
      <w:r w:rsidRPr="00325B9F">
        <w:rPr>
          <w:rFonts w:ascii="Arial" w:hAnsi="Arial" w:cs="Arial"/>
          <w:sz w:val="22"/>
          <w:szCs w:val="22"/>
        </w:rPr>
        <w:t>.</w:t>
      </w:r>
    </w:p>
    <w:p w14:paraId="5B8D6A36" w14:textId="77777777" w:rsidR="00103121" w:rsidRPr="00325B9F" w:rsidRDefault="00103121" w:rsidP="00325B9F">
      <w:pPr>
        <w:spacing w:line="360" w:lineRule="auto"/>
        <w:rPr>
          <w:rFonts w:ascii="Arial" w:hAnsi="Arial" w:cs="Arial"/>
          <w:sz w:val="22"/>
          <w:szCs w:val="22"/>
        </w:rPr>
      </w:pPr>
    </w:p>
    <w:p w14:paraId="4272C2E7" w14:textId="5B3087FC" w:rsidR="00103121" w:rsidRDefault="00103121" w:rsidP="00325B9F">
      <w:pPr>
        <w:spacing w:line="360" w:lineRule="auto"/>
        <w:rPr>
          <w:rFonts w:ascii="Arial" w:hAnsi="Arial" w:cs="Arial"/>
          <w:sz w:val="22"/>
          <w:szCs w:val="22"/>
        </w:rPr>
      </w:pPr>
      <w:r w:rsidRPr="00325B9F">
        <w:rPr>
          <w:rFonts w:ascii="Arial" w:hAnsi="Arial" w:cs="Arial"/>
          <w:sz w:val="22"/>
          <w:szCs w:val="22"/>
        </w:rPr>
        <w:t>Denscombe, M (2014). </w:t>
      </w:r>
      <w:r w:rsidRPr="00325B9F">
        <w:rPr>
          <w:rFonts w:ascii="Arial" w:hAnsi="Arial" w:cs="Arial"/>
          <w:i/>
          <w:iCs/>
          <w:sz w:val="22"/>
          <w:szCs w:val="22"/>
        </w:rPr>
        <w:t>The Good Research Guide</w:t>
      </w:r>
      <w:r w:rsidRPr="00325B9F">
        <w:rPr>
          <w:rFonts w:ascii="Arial" w:hAnsi="Arial" w:cs="Arial"/>
          <w:sz w:val="22"/>
          <w:szCs w:val="22"/>
        </w:rPr>
        <w:t>. 5th ed. Milton Keynes: Open University Press.</w:t>
      </w:r>
    </w:p>
    <w:p w14:paraId="6FDDBDBD" w14:textId="77777777" w:rsidR="00103121" w:rsidRPr="00325B9F" w:rsidRDefault="00103121" w:rsidP="00325B9F">
      <w:pPr>
        <w:spacing w:line="360" w:lineRule="auto"/>
        <w:rPr>
          <w:rFonts w:ascii="Arial" w:hAnsi="Arial" w:cs="Arial"/>
          <w:sz w:val="22"/>
          <w:szCs w:val="22"/>
        </w:rPr>
      </w:pPr>
    </w:p>
    <w:p w14:paraId="47ABEF0F" w14:textId="28C4EAC8" w:rsidR="00103121" w:rsidRDefault="00103121" w:rsidP="00325B9F">
      <w:pPr>
        <w:spacing w:line="360" w:lineRule="auto"/>
        <w:rPr>
          <w:rFonts w:ascii="Arial" w:hAnsi="Arial" w:cs="Arial"/>
          <w:sz w:val="22"/>
          <w:szCs w:val="22"/>
        </w:rPr>
      </w:pPr>
      <w:r w:rsidRPr="00325B9F">
        <w:rPr>
          <w:rFonts w:ascii="Arial" w:hAnsi="Arial" w:cs="Arial"/>
          <w:sz w:val="22"/>
          <w:szCs w:val="22"/>
        </w:rPr>
        <w:t>Forehand, M. (2005). </w:t>
      </w:r>
      <w:r w:rsidRPr="00325B9F">
        <w:rPr>
          <w:rFonts w:ascii="Arial" w:hAnsi="Arial" w:cs="Arial"/>
          <w:i/>
          <w:iCs/>
          <w:sz w:val="22"/>
          <w:szCs w:val="22"/>
        </w:rPr>
        <w:t>Bloom’s Taxonomy: Original and Revised</w:t>
      </w:r>
      <w:r w:rsidRPr="00325B9F">
        <w:rPr>
          <w:rFonts w:ascii="Arial" w:hAnsi="Arial" w:cs="Arial"/>
          <w:sz w:val="22"/>
          <w:szCs w:val="22"/>
        </w:rPr>
        <w:t xml:space="preserve">. </w:t>
      </w:r>
      <w:hyperlink r:id="rId16" w:history="1">
        <w:r w:rsidRPr="00325B9F">
          <w:rPr>
            <w:rStyle w:val="Hyperlink"/>
            <w:rFonts w:ascii="Arial" w:hAnsi="Arial" w:cs="Arial"/>
            <w:sz w:val="22"/>
            <w:szCs w:val="22"/>
          </w:rPr>
          <w:t>https://cmapspublic3.ihmc.us/rid=1FPRRBRBK-1V1PZ0J-2JPL/Blooms%20revised%20Taxonomy.pdf</w:t>
        </w:r>
      </w:hyperlink>
      <w:r w:rsidRPr="00325B9F">
        <w:rPr>
          <w:rFonts w:ascii="Arial" w:hAnsi="Arial" w:cs="Arial"/>
          <w:sz w:val="22"/>
          <w:szCs w:val="22"/>
        </w:rPr>
        <w:t>.</w:t>
      </w:r>
    </w:p>
    <w:p w14:paraId="256FBC85" w14:textId="77777777" w:rsidR="00103121" w:rsidRPr="00325B9F" w:rsidRDefault="00103121" w:rsidP="00325B9F">
      <w:pPr>
        <w:spacing w:line="360" w:lineRule="auto"/>
        <w:rPr>
          <w:rFonts w:ascii="Arial" w:hAnsi="Arial" w:cs="Arial"/>
          <w:sz w:val="22"/>
          <w:szCs w:val="22"/>
        </w:rPr>
      </w:pPr>
    </w:p>
    <w:p w14:paraId="29FEF5CE" w14:textId="4AA00731" w:rsidR="00103121" w:rsidRDefault="00103121" w:rsidP="00325B9F">
      <w:pPr>
        <w:spacing w:line="360" w:lineRule="auto"/>
        <w:rPr>
          <w:rFonts w:ascii="Arial" w:hAnsi="Arial" w:cs="Arial"/>
          <w:sz w:val="22"/>
          <w:szCs w:val="22"/>
        </w:rPr>
      </w:pPr>
      <w:proofErr w:type="spellStart"/>
      <w:r w:rsidRPr="00325B9F">
        <w:rPr>
          <w:rFonts w:ascii="Arial" w:hAnsi="Arial" w:cs="Arial"/>
          <w:sz w:val="22"/>
          <w:szCs w:val="22"/>
        </w:rPr>
        <w:t>Goredema</w:t>
      </w:r>
      <w:proofErr w:type="spellEnd"/>
      <w:r w:rsidRPr="00325B9F">
        <w:rPr>
          <w:rFonts w:ascii="Arial" w:hAnsi="Arial" w:cs="Arial"/>
          <w:sz w:val="22"/>
          <w:szCs w:val="22"/>
        </w:rPr>
        <w:t>-Braid, B. (2010). Ethical Research with Young People. </w:t>
      </w:r>
      <w:r w:rsidRPr="00325B9F">
        <w:rPr>
          <w:rFonts w:ascii="Arial" w:hAnsi="Arial" w:cs="Arial"/>
          <w:i/>
          <w:iCs/>
          <w:sz w:val="22"/>
          <w:szCs w:val="22"/>
        </w:rPr>
        <w:t>Research Ethics</w:t>
      </w:r>
      <w:r w:rsidRPr="00325B9F">
        <w:rPr>
          <w:rFonts w:ascii="Arial" w:hAnsi="Arial" w:cs="Arial"/>
          <w:sz w:val="22"/>
          <w:szCs w:val="22"/>
        </w:rPr>
        <w:t xml:space="preserve">, pp.48–52 </w:t>
      </w:r>
      <w:hyperlink r:id="rId17" w:history="1">
        <w:r w:rsidRPr="00325B9F">
          <w:rPr>
            <w:rStyle w:val="Hyperlink"/>
            <w:rFonts w:ascii="Arial" w:hAnsi="Arial" w:cs="Arial"/>
            <w:sz w:val="22"/>
            <w:szCs w:val="22"/>
          </w:rPr>
          <w:t>https://doi.org/10.1177/174701611000600204</w:t>
        </w:r>
      </w:hyperlink>
      <w:r w:rsidRPr="00325B9F">
        <w:rPr>
          <w:rFonts w:ascii="Arial" w:hAnsi="Arial" w:cs="Arial"/>
          <w:sz w:val="22"/>
          <w:szCs w:val="22"/>
        </w:rPr>
        <w:t>.</w:t>
      </w:r>
    </w:p>
    <w:p w14:paraId="7840CA93" w14:textId="77777777" w:rsidR="00103121" w:rsidRPr="00325B9F" w:rsidRDefault="00103121" w:rsidP="00325B9F">
      <w:pPr>
        <w:spacing w:line="360" w:lineRule="auto"/>
        <w:rPr>
          <w:rFonts w:ascii="Arial" w:hAnsi="Arial" w:cs="Arial"/>
          <w:sz w:val="22"/>
          <w:szCs w:val="22"/>
        </w:rPr>
      </w:pPr>
    </w:p>
    <w:p w14:paraId="1D72AD4E" w14:textId="3A3BA5AB" w:rsidR="00103121" w:rsidRPr="00CF280C" w:rsidRDefault="00103121" w:rsidP="00CF280C">
      <w:pPr>
        <w:pStyle w:val="NormalWeb"/>
        <w:spacing w:line="360" w:lineRule="auto"/>
        <w:rPr>
          <w:rFonts w:ascii="Arial" w:hAnsi="Arial" w:cs="Arial"/>
          <w:color w:val="212121"/>
          <w:sz w:val="22"/>
          <w:szCs w:val="22"/>
        </w:rPr>
      </w:pPr>
      <w:proofErr w:type="spellStart"/>
      <w:r w:rsidRPr="00325B9F">
        <w:rPr>
          <w:rFonts w:ascii="Arial" w:hAnsi="Arial" w:cs="Arial"/>
          <w:sz w:val="22"/>
          <w:szCs w:val="22"/>
        </w:rPr>
        <w:t>Hartell</w:t>
      </w:r>
      <w:proofErr w:type="spellEnd"/>
      <w:r w:rsidRPr="00325B9F">
        <w:rPr>
          <w:rFonts w:ascii="Arial" w:hAnsi="Arial" w:cs="Arial"/>
          <w:sz w:val="22"/>
          <w:szCs w:val="22"/>
        </w:rPr>
        <w:t>, E. (2018) 'Assuring a future for design and technology by embedding classroom formative</w:t>
      </w:r>
      <w:r>
        <w:rPr>
          <w:rFonts w:ascii="Arial" w:hAnsi="Arial" w:cs="Arial"/>
          <w:sz w:val="22"/>
          <w:szCs w:val="22"/>
        </w:rPr>
        <w:t xml:space="preserve"> </w:t>
      </w:r>
      <w:r w:rsidRPr="00103121">
        <w:rPr>
          <w:rFonts w:ascii="Arial" w:hAnsi="Arial" w:cs="Arial"/>
          <w:sz w:val="22"/>
          <w:szCs w:val="22"/>
        </w:rPr>
        <w:t xml:space="preserve">assessment,'  </w:t>
      </w:r>
      <w:hyperlink r:id="rId18" w:history="1">
        <w:r w:rsidRPr="00103121">
          <w:rPr>
            <w:rStyle w:val="Hyperlink"/>
            <w:rFonts w:ascii="Arial" w:hAnsi="Arial" w:cs="Arial"/>
            <w:sz w:val="22"/>
            <w:szCs w:val="22"/>
          </w:rPr>
          <w:t>https://dattarc.org/index.php/conference/DATTARC2018/paper/viewPaper/412</w:t>
        </w:r>
      </w:hyperlink>
    </w:p>
    <w:p w14:paraId="2C9B72CC" w14:textId="536F5084"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Inoue, N. and </w:t>
      </w:r>
      <w:proofErr w:type="spellStart"/>
      <w:r w:rsidRPr="00325B9F">
        <w:rPr>
          <w:rFonts w:ascii="Arial" w:hAnsi="Arial" w:cs="Arial"/>
          <w:sz w:val="22"/>
          <w:szCs w:val="22"/>
        </w:rPr>
        <w:t>Buczyński</w:t>
      </w:r>
      <w:proofErr w:type="spellEnd"/>
      <w:r w:rsidRPr="00325B9F">
        <w:rPr>
          <w:rFonts w:ascii="Arial" w:hAnsi="Arial" w:cs="Arial"/>
          <w:sz w:val="22"/>
          <w:szCs w:val="22"/>
        </w:rPr>
        <w:t xml:space="preserve">, S. (2011) 'You asked Open-Ended questions, </w:t>
      </w:r>
      <w:proofErr w:type="gramStart"/>
      <w:r w:rsidRPr="00325B9F">
        <w:rPr>
          <w:rFonts w:ascii="Arial" w:hAnsi="Arial" w:cs="Arial"/>
          <w:sz w:val="22"/>
          <w:szCs w:val="22"/>
        </w:rPr>
        <w:t>Now</w:t>
      </w:r>
      <w:proofErr w:type="gramEnd"/>
      <w:r w:rsidRPr="00325B9F">
        <w:rPr>
          <w:rFonts w:ascii="Arial" w:hAnsi="Arial" w:cs="Arial"/>
          <w:sz w:val="22"/>
          <w:szCs w:val="22"/>
        </w:rPr>
        <w:t xml:space="preserve"> what? Understanding the nature of stumbling blocks in teaching inquiry lessons,' </w:t>
      </w:r>
      <w:r w:rsidRPr="00325B9F">
        <w:rPr>
          <w:rFonts w:ascii="Arial" w:hAnsi="Arial" w:cs="Arial"/>
          <w:i/>
          <w:iCs/>
          <w:sz w:val="22"/>
          <w:szCs w:val="22"/>
        </w:rPr>
        <w:t>The Mathematics Educator</w:t>
      </w:r>
      <w:r w:rsidRPr="00325B9F">
        <w:rPr>
          <w:rFonts w:ascii="Arial" w:hAnsi="Arial" w:cs="Arial"/>
          <w:sz w:val="22"/>
          <w:szCs w:val="22"/>
        </w:rPr>
        <w:t>, 20(2), pp. 10–23. </w:t>
      </w:r>
      <w:hyperlink r:id="rId19" w:history="1">
        <w:r w:rsidRPr="00325B9F">
          <w:rPr>
            <w:rStyle w:val="Hyperlink"/>
            <w:rFonts w:ascii="Arial" w:hAnsi="Arial" w:cs="Arial"/>
            <w:sz w:val="22"/>
            <w:szCs w:val="22"/>
          </w:rPr>
          <w:t>http://files.eric.ed.gov/fulltext/EJ923721.pdf</w:t>
        </w:r>
      </w:hyperlink>
      <w:r w:rsidRPr="00325B9F">
        <w:rPr>
          <w:rFonts w:ascii="Arial" w:hAnsi="Arial" w:cs="Arial"/>
          <w:sz w:val="22"/>
          <w:szCs w:val="22"/>
        </w:rPr>
        <w:t>.</w:t>
      </w:r>
    </w:p>
    <w:p w14:paraId="7070C738" w14:textId="77777777" w:rsidR="00103121" w:rsidRPr="00325B9F" w:rsidRDefault="00103121" w:rsidP="00325B9F">
      <w:pPr>
        <w:spacing w:line="360" w:lineRule="auto"/>
        <w:rPr>
          <w:rFonts w:ascii="Arial" w:hAnsi="Arial" w:cs="Arial"/>
          <w:sz w:val="22"/>
          <w:szCs w:val="22"/>
        </w:rPr>
      </w:pPr>
    </w:p>
    <w:p w14:paraId="628FD50C" w14:textId="3197A56F" w:rsidR="00103121" w:rsidRDefault="00103121" w:rsidP="00325B9F">
      <w:pPr>
        <w:spacing w:line="360" w:lineRule="auto"/>
        <w:rPr>
          <w:rStyle w:val="Hyperlink"/>
          <w:rFonts w:ascii="Arial" w:hAnsi="Arial" w:cs="Arial"/>
          <w:sz w:val="22"/>
          <w:szCs w:val="22"/>
        </w:rPr>
      </w:pPr>
      <w:r w:rsidRPr="00325B9F">
        <w:rPr>
          <w:rFonts w:ascii="Arial" w:hAnsi="Arial" w:cs="Arial"/>
          <w:sz w:val="22"/>
          <w:szCs w:val="22"/>
        </w:rPr>
        <w:t>Jiang, Y. (2020). Teacher Classroom Questioning Practice and Assessment Literacy: Case Studies of Four English Language Teachers in Chinese Universities. </w:t>
      </w:r>
      <w:r w:rsidRPr="00325B9F">
        <w:rPr>
          <w:rFonts w:ascii="Arial" w:hAnsi="Arial" w:cs="Arial"/>
          <w:i/>
          <w:iCs/>
          <w:sz w:val="22"/>
          <w:szCs w:val="22"/>
        </w:rPr>
        <w:t>Frontiers in Education</w:t>
      </w:r>
      <w:r w:rsidRPr="00325B9F">
        <w:rPr>
          <w:rFonts w:ascii="Arial" w:hAnsi="Arial" w:cs="Arial"/>
          <w:sz w:val="22"/>
          <w:szCs w:val="22"/>
        </w:rPr>
        <w:t xml:space="preserve">, 5. </w:t>
      </w:r>
      <w:hyperlink r:id="rId20" w:history="1">
        <w:r w:rsidRPr="00325B9F">
          <w:rPr>
            <w:rStyle w:val="Hyperlink"/>
            <w:rFonts w:ascii="Arial" w:hAnsi="Arial" w:cs="Arial"/>
            <w:sz w:val="22"/>
            <w:szCs w:val="22"/>
          </w:rPr>
          <w:t>https://doi.org/10.3389/feduc.2020.0002</w:t>
        </w:r>
      </w:hyperlink>
    </w:p>
    <w:p w14:paraId="21B250FE" w14:textId="77777777" w:rsidR="00103121" w:rsidRPr="00325B9F" w:rsidRDefault="00103121" w:rsidP="00325B9F">
      <w:pPr>
        <w:spacing w:line="360" w:lineRule="auto"/>
        <w:rPr>
          <w:rFonts w:ascii="Arial" w:hAnsi="Arial" w:cs="Arial"/>
          <w:sz w:val="22"/>
          <w:szCs w:val="22"/>
        </w:rPr>
      </w:pPr>
    </w:p>
    <w:p w14:paraId="42ED1E80" w14:textId="77777777" w:rsidR="00103121" w:rsidRPr="00325B9F" w:rsidRDefault="00103121" w:rsidP="00325B9F">
      <w:pPr>
        <w:spacing w:line="360" w:lineRule="auto"/>
        <w:rPr>
          <w:rFonts w:ascii="Arial" w:hAnsi="Arial" w:cs="Arial"/>
          <w:sz w:val="22"/>
          <w:szCs w:val="22"/>
        </w:rPr>
      </w:pPr>
      <w:proofErr w:type="spellStart"/>
      <w:r w:rsidRPr="00325B9F">
        <w:rPr>
          <w:rFonts w:ascii="Arial" w:hAnsi="Arial" w:cs="Arial"/>
          <w:sz w:val="22"/>
          <w:szCs w:val="22"/>
        </w:rPr>
        <w:t>Llyodraeth</w:t>
      </w:r>
      <w:proofErr w:type="spellEnd"/>
      <w:r w:rsidRPr="00325B9F">
        <w:rPr>
          <w:rFonts w:ascii="Arial" w:hAnsi="Arial" w:cs="Arial"/>
          <w:sz w:val="22"/>
          <w:szCs w:val="22"/>
        </w:rPr>
        <w:t xml:space="preserve"> Cymru (2022). </w:t>
      </w:r>
      <w:r w:rsidRPr="00325B9F">
        <w:rPr>
          <w:rFonts w:ascii="Arial" w:hAnsi="Arial" w:cs="Arial"/>
          <w:i/>
          <w:iCs/>
          <w:sz w:val="22"/>
          <w:szCs w:val="22"/>
        </w:rPr>
        <w:t>Supporting learner progression assessment guidance - Hwb</w:t>
      </w:r>
      <w:r w:rsidRPr="00325B9F">
        <w:rPr>
          <w:rFonts w:ascii="Arial" w:hAnsi="Arial" w:cs="Arial"/>
          <w:sz w:val="22"/>
          <w:szCs w:val="22"/>
        </w:rPr>
        <w:t xml:space="preserve">. </w:t>
      </w:r>
      <w:proofErr w:type="spellStart"/>
      <w:proofErr w:type="gramStart"/>
      <w:r w:rsidRPr="00325B9F">
        <w:rPr>
          <w:rFonts w:ascii="Arial" w:hAnsi="Arial" w:cs="Arial"/>
          <w:sz w:val="22"/>
          <w:szCs w:val="22"/>
        </w:rPr>
        <w:t>hwb.gov.wales</w:t>
      </w:r>
      <w:proofErr w:type="spellEnd"/>
      <w:proofErr w:type="gramEnd"/>
      <w:r w:rsidRPr="00325B9F">
        <w:rPr>
          <w:rFonts w:ascii="Arial" w:hAnsi="Arial" w:cs="Arial"/>
          <w:sz w:val="22"/>
          <w:szCs w:val="22"/>
        </w:rPr>
        <w:t xml:space="preserve">. </w:t>
      </w:r>
      <w:hyperlink r:id="rId21" w:history="1">
        <w:r w:rsidRPr="00325B9F">
          <w:rPr>
            <w:rStyle w:val="Hyperlink"/>
            <w:rFonts w:ascii="Arial" w:hAnsi="Arial" w:cs="Arial"/>
            <w:sz w:val="22"/>
            <w:szCs w:val="22"/>
          </w:rPr>
          <w:t>https://hwb.gov.wales/curriculum-for-wales/assessment-arrangements/supporting-learner-progression-assessment-guidance</w:t>
        </w:r>
      </w:hyperlink>
      <w:r w:rsidRPr="00325B9F">
        <w:rPr>
          <w:rFonts w:ascii="Arial" w:hAnsi="Arial" w:cs="Arial"/>
          <w:sz w:val="22"/>
          <w:szCs w:val="22"/>
        </w:rPr>
        <w:t>.</w:t>
      </w:r>
    </w:p>
    <w:p w14:paraId="1DB7F8FB" w14:textId="77777777" w:rsidR="00103121" w:rsidRPr="00325B9F" w:rsidRDefault="00103121" w:rsidP="00325B9F">
      <w:pPr>
        <w:spacing w:before="100" w:beforeAutospacing="1" w:after="100" w:afterAutospacing="1" w:line="360" w:lineRule="auto"/>
        <w:rPr>
          <w:rFonts w:ascii="Arial" w:hAnsi="Arial" w:cs="Arial"/>
          <w:sz w:val="22"/>
          <w:szCs w:val="22"/>
          <w:lang w:val="cy-GB"/>
        </w:rPr>
      </w:pPr>
      <w:r w:rsidRPr="00325B9F">
        <w:rPr>
          <w:rFonts w:ascii="Arial" w:hAnsi="Arial" w:cs="Arial"/>
          <w:sz w:val="22"/>
          <w:szCs w:val="22"/>
          <w:lang w:val="cy-GB"/>
        </w:rPr>
        <w:t>Llywodraeth Cymru (2013). </w:t>
      </w:r>
      <w:r w:rsidRPr="00325B9F">
        <w:rPr>
          <w:rFonts w:ascii="Arial" w:hAnsi="Arial" w:cs="Arial"/>
          <w:i/>
          <w:iCs/>
          <w:sz w:val="22"/>
          <w:szCs w:val="22"/>
          <w:lang w:val="cy-GB"/>
        </w:rPr>
        <w:t>Assessment for learning and the National Literacy and Numeracy Framework Guidance</w:t>
      </w:r>
      <w:r w:rsidRPr="00325B9F">
        <w:rPr>
          <w:rFonts w:ascii="Arial" w:hAnsi="Arial" w:cs="Arial"/>
          <w:sz w:val="22"/>
          <w:szCs w:val="22"/>
          <w:lang w:val="cy-GB"/>
        </w:rPr>
        <w:t xml:space="preserve">. </w:t>
      </w:r>
      <w:r>
        <w:fldChar w:fldCharType="begin"/>
      </w:r>
      <w:r>
        <w:instrText>HYPERLINK "https://hwb.gov.wales/api/storage/b447d1fe-5463-4382-9726-e68623a05dd2/assessment-for-learning-and-the-national-literacy-and-numeracy-framework.pdf"</w:instrText>
      </w:r>
      <w:r>
        <w:fldChar w:fldCharType="separate"/>
      </w:r>
      <w:r w:rsidRPr="00325B9F">
        <w:rPr>
          <w:rStyle w:val="Hyperlink"/>
          <w:rFonts w:ascii="Arial" w:hAnsi="Arial" w:cs="Arial"/>
          <w:sz w:val="22"/>
          <w:szCs w:val="22"/>
          <w:lang w:val="cy-GB"/>
        </w:rPr>
        <w:t>https://hwb.gov.wales/api/storage/b447d1fe-5463-4382-9726-e68623a05dd2/assessment-for-learning-and-the-national-literacy-and-numeracy-framework.pdf</w:t>
      </w:r>
      <w:r>
        <w:rPr>
          <w:rStyle w:val="Hyperlink"/>
          <w:rFonts w:ascii="Arial" w:hAnsi="Arial" w:cs="Arial"/>
          <w:sz w:val="22"/>
          <w:szCs w:val="22"/>
          <w:lang w:val="cy-GB"/>
        </w:rPr>
        <w:fldChar w:fldCharType="end"/>
      </w:r>
      <w:r w:rsidRPr="00325B9F">
        <w:rPr>
          <w:rFonts w:ascii="Arial" w:hAnsi="Arial" w:cs="Arial"/>
          <w:sz w:val="22"/>
          <w:szCs w:val="22"/>
          <w:lang w:val="cy-GB"/>
        </w:rPr>
        <w:t>.</w:t>
      </w:r>
    </w:p>
    <w:p w14:paraId="35D77EEA" w14:textId="50D9E68E" w:rsidR="00103121" w:rsidRDefault="00103121" w:rsidP="00325B9F">
      <w:pPr>
        <w:spacing w:line="360" w:lineRule="auto"/>
        <w:rPr>
          <w:rFonts w:ascii="Arial" w:hAnsi="Arial" w:cs="Arial"/>
          <w:sz w:val="22"/>
          <w:szCs w:val="22"/>
        </w:rPr>
      </w:pPr>
      <w:proofErr w:type="spellStart"/>
      <w:r w:rsidRPr="00325B9F">
        <w:rPr>
          <w:rFonts w:ascii="Arial" w:hAnsi="Arial" w:cs="Arial"/>
          <w:sz w:val="22"/>
          <w:szCs w:val="22"/>
        </w:rPr>
        <w:lastRenderedPageBreak/>
        <w:t>Mcmillan</w:t>
      </w:r>
      <w:proofErr w:type="spellEnd"/>
      <w:r w:rsidRPr="00325B9F">
        <w:rPr>
          <w:rFonts w:ascii="Arial" w:hAnsi="Arial" w:cs="Arial"/>
          <w:sz w:val="22"/>
          <w:szCs w:val="22"/>
        </w:rPr>
        <w:t>, J. and Hearn, J. (2008). </w:t>
      </w:r>
      <w:r w:rsidRPr="00325B9F">
        <w:rPr>
          <w:rFonts w:ascii="Arial" w:hAnsi="Arial" w:cs="Arial"/>
          <w:i/>
          <w:iCs/>
          <w:sz w:val="22"/>
          <w:szCs w:val="22"/>
        </w:rPr>
        <w:t>Student self-assessment: The key to stronger student motivation and higher achievement 40</w:t>
      </w:r>
      <w:r w:rsidRPr="00325B9F">
        <w:rPr>
          <w:rFonts w:ascii="Arial" w:hAnsi="Arial" w:cs="Arial"/>
          <w:sz w:val="22"/>
          <w:szCs w:val="22"/>
        </w:rPr>
        <w:t xml:space="preserve">. pp.40–49. </w:t>
      </w:r>
      <w:hyperlink r:id="rId22" w:history="1">
        <w:r w:rsidRPr="00325B9F">
          <w:rPr>
            <w:rStyle w:val="Hyperlink"/>
            <w:rFonts w:ascii="Arial" w:hAnsi="Arial" w:cs="Arial"/>
            <w:sz w:val="22"/>
            <w:szCs w:val="22"/>
          </w:rPr>
          <w:t>https://files.eric.ed.gov/fulltext/EJ815370.pdf</w:t>
        </w:r>
      </w:hyperlink>
      <w:r w:rsidRPr="00325B9F">
        <w:rPr>
          <w:rFonts w:ascii="Arial" w:hAnsi="Arial" w:cs="Arial"/>
          <w:sz w:val="22"/>
          <w:szCs w:val="22"/>
        </w:rPr>
        <w:t>.</w:t>
      </w:r>
    </w:p>
    <w:p w14:paraId="526EBDF6" w14:textId="77777777" w:rsidR="00103121" w:rsidRPr="00325B9F" w:rsidRDefault="00103121" w:rsidP="00325B9F">
      <w:pPr>
        <w:spacing w:line="360" w:lineRule="auto"/>
        <w:rPr>
          <w:rFonts w:ascii="Arial" w:hAnsi="Arial" w:cs="Arial"/>
          <w:sz w:val="22"/>
          <w:szCs w:val="22"/>
        </w:rPr>
      </w:pPr>
    </w:p>
    <w:p w14:paraId="272CA6A9" w14:textId="7D7A612D"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Noble, T. (2004). Integrating the Revised Bloom’s Taxonomy </w:t>
      </w:r>
      <w:proofErr w:type="gramStart"/>
      <w:r w:rsidRPr="00325B9F">
        <w:rPr>
          <w:rFonts w:ascii="Arial" w:hAnsi="Arial" w:cs="Arial"/>
          <w:sz w:val="22"/>
          <w:szCs w:val="22"/>
        </w:rPr>
        <w:t>With</w:t>
      </w:r>
      <w:proofErr w:type="gramEnd"/>
      <w:r w:rsidRPr="00325B9F">
        <w:rPr>
          <w:rFonts w:ascii="Arial" w:hAnsi="Arial" w:cs="Arial"/>
          <w:sz w:val="22"/>
          <w:szCs w:val="22"/>
        </w:rPr>
        <w:t xml:space="preserve"> Multiple Intelligences: A Planning Tool for Curriculum Differentiation. </w:t>
      </w:r>
      <w:r w:rsidRPr="00325B9F">
        <w:rPr>
          <w:rFonts w:ascii="Arial" w:hAnsi="Arial" w:cs="Arial"/>
          <w:i/>
          <w:iCs/>
          <w:sz w:val="22"/>
          <w:szCs w:val="22"/>
        </w:rPr>
        <w:t>Teachers College Record</w:t>
      </w:r>
      <w:r w:rsidRPr="00325B9F">
        <w:rPr>
          <w:rFonts w:ascii="Arial" w:hAnsi="Arial" w:cs="Arial"/>
          <w:sz w:val="22"/>
          <w:szCs w:val="22"/>
        </w:rPr>
        <w:t xml:space="preserve">, 106(1), pp.193–211. </w:t>
      </w:r>
      <w:hyperlink r:id="rId23" w:history="1">
        <w:r w:rsidRPr="00325B9F">
          <w:rPr>
            <w:rStyle w:val="Hyperlink"/>
            <w:rFonts w:ascii="Arial" w:hAnsi="Arial" w:cs="Arial"/>
            <w:sz w:val="22"/>
            <w:szCs w:val="22"/>
          </w:rPr>
          <w:t>https://doi.org/10.1111/j.1467-9620.2004.00328.x</w:t>
        </w:r>
      </w:hyperlink>
      <w:r w:rsidRPr="00325B9F">
        <w:rPr>
          <w:rFonts w:ascii="Arial" w:hAnsi="Arial" w:cs="Arial"/>
          <w:sz w:val="22"/>
          <w:szCs w:val="22"/>
        </w:rPr>
        <w:t>.</w:t>
      </w:r>
    </w:p>
    <w:p w14:paraId="5AEF013E" w14:textId="77777777" w:rsidR="00103121" w:rsidRPr="00325B9F" w:rsidRDefault="00103121" w:rsidP="00325B9F">
      <w:pPr>
        <w:spacing w:line="360" w:lineRule="auto"/>
        <w:rPr>
          <w:rFonts w:ascii="Arial" w:hAnsi="Arial" w:cs="Arial"/>
          <w:sz w:val="22"/>
          <w:szCs w:val="22"/>
        </w:rPr>
      </w:pPr>
    </w:p>
    <w:p w14:paraId="77025817" w14:textId="1E0F9825" w:rsidR="00103121" w:rsidRDefault="00103121" w:rsidP="00325B9F">
      <w:pPr>
        <w:spacing w:line="360" w:lineRule="auto"/>
        <w:rPr>
          <w:rStyle w:val="Hyperlink"/>
          <w:rFonts w:ascii="Arial" w:hAnsi="Arial" w:cs="Arial"/>
          <w:sz w:val="22"/>
          <w:szCs w:val="22"/>
        </w:rPr>
      </w:pPr>
      <w:proofErr w:type="spellStart"/>
      <w:r w:rsidRPr="00325B9F">
        <w:rPr>
          <w:rFonts w:ascii="Arial" w:hAnsi="Arial" w:cs="Arial"/>
          <w:sz w:val="22"/>
          <w:szCs w:val="22"/>
        </w:rPr>
        <w:t>Opdenakker</w:t>
      </w:r>
      <w:proofErr w:type="spellEnd"/>
      <w:r w:rsidRPr="00325B9F">
        <w:rPr>
          <w:rFonts w:ascii="Arial" w:hAnsi="Arial" w:cs="Arial"/>
          <w:sz w:val="22"/>
          <w:szCs w:val="22"/>
        </w:rPr>
        <w:t>, R. (2006). Advantages and Disadvantages of Four Interview Techniques in Qualitative Research. </w:t>
      </w:r>
      <w:r w:rsidRPr="00325B9F">
        <w:rPr>
          <w:rFonts w:ascii="Arial" w:hAnsi="Arial" w:cs="Arial"/>
          <w:i/>
          <w:iCs/>
          <w:sz w:val="22"/>
          <w:szCs w:val="22"/>
        </w:rPr>
        <w:t>ProQuest</w:t>
      </w:r>
      <w:r w:rsidRPr="00325B9F">
        <w:rPr>
          <w:rFonts w:ascii="Arial" w:hAnsi="Arial" w:cs="Arial"/>
          <w:sz w:val="22"/>
          <w:szCs w:val="22"/>
        </w:rPr>
        <w:t xml:space="preserve">.  </w:t>
      </w:r>
      <w:hyperlink r:id="rId24" w:history="1">
        <w:r w:rsidRPr="00325B9F">
          <w:rPr>
            <w:rStyle w:val="Hyperlink"/>
            <w:rFonts w:ascii="Arial" w:hAnsi="Arial" w:cs="Arial"/>
            <w:sz w:val="22"/>
            <w:szCs w:val="22"/>
          </w:rPr>
          <w:t>https://www.proquest.com/docview/869232974?pq-origsite=gscholar&amp;fromopenview=true&amp;sourcetype=Scholarly%20Journals</w:t>
        </w:r>
      </w:hyperlink>
    </w:p>
    <w:p w14:paraId="574C7724" w14:textId="77777777" w:rsidR="00103121" w:rsidRPr="00325B9F" w:rsidRDefault="00103121" w:rsidP="00325B9F">
      <w:pPr>
        <w:spacing w:line="360" w:lineRule="auto"/>
        <w:rPr>
          <w:rFonts w:ascii="Arial" w:hAnsi="Arial" w:cs="Arial"/>
          <w:sz w:val="22"/>
          <w:szCs w:val="22"/>
        </w:rPr>
      </w:pPr>
    </w:p>
    <w:p w14:paraId="2FFA5B20" w14:textId="2B8386A8" w:rsidR="00103121" w:rsidRDefault="00103121" w:rsidP="00325B9F">
      <w:pPr>
        <w:spacing w:line="360" w:lineRule="auto"/>
        <w:rPr>
          <w:rFonts w:ascii="Arial" w:hAnsi="Arial" w:cs="Arial"/>
          <w:sz w:val="22"/>
          <w:szCs w:val="22"/>
        </w:rPr>
      </w:pPr>
      <w:proofErr w:type="spellStart"/>
      <w:r w:rsidRPr="00325B9F">
        <w:rPr>
          <w:rFonts w:ascii="Arial" w:hAnsi="Arial" w:cs="Arial"/>
          <w:sz w:val="22"/>
          <w:szCs w:val="22"/>
        </w:rPr>
        <w:t>Ortlieb</w:t>
      </w:r>
      <w:proofErr w:type="spellEnd"/>
      <w:r w:rsidRPr="00325B9F">
        <w:rPr>
          <w:rFonts w:ascii="Arial" w:hAnsi="Arial" w:cs="Arial"/>
          <w:sz w:val="22"/>
          <w:szCs w:val="22"/>
        </w:rPr>
        <w:t>, E. and Bowden, R. (2012). </w:t>
      </w:r>
      <w:r w:rsidRPr="00325B9F">
        <w:rPr>
          <w:rFonts w:ascii="Arial" w:hAnsi="Arial" w:cs="Arial"/>
          <w:i/>
          <w:iCs/>
          <w:sz w:val="22"/>
          <w:szCs w:val="22"/>
        </w:rPr>
        <w:t>Educational Research and Innovations</w:t>
      </w:r>
      <w:r w:rsidRPr="00325B9F">
        <w:rPr>
          <w:rFonts w:ascii="Arial" w:hAnsi="Arial" w:cs="Arial"/>
          <w:sz w:val="22"/>
          <w:szCs w:val="22"/>
        </w:rPr>
        <w:t>.</w:t>
      </w:r>
    </w:p>
    <w:p w14:paraId="6FD1A80E" w14:textId="77777777" w:rsidR="00103121" w:rsidRPr="00325B9F" w:rsidRDefault="00103121" w:rsidP="00325B9F">
      <w:pPr>
        <w:spacing w:line="360" w:lineRule="auto"/>
        <w:rPr>
          <w:rFonts w:ascii="Arial" w:hAnsi="Arial" w:cs="Arial"/>
          <w:sz w:val="22"/>
          <w:szCs w:val="22"/>
        </w:rPr>
      </w:pPr>
    </w:p>
    <w:p w14:paraId="32869C57" w14:textId="592916CC" w:rsidR="00103121" w:rsidRDefault="00103121" w:rsidP="00325B9F">
      <w:pPr>
        <w:spacing w:line="360" w:lineRule="auto"/>
        <w:rPr>
          <w:rFonts w:ascii="Arial" w:hAnsi="Arial" w:cs="Arial"/>
          <w:sz w:val="22"/>
          <w:szCs w:val="22"/>
        </w:rPr>
      </w:pPr>
      <w:r w:rsidRPr="00325B9F">
        <w:rPr>
          <w:rFonts w:ascii="Arial" w:hAnsi="Arial" w:cs="Arial"/>
          <w:sz w:val="22"/>
          <w:szCs w:val="22"/>
        </w:rPr>
        <w:t>Patten, M.L. (2017). </w:t>
      </w:r>
      <w:r w:rsidRPr="00325B9F">
        <w:rPr>
          <w:rFonts w:ascii="Arial" w:hAnsi="Arial" w:cs="Arial"/>
          <w:i/>
          <w:iCs/>
          <w:sz w:val="22"/>
          <w:szCs w:val="22"/>
        </w:rPr>
        <w:t xml:space="preserve">Questionnaire </w:t>
      </w:r>
      <w:proofErr w:type="gramStart"/>
      <w:r w:rsidRPr="00325B9F">
        <w:rPr>
          <w:rFonts w:ascii="Arial" w:hAnsi="Arial" w:cs="Arial"/>
          <w:i/>
          <w:iCs/>
          <w:sz w:val="22"/>
          <w:szCs w:val="22"/>
        </w:rPr>
        <w:t>research :</w:t>
      </w:r>
      <w:proofErr w:type="gramEnd"/>
      <w:r w:rsidRPr="00325B9F">
        <w:rPr>
          <w:rFonts w:ascii="Arial" w:hAnsi="Arial" w:cs="Arial"/>
          <w:i/>
          <w:iCs/>
          <w:sz w:val="22"/>
          <w:szCs w:val="22"/>
        </w:rPr>
        <w:t xml:space="preserve"> A practical guide</w:t>
      </w:r>
      <w:r w:rsidRPr="00325B9F">
        <w:rPr>
          <w:rFonts w:ascii="Arial" w:hAnsi="Arial" w:cs="Arial"/>
          <w:sz w:val="22"/>
          <w:szCs w:val="22"/>
        </w:rPr>
        <w:t xml:space="preserve">. 4th ed. Glendale, Ca: </w:t>
      </w:r>
      <w:proofErr w:type="spellStart"/>
      <w:r w:rsidRPr="00325B9F">
        <w:rPr>
          <w:rFonts w:ascii="Arial" w:hAnsi="Arial" w:cs="Arial"/>
          <w:sz w:val="22"/>
          <w:szCs w:val="22"/>
        </w:rPr>
        <w:t>Pyrczak</w:t>
      </w:r>
      <w:proofErr w:type="spellEnd"/>
      <w:r w:rsidRPr="00325B9F">
        <w:rPr>
          <w:rFonts w:ascii="Arial" w:hAnsi="Arial" w:cs="Arial"/>
          <w:sz w:val="22"/>
          <w:szCs w:val="22"/>
        </w:rPr>
        <w:t xml:space="preserve"> Publishing.</w:t>
      </w:r>
    </w:p>
    <w:p w14:paraId="185C77BD" w14:textId="77777777" w:rsidR="00103121" w:rsidRPr="00325B9F" w:rsidRDefault="00103121" w:rsidP="00325B9F">
      <w:pPr>
        <w:spacing w:line="360" w:lineRule="auto"/>
        <w:rPr>
          <w:rFonts w:ascii="Arial" w:hAnsi="Arial" w:cs="Arial"/>
          <w:sz w:val="22"/>
          <w:szCs w:val="22"/>
        </w:rPr>
      </w:pPr>
    </w:p>
    <w:p w14:paraId="7928E511" w14:textId="77777777" w:rsidR="00CF280C" w:rsidRPr="00325B9F" w:rsidRDefault="00103121" w:rsidP="00CF280C">
      <w:pPr>
        <w:spacing w:line="360" w:lineRule="auto"/>
        <w:rPr>
          <w:rFonts w:ascii="Arial" w:hAnsi="Arial" w:cs="Arial"/>
          <w:sz w:val="22"/>
          <w:szCs w:val="22"/>
        </w:rPr>
      </w:pPr>
      <w:r w:rsidRPr="00103121">
        <w:rPr>
          <w:rFonts w:ascii="Arial" w:hAnsi="Arial" w:cs="Arial"/>
          <w:sz w:val="22"/>
          <w:szCs w:val="22"/>
        </w:rPr>
        <w:t>Richards, G. a Richardson, R. (2019). </w:t>
      </w:r>
      <w:r w:rsidRPr="00103121">
        <w:rPr>
          <w:rFonts w:ascii="Arial" w:hAnsi="Arial" w:cs="Arial"/>
          <w:i/>
          <w:iCs/>
          <w:sz w:val="22"/>
          <w:szCs w:val="22"/>
        </w:rPr>
        <w:t>Reducing Teachers’ Marking Workload and Developing Pupils’ Learning: How to Create More Impact with Less Marking</w:t>
      </w:r>
      <w:r w:rsidRPr="00103121">
        <w:rPr>
          <w:rFonts w:ascii="Arial" w:hAnsi="Arial" w:cs="Arial"/>
          <w:sz w:val="22"/>
          <w:szCs w:val="22"/>
        </w:rPr>
        <w:t>. </w:t>
      </w:r>
      <w:r w:rsidRPr="00103121">
        <w:rPr>
          <w:rFonts w:ascii="Arial" w:hAnsi="Arial" w:cs="Arial"/>
          <w:i/>
          <w:iCs/>
          <w:sz w:val="22"/>
          <w:szCs w:val="22"/>
        </w:rPr>
        <w:t>Google Books</w:t>
      </w:r>
      <w:r w:rsidRPr="00103121">
        <w:rPr>
          <w:rFonts w:ascii="Arial" w:hAnsi="Arial" w:cs="Arial"/>
          <w:sz w:val="22"/>
          <w:szCs w:val="22"/>
        </w:rPr>
        <w:t>. Routledge</w:t>
      </w:r>
      <w:r w:rsidR="00CF280C">
        <w:rPr>
          <w:rFonts w:ascii="Arial" w:hAnsi="Arial" w:cs="Arial"/>
          <w:sz w:val="22"/>
          <w:szCs w:val="22"/>
        </w:rPr>
        <w:t xml:space="preserve"> </w:t>
      </w:r>
    </w:p>
    <w:p w14:paraId="30E8C8D8" w14:textId="77777777" w:rsidR="00CF280C" w:rsidRDefault="00CF280C" w:rsidP="00CF280C">
      <w:pPr>
        <w:spacing w:line="360" w:lineRule="auto"/>
        <w:rPr>
          <w:rFonts w:ascii="Arial" w:hAnsi="Arial" w:cs="Arial"/>
          <w:sz w:val="22"/>
          <w:szCs w:val="22"/>
        </w:rPr>
      </w:pPr>
      <w:hyperlink r:id="rId25" w:history="1">
        <w:r w:rsidRPr="00BF6B8C">
          <w:rPr>
            <w:rStyle w:val="Hyperlink"/>
            <w:rFonts w:ascii="Arial" w:hAnsi="Arial" w:cs="Arial"/>
            <w:sz w:val="22"/>
            <w:szCs w:val="22"/>
          </w:rPr>
          <w:t>https://books.google.co.uk/books?hl=en&amp;lr=&amp;id=V3zADwAAQBAJ&amp;oi=fnd&amp;pg=PT6&amp;dq=how+efficient+is+live+marking+in+classroom&amp;ots=Pk6dagWYqw&amp;sig=TW_LHDPbNEGyass4daqqiYo8gDY&amp;redir_esc=y#v=onepage&amp;q=how%20efficient%20is%20live%20marking%20in%20classroom&amp;f=false</w:t>
        </w:r>
      </w:hyperlink>
    </w:p>
    <w:p w14:paraId="7128748B" w14:textId="6D6DD01F" w:rsidR="00103121" w:rsidRDefault="00103121" w:rsidP="00325B9F">
      <w:pPr>
        <w:spacing w:line="360" w:lineRule="auto"/>
        <w:rPr>
          <w:rFonts w:ascii="Arial" w:hAnsi="Arial" w:cs="Arial"/>
          <w:sz w:val="22"/>
          <w:szCs w:val="22"/>
        </w:rPr>
      </w:pPr>
    </w:p>
    <w:p w14:paraId="3E853F8D" w14:textId="77777777" w:rsidR="00103121" w:rsidRDefault="00103121" w:rsidP="00325B9F">
      <w:pPr>
        <w:spacing w:line="360" w:lineRule="auto"/>
        <w:rPr>
          <w:rFonts w:ascii="Arial" w:hAnsi="Arial" w:cs="Arial"/>
          <w:sz w:val="22"/>
          <w:szCs w:val="22"/>
        </w:rPr>
      </w:pPr>
    </w:p>
    <w:p w14:paraId="380BE884" w14:textId="18E3CAA8" w:rsidR="00103121" w:rsidRDefault="00103121" w:rsidP="00325B9F">
      <w:pPr>
        <w:spacing w:line="360" w:lineRule="auto"/>
        <w:rPr>
          <w:rStyle w:val="Hyperlink"/>
          <w:rFonts w:ascii="Arial" w:hAnsi="Arial" w:cs="Arial"/>
          <w:sz w:val="22"/>
          <w:szCs w:val="22"/>
        </w:rPr>
      </w:pPr>
      <w:r w:rsidRPr="00325B9F">
        <w:rPr>
          <w:rFonts w:ascii="Arial" w:hAnsi="Arial" w:cs="Arial"/>
          <w:sz w:val="22"/>
          <w:szCs w:val="22"/>
        </w:rPr>
        <w:t>rosa (</w:t>
      </w:r>
      <w:proofErr w:type="spellStart"/>
      <w:r w:rsidRPr="00325B9F">
        <w:rPr>
          <w:rFonts w:ascii="Arial" w:hAnsi="Arial" w:cs="Arial"/>
          <w:sz w:val="22"/>
          <w:szCs w:val="22"/>
        </w:rPr>
        <w:t>d.d.</w:t>
      </w:r>
      <w:proofErr w:type="spellEnd"/>
      <w:r w:rsidRPr="00325B9F">
        <w:rPr>
          <w:rFonts w:ascii="Arial" w:hAnsi="Arial" w:cs="Arial"/>
          <w:sz w:val="22"/>
          <w:szCs w:val="22"/>
        </w:rPr>
        <w:t>). </w:t>
      </w:r>
      <w:r w:rsidRPr="00325B9F">
        <w:rPr>
          <w:rFonts w:ascii="Arial" w:hAnsi="Arial" w:cs="Arial"/>
          <w:i/>
          <w:iCs/>
          <w:sz w:val="22"/>
          <w:szCs w:val="22"/>
        </w:rPr>
        <w:t>Adapting Assessments for Students with Special Needs</w:t>
      </w:r>
      <w:r w:rsidRPr="00325B9F">
        <w:rPr>
          <w:rFonts w:ascii="Arial" w:hAnsi="Arial" w:cs="Arial"/>
          <w:sz w:val="22"/>
          <w:szCs w:val="22"/>
        </w:rPr>
        <w:t xml:space="preserve">.  </w:t>
      </w:r>
      <w:hyperlink r:id="rId26" w:history="1">
        <w:r w:rsidRPr="00325B9F">
          <w:rPr>
            <w:rStyle w:val="Hyperlink"/>
            <w:rFonts w:ascii="Arial" w:hAnsi="Arial" w:cs="Arial"/>
            <w:sz w:val="22"/>
            <w:szCs w:val="22"/>
          </w:rPr>
          <w:t>https://allchildrenlearning.org/assessment-topics/adapting/adapting-assessments-for-students-with-special-needs/</w:t>
        </w:r>
      </w:hyperlink>
    </w:p>
    <w:p w14:paraId="75E25EFA" w14:textId="77777777" w:rsidR="00103121" w:rsidRDefault="00103121" w:rsidP="00325B9F">
      <w:pPr>
        <w:spacing w:line="360" w:lineRule="auto"/>
        <w:rPr>
          <w:rStyle w:val="Hyperlink"/>
          <w:rFonts w:ascii="Arial" w:hAnsi="Arial" w:cs="Arial"/>
          <w:sz w:val="22"/>
          <w:szCs w:val="22"/>
        </w:rPr>
      </w:pPr>
    </w:p>
    <w:p w14:paraId="3BE3D8B6" w14:textId="086295C2" w:rsidR="00103121" w:rsidRDefault="00103121" w:rsidP="00325B9F">
      <w:pPr>
        <w:spacing w:line="360" w:lineRule="auto"/>
        <w:rPr>
          <w:rFonts w:ascii="Arial" w:hAnsi="Arial" w:cs="Arial"/>
          <w:sz w:val="22"/>
          <w:szCs w:val="22"/>
        </w:rPr>
      </w:pPr>
      <w:r w:rsidRPr="00325B9F">
        <w:rPr>
          <w:rFonts w:ascii="Arial" w:hAnsi="Arial" w:cs="Arial"/>
          <w:sz w:val="22"/>
          <w:szCs w:val="22"/>
        </w:rPr>
        <w:t xml:space="preserve">Rowe, M.B. (1986). Wait Time: Slowing Down May Be </w:t>
      </w:r>
      <w:proofErr w:type="gramStart"/>
      <w:r w:rsidRPr="00325B9F">
        <w:rPr>
          <w:rFonts w:ascii="Arial" w:hAnsi="Arial" w:cs="Arial"/>
          <w:sz w:val="22"/>
          <w:szCs w:val="22"/>
        </w:rPr>
        <w:t>A</w:t>
      </w:r>
      <w:proofErr w:type="gramEnd"/>
      <w:r w:rsidRPr="00325B9F">
        <w:rPr>
          <w:rFonts w:ascii="Arial" w:hAnsi="Arial" w:cs="Arial"/>
          <w:sz w:val="22"/>
          <w:szCs w:val="22"/>
        </w:rPr>
        <w:t xml:space="preserve"> Way of Speeding Up! </w:t>
      </w:r>
      <w:r w:rsidRPr="00325B9F">
        <w:rPr>
          <w:rFonts w:ascii="Arial" w:hAnsi="Arial" w:cs="Arial"/>
          <w:i/>
          <w:iCs/>
          <w:sz w:val="22"/>
          <w:szCs w:val="22"/>
        </w:rPr>
        <w:t>Journal of Teacher Education</w:t>
      </w:r>
      <w:r w:rsidRPr="00325B9F">
        <w:rPr>
          <w:rFonts w:ascii="Arial" w:hAnsi="Arial" w:cs="Arial"/>
          <w:sz w:val="22"/>
          <w:szCs w:val="22"/>
        </w:rPr>
        <w:t xml:space="preserve">, 37(1). </w:t>
      </w:r>
      <w:hyperlink r:id="rId27" w:history="1">
        <w:r w:rsidRPr="00325B9F">
          <w:rPr>
            <w:rStyle w:val="Hyperlink"/>
            <w:rFonts w:ascii="Arial" w:hAnsi="Arial" w:cs="Arial"/>
            <w:sz w:val="22"/>
            <w:szCs w:val="22"/>
          </w:rPr>
          <w:t>https://doi.org/10.1177/002248718603700110</w:t>
        </w:r>
      </w:hyperlink>
      <w:r w:rsidRPr="00325B9F">
        <w:rPr>
          <w:rFonts w:ascii="Arial" w:hAnsi="Arial" w:cs="Arial"/>
          <w:sz w:val="22"/>
          <w:szCs w:val="22"/>
        </w:rPr>
        <w:t>.</w:t>
      </w:r>
    </w:p>
    <w:p w14:paraId="4917ED8C" w14:textId="77777777" w:rsidR="00103121" w:rsidRPr="00325B9F" w:rsidRDefault="00103121" w:rsidP="00325B9F">
      <w:pPr>
        <w:spacing w:line="360" w:lineRule="auto"/>
        <w:rPr>
          <w:rFonts w:ascii="Arial" w:hAnsi="Arial" w:cs="Arial"/>
          <w:sz w:val="22"/>
          <w:szCs w:val="22"/>
        </w:rPr>
      </w:pPr>
    </w:p>
    <w:p w14:paraId="2EFD7FE8" w14:textId="3600E4EF" w:rsidR="00103121" w:rsidRDefault="00103121" w:rsidP="00325B9F">
      <w:pPr>
        <w:spacing w:line="360" w:lineRule="auto"/>
        <w:rPr>
          <w:rFonts w:ascii="Arial" w:hAnsi="Arial" w:cs="Arial"/>
          <w:sz w:val="22"/>
          <w:szCs w:val="22"/>
        </w:rPr>
      </w:pPr>
      <w:r w:rsidRPr="00325B9F">
        <w:rPr>
          <w:rFonts w:ascii="Arial" w:hAnsi="Arial" w:cs="Arial"/>
          <w:sz w:val="22"/>
          <w:szCs w:val="22"/>
        </w:rPr>
        <w:t>Sadler, D.R. (1989). Formative assessment and the design of instructional systems. </w:t>
      </w:r>
      <w:r w:rsidRPr="00325B9F">
        <w:rPr>
          <w:rFonts w:ascii="Arial" w:hAnsi="Arial" w:cs="Arial"/>
          <w:i/>
          <w:iCs/>
          <w:sz w:val="22"/>
          <w:szCs w:val="22"/>
        </w:rPr>
        <w:t>Instructional Science</w:t>
      </w:r>
      <w:r w:rsidRPr="00325B9F">
        <w:rPr>
          <w:rFonts w:ascii="Arial" w:hAnsi="Arial" w:cs="Arial"/>
          <w:sz w:val="22"/>
          <w:szCs w:val="22"/>
        </w:rPr>
        <w:t>, 18(2), pp.119–144.</w:t>
      </w:r>
    </w:p>
    <w:p w14:paraId="5B5B6CD4" w14:textId="77777777" w:rsidR="00103121" w:rsidRPr="00325B9F" w:rsidRDefault="00103121" w:rsidP="00325B9F">
      <w:pPr>
        <w:spacing w:line="360" w:lineRule="auto"/>
        <w:rPr>
          <w:rFonts w:ascii="Arial" w:hAnsi="Arial" w:cs="Arial"/>
          <w:sz w:val="22"/>
          <w:szCs w:val="22"/>
        </w:rPr>
      </w:pPr>
    </w:p>
    <w:p w14:paraId="4E20AD30" w14:textId="5D6AF035" w:rsidR="00103121" w:rsidRDefault="00103121" w:rsidP="00325B9F">
      <w:pPr>
        <w:spacing w:line="360" w:lineRule="auto"/>
        <w:rPr>
          <w:rFonts w:ascii="Arial" w:hAnsi="Arial" w:cs="Arial"/>
          <w:sz w:val="22"/>
          <w:szCs w:val="22"/>
        </w:rPr>
      </w:pPr>
      <w:r w:rsidRPr="00325B9F">
        <w:rPr>
          <w:rFonts w:ascii="Arial" w:hAnsi="Arial" w:cs="Arial"/>
          <w:sz w:val="22"/>
          <w:szCs w:val="22"/>
        </w:rPr>
        <w:t>Sedgwick, P. and Greenwood, N. (2015). Understanding the Hawthorne effect. </w:t>
      </w:r>
    </w:p>
    <w:p w14:paraId="6A8E105F" w14:textId="77777777" w:rsidR="00103121" w:rsidRPr="00325B9F" w:rsidRDefault="00103121" w:rsidP="00325B9F">
      <w:pPr>
        <w:spacing w:line="360" w:lineRule="auto"/>
        <w:rPr>
          <w:rFonts w:ascii="Arial" w:hAnsi="Arial" w:cs="Arial"/>
          <w:sz w:val="22"/>
          <w:szCs w:val="22"/>
        </w:rPr>
      </w:pPr>
    </w:p>
    <w:p w14:paraId="56A0F655" w14:textId="6716F4A9" w:rsidR="00103121" w:rsidRDefault="00103121" w:rsidP="00325B9F">
      <w:pPr>
        <w:spacing w:line="360" w:lineRule="auto"/>
        <w:rPr>
          <w:rFonts w:ascii="Arial" w:hAnsi="Arial" w:cs="Arial"/>
          <w:sz w:val="22"/>
          <w:szCs w:val="22"/>
        </w:rPr>
      </w:pPr>
      <w:r w:rsidRPr="00325B9F">
        <w:rPr>
          <w:rFonts w:ascii="Arial" w:hAnsi="Arial" w:cs="Arial"/>
          <w:sz w:val="22"/>
          <w:szCs w:val="22"/>
        </w:rPr>
        <w:t>Thomas, G. (2017). </w:t>
      </w:r>
      <w:r w:rsidRPr="00325B9F">
        <w:rPr>
          <w:rFonts w:ascii="Arial" w:hAnsi="Arial" w:cs="Arial"/>
          <w:i/>
          <w:iCs/>
          <w:sz w:val="22"/>
          <w:szCs w:val="22"/>
        </w:rPr>
        <w:t>How to do your research project - a guide for students.</w:t>
      </w:r>
      <w:r w:rsidRPr="00325B9F">
        <w:rPr>
          <w:rFonts w:ascii="Arial" w:hAnsi="Arial" w:cs="Arial"/>
          <w:sz w:val="22"/>
          <w:szCs w:val="22"/>
        </w:rPr>
        <w:t> 3rd ed. London: Sage Publications Ltd.</w:t>
      </w:r>
    </w:p>
    <w:p w14:paraId="76B4E3AA" w14:textId="77777777" w:rsidR="00103121" w:rsidRPr="00325B9F" w:rsidRDefault="00103121" w:rsidP="00325B9F">
      <w:pPr>
        <w:spacing w:line="360" w:lineRule="auto"/>
        <w:rPr>
          <w:rFonts w:ascii="Arial" w:hAnsi="Arial" w:cs="Arial"/>
          <w:sz w:val="22"/>
          <w:szCs w:val="22"/>
        </w:rPr>
      </w:pPr>
    </w:p>
    <w:p w14:paraId="78170A4B" w14:textId="77777777" w:rsidR="00103121" w:rsidRPr="00325B9F" w:rsidRDefault="00103121" w:rsidP="00325B9F">
      <w:pPr>
        <w:spacing w:line="360" w:lineRule="auto"/>
        <w:rPr>
          <w:rFonts w:ascii="Arial" w:hAnsi="Arial" w:cs="Arial"/>
          <w:sz w:val="22"/>
          <w:szCs w:val="22"/>
        </w:rPr>
      </w:pPr>
      <w:r w:rsidRPr="00325B9F">
        <w:rPr>
          <w:rFonts w:ascii="Arial" w:hAnsi="Arial" w:cs="Arial"/>
          <w:sz w:val="22"/>
          <w:szCs w:val="22"/>
        </w:rPr>
        <w:t>Wilson, L.O. (2016). </w:t>
      </w:r>
      <w:r w:rsidRPr="00325B9F">
        <w:rPr>
          <w:rFonts w:ascii="Arial" w:hAnsi="Arial" w:cs="Arial"/>
          <w:i/>
          <w:iCs/>
          <w:sz w:val="22"/>
          <w:szCs w:val="22"/>
        </w:rPr>
        <w:t>Anderson and Krathwohl bloom’s Taxonomy Revised Understanding the New Version of bloom’s Taxonomy a Succinct Discussion of the Revisions to bloom’s Classic Cognitive Taxonomy by Anderson and Krathwohl and How to Use Them Effectively Background</w:t>
      </w:r>
      <w:r w:rsidRPr="00325B9F">
        <w:rPr>
          <w:rFonts w:ascii="Arial" w:hAnsi="Arial" w:cs="Arial"/>
          <w:sz w:val="22"/>
          <w:szCs w:val="22"/>
        </w:rPr>
        <w:t>.</w:t>
      </w:r>
    </w:p>
    <w:p w14:paraId="70587C1E" w14:textId="77777777" w:rsidR="00103121" w:rsidRPr="00325B9F" w:rsidRDefault="00103121" w:rsidP="00325B9F">
      <w:pPr>
        <w:spacing w:line="360" w:lineRule="auto"/>
        <w:rPr>
          <w:rFonts w:ascii="Arial" w:hAnsi="Arial" w:cs="Arial"/>
          <w:sz w:val="22"/>
          <w:szCs w:val="22"/>
        </w:rPr>
      </w:pPr>
    </w:p>
    <w:p w14:paraId="5A01E808" w14:textId="77777777" w:rsidR="00901F34" w:rsidRPr="00325B9F" w:rsidRDefault="00901F34" w:rsidP="00325B9F">
      <w:pPr>
        <w:pStyle w:val="NormalWeb"/>
        <w:spacing w:line="360" w:lineRule="auto"/>
        <w:rPr>
          <w:rFonts w:ascii="Arial" w:hAnsi="Arial" w:cs="Arial"/>
          <w:sz w:val="22"/>
          <w:szCs w:val="22"/>
          <w:lang w:val="cy-GB"/>
        </w:rPr>
      </w:pPr>
    </w:p>
    <w:p w14:paraId="36BB42FE" w14:textId="4905E097" w:rsidR="00D85005" w:rsidRPr="00325B9F" w:rsidRDefault="00D85005" w:rsidP="00325B9F">
      <w:pPr>
        <w:pStyle w:val="NormalWeb"/>
        <w:spacing w:line="360" w:lineRule="auto"/>
        <w:rPr>
          <w:rFonts w:ascii="Arial" w:hAnsi="Arial" w:cs="Arial"/>
          <w:color w:val="212121"/>
          <w:sz w:val="22"/>
          <w:szCs w:val="22"/>
        </w:rPr>
      </w:pPr>
    </w:p>
    <w:p w14:paraId="0185E44A" w14:textId="77777777" w:rsidR="00D85005" w:rsidRPr="00325B9F" w:rsidRDefault="00D85005" w:rsidP="00325B9F">
      <w:pPr>
        <w:pStyle w:val="NormalWeb"/>
        <w:spacing w:line="360" w:lineRule="auto"/>
        <w:rPr>
          <w:rFonts w:ascii="Arial" w:hAnsi="Arial" w:cs="Arial"/>
          <w:color w:val="212121"/>
          <w:sz w:val="22"/>
          <w:szCs w:val="22"/>
        </w:rPr>
      </w:pPr>
    </w:p>
    <w:p w14:paraId="6E7C41AD" w14:textId="2FF07A51" w:rsidR="00C54566" w:rsidRPr="00325B9F" w:rsidRDefault="00C54566" w:rsidP="00325B9F">
      <w:pPr>
        <w:pStyle w:val="NormalWeb"/>
        <w:spacing w:line="360" w:lineRule="auto"/>
        <w:rPr>
          <w:rFonts w:ascii="Arial" w:hAnsi="Arial" w:cs="Arial"/>
          <w:color w:val="212121"/>
          <w:sz w:val="22"/>
          <w:szCs w:val="22"/>
        </w:rPr>
      </w:pPr>
    </w:p>
    <w:p w14:paraId="3A93A1C2" w14:textId="77777777" w:rsidR="003E45D7" w:rsidRPr="00103121" w:rsidRDefault="00000000" w:rsidP="00325B9F">
      <w:pPr>
        <w:spacing w:line="360" w:lineRule="auto"/>
        <w:rPr>
          <w:rFonts w:ascii="Arial" w:hAnsi="Arial" w:cs="Arial"/>
          <w:b/>
          <w:bCs/>
          <w:sz w:val="22"/>
          <w:szCs w:val="22"/>
        </w:rPr>
      </w:pPr>
    </w:p>
    <w:sectPr w:rsidR="003E45D7" w:rsidRPr="00103121" w:rsidSect="00910E90">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F1678EC"/>
    <w:multiLevelType w:val="hybridMultilevel"/>
    <w:tmpl w:val="5B08AC9A"/>
    <w:lvl w:ilvl="0" w:tplc="08090011">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84999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2B38"/>
    <w:rsid w:val="000124DE"/>
    <w:rsid w:val="0001499B"/>
    <w:rsid w:val="00024D5C"/>
    <w:rsid w:val="00032B0E"/>
    <w:rsid w:val="0007458E"/>
    <w:rsid w:val="00086357"/>
    <w:rsid w:val="000A11C1"/>
    <w:rsid w:val="000B7284"/>
    <w:rsid w:val="000C339D"/>
    <w:rsid w:val="000F1A67"/>
    <w:rsid w:val="000F5735"/>
    <w:rsid w:val="000F7510"/>
    <w:rsid w:val="00100F1F"/>
    <w:rsid w:val="00103121"/>
    <w:rsid w:val="00112283"/>
    <w:rsid w:val="001329EC"/>
    <w:rsid w:val="00133326"/>
    <w:rsid w:val="00193806"/>
    <w:rsid w:val="001E1E22"/>
    <w:rsid w:val="001E6DA8"/>
    <w:rsid w:val="00217F5F"/>
    <w:rsid w:val="00287FBC"/>
    <w:rsid w:val="002E2440"/>
    <w:rsid w:val="002E5480"/>
    <w:rsid w:val="002E7B89"/>
    <w:rsid w:val="00307F8F"/>
    <w:rsid w:val="0031534F"/>
    <w:rsid w:val="00321988"/>
    <w:rsid w:val="00325B9F"/>
    <w:rsid w:val="00336447"/>
    <w:rsid w:val="00345A77"/>
    <w:rsid w:val="003513AF"/>
    <w:rsid w:val="00365519"/>
    <w:rsid w:val="003C7FF1"/>
    <w:rsid w:val="003E72F2"/>
    <w:rsid w:val="003E7781"/>
    <w:rsid w:val="003F268E"/>
    <w:rsid w:val="00412E44"/>
    <w:rsid w:val="00420CF1"/>
    <w:rsid w:val="0047029F"/>
    <w:rsid w:val="00481CC0"/>
    <w:rsid w:val="00485132"/>
    <w:rsid w:val="004B0384"/>
    <w:rsid w:val="004C2B82"/>
    <w:rsid w:val="0054277D"/>
    <w:rsid w:val="00551E06"/>
    <w:rsid w:val="00556C42"/>
    <w:rsid w:val="00574F5E"/>
    <w:rsid w:val="00582EBD"/>
    <w:rsid w:val="005902F3"/>
    <w:rsid w:val="0059181F"/>
    <w:rsid w:val="005A771D"/>
    <w:rsid w:val="005C2756"/>
    <w:rsid w:val="00601755"/>
    <w:rsid w:val="006106E0"/>
    <w:rsid w:val="00615EB3"/>
    <w:rsid w:val="0062582E"/>
    <w:rsid w:val="006327F7"/>
    <w:rsid w:val="00633358"/>
    <w:rsid w:val="0064151F"/>
    <w:rsid w:val="006B0878"/>
    <w:rsid w:val="006C2760"/>
    <w:rsid w:val="006D382F"/>
    <w:rsid w:val="006F2A0A"/>
    <w:rsid w:val="00710CA4"/>
    <w:rsid w:val="00746D6E"/>
    <w:rsid w:val="007939E6"/>
    <w:rsid w:val="007F3111"/>
    <w:rsid w:val="007F6866"/>
    <w:rsid w:val="00802456"/>
    <w:rsid w:val="00822382"/>
    <w:rsid w:val="008550E5"/>
    <w:rsid w:val="00857261"/>
    <w:rsid w:val="008733FA"/>
    <w:rsid w:val="0088175C"/>
    <w:rsid w:val="008A6EC6"/>
    <w:rsid w:val="008B3979"/>
    <w:rsid w:val="008B3A2A"/>
    <w:rsid w:val="008F737D"/>
    <w:rsid w:val="00901F34"/>
    <w:rsid w:val="00910E90"/>
    <w:rsid w:val="00932B38"/>
    <w:rsid w:val="00947A83"/>
    <w:rsid w:val="00952E93"/>
    <w:rsid w:val="009C4E79"/>
    <w:rsid w:val="009C61B0"/>
    <w:rsid w:val="009E27FA"/>
    <w:rsid w:val="009F692B"/>
    <w:rsid w:val="00A014EB"/>
    <w:rsid w:val="00A25039"/>
    <w:rsid w:val="00A320F9"/>
    <w:rsid w:val="00A70C9C"/>
    <w:rsid w:val="00A85A9D"/>
    <w:rsid w:val="00AB096F"/>
    <w:rsid w:val="00AB26BA"/>
    <w:rsid w:val="00AC514D"/>
    <w:rsid w:val="00AE01C6"/>
    <w:rsid w:val="00AE315F"/>
    <w:rsid w:val="00AF28C6"/>
    <w:rsid w:val="00B34115"/>
    <w:rsid w:val="00B356D5"/>
    <w:rsid w:val="00B42961"/>
    <w:rsid w:val="00B42EB6"/>
    <w:rsid w:val="00B52FA7"/>
    <w:rsid w:val="00B63781"/>
    <w:rsid w:val="00B9058E"/>
    <w:rsid w:val="00BC2139"/>
    <w:rsid w:val="00BE0D49"/>
    <w:rsid w:val="00BE6171"/>
    <w:rsid w:val="00BF1AA6"/>
    <w:rsid w:val="00BF6BAD"/>
    <w:rsid w:val="00C07BFE"/>
    <w:rsid w:val="00C356B9"/>
    <w:rsid w:val="00C54566"/>
    <w:rsid w:val="00C61D78"/>
    <w:rsid w:val="00C67E43"/>
    <w:rsid w:val="00CB476F"/>
    <w:rsid w:val="00CB665C"/>
    <w:rsid w:val="00CC015B"/>
    <w:rsid w:val="00CF280C"/>
    <w:rsid w:val="00D04C62"/>
    <w:rsid w:val="00D05A95"/>
    <w:rsid w:val="00D85005"/>
    <w:rsid w:val="00D923CC"/>
    <w:rsid w:val="00DB7639"/>
    <w:rsid w:val="00DC4E40"/>
    <w:rsid w:val="00DD74A9"/>
    <w:rsid w:val="00DE73BB"/>
    <w:rsid w:val="00DE7674"/>
    <w:rsid w:val="00DF652E"/>
    <w:rsid w:val="00E15EE1"/>
    <w:rsid w:val="00E16EFF"/>
    <w:rsid w:val="00E23D95"/>
    <w:rsid w:val="00EB76C4"/>
    <w:rsid w:val="00EC4286"/>
    <w:rsid w:val="00EC54C7"/>
    <w:rsid w:val="00EF3DBC"/>
    <w:rsid w:val="00F3639B"/>
    <w:rsid w:val="00F42C90"/>
    <w:rsid w:val="00F62FF9"/>
    <w:rsid w:val="00F64117"/>
    <w:rsid w:val="00F72B00"/>
    <w:rsid w:val="00F84490"/>
    <w:rsid w:val="00F96BE0"/>
    <w:rsid w:val="00FA72FF"/>
    <w:rsid w:val="00FC4B8F"/>
    <w:rsid w:val="00FD0595"/>
    <w:rsid w:val="00FD2D1C"/>
    <w:rsid w:val="00FE3D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98483BE"/>
  <w15:chartTrackingRefBased/>
  <w15:docId w15:val="{5EC93C23-F026-924E-9E2A-6FF8164B08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2B38"/>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E6171"/>
    <w:pPr>
      <w:ind w:left="720"/>
      <w:contextualSpacing/>
    </w:pPr>
  </w:style>
  <w:style w:type="character" w:styleId="Hyperlink">
    <w:name w:val="Hyperlink"/>
    <w:basedOn w:val="DefaultParagraphFont"/>
    <w:uiPriority w:val="99"/>
    <w:unhideWhenUsed/>
    <w:rsid w:val="00BE6171"/>
    <w:rPr>
      <w:color w:val="0563C1" w:themeColor="hyperlink"/>
      <w:u w:val="single"/>
    </w:rPr>
  </w:style>
  <w:style w:type="character" w:styleId="FollowedHyperlink">
    <w:name w:val="FollowedHyperlink"/>
    <w:basedOn w:val="DefaultParagraphFont"/>
    <w:uiPriority w:val="99"/>
    <w:semiHidden/>
    <w:unhideWhenUsed/>
    <w:rsid w:val="00BE6171"/>
    <w:rPr>
      <w:color w:val="954F72" w:themeColor="followedHyperlink"/>
      <w:u w:val="single"/>
    </w:rPr>
  </w:style>
  <w:style w:type="table" w:styleId="TableGrid">
    <w:name w:val="Table Grid"/>
    <w:basedOn w:val="TableNormal"/>
    <w:uiPriority w:val="39"/>
    <w:rsid w:val="00325B9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1031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6498782">
      <w:bodyDiv w:val="1"/>
      <w:marLeft w:val="0"/>
      <w:marRight w:val="0"/>
      <w:marTop w:val="0"/>
      <w:marBottom w:val="0"/>
      <w:divBdr>
        <w:top w:val="none" w:sz="0" w:space="0" w:color="auto"/>
        <w:left w:val="none" w:sz="0" w:space="0" w:color="auto"/>
        <w:bottom w:val="none" w:sz="0" w:space="0" w:color="auto"/>
        <w:right w:val="none" w:sz="0" w:space="0" w:color="auto"/>
      </w:divBdr>
      <w:divsChild>
        <w:div w:id="1281035779">
          <w:marLeft w:val="0"/>
          <w:marRight w:val="0"/>
          <w:marTop w:val="0"/>
          <w:marBottom w:val="0"/>
          <w:divBdr>
            <w:top w:val="none" w:sz="0" w:space="0" w:color="auto"/>
            <w:left w:val="none" w:sz="0" w:space="0" w:color="auto"/>
            <w:bottom w:val="none" w:sz="0" w:space="0" w:color="auto"/>
            <w:right w:val="none" w:sz="0" w:space="0" w:color="auto"/>
          </w:divBdr>
          <w:divsChild>
            <w:div w:id="1140270351">
              <w:marLeft w:val="0"/>
              <w:marRight w:val="0"/>
              <w:marTop w:val="0"/>
              <w:marBottom w:val="0"/>
              <w:divBdr>
                <w:top w:val="none" w:sz="0" w:space="0" w:color="auto"/>
                <w:left w:val="none" w:sz="0" w:space="0" w:color="auto"/>
                <w:bottom w:val="none" w:sz="0" w:space="0" w:color="auto"/>
                <w:right w:val="none" w:sz="0" w:space="0" w:color="auto"/>
              </w:divBdr>
              <w:divsChild>
                <w:div w:id="906916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1868195">
      <w:bodyDiv w:val="1"/>
      <w:marLeft w:val="0"/>
      <w:marRight w:val="0"/>
      <w:marTop w:val="0"/>
      <w:marBottom w:val="0"/>
      <w:divBdr>
        <w:top w:val="none" w:sz="0" w:space="0" w:color="auto"/>
        <w:left w:val="none" w:sz="0" w:space="0" w:color="auto"/>
        <w:bottom w:val="none" w:sz="0" w:space="0" w:color="auto"/>
        <w:right w:val="none" w:sz="0" w:space="0" w:color="auto"/>
      </w:divBdr>
      <w:divsChild>
        <w:div w:id="300699737">
          <w:marLeft w:val="0"/>
          <w:marRight w:val="0"/>
          <w:marTop w:val="0"/>
          <w:marBottom w:val="0"/>
          <w:divBdr>
            <w:top w:val="none" w:sz="0" w:space="0" w:color="auto"/>
            <w:left w:val="none" w:sz="0" w:space="0" w:color="auto"/>
            <w:bottom w:val="none" w:sz="0" w:space="0" w:color="auto"/>
            <w:right w:val="none" w:sz="0" w:space="0" w:color="auto"/>
          </w:divBdr>
          <w:divsChild>
            <w:div w:id="1907375085">
              <w:marLeft w:val="0"/>
              <w:marRight w:val="0"/>
              <w:marTop w:val="0"/>
              <w:marBottom w:val="0"/>
              <w:divBdr>
                <w:top w:val="none" w:sz="0" w:space="0" w:color="auto"/>
                <w:left w:val="none" w:sz="0" w:space="0" w:color="auto"/>
                <w:bottom w:val="none" w:sz="0" w:space="0" w:color="auto"/>
                <w:right w:val="none" w:sz="0" w:space="0" w:color="auto"/>
              </w:divBdr>
              <w:divsChild>
                <w:div w:id="1163818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0028746">
      <w:bodyDiv w:val="1"/>
      <w:marLeft w:val="0"/>
      <w:marRight w:val="0"/>
      <w:marTop w:val="0"/>
      <w:marBottom w:val="0"/>
      <w:divBdr>
        <w:top w:val="none" w:sz="0" w:space="0" w:color="auto"/>
        <w:left w:val="none" w:sz="0" w:space="0" w:color="auto"/>
        <w:bottom w:val="none" w:sz="0" w:space="0" w:color="auto"/>
        <w:right w:val="none" w:sz="0" w:space="0" w:color="auto"/>
      </w:divBdr>
      <w:divsChild>
        <w:div w:id="750659437">
          <w:marLeft w:val="0"/>
          <w:marRight w:val="0"/>
          <w:marTop w:val="0"/>
          <w:marBottom w:val="0"/>
          <w:divBdr>
            <w:top w:val="none" w:sz="0" w:space="0" w:color="auto"/>
            <w:left w:val="none" w:sz="0" w:space="0" w:color="auto"/>
            <w:bottom w:val="none" w:sz="0" w:space="0" w:color="auto"/>
            <w:right w:val="none" w:sz="0" w:space="0" w:color="auto"/>
          </w:divBdr>
          <w:divsChild>
            <w:div w:id="1387342208">
              <w:marLeft w:val="0"/>
              <w:marRight w:val="0"/>
              <w:marTop w:val="0"/>
              <w:marBottom w:val="0"/>
              <w:divBdr>
                <w:top w:val="none" w:sz="0" w:space="0" w:color="auto"/>
                <w:left w:val="none" w:sz="0" w:space="0" w:color="auto"/>
                <w:bottom w:val="none" w:sz="0" w:space="0" w:color="auto"/>
                <w:right w:val="none" w:sz="0" w:space="0" w:color="auto"/>
              </w:divBdr>
              <w:divsChild>
                <w:div w:id="105467638">
                  <w:marLeft w:val="0"/>
                  <w:marRight w:val="0"/>
                  <w:marTop w:val="0"/>
                  <w:marBottom w:val="0"/>
                  <w:divBdr>
                    <w:top w:val="none" w:sz="0" w:space="0" w:color="auto"/>
                    <w:left w:val="none" w:sz="0" w:space="0" w:color="auto"/>
                    <w:bottom w:val="none" w:sz="0" w:space="0" w:color="auto"/>
                    <w:right w:val="none" w:sz="0" w:space="0" w:color="auto"/>
                  </w:divBdr>
                  <w:divsChild>
                    <w:div w:id="137112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3573549">
      <w:bodyDiv w:val="1"/>
      <w:marLeft w:val="0"/>
      <w:marRight w:val="0"/>
      <w:marTop w:val="0"/>
      <w:marBottom w:val="0"/>
      <w:divBdr>
        <w:top w:val="none" w:sz="0" w:space="0" w:color="auto"/>
        <w:left w:val="none" w:sz="0" w:space="0" w:color="auto"/>
        <w:bottom w:val="none" w:sz="0" w:space="0" w:color="auto"/>
        <w:right w:val="none" w:sz="0" w:space="0" w:color="auto"/>
      </w:divBdr>
      <w:divsChild>
        <w:div w:id="1732920392">
          <w:marLeft w:val="0"/>
          <w:marRight w:val="0"/>
          <w:marTop w:val="0"/>
          <w:marBottom w:val="0"/>
          <w:divBdr>
            <w:top w:val="none" w:sz="0" w:space="0" w:color="auto"/>
            <w:left w:val="none" w:sz="0" w:space="0" w:color="auto"/>
            <w:bottom w:val="none" w:sz="0" w:space="0" w:color="auto"/>
            <w:right w:val="none" w:sz="0" w:space="0" w:color="auto"/>
          </w:divBdr>
          <w:divsChild>
            <w:div w:id="562496101">
              <w:marLeft w:val="0"/>
              <w:marRight w:val="0"/>
              <w:marTop w:val="0"/>
              <w:marBottom w:val="0"/>
              <w:divBdr>
                <w:top w:val="none" w:sz="0" w:space="0" w:color="auto"/>
                <w:left w:val="none" w:sz="0" w:space="0" w:color="auto"/>
                <w:bottom w:val="none" w:sz="0" w:space="0" w:color="auto"/>
                <w:right w:val="none" w:sz="0" w:space="0" w:color="auto"/>
              </w:divBdr>
              <w:divsChild>
                <w:div w:id="16750666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074776">
      <w:bodyDiv w:val="1"/>
      <w:marLeft w:val="0"/>
      <w:marRight w:val="0"/>
      <w:marTop w:val="0"/>
      <w:marBottom w:val="0"/>
      <w:divBdr>
        <w:top w:val="none" w:sz="0" w:space="0" w:color="auto"/>
        <w:left w:val="none" w:sz="0" w:space="0" w:color="auto"/>
        <w:bottom w:val="none" w:sz="0" w:space="0" w:color="auto"/>
        <w:right w:val="none" w:sz="0" w:space="0" w:color="auto"/>
      </w:divBdr>
      <w:divsChild>
        <w:div w:id="2063284824">
          <w:marLeft w:val="0"/>
          <w:marRight w:val="0"/>
          <w:marTop w:val="0"/>
          <w:marBottom w:val="0"/>
          <w:divBdr>
            <w:top w:val="none" w:sz="0" w:space="0" w:color="auto"/>
            <w:left w:val="none" w:sz="0" w:space="0" w:color="auto"/>
            <w:bottom w:val="none" w:sz="0" w:space="0" w:color="auto"/>
            <w:right w:val="none" w:sz="0" w:space="0" w:color="auto"/>
          </w:divBdr>
          <w:divsChild>
            <w:div w:id="38092841">
              <w:marLeft w:val="0"/>
              <w:marRight w:val="0"/>
              <w:marTop w:val="0"/>
              <w:marBottom w:val="0"/>
              <w:divBdr>
                <w:top w:val="none" w:sz="0" w:space="0" w:color="auto"/>
                <w:left w:val="none" w:sz="0" w:space="0" w:color="auto"/>
                <w:bottom w:val="none" w:sz="0" w:space="0" w:color="auto"/>
                <w:right w:val="none" w:sz="0" w:space="0" w:color="auto"/>
              </w:divBdr>
              <w:divsChild>
                <w:div w:id="1444112031">
                  <w:marLeft w:val="0"/>
                  <w:marRight w:val="0"/>
                  <w:marTop w:val="0"/>
                  <w:marBottom w:val="0"/>
                  <w:divBdr>
                    <w:top w:val="none" w:sz="0" w:space="0" w:color="auto"/>
                    <w:left w:val="none" w:sz="0" w:space="0" w:color="auto"/>
                    <w:bottom w:val="none" w:sz="0" w:space="0" w:color="auto"/>
                    <w:right w:val="none" w:sz="0" w:space="0" w:color="auto"/>
                  </w:divBdr>
                  <w:divsChild>
                    <w:div w:id="639846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67346542">
      <w:bodyDiv w:val="1"/>
      <w:marLeft w:val="0"/>
      <w:marRight w:val="0"/>
      <w:marTop w:val="0"/>
      <w:marBottom w:val="0"/>
      <w:divBdr>
        <w:top w:val="none" w:sz="0" w:space="0" w:color="auto"/>
        <w:left w:val="none" w:sz="0" w:space="0" w:color="auto"/>
        <w:bottom w:val="none" w:sz="0" w:space="0" w:color="auto"/>
        <w:right w:val="none" w:sz="0" w:space="0" w:color="auto"/>
      </w:divBdr>
      <w:divsChild>
        <w:div w:id="1943872351">
          <w:marLeft w:val="0"/>
          <w:marRight w:val="0"/>
          <w:marTop w:val="0"/>
          <w:marBottom w:val="0"/>
          <w:divBdr>
            <w:top w:val="none" w:sz="0" w:space="0" w:color="auto"/>
            <w:left w:val="none" w:sz="0" w:space="0" w:color="auto"/>
            <w:bottom w:val="none" w:sz="0" w:space="0" w:color="auto"/>
            <w:right w:val="none" w:sz="0" w:space="0" w:color="auto"/>
          </w:divBdr>
          <w:divsChild>
            <w:div w:id="1347249639">
              <w:marLeft w:val="0"/>
              <w:marRight w:val="0"/>
              <w:marTop w:val="0"/>
              <w:marBottom w:val="0"/>
              <w:divBdr>
                <w:top w:val="none" w:sz="0" w:space="0" w:color="auto"/>
                <w:left w:val="none" w:sz="0" w:space="0" w:color="auto"/>
                <w:bottom w:val="none" w:sz="0" w:space="0" w:color="auto"/>
                <w:right w:val="none" w:sz="0" w:space="0" w:color="auto"/>
              </w:divBdr>
              <w:divsChild>
                <w:div w:id="707413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77/003172171009200119" TargetMode="External"/><Relationship Id="rId13" Type="http://schemas.openxmlformats.org/officeDocument/2006/relationships/hyperlink" Target="https://doi.org/10.1111/j.1742-1241.2000.tb11922.x" TargetMode="External"/><Relationship Id="rId18" Type="http://schemas.openxmlformats.org/officeDocument/2006/relationships/hyperlink" Target="https://dattarc.org/index.php/conference/DATTARC2018/paper/viewPaper/412" TargetMode="External"/><Relationship Id="rId26" Type="http://schemas.openxmlformats.org/officeDocument/2006/relationships/hyperlink" Target="https://allchildrenlearning.org/assessment-topics/adapting/adapting-assessments-for-students-with-special-needs/" TargetMode="External"/><Relationship Id="rId3" Type="http://schemas.openxmlformats.org/officeDocument/2006/relationships/settings" Target="settings.xml"/><Relationship Id="rId21" Type="http://schemas.openxmlformats.org/officeDocument/2006/relationships/hyperlink" Target="https://hwb.gov.wales/curriculum-for-wales/assessment-arrangements/supporting-learner-progression-assessment-guidance" TargetMode="External"/><Relationship Id="rId7" Type="http://schemas.openxmlformats.org/officeDocument/2006/relationships/hyperlink" Target="https://www.betterevaluation.org/frameworks-guides/rainbow-framework/describe/combine-qualitative-quantitative-data" TargetMode="External"/><Relationship Id="rId12" Type="http://schemas.openxmlformats.org/officeDocument/2006/relationships/hyperlink" Target="https://cetl.uconn.edu/resources/design-your-course/teaching-and-learning-techniques/critical-thinking-and-other-higher-order-thinking-skills/" TargetMode="External"/><Relationship Id="rId17" Type="http://schemas.openxmlformats.org/officeDocument/2006/relationships/hyperlink" Target="https://doi.org/10.1177/174701611000600204" TargetMode="External"/><Relationship Id="rId25" Type="http://schemas.openxmlformats.org/officeDocument/2006/relationships/hyperlink" Target="https://books.google.co.uk/books?hl=en&amp;lr=&amp;id=V3zADwAAQBAJ&amp;oi=fnd&amp;pg=PT6&amp;dq=how+efficient+is+live+marking+in+classroom&amp;ots=Pk6dagWYqw&amp;sig=TW_LHDPbNEGyass4daqqiYo8gDY&amp;redir_esc=y#v=onepage&amp;q=how%20efficient%20is%20live%20marking%20in%20classroom&amp;f=false" TargetMode="External"/><Relationship Id="rId2" Type="http://schemas.openxmlformats.org/officeDocument/2006/relationships/styles" Target="styles.xml"/><Relationship Id="rId16" Type="http://schemas.openxmlformats.org/officeDocument/2006/relationships/hyperlink" Target="https://cmapspublic3.ihmc.us/rid=1FPRRBRBK-1V1PZ0J-2JPL/Blooms%20revised%20Taxonomy.pdf" TargetMode="External"/><Relationship Id="rId20" Type="http://schemas.openxmlformats.org/officeDocument/2006/relationships/hyperlink" Target="https://doi.org/10.3389/feduc.2020.0002"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80/0969594X.2010.513678" TargetMode="External"/><Relationship Id="rId11" Type="http://schemas.openxmlformats.org/officeDocument/2006/relationships/hyperlink" Target="https://www.cmu.edu/teaching/assessment/basics/formative-summative.html" TargetMode="External"/><Relationship Id="rId24" Type="http://schemas.openxmlformats.org/officeDocument/2006/relationships/hyperlink" Target="https://www.proquest.com/docview/869232974?pq-origsite=gscholar&amp;fromopenview=true&amp;sourcetype=Scholarly%20Journals" TargetMode="External"/><Relationship Id="rId5" Type="http://schemas.openxmlformats.org/officeDocument/2006/relationships/hyperlink" Target="https://doi.org/10.5430/elr.v3n1p39" TargetMode="External"/><Relationship Id="rId15" Type="http://schemas.openxmlformats.org/officeDocument/2006/relationships/hyperlink" Target="https://cmapspublic.ihmc.us/rid=1QBSTV8BZ-PF4KC0-2MNN/visible%20learning%20book%20summary.pdf" TargetMode="External"/><Relationship Id="rId23" Type="http://schemas.openxmlformats.org/officeDocument/2006/relationships/hyperlink" Target="https://doi.org/10.1111/j.1467-9620.2004.00328.x" TargetMode="External"/><Relationship Id="rId28" Type="http://schemas.openxmlformats.org/officeDocument/2006/relationships/fontTable" Target="fontTable.xml"/><Relationship Id="rId10" Type="http://schemas.openxmlformats.org/officeDocument/2006/relationships/hyperlink" Target="https://www.bera.ac.uk/publication/ethical-guidelines-for-educational-research-2018" TargetMode="External"/><Relationship Id="rId19" Type="http://schemas.openxmlformats.org/officeDocument/2006/relationships/hyperlink" Target="http://files.eric.ed.gov/fulltext/EJ923721.pdf" TargetMode="External"/><Relationship Id="rId4" Type="http://schemas.openxmlformats.org/officeDocument/2006/relationships/webSettings" Target="webSettings.xml"/><Relationship Id="rId9" Type="http://schemas.openxmlformats.org/officeDocument/2006/relationships/hyperlink" Target="https://doi.org/10.1111/j.1744-7984.2004.tb00047.x" TargetMode="External"/><Relationship Id="rId14" Type="http://schemas.openxmlformats.org/officeDocument/2006/relationships/hyperlink" Target="https://doi.org/10.1177/1077800410389754" TargetMode="External"/><Relationship Id="rId22" Type="http://schemas.openxmlformats.org/officeDocument/2006/relationships/hyperlink" Target="https://files.eric.ed.gov/fulltext/EJ815370.pdf" TargetMode="External"/><Relationship Id="rId27" Type="http://schemas.openxmlformats.org/officeDocument/2006/relationships/hyperlink" Target="https://doi.org/10.1177/0022487186037001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1240</TotalTime>
  <Pages>13</Pages>
  <Words>4607</Words>
  <Characters>26263</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Cari Thomas (2203542)</dc:creator>
  <cp:keywords/>
  <dc:description/>
  <cp:lastModifiedBy>Cari Thomas (2203542)</cp:lastModifiedBy>
  <cp:revision>62</cp:revision>
  <dcterms:created xsi:type="dcterms:W3CDTF">2024-01-11T10:24:00Z</dcterms:created>
  <dcterms:modified xsi:type="dcterms:W3CDTF">2024-02-19T20:59:00Z</dcterms:modified>
</cp:coreProperties>
</file>