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672A496B" w:rsidR="006D1922" w:rsidRPr="00CD794E" w:rsidRDefault="005873E8">
      <w:pPr>
        <w:jc w:val="center"/>
        <w:rPr>
          <w:b/>
          <w:sz w:val="36"/>
          <w:szCs w:val="36"/>
        </w:rPr>
      </w:pPr>
      <w:r>
        <w:rPr>
          <w:noProof/>
        </w:rPr>
        <w:drawing>
          <wp:inline distT="0" distB="0" distL="0" distR="0" wp14:anchorId="5C4F76C5" wp14:editId="6F8C48CB">
            <wp:extent cx="2819400" cy="1381125"/>
            <wp:effectExtent l="0" t="0" r="0" b="9525"/>
            <wp:docPr id="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Description automatically generated"/>
                    <pic:cNvPicPr>
                      <a:picLocks noChangeAspect="1"/>
                    </pic:cNvPicPr>
                  </pic:nvPicPr>
                  <pic:blipFill>
                    <a:blip r:embed="rId7"/>
                    <a:srcRect/>
                    <a:stretch>
                      <a:fillRect/>
                    </a:stretch>
                  </pic:blipFill>
                  <pic:spPr bwMode="auto">
                    <a:xfrm>
                      <a:off x="0" y="0"/>
                      <a:ext cx="2819400" cy="1381125"/>
                    </a:xfrm>
                    <a:prstGeom prst="rect">
                      <a:avLst/>
                    </a:prstGeom>
                    <a:noFill/>
                    <a:ln w="9525">
                      <a:noFill/>
                      <a:miter lim="800000"/>
                      <a:headEnd/>
                      <a:tailEnd/>
                    </a:ln>
                  </pic:spPr>
                </pic:pic>
              </a:graphicData>
            </a:graphic>
          </wp:inline>
        </w:drawing>
      </w:r>
    </w:p>
    <w:p w14:paraId="00000002" w14:textId="77777777" w:rsidR="006D1922" w:rsidRPr="00CD794E" w:rsidRDefault="006D1922">
      <w:pPr>
        <w:jc w:val="center"/>
        <w:rPr>
          <w:b/>
          <w:sz w:val="36"/>
          <w:szCs w:val="36"/>
        </w:rPr>
      </w:pPr>
    </w:p>
    <w:p w14:paraId="00000003" w14:textId="77777777" w:rsidR="006D1922" w:rsidRPr="00CD794E" w:rsidRDefault="006D1922">
      <w:pPr>
        <w:jc w:val="center"/>
        <w:rPr>
          <w:b/>
          <w:sz w:val="36"/>
          <w:szCs w:val="36"/>
        </w:rPr>
      </w:pPr>
    </w:p>
    <w:p w14:paraId="00000005" w14:textId="29B7964B" w:rsidR="006D1922" w:rsidRPr="00CD794E" w:rsidRDefault="008E4195">
      <w:pPr>
        <w:jc w:val="center"/>
        <w:rPr>
          <w:b/>
          <w:sz w:val="36"/>
          <w:szCs w:val="36"/>
        </w:rPr>
      </w:pPr>
      <w:r w:rsidRPr="00CD794E">
        <w:rPr>
          <w:b/>
          <w:sz w:val="36"/>
          <w:szCs w:val="36"/>
        </w:rPr>
        <w:t>Preparing for Professional Police Practice</w:t>
      </w:r>
    </w:p>
    <w:p w14:paraId="00000006" w14:textId="1C801EEC" w:rsidR="006D1922" w:rsidRDefault="008E4195">
      <w:pPr>
        <w:jc w:val="center"/>
        <w:rPr>
          <w:b/>
          <w:sz w:val="36"/>
          <w:szCs w:val="36"/>
        </w:rPr>
      </w:pPr>
      <w:r w:rsidRPr="00CD794E">
        <w:rPr>
          <w:b/>
          <w:sz w:val="36"/>
          <w:szCs w:val="36"/>
        </w:rPr>
        <w:t>BMPL4002</w:t>
      </w:r>
    </w:p>
    <w:p w14:paraId="186E942B" w14:textId="77777777" w:rsidR="005873E8" w:rsidRPr="00CD794E" w:rsidRDefault="005873E8">
      <w:pPr>
        <w:jc w:val="center"/>
        <w:rPr>
          <w:b/>
          <w:sz w:val="36"/>
          <w:szCs w:val="36"/>
        </w:rPr>
      </w:pPr>
    </w:p>
    <w:p w14:paraId="00000007" w14:textId="686CF301" w:rsidR="006D1922" w:rsidRDefault="008E4195">
      <w:pPr>
        <w:jc w:val="center"/>
        <w:rPr>
          <w:b/>
          <w:sz w:val="36"/>
          <w:szCs w:val="36"/>
        </w:rPr>
      </w:pPr>
      <w:r w:rsidRPr="00CD794E">
        <w:rPr>
          <w:b/>
          <w:sz w:val="36"/>
          <w:szCs w:val="36"/>
        </w:rPr>
        <w:t>“Examine the importance of ‘policing by consent’ and the impact it has upon a modern-day police service.”</w:t>
      </w:r>
    </w:p>
    <w:p w14:paraId="2E6E4CDF" w14:textId="77777777" w:rsidR="008002E9" w:rsidRPr="00CD794E" w:rsidRDefault="008002E9">
      <w:pPr>
        <w:jc w:val="center"/>
        <w:rPr>
          <w:b/>
          <w:sz w:val="36"/>
          <w:szCs w:val="36"/>
        </w:rPr>
      </w:pPr>
    </w:p>
    <w:p w14:paraId="00000008" w14:textId="4165E9F8" w:rsidR="006D1922" w:rsidRPr="00CD794E" w:rsidRDefault="005873E8">
      <w:pPr>
        <w:jc w:val="center"/>
        <w:rPr>
          <w:b/>
          <w:sz w:val="36"/>
          <w:szCs w:val="36"/>
        </w:rPr>
      </w:pPr>
      <w:r>
        <w:rPr>
          <w:b/>
          <w:sz w:val="36"/>
          <w:szCs w:val="36"/>
        </w:rPr>
        <w:t>Gomoescu Dumitru Vasile</w:t>
      </w:r>
    </w:p>
    <w:p w14:paraId="00000009" w14:textId="3E2D4611" w:rsidR="006D1922" w:rsidRPr="00CD794E" w:rsidRDefault="008E4195">
      <w:pPr>
        <w:jc w:val="center"/>
        <w:rPr>
          <w:b/>
          <w:sz w:val="36"/>
          <w:szCs w:val="36"/>
        </w:rPr>
      </w:pPr>
      <w:r w:rsidRPr="00CD794E">
        <w:rPr>
          <w:b/>
          <w:sz w:val="36"/>
          <w:szCs w:val="36"/>
        </w:rPr>
        <w:t>Student ID:</w:t>
      </w:r>
      <w:r w:rsidR="008002E9">
        <w:rPr>
          <w:b/>
          <w:sz w:val="36"/>
          <w:szCs w:val="36"/>
        </w:rPr>
        <w:t>2223227</w:t>
      </w:r>
      <w:r w:rsidRPr="00CD794E">
        <w:br w:type="page"/>
      </w:r>
    </w:p>
    <w:sdt>
      <w:sdtPr>
        <w:rPr>
          <w:rFonts w:ascii="Arial" w:eastAsia="Arial" w:hAnsi="Arial" w:cs="Arial"/>
          <w:color w:val="auto"/>
          <w:sz w:val="22"/>
          <w:szCs w:val="24"/>
          <w:lang w:val="en-GB" w:eastAsia="en-IN"/>
        </w:rPr>
        <w:id w:val="1455524358"/>
        <w:docPartObj>
          <w:docPartGallery w:val="Table of Contents"/>
          <w:docPartUnique/>
        </w:docPartObj>
      </w:sdtPr>
      <w:sdtEndPr>
        <w:rPr>
          <w:b/>
          <w:bCs/>
          <w:noProof/>
          <w:sz w:val="24"/>
        </w:rPr>
      </w:sdtEndPr>
      <w:sdtContent>
        <w:p w14:paraId="4A8F7298" w14:textId="5EBDBAE3" w:rsidR="00E260BC" w:rsidRPr="00A125EA" w:rsidRDefault="00E260BC" w:rsidP="00E260BC">
          <w:pPr>
            <w:pStyle w:val="TOCHeading"/>
            <w:spacing w:line="480" w:lineRule="auto"/>
            <w:jc w:val="center"/>
            <w:rPr>
              <w:rFonts w:ascii="Arial" w:hAnsi="Arial" w:cs="Arial"/>
              <w:b/>
              <w:bCs/>
              <w:color w:val="000000" w:themeColor="text1"/>
              <w:sz w:val="24"/>
              <w:szCs w:val="28"/>
              <w:lang w:val="en-GB"/>
            </w:rPr>
          </w:pPr>
          <w:r w:rsidRPr="00A125EA">
            <w:rPr>
              <w:rFonts w:ascii="Arial" w:hAnsi="Arial" w:cs="Arial"/>
              <w:b/>
              <w:bCs/>
              <w:color w:val="000000" w:themeColor="text1"/>
              <w:sz w:val="24"/>
              <w:szCs w:val="28"/>
              <w:lang w:val="en-GB"/>
            </w:rPr>
            <w:t>Table of Contents</w:t>
          </w:r>
        </w:p>
        <w:p w14:paraId="0096BBD5" w14:textId="5629E012" w:rsidR="004F7655" w:rsidRDefault="00E260BC">
          <w:pPr>
            <w:pStyle w:val="TOC1"/>
            <w:tabs>
              <w:tab w:val="right" w:leader="dot" w:pos="9350"/>
            </w:tabs>
            <w:rPr>
              <w:rFonts w:asciiTheme="minorHAnsi" w:eastAsiaTheme="minorEastAsia" w:hAnsiTheme="minorHAnsi" w:cstheme="minorBidi"/>
              <w:noProof/>
              <w:sz w:val="22"/>
              <w:szCs w:val="22"/>
              <w:lang w:val="en-US" w:eastAsia="en-US"/>
            </w:rPr>
          </w:pPr>
          <w:r w:rsidRPr="00CD794E">
            <w:fldChar w:fldCharType="begin"/>
          </w:r>
          <w:r w:rsidRPr="00CD794E">
            <w:instrText xml:space="preserve"> TOC \o "1-3" \h \z \u </w:instrText>
          </w:r>
          <w:r w:rsidRPr="00CD794E">
            <w:fldChar w:fldCharType="separate"/>
          </w:r>
          <w:hyperlink w:anchor="_Toc148548885" w:history="1">
            <w:r w:rsidR="004F7655" w:rsidRPr="00D7579C">
              <w:rPr>
                <w:rStyle w:val="Hyperlink"/>
                <w:noProof/>
              </w:rPr>
              <w:t>Introduction</w:t>
            </w:r>
            <w:r w:rsidR="004F7655">
              <w:rPr>
                <w:noProof/>
                <w:webHidden/>
              </w:rPr>
              <w:tab/>
            </w:r>
            <w:r w:rsidR="004F7655">
              <w:rPr>
                <w:noProof/>
                <w:webHidden/>
              </w:rPr>
              <w:fldChar w:fldCharType="begin"/>
            </w:r>
            <w:r w:rsidR="004F7655">
              <w:rPr>
                <w:noProof/>
                <w:webHidden/>
              </w:rPr>
              <w:instrText xml:space="preserve"> PAGEREF _Toc148548885 \h </w:instrText>
            </w:r>
            <w:r w:rsidR="004F7655">
              <w:rPr>
                <w:noProof/>
                <w:webHidden/>
              </w:rPr>
            </w:r>
            <w:r w:rsidR="004F7655">
              <w:rPr>
                <w:noProof/>
                <w:webHidden/>
              </w:rPr>
              <w:fldChar w:fldCharType="separate"/>
            </w:r>
            <w:r w:rsidR="004F7655">
              <w:rPr>
                <w:noProof/>
                <w:webHidden/>
              </w:rPr>
              <w:t>3</w:t>
            </w:r>
            <w:r w:rsidR="004F7655">
              <w:rPr>
                <w:noProof/>
                <w:webHidden/>
              </w:rPr>
              <w:fldChar w:fldCharType="end"/>
            </w:r>
          </w:hyperlink>
        </w:p>
        <w:p w14:paraId="31B0865D" w14:textId="0A468A14" w:rsidR="004F7655" w:rsidRDefault="003712C7">
          <w:pPr>
            <w:pStyle w:val="TOC1"/>
            <w:tabs>
              <w:tab w:val="right" w:leader="dot" w:pos="9350"/>
            </w:tabs>
            <w:rPr>
              <w:rFonts w:asciiTheme="minorHAnsi" w:eastAsiaTheme="minorEastAsia" w:hAnsiTheme="minorHAnsi" w:cstheme="minorBidi"/>
              <w:noProof/>
              <w:sz w:val="22"/>
              <w:szCs w:val="22"/>
              <w:lang w:val="en-US" w:eastAsia="en-US"/>
            </w:rPr>
          </w:pPr>
          <w:hyperlink w:anchor="_Toc148548886" w:history="1">
            <w:r w:rsidR="004F7655" w:rsidRPr="00D7579C">
              <w:rPr>
                <w:rStyle w:val="Hyperlink"/>
                <w:noProof/>
              </w:rPr>
              <w:t>Discussion</w:t>
            </w:r>
            <w:r w:rsidR="004F7655">
              <w:rPr>
                <w:noProof/>
                <w:webHidden/>
              </w:rPr>
              <w:tab/>
            </w:r>
            <w:r w:rsidR="004F7655">
              <w:rPr>
                <w:noProof/>
                <w:webHidden/>
              </w:rPr>
              <w:fldChar w:fldCharType="begin"/>
            </w:r>
            <w:r w:rsidR="004F7655">
              <w:rPr>
                <w:noProof/>
                <w:webHidden/>
              </w:rPr>
              <w:instrText xml:space="preserve"> PAGEREF _Toc148548886 \h </w:instrText>
            </w:r>
            <w:r w:rsidR="004F7655">
              <w:rPr>
                <w:noProof/>
                <w:webHidden/>
              </w:rPr>
            </w:r>
            <w:r w:rsidR="004F7655">
              <w:rPr>
                <w:noProof/>
                <w:webHidden/>
              </w:rPr>
              <w:fldChar w:fldCharType="separate"/>
            </w:r>
            <w:r w:rsidR="004F7655">
              <w:rPr>
                <w:noProof/>
                <w:webHidden/>
              </w:rPr>
              <w:t>4</w:t>
            </w:r>
            <w:r w:rsidR="004F7655">
              <w:rPr>
                <w:noProof/>
                <w:webHidden/>
              </w:rPr>
              <w:fldChar w:fldCharType="end"/>
            </w:r>
          </w:hyperlink>
        </w:p>
        <w:p w14:paraId="5C1F692A" w14:textId="508B3F74" w:rsidR="004F7655" w:rsidRDefault="003712C7">
          <w:pPr>
            <w:pStyle w:val="TOC1"/>
            <w:tabs>
              <w:tab w:val="right" w:leader="dot" w:pos="9350"/>
            </w:tabs>
            <w:rPr>
              <w:rFonts w:asciiTheme="minorHAnsi" w:eastAsiaTheme="minorEastAsia" w:hAnsiTheme="minorHAnsi" w:cstheme="minorBidi"/>
              <w:noProof/>
              <w:sz w:val="22"/>
              <w:szCs w:val="22"/>
              <w:lang w:val="en-US" w:eastAsia="en-US"/>
            </w:rPr>
          </w:pPr>
          <w:hyperlink w:anchor="_Toc148548887" w:history="1">
            <w:r w:rsidR="004F7655" w:rsidRPr="00D7579C">
              <w:rPr>
                <w:rStyle w:val="Hyperlink"/>
                <w:noProof/>
              </w:rPr>
              <w:t>Conclusion</w:t>
            </w:r>
            <w:r w:rsidR="004F7655">
              <w:rPr>
                <w:noProof/>
                <w:webHidden/>
              </w:rPr>
              <w:tab/>
            </w:r>
            <w:r w:rsidR="004F7655">
              <w:rPr>
                <w:noProof/>
                <w:webHidden/>
              </w:rPr>
              <w:fldChar w:fldCharType="begin"/>
            </w:r>
            <w:r w:rsidR="004F7655">
              <w:rPr>
                <w:noProof/>
                <w:webHidden/>
              </w:rPr>
              <w:instrText xml:space="preserve"> PAGEREF _Toc148548887 \h </w:instrText>
            </w:r>
            <w:r w:rsidR="004F7655">
              <w:rPr>
                <w:noProof/>
                <w:webHidden/>
              </w:rPr>
            </w:r>
            <w:r w:rsidR="004F7655">
              <w:rPr>
                <w:noProof/>
                <w:webHidden/>
              </w:rPr>
              <w:fldChar w:fldCharType="separate"/>
            </w:r>
            <w:r w:rsidR="004F7655">
              <w:rPr>
                <w:noProof/>
                <w:webHidden/>
              </w:rPr>
              <w:t>9</w:t>
            </w:r>
            <w:r w:rsidR="004F7655">
              <w:rPr>
                <w:noProof/>
                <w:webHidden/>
              </w:rPr>
              <w:fldChar w:fldCharType="end"/>
            </w:r>
          </w:hyperlink>
        </w:p>
        <w:p w14:paraId="3C124B42" w14:textId="27193DAF" w:rsidR="004F7655" w:rsidRDefault="003712C7">
          <w:pPr>
            <w:pStyle w:val="TOC1"/>
            <w:tabs>
              <w:tab w:val="right" w:leader="dot" w:pos="9350"/>
            </w:tabs>
            <w:rPr>
              <w:rFonts w:asciiTheme="minorHAnsi" w:eastAsiaTheme="minorEastAsia" w:hAnsiTheme="minorHAnsi" w:cstheme="minorBidi"/>
              <w:noProof/>
              <w:sz w:val="22"/>
              <w:szCs w:val="22"/>
              <w:lang w:val="en-US" w:eastAsia="en-US"/>
            </w:rPr>
          </w:pPr>
          <w:hyperlink w:anchor="_Toc148548888" w:history="1">
            <w:r w:rsidR="004F7655" w:rsidRPr="00D7579C">
              <w:rPr>
                <w:rStyle w:val="Hyperlink"/>
                <w:noProof/>
              </w:rPr>
              <w:t>Reference List</w:t>
            </w:r>
            <w:r w:rsidR="004F7655">
              <w:rPr>
                <w:noProof/>
                <w:webHidden/>
              </w:rPr>
              <w:tab/>
            </w:r>
            <w:r w:rsidR="004F7655">
              <w:rPr>
                <w:noProof/>
                <w:webHidden/>
              </w:rPr>
              <w:fldChar w:fldCharType="begin"/>
            </w:r>
            <w:r w:rsidR="004F7655">
              <w:rPr>
                <w:noProof/>
                <w:webHidden/>
              </w:rPr>
              <w:instrText xml:space="preserve"> PAGEREF _Toc148548888 \h </w:instrText>
            </w:r>
            <w:r w:rsidR="004F7655">
              <w:rPr>
                <w:noProof/>
                <w:webHidden/>
              </w:rPr>
            </w:r>
            <w:r w:rsidR="004F7655">
              <w:rPr>
                <w:noProof/>
                <w:webHidden/>
              </w:rPr>
              <w:fldChar w:fldCharType="separate"/>
            </w:r>
            <w:r w:rsidR="004F7655">
              <w:rPr>
                <w:noProof/>
                <w:webHidden/>
              </w:rPr>
              <w:t>10</w:t>
            </w:r>
            <w:r w:rsidR="004F7655">
              <w:rPr>
                <w:noProof/>
                <w:webHidden/>
              </w:rPr>
              <w:fldChar w:fldCharType="end"/>
            </w:r>
          </w:hyperlink>
        </w:p>
        <w:p w14:paraId="7C2BFB2B" w14:textId="17E32889" w:rsidR="00E260BC" w:rsidRPr="00CD794E" w:rsidRDefault="00E260BC">
          <w:r w:rsidRPr="00CD794E">
            <w:rPr>
              <w:b/>
              <w:bCs/>
              <w:noProof/>
            </w:rPr>
            <w:fldChar w:fldCharType="end"/>
          </w:r>
        </w:p>
      </w:sdtContent>
    </w:sdt>
    <w:p w14:paraId="0000000A" w14:textId="0852BF23" w:rsidR="006D1922" w:rsidRPr="00CD794E" w:rsidRDefault="008E4195">
      <w:pPr>
        <w:jc w:val="center"/>
      </w:pPr>
      <w:r w:rsidRPr="00CD794E">
        <w:br w:type="page"/>
      </w:r>
    </w:p>
    <w:p w14:paraId="0000000B" w14:textId="77777777" w:rsidR="006D1922" w:rsidRPr="00CD794E" w:rsidRDefault="008E4195">
      <w:pPr>
        <w:pStyle w:val="Heading1"/>
      </w:pPr>
      <w:bookmarkStart w:id="0" w:name="_ib4kb18ugxgf" w:colFirst="0" w:colLast="0"/>
      <w:bookmarkStart w:id="1" w:name="_Toc148548885"/>
      <w:bookmarkEnd w:id="0"/>
      <w:r w:rsidRPr="00CD794E">
        <w:lastRenderedPageBreak/>
        <w:t>Introduction</w:t>
      </w:r>
      <w:bookmarkEnd w:id="1"/>
      <w:r w:rsidRPr="00CD794E">
        <w:t xml:space="preserve"> </w:t>
      </w:r>
    </w:p>
    <w:p w14:paraId="0000000C" w14:textId="0DA255BC" w:rsidR="006D1922" w:rsidRPr="00CD794E" w:rsidRDefault="008E4195">
      <w:r w:rsidRPr="00CD794E">
        <w:rPr>
          <w:b/>
        </w:rPr>
        <w:t>Policing by consent</w:t>
      </w:r>
      <w:r w:rsidRPr="00CD794E">
        <w:t xml:space="preserve"> refers to a fundamental principle of the modern democratic society that focuses on the consent and cooperation of the public for establishing the authority of the police (Morgan, 2023). This assignment aims to understand policing by consent clearly and the different mechanisms fostered by police forces in the UK. Policing by consent is being employed in the UK to meet the core criteria of </w:t>
      </w:r>
      <w:r w:rsidR="0070359D">
        <w:t xml:space="preserve">the </w:t>
      </w:r>
      <w:r w:rsidRPr="00CD794E">
        <w:t xml:space="preserve">Peelian principle. Throughout this essay, the impact of “policing by consent” on the modern era of police service will be illustrated to understand its significance. </w:t>
      </w:r>
    </w:p>
    <w:p w14:paraId="0000000D" w14:textId="77777777" w:rsidR="006D1922" w:rsidRPr="00CD794E" w:rsidRDefault="008E4195">
      <w:pPr>
        <w:pStyle w:val="Heading1"/>
      </w:pPr>
      <w:bookmarkStart w:id="2" w:name="_dzacd0dx6sum" w:colFirst="0" w:colLast="0"/>
      <w:bookmarkEnd w:id="2"/>
      <w:r w:rsidRPr="00CD794E">
        <w:br w:type="page"/>
      </w:r>
    </w:p>
    <w:p w14:paraId="0000000E" w14:textId="77777777" w:rsidR="006D1922" w:rsidRPr="00CD794E" w:rsidRDefault="008E4195">
      <w:pPr>
        <w:pStyle w:val="Heading1"/>
      </w:pPr>
      <w:bookmarkStart w:id="3" w:name="_bn5dbv6ent8" w:colFirst="0" w:colLast="0"/>
      <w:bookmarkStart w:id="4" w:name="_Toc148548886"/>
      <w:bookmarkEnd w:id="3"/>
      <w:r w:rsidRPr="00CD794E">
        <w:t>Discussion</w:t>
      </w:r>
      <w:bookmarkEnd w:id="4"/>
      <w:r w:rsidRPr="00CD794E">
        <w:t xml:space="preserve"> </w:t>
      </w:r>
    </w:p>
    <w:p w14:paraId="0000000F" w14:textId="716CC14D" w:rsidR="006D1922" w:rsidRPr="00CD794E" w:rsidRDefault="008E4195">
      <w:r w:rsidRPr="00CD794E">
        <w:rPr>
          <w:b/>
        </w:rPr>
        <w:t>Policing by consent</w:t>
      </w:r>
      <w:r w:rsidRPr="00CD794E">
        <w:t xml:space="preserve"> is a fundamental principle associated with the process of </w:t>
      </w:r>
      <w:r w:rsidRPr="00CD794E">
        <w:rPr>
          <w:b/>
        </w:rPr>
        <w:t xml:space="preserve">law enforcement </w:t>
      </w:r>
      <w:r w:rsidRPr="00CD794E">
        <w:t xml:space="preserve">in the context of the United Kingdom that emphasizes the overall </w:t>
      </w:r>
      <w:r w:rsidRPr="00CD794E">
        <w:rPr>
          <w:b/>
        </w:rPr>
        <w:t>power and the authority of the police</w:t>
      </w:r>
      <w:r w:rsidRPr="00CD794E">
        <w:t xml:space="preserve"> that is deeply rooted in the context of</w:t>
      </w:r>
      <w:r w:rsidRPr="00CD794E">
        <w:rPr>
          <w:b/>
        </w:rPr>
        <w:t xml:space="preserve"> Consent and support of the public</w:t>
      </w:r>
      <w:r w:rsidRPr="00CD794E">
        <w:t xml:space="preserve"> rather than any kind of external force or coercion. In this country, police officers are recognised as public servants who put themselves in danger to keep the people of the local community safe (Jefferson, 2023). In the UK, the concept of policing has been grounded in the </w:t>
      </w:r>
      <w:r w:rsidRPr="00CD794E">
        <w:rPr>
          <w:b/>
        </w:rPr>
        <w:t>Peelian principle</w:t>
      </w:r>
      <w:r w:rsidRPr="00CD794E">
        <w:t>. It has been identified as the notion of Robert Peel, the founder of the Metropolitan Police. In the context of legitimacy and trust in policing, exploration of the depth of the concept of “policing by consent”.  The concept of “policing by consent” or professional policing has been initiated by the “</w:t>
      </w:r>
      <w:r w:rsidRPr="00CD794E">
        <w:rPr>
          <w:b/>
        </w:rPr>
        <w:t>Metropolitan Police Act of 1829”</w:t>
      </w:r>
      <w:r w:rsidRPr="00CD794E">
        <w:t xml:space="preserve">. This concept developed a central professional force and police force in London. It has been believed that the Metropolitan Police only meet their responsibilities due to the support they get from the public. This concept allows the police is </w:t>
      </w:r>
      <w:r w:rsidR="008F6835" w:rsidRPr="00CD794E">
        <w:t>developing</w:t>
      </w:r>
      <w:r w:rsidRPr="00CD794E">
        <w:t xml:space="preserve"> on the basis of the success obtained by the police and public support (Fairburn, 2021). This concept is measured by the willingness of people to comply with directives and requests issued by different police companies in the UK. There are </w:t>
      </w:r>
      <w:r w:rsidRPr="00CD794E">
        <w:rPr>
          <w:b/>
        </w:rPr>
        <w:t>9 integral components of the Peelian principle</w:t>
      </w:r>
      <w:r w:rsidRPr="00CD794E">
        <w:t xml:space="preserve"> that have been established as the “general instructions” for every new police officer. The overall aspects related to this particular concept are legitimacy, community, accountability and transparency, voluntary corporation, minimal use of force and enforcement in terms of public opinion (Shapland and </w:t>
      </w:r>
      <w:proofErr w:type="spellStart"/>
      <w:r w:rsidRPr="00CD794E">
        <w:t>Vagg</w:t>
      </w:r>
      <w:proofErr w:type="spellEnd"/>
      <w:r w:rsidRPr="00CD794E">
        <w:t xml:space="preserve">, 2023). The description of the principles is as follows. </w:t>
      </w:r>
    </w:p>
    <w:p w14:paraId="00000010" w14:textId="481A9CA6" w:rsidR="006D1922" w:rsidRPr="00CD794E" w:rsidRDefault="008E4195">
      <w:r w:rsidRPr="00CD794E">
        <w:t xml:space="preserve">The </w:t>
      </w:r>
      <w:r w:rsidRPr="00CD794E">
        <w:rPr>
          <w:b/>
        </w:rPr>
        <w:t>first principle</w:t>
      </w:r>
      <w:r w:rsidRPr="00CD794E">
        <w:t xml:space="preserve"> associated with this particular context is to prevent crime and disorder. Policing by consent is to be identified as the alternative to military force and other legal punishment. The </w:t>
      </w:r>
      <w:r w:rsidRPr="00CD794E">
        <w:rPr>
          <w:b/>
        </w:rPr>
        <w:t>second principle</w:t>
      </w:r>
      <w:r w:rsidRPr="00CD794E">
        <w:t xml:space="preserve"> is that the power of the police is dependent on public approval and it is important to protect the needs of the public and maintain public respect (</w:t>
      </w:r>
      <w:proofErr w:type="spellStart"/>
      <w:r w:rsidRPr="00CD794E">
        <w:t>Addidle</w:t>
      </w:r>
      <w:proofErr w:type="spellEnd"/>
      <w:r w:rsidRPr="00CD794E">
        <w:t xml:space="preserve">, 2022). The </w:t>
      </w:r>
      <w:r w:rsidRPr="00CD794E">
        <w:rPr>
          <w:b/>
        </w:rPr>
        <w:t>third principle</w:t>
      </w:r>
      <w:r w:rsidRPr="00CD794E">
        <w:t xml:space="preserve"> is associated with maintaining minimal respect and approval of the individual which is facilitated by the willingness for cooperation. The </w:t>
      </w:r>
      <w:r w:rsidRPr="00CD794E">
        <w:rPr>
          <w:b/>
        </w:rPr>
        <w:t>fourth aspect</w:t>
      </w:r>
      <w:r w:rsidRPr="00CD794E">
        <w:t xml:space="preserve"> is related to the necessity of the use of physical force and coercion to achieve the objectives of the police. The </w:t>
      </w:r>
      <w:r w:rsidRPr="00CD794E">
        <w:rPr>
          <w:b/>
        </w:rPr>
        <w:t xml:space="preserve">fifth principle </w:t>
      </w:r>
      <w:r w:rsidRPr="00CD794E">
        <w:t xml:space="preserve">is associated with the perseverance of the favour of the public and demonstrating impartial service to the legislative system of the country (Shannon and Shannon, 2022). The </w:t>
      </w:r>
      <w:r w:rsidRPr="00CD794E">
        <w:rPr>
          <w:b/>
        </w:rPr>
        <w:t>sixth principle</w:t>
      </w:r>
      <w:r w:rsidRPr="00CD794E">
        <w:t xml:space="preserve"> is associated with the use of physical force after the ineffectiveness of “persuasion, advice and warning” and only using the minimum degree of restraint from the public. The </w:t>
      </w:r>
      <w:r w:rsidRPr="00CD794E">
        <w:rPr>
          <w:b/>
        </w:rPr>
        <w:t xml:space="preserve">seventh </w:t>
      </w:r>
      <w:r w:rsidR="00E260BC" w:rsidRPr="00CD794E">
        <w:rPr>
          <w:b/>
        </w:rPr>
        <w:t>principle</w:t>
      </w:r>
      <w:r w:rsidRPr="00CD794E">
        <w:t xml:space="preserve"> instrument is the implication of historical tradition and attention to public duties which aims to achieve effective community welfare (</w:t>
      </w:r>
      <w:proofErr w:type="spellStart"/>
      <w:r w:rsidRPr="00CD794E">
        <w:t>Addidle</w:t>
      </w:r>
      <w:proofErr w:type="spellEnd"/>
      <w:r w:rsidRPr="00CD794E">
        <w:t xml:space="preserve">, 2022). The </w:t>
      </w:r>
      <w:r w:rsidRPr="00CD794E">
        <w:rPr>
          <w:b/>
        </w:rPr>
        <w:t>eighth principle</w:t>
      </w:r>
      <w:r w:rsidRPr="00CD794E">
        <w:t xml:space="preserve"> is associated with strict adherence to the law and executive functions of the police and refraining from abusing power. The </w:t>
      </w:r>
      <w:r w:rsidRPr="00CD794E">
        <w:rPr>
          <w:b/>
        </w:rPr>
        <w:t xml:space="preserve">ninth and last principle </w:t>
      </w:r>
      <w:r w:rsidRPr="00CD794E">
        <w:t xml:space="preserve">in this aspect is to provide visible evidence of the action of the police to deal with crime and disorder (Shannon and Shannon, 2022). </w:t>
      </w:r>
    </w:p>
    <w:p w14:paraId="00000011" w14:textId="3A871CAA" w:rsidR="006D1922" w:rsidRPr="00CD794E" w:rsidRDefault="008E4195">
      <w:r w:rsidRPr="00CD794E">
        <w:t>The</w:t>
      </w:r>
      <w:r w:rsidRPr="00CD794E">
        <w:rPr>
          <w:b/>
        </w:rPr>
        <w:t xml:space="preserve"> importance of policing by consen</w:t>
      </w:r>
      <w:r w:rsidRPr="00CD794E">
        <w:t xml:space="preserve">t is associated with three core ideas. The first importance of this concept is associated with the </w:t>
      </w:r>
      <w:r w:rsidRPr="00CD794E">
        <w:rPr>
          <w:b/>
        </w:rPr>
        <w:t xml:space="preserve">prevention of crime </w:t>
      </w:r>
      <w:r w:rsidRPr="00CD794E">
        <w:t xml:space="preserve">and not sole focus on "catching the criminals". If the police are able to prevent the crime before its </w:t>
      </w:r>
      <w:r w:rsidR="00E260BC" w:rsidRPr="00CD794E">
        <w:t>occurrence,</w:t>
      </w:r>
      <w:r w:rsidRPr="00CD794E">
        <w:t xml:space="preserve"> they do not need to indulge in the process of punishing the civilians and separate the Human Rights initiated on them. Similarly, this particular context is also related to the provision for lower crime rates within society (Farrow, 2020). The </w:t>
      </w:r>
      <w:r w:rsidRPr="00CD794E">
        <w:rPr>
          <w:b/>
        </w:rPr>
        <w:t>crime rate in the UK</w:t>
      </w:r>
      <w:r w:rsidRPr="00CD794E">
        <w:t xml:space="preserve"> is estimated at around 46.9% which resulted in approximately 93.6 crimes per thousand people every year. However, the </w:t>
      </w:r>
      <w:r w:rsidRPr="00CD794E">
        <w:rPr>
          <w:b/>
        </w:rPr>
        <w:t xml:space="preserve">prevention of crime </w:t>
      </w:r>
      <w:r w:rsidRPr="00CD794E">
        <w:t xml:space="preserve">in this country is 10% higher than the previous year which initiated the protection of civilians from approximately 6.1 million offences. This was a direct </w:t>
      </w:r>
      <w:r w:rsidRPr="00CD794E">
        <w:rPr>
          <w:b/>
        </w:rPr>
        <w:t>15% decrease</w:t>
      </w:r>
      <w:r w:rsidRPr="00CD794E">
        <w:t xml:space="preserve"> from the pandemic-induced year that recorded around 10.2 million offences in England and Scotland (ONS, 2023).  Thus, an effective police force is associated with a reduction in overall statistics of crime as well as arrests which help in establishing a more secure and safe habitat for the community. </w:t>
      </w:r>
    </w:p>
    <w:p w14:paraId="00000012" w14:textId="77777777" w:rsidR="006D1922" w:rsidRPr="00CD794E" w:rsidRDefault="008E4195">
      <w:r w:rsidRPr="00CD794E">
        <w:t xml:space="preserve">The second important aspect of this particular concept of policing by consent is associated with the prevention of crime by </w:t>
      </w:r>
      <w:r w:rsidRPr="00CD794E">
        <w:rPr>
          <w:b/>
        </w:rPr>
        <w:t>earning effective public support</w:t>
      </w:r>
      <w:r w:rsidRPr="00CD794E">
        <w:t xml:space="preserve">. The community members within the country are affiliated to share responsibility for preventing crime. Every citizen within the country according to the statutes of the UK Government is associated with the volunteer members of the force and they are required to trust the police and support them in preventing crime (Hough, 2020). In this particular context </w:t>
      </w:r>
      <w:r w:rsidRPr="00CD794E">
        <w:rPr>
          <w:b/>
        </w:rPr>
        <w:t>theory of deterrence</w:t>
      </w:r>
      <w:r w:rsidRPr="00CD794E">
        <w:t xml:space="preserve"> could be utilised. This particular theory on the concept that the penalties or punishment for crime does not just punish the offenders and it also discourages other people within the same community from committing similar offences. The presence of police itself is an effective factor in deterring crime as it increases the certainty of being caught (</w:t>
      </w:r>
      <w:proofErr w:type="spellStart"/>
      <w:r w:rsidRPr="00CD794E">
        <w:t>Lupovici</w:t>
      </w:r>
      <w:proofErr w:type="spellEnd"/>
      <w:r w:rsidRPr="00CD794E">
        <w:t xml:space="preserve">, 2019). Thus, this theory focuses on stabilising the balance between the cost and benefit of crime. </w:t>
      </w:r>
    </w:p>
    <w:p w14:paraId="00000013" w14:textId="77777777" w:rsidR="006D1922" w:rsidRPr="00CD794E" w:rsidRDefault="008E4195">
      <w:r w:rsidRPr="00CD794E">
        <w:t xml:space="preserve">The third aspect of policing by consent is associated with the process of </w:t>
      </w:r>
      <w:r w:rsidRPr="00CD794E">
        <w:rPr>
          <w:b/>
        </w:rPr>
        <w:t>respecting community principles</w:t>
      </w:r>
      <w:r w:rsidRPr="00CD794E">
        <w:t xml:space="preserve">. Public approval is one of the most important aspects of policing which builds the reputation for impartiality while enforcing a particular law. The government authority is responsible for inducing the recruitment of police officers who would be able to represent and comprehend the needs of the community (Pickard, 2019). The prime role of police within a community is associated with maintaining the overall public order by indulging in various activities such as enforcing the law, preventing as well as investigating crime, and protecting the victim as well as common citizens from any kind of offence. </w:t>
      </w:r>
      <w:r w:rsidRPr="00CD794E">
        <w:rPr>
          <w:b/>
        </w:rPr>
        <w:t>Moral solidarity</w:t>
      </w:r>
      <w:r w:rsidRPr="00CD794E">
        <w:t xml:space="preserve"> is an important concept related to the integration of community in policing that focuses on the disposition overriding the individual conscience for indulging in the best course of action for the public. The concept of solidarity is also related to the development of shared interests and objectives and developing a sense of psychological unity among the common citizen for dealing with the offences related to the public and community (Caveney </w:t>
      </w:r>
      <w:r w:rsidRPr="00CD794E">
        <w:rPr>
          <w:i/>
        </w:rPr>
        <w:t xml:space="preserve">et al., </w:t>
      </w:r>
      <w:r w:rsidRPr="00CD794E">
        <w:t>2020).</w:t>
      </w:r>
    </w:p>
    <w:p w14:paraId="00000014" w14:textId="07ABEB2C" w:rsidR="006D1922" w:rsidRPr="00CD794E" w:rsidRDefault="008E4195">
      <w:r w:rsidRPr="00CD794E">
        <w:t>Policing by consent is a necessary element for the</w:t>
      </w:r>
      <w:r w:rsidRPr="00CD794E">
        <w:rPr>
          <w:b/>
        </w:rPr>
        <w:t xml:space="preserve"> modern-day police service</w:t>
      </w:r>
      <w:r w:rsidRPr="00CD794E">
        <w:t xml:space="preserve"> as it provides a fundamental guiding principle for all the officers who join the police department. One of the major expectations of this particular concept is related to the provision for the </w:t>
      </w:r>
      <w:r w:rsidRPr="00CD794E">
        <w:rPr>
          <w:b/>
        </w:rPr>
        <w:t>Community-Centred approach</w:t>
      </w:r>
      <w:r w:rsidRPr="00CD794E">
        <w:t xml:space="preserve">. Modern society is inherently characterised by interconnectedness and globalisation and associated with a varying degree of needs and expectations (Guerette </w:t>
      </w:r>
      <w:r w:rsidRPr="00CD794E">
        <w:rPr>
          <w:i/>
        </w:rPr>
        <w:t xml:space="preserve">et al., </w:t>
      </w:r>
      <w:r w:rsidRPr="00CD794E">
        <w:t xml:space="preserve">2021). The engagement of this particular consent is associated with the process of developing a general understanding of the public and obtaining support to address the diverse needs of the community respectfully. </w:t>
      </w:r>
      <w:r w:rsidR="008F6835" w:rsidRPr="00CD794E">
        <w:t>Similarly,</w:t>
      </w:r>
      <w:r w:rsidRPr="00CD794E">
        <w:t xml:space="preserve"> </w:t>
      </w:r>
      <w:r w:rsidRPr="00CD794E">
        <w:rPr>
          <w:b/>
        </w:rPr>
        <w:t>public trust and confidence</w:t>
      </w:r>
      <w:r w:rsidRPr="00CD794E">
        <w:t xml:space="preserve"> in police is an important aspect of the modern-day police service and the constant-based approach helps in establishing a sense of legitimisation and preventive approach for community crimes (Jefferson, 2023). </w:t>
      </w:r>
    </w:p>
    <w:p w14:paraId="00000015" w14:textId="4EEE51A2" w:rsidR="006D1922" w:rsidRPr="00CD794E" w:rsidRDefault="008E4195">
      <w:r w:rsidRPr="00CD794E">
        <w:t>Policing by consent is highly associated with the</w:t>
      </w:r>
      <w:r w:rsidRPr="00CD794E">
        <w:rPr>
          <w:b/>
        </w:rPr>
        <w:t xml:space="preserve"> reduction of brutality and coercion</w:t>
      </w:r>
      <w:r w:rsidRPr="00CD794E">
        <w:t xml:space="preserve"> and the minimal utilization of physical force when necessary. This particular contact is also associated with</w:t>
      </w:r>
      <w:r w:rsidRPr="00CD794E">
        <w:rPr>
          <w:b/>
        </w:rPr>
        <w:t xml:space="preserve"> “Article 3 of the European Convention on Human Rights”</w:t>
      </w:r>
      <w:r w:rsidRPr="00CD794E">
        <w:t xml:space="preserve"> which focuses on the “</w:t>
      </w:r>
      <w:r w:rsidRPr="00CD794E">
        <w:rPr>
          <w:b/>
        </w:rPr>
        <w:t>prohibition of torture”</w:t>
      </w:r>
      <w:r w:rsidRPr="00CD794E">
        <w:t xml:space="preserve"> or any kind of degrading treatment or punishment even for the accused or offenders. The profound belief in the “</w:t>
      </w:r>
      <w:r w:rsidRPr="00CD794E">
        <w:rPr>
          <w:b/>
        </w:rPr>
        <w:t>fundamental freedoms”</w:t>
      </w:r>
      <w:r w:rsidRPr="00CD794E">
        <w:t xml:space="preserve"> given by the constitution and the obligations to respect the rights of the individual is the most important component for establishing the context </w:t>
      </w:r>
      <w:r w:rsidR="00E260BC" w:rsidRPr="00CD794E">
        <w:t>of policing</w:t>
      </w:r>
      <w:r w:rsidRPr="00CD794E">
        <w:t xml:space="preserve"> by consent</w:t>
      </w:r>
      <w:r w:rsidR="008F6835">
        <w:t xml:space="preserve"> </w:t>
      </w:r>
      <w:r w:rsidR="008F6835" w:rsidRPr="00CD794E">
        <w:t>(Jefferson, 2023)</w:t>
      </w:r>
      <w:r w:rsidRPr="00CD794E">
        <w:t xml:space="preserve">. The modern-day police service in the UK is also effectively reliant on collaboration with various external and internal agencies that encourage the rights of liberty and security of the individual. </w:t>
      </w:r>
      <w:r w:rsidRPr="00CD794E">
        <w:br w:type="page"/>
      </w:r>
    </w:p>
    <w:p w14:paraId="00000016" w14:textId="77777777" w:rsidR="006D1922" w:rsidRPr="00CD794E" w:rsidRDefault="008E4195">
      <w:pPr>
        <w:pStyle w:val="Heading1"/>
      </w:pPr>
      <w:bookmarkStart w:id="5" w:name="_7hbwhfuxz3ih" w:colFirst="0" w:colLast="0"/>
      <w:bookmarkStart w:id="6" w:name="_Toc148548887"/>
      <w:bookmarkEnd w:id="5"/>
      <w:r w:rsidRPr="00CD794E">
        <w:t>Conclusion</w:t>
      </w:r>
      <w:bookmarkEnd w:id="6"/>
      <w:r w:rsidRPr="00CD794E">
        <w:t xml:space="preserve"> </w:t>
      </w:r>
    </w:p>
    <w:p w14:paraId="00000017" w14:textId="77777777" w:rsidR="006D1922" w:rsidRPr="00CD794E" w:rsidRDefault="008E4195">
      <w:r w:rsidRPr="00CD794E">
        <w:t xml:space="preserve">In conclusion, policing by consent is identified as one of the most essential elements for modern-day police service as it is responsible for enhancing the respect for individual rights, maintaining public safety and order and evidence-based decision-making for maintaining the safety and security of the public. This particular essay has described the concept in terms of the importance of policing by consent and its overall impact on the modern-day police service which is helpful in developing a collaborative and community-oriented procedure for law enforcement. </w:t>
      </w:r>
      <w:r w:rsidRPr="00CD794E">
        <w:br w:type="page"/>
      </w:r>
    </w:p>
    <w:p w14:paraId="00000018" w14:textId="77777777" w:rsidR="006D1922" w:rsidRPr="00CD794E" w:rsidRDefault="008E4195">
      <w:pPr>
        <w:pStyle w:val="Heading1"/>
      </w:pPr>
      <w:bookmarkStart w:id="7" w:name="_qzv2bgskt86q" w:colFirst="0" w:colLast="0"/>
      <w:bookmarkStart w:id="8" w:name="_Toc148548888"/>
      <w:bookmarkEnd w:id="7"/>
      <w:r w:rsidRPr="00CD794E">
        <w:t>Reference List</w:t>
      </w:r>
      <w:bookmarkEnd w:id="8"/>
    </w:p>
    <w:p w14:paraId="1B7397D6" w14:textId="77777777" w:rsidR="00463294" w:rsidRPr="00CD794E" w:rsidRDefault="00463294">
      <w:pPr>
        <w:spacing w:before="240" w:after="240"/>
      </w:pPr>
      <w:proofErr w:type="spellStart"/>
      <w:r w:rsidRPr="00CD794E">
        <w:rPr>
          <w:highlight w:val="white"/>
        </w:rPr>
        <w:t>Addidle</w:t>
      </w:r>
      <w:proofErr w:type="spellEnd"/>
      <w:r w:rsidRPr="00CD794E">
        <w:rPr>
          <w:highlight w:val="white"/>
        </w:rPr>
        <w:t xml:space="preserve">, G.D., 2022. Vulnerability and Risk–Policing Paradox. In </w:t>
      </w:r>
      <w:r w:rsidRPr="00CD794E">
        <w:rPr>
          <w:i/>
        </w:rPr>
        <w:t>Reimagining Public Sector Management: A New Age of Renewal and Renaissance?</w:t>
      </w:r>
      <w:r w:rsidRPr="00CD794E">
        <w:t xml:space="preserve"> (pp. 157-177). Emerald Publishing Limited.</w:t>
      </w:r>
    </w:p>
    <w:p w14:paraId="3C94BE6A" w14:textId="77777777" w:rsidR="00463294" w:rsidRPr="00CD794E" w:rsidRDefault="00463294">
      <w:pPr>
        <w:spacing w:before="240" w:after="240"/>
      </w:pPr>
      <w:r w:rsidRPr="00CD794E">
        <w:rPr>
          <w:highlight w:val="white"/>
        </w:rPr>
        <w:t xml:space="preserve">Caveney, N., Scott, P., Williams, S. and Howe-Walsh, L., 2020. Police reform, austerity and ‘cop culture’: time to change the record?. </w:t>
      </w:r>
      <w:r w:rsidRPr="00CD794E">
        <w:rPr>
          <w:i/>
        </w:rPr>
        <w:t>Policing and society</w:t>
      </w:r>
      <w:r w:rsidRPr="00CD794E">
        <w:t xml:space="preserve">, </w:t>
      </w:r>
      <w:r w:rsidRPr="00CD794E">
        <w:rPr>
          <w:i/>
        </w:rPr>
        <w:t>30</w:t>
      </w:r>
      <w:r w:rsidRPr="00CD794E">
        <w:t>(10), pp.1210-1225.</w:t>
      </w:r>
    </w:p>
    <w:p w14:paraId="3159C1E6" w14:textId="77777777" w:rsidR="00463294" w:rsidRPr="00CD794E" w:rsidRDefault="00463294">
      <w:pPr>
        <w:spacing w:before="240" w:after="240"/>
      </w:pPr>
      <w:r w:rsidRPr="00CD794E">
        <w:t xml:space="preserve">ECHR. 2023. </w:t>
      </w:r>
      <w:r w:rsidRPr="00CD794E">
        <w:rPr>
          <w:i/>
        </w:rPr>
        <w:t>European Convention on Human Rights</w:t>
      </w:r>
      <w:r w:rsidRPr="00CD794E">
        <w:t xml:space="preserve">. </w:t>
      </w:r>
      <w:r w:rsidRPr="00CD794E">
        <w:rPr>
          <w:i/>
        </w:rPr>
        <w:t xml:space="preserve">. </w:t>
      </w:r>
      <w:r w:rsidRPr="00CD794E">
        <w:t>[online]. Available at: https://www.echr.coe.int/documents/d/echr/convention_ENG [Accessed 16 October 2023].</w:t>
      </w:r>
    </w:p>
    <w:p w14:paraId="5B7062C7" w14:textId="77777777" w:rsidR="00463294" w:rsidRPr="00CD794E" w:rsidRDefault="00463294">
      <w:pPr>
        <w:spacing w:before="240" w:after="240"/>
      </w:pPr>
      <w:r w:rsidRPr="00CD794E">
        <w:rPr>
          <w:highlight w:val="white"/>
        </w:rPr>
        <w:t xml:space="preserve">Fairburn, J., 2021. Fairburn’s Abstract of the new Metropolitan Police act (1829), Excerpts. In </w:t>
      </w:r>
      <w:r w:rsidRPr="00CD794E">
        <w:rPr>
          <w:i/>
        </w:rPr>
        <w:t>The Making of the Modern Police, 1780–1914, Part I Vol 3</w:t>
      </w:r>
      <w:r w:rsidRPr="00CD794E">
        <w:t xml:space="preserve"> (pp. 115-121). Routledge.</w:t>
      </w:r>
    </w:p>
    <w:p w14:paraId="018A5E6A" w14:textId="77777777" w:rsidR="00463294" w:rsidRPr="00CD794E" w:rsidRDefault="00463294">
      <w:pPr>
        <w:spacing w:before="240" w:after="240"/>
      </w:pPr>
      <w:r w:rsidRPr="00CD794E">
        <w:rPr>
          <w:highlight w:val="white"/>
        </w:rPr>
        <w:t xml:space="preserve">Farrow, K., 2020. Policing the pandemic in the UK using the principles of procedural justice. </w:t>
      </w:r>
      <w:r w:rsidRPr="00CD794E">
        <w:rPr>
          <w:i/>
        </w:rPr>
        <w:t>Policing: a journal of policy and practice</w:t>
      </w:r>
      <w:r w:rsidRPr="00CD794E">
        <w:t xml:space="preserve">, </w:t>
      </w:r>
      <w:r w:rsidRPr="00CD794E">
        <w:rPr>
          <w:i/>
        </w:rPr>
        <w:t>14</w:t>
      </w:r>
      <w:r w:rsidRPr="00CD794E">
        <w:t>(3), pp.587-592.</w:t>
      </w:r>
    </w:p>
    <w:p w14:paraId="3454AE1F" w14:textId="77777777" w:rsidR="00463294" w:rsidRPr="00CD794E" w:rsidRDefault="00463294">
      <w:pPr>
        <w:spacing w:before="240" w:after="240"/>
      </w:pPr>
      <w:r w:rsidRPr="00CD794E">
        <w:rPr>
          <w:highlight w:val="white"/>
        </w:rPr>
        <w:t xml:space="preserve">Guerette, R.T., </w:t>
      </w:r>
      <w:proofErr w:type="spellStart"/>
      <w:r w:rsidRPr="00CD794E">
        <w:rPr>
          <w:highlight w:val="white"/>
        </w:rPr>
        <w:t>Przeszlowski</w:t>
      </w:r>
      <w:proofErr w:type="spellEnd"/>
      <w:r w:rsidRPr="00CD794E">
        <w:rPr>
          <w:highlight w:val="white"/>
        </w:rPr>
        <w:t xml:space="preserve">, K., Lee-Silcox, J. and </w:t>
      </w:r>
      <w:proofErr w:type="spellStart"/>
      <w:r w:rsidRPr="00CD794E">
        <w:rPr>
          <w:highlight w:val="white"/>
        </w:rPr>
        <w:t>Zgoba</w:t>
      </w:r>
      <w:proofErr w:type="spellEnd"/>
      <w:r w:rsidRPr="00CD794E">
        <w:rPr>
          <w:highlight w:val="white"/>
        </w:rPr>
        <w:t xml:space="preserve">, K.M., 2021. Improving policing through better analysis: an empirical assessment of a crime analysis training and enhancement project within an urban police department. </w:t>
      </w:r>
      <w:r w:rsidRPr="00CD794E">
        <w:rPr>
          <w:i/>
        </w:rPr>
        <w:t>Police Practice and Research</w:t>
      </w:r>
      <w:r w:rsidRPr="00CD794E">
        <w:t xml:space="preserve">, </w:t>
      </w:r>
      <w:r w:rsidRPr="00CD794E">
        <w:rPr>
          <w:i/>
        </w:rPr>
        <w:t>22</w:t>
      </w:r>
      <w:r w:rsidRPr="00CD794E">
        <w:t>(4), pp.1425-1442.</w:t>
      </w:r>
    </w:p>
    <w:p w14:paraId="2FA8BC26" w14:textId="77777777" w:rsidR="00463294" w:rsidRPr="00CD794E" w:rsidRDefault="00463294">
      <w:pPr>
        <w:spacing w:before="240" w:after="240"/>
      </w:pPr>
      <w:r w:rsidRPr="00CD794E">
        <w:rPr>
          <w:highlight w:val="white"/>
        </w:rPr>
        <w:t xml:space="preserve">Hough, M., 2020. </w:t>
      </w:r>
      <w:r w:rsidRPr="00CD794E">
        <w:rPr>
          <w:i/>
        </w:rPr>
        <w:t>Good policing: trust, legitimacy and authority</w:t>
      </w:r>
      <w:r w:rsidRPr="00CD794E">
        <w:t>. Policy Press.</w:t>
      </w:r>
    </w:p>
    <w:p w14:paraId="7746B775" w14:textId="77777777" w:rsidR="00463294" w:rsidRPr="00CD794E" w:rsidRDefault="00463294">
      <w:pPr>
        <w:spacing w:before="240" w:after="240"/>
      </w:pPr>
      <w:r w:rsidRPr="00CD794E">
        <w:rPr>
          <w:highlight w:val="white"/>
        </w:rPr>
        <w:t xml:space="preserve">Jefferson, T., 2023. </w:t>
      </w:r>
      <w:r w:rsidRPr="00CD794E">
        <w:rPr>
          <w:i/>
        </w:rPr>
        <w:t>The case against paramilitary policing</w:t>
      </w:r>
      <w:r w:rsidRPr="00CD794E">
        <w:t>. Taylor &amp; Francis.</w:t>
      </w:r>
    </w:p>
    <w:p w14:paraId="6EF90E28" w14:textId="77777777" w:rsidR="00463294" w:rsidRPr="00CD794E" w:rsidRDefault="00463294">
      <w:pPr>
        <w:spacing w:before="240" w:after="240"/>
      </w:pPr>
      <w:proofErr w:type="spellStart"/>
      <w:r w:rsidRPr="00CD794E">
        <w:rPr>
          <w:highlight w:val="white"/>
        </w:rPr>
        <w:t>Lupovici</w:t>
      </w:r>
      <w:proofErr w:type="spellEnd"/>
      <w:r w:rsidRPr="00CD794E">
        <w:rPr>
          <w:highlight w:val="white"/>
        </w:rPr>
        <w:t xml:space="preserve">, A., 2019. Toward a securitization theory of deterrence. </w:t>
      </w:r>
      <w:r w:rsidRPr="00CD794E">
        <w:rPr>
          <w:i/>
        </w:rPr>
        <w:t>International Studies Quarterly</w:t>
      </w:r>
      <w:r w:rsidRPr="00CD794E">
        <w:t xml:space="preserve">, </w:t>
      </w:r>
      <w:r w:rsidRPr="00CD794E">
        <w:rPr>
          <w:i/>
        </w:rPr>
        <w:t>63</w:t>
      </w:r>
      <w:r w:rsidRPr="00CD794E">
        <w:t>(1), pp.177-186.</w:t>
      </w:r>
    </w:p>
    <w:p w14:paraId="63A1067F" w14:textId="77777777" w:rsidR="00463294" w:rsidRPr="00CD794E" w:rsidRDefault="00463294">
      <w:pPr>
        <w:spacing w:before="240" w:after="240"/>
      </w:pPr>
      <w:r w:rsidRPr="00CD794E">
        <w:rPr>
          <w:highlight w:val="white"/>
        </w:rPr>
        <w:t xml:space="preserve">Morgan, R., 2023. ‘Policing by consent’: legitimating the doctrine. In </w:t>
      </w:r>
      <w:r w:rsidRPr="00CD794E">
        <w:rPr>
          <w:i/>
        </w:rPr>
        <w:t>Coming to terms with policing</w:t>
      </w:r>
      <w:r w:rsidRPr="00CD794E">
        <w:t xml:space="preserve"> (pp. 217-234). Routledge.</w:t>
      </w:r>
    </w:p>
    <w:p w14:paraId="33831A9E" w14:textId="77777777" w:rsidR="00463294" w:rsidRPr="00CD794E" w:rsidRDefault="00463294">
      <w:pPr>
        <w:spacing w:before="240" w:after="240"/>
      </w:pPr>
      <w:r w:rsidRPr="00CD794E">
        <w:rPr>
          <w:highlight w:val="white"/>
        </w:rPr>
        <w:t>ONS. 2023</w:t>
      </w:r>
      <w:r w:rsidRPr="00CD794E">
        <w:rPr>
          <w:i/>
          <w:highlight w:val="white"/>
        </w:rPr>
        <w:t xml:space="preserve">. </w:t>
      </w:r>
      <w:r w:rsidRPr="00CD794E">
        <w:rPr>
          <w:i/>
        </w:rPr>
        <w:t xml:space="preserve">Crime in England and Wales: year ending March 2023. </w:t>
      </w:r>
      <w:r w:rsidRPr="00CD794E">
        <w:t>[online]. Available at: https://www.ons.gov.uk/peoplepopulationandcommunity/crimeandjustice/bulletins/crimeinenglandandwales/yearendingmarch2023#:~:text=According%20to%20Crime%20Survey%20for,2020%20(10.2%20million%20offences). [Accessed 16 October 2023].</w:t>
      </w:r>
    </w:p>
    <w:p w14:paraId="47A0E921" w14:textId="77777777" w:rsidR="00463294" w:rsidRPr="00CD794E" w:rsidRDefault="00463294">
      <w:pPr>
        <w:spacing w:before="240" w:after="240"/>
      </w:pPr>
      <w:r w:rsidRPr="00CD794E">
        <w:rPr>
          <w:highlight w:val="white"/>
        </w:rPr>
        <w:t xml:space="preserve">Pickard, S., 2019. Excessive force, coercive policing and criminalisation of dissent: repressing young people’s protest in twenty-first century Britain. </w:t>
      </w:r>
      <w:proofErr w:type="spellStart"/>
      <w:r w:rsidRPr="00CD794E">
        <w:rPr>
          <w:i/>
        </w:rPr>
        <w:t>Revista</w:t>
      </w:r>
      <w:proofErr w:type="spellEnd"/>
      <w:r w:rsidRPr="00CD794E">
        <w:rPr>
          <w:i/>
        </w:rPr>
        <w:t xml:space="preserve"> Internacional de </w:t>
      </w:r>
      <w:proofErr w:type="spellStart"/>
      <w:r w:rsidRPr="00CD794E">
        <w:rPr>
          <w:i/>
        </w:rPr>
        <w:t>Sociología</w:t>
      </w:r>
      <w:proofErr w:type="spellEnd"/>
      <w:r w:rsidRPr="00CD794E">
        <w:t xml:space="preserve">, </w:t>
      </w:r>
      <w:r w:rsidRPr="00CD794E">
        <w:rPr>
          <w:i/>
        </w:rPr>
        <w:t>77</w:t>
      </w:r>
      <w:r w:rsidRPr="00CD794E">
        <w:t>(4), p.e139.</w:t>
      </w:r>
    </w:p>
    <w:p w14:paraId="031C66A4" w14:textId="77777777" w:rsidR="00463294" w:rsidRPr="00CD794E" w:rsidRDefault="00463294">
      <w:pPr>
        <w:spacing w:before="240" w:after="240"/>
      </w:pPr>
      <w:r w:rsidRPr="00CD794E">
        <w:rPr>
          <w:highlight w:val="white"/>
        </w:rPr>
        <w:t xml:space="preserve">Shannon, I. and Shannon, I., 2022. Policing by Consent. </w:t>
      </w:r>
      <w:r w:rsidRPr="00CD794E">
        <w:rPr>
          <w:i/>
        </w:rPr>
        <w:t>Chief Police Officers’ Stories of Legitimacy: Power, Protection, Consent and Control</w:t>
      </w:r>
      <w:r w:rsidRPr="00CD794E">
        <w:t>, pp.129-173.</w:t>
      </w:r>
    </w:p>
    <w:p w14:paraId="739A5846" w14:textId="77777777" w:rsidR="00463294" w:rsidRPr="00CD794E" w:rsidRDefault="00463294">
      <w:pPr>
        <w:spacing w:before="240" w:after="240"/>
      </w:pPr>
      <w:r w:rsidRPr="00CD794E">
        <w:rPr>
          <w:highlight w:val="white"/>
        </w:rPr>
        <w:t xml:space="preserve">Shapland, J. and </w:t>
      </w:r>
      <w:proofErr w:type="spellStart"/>
      <w:r w:rsidRPr="00CD794E">
        <w:rPr>
          <w:highlight w:val="white"/>
        </w:rPr>
        <w:t>Vagg</w:t>
      </w:r>
      <w:proofErr w:type="spellEnd"/>
      <w:r w:rsidRPr="00CD794E">
        <w:rPr>
          <w:highlight w:val="white"/>
        </w:rPr>
        <w:t xml:space="preserve">, J., 2023. </w:t>
      </w:r>
      <w:r w:rsidRPr="00CD794E">
        <w:rPr>
          <w:i/>
        </w:rPr>
        <w:t>Policing by the Public</w:t>
      </w:r>
      <w:r w:rsidRPr="00CD794E">
        <w:t>. Taylor &amp; Francis.</w:t>
      </w:r>
    </w:p>
    <w:p w14:paraId="00000027" w14:textId="77777777" w:rsidR="006D1922" w:rsidRPr="00CD794E" w:rsidRDefault="006D1922"/>
    <w:sectPr w:rsidR="006D1922" w:rsidRPr="00CD794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509BB" w14:textId="77777777" w:rsidR="008E4195" w:rsidRDefault="008E4195" w:rsidP="00CC4240">
      <w:pPr>
        <w:spacing w:line="240" w:lineRule="auto"/>
      </w:pPr>
      <w:r>
        <w:separator/>
      </w:r>
    </w:p>
  </w:endnote>
  <w:endnote w:type="continuationSeparator" w:id="0">
    <w:p w14:paraId="6DC0F737" w14:textId="77777777" w:rsidR="008E4195" w:rsidRDefault="008E4195" w:rsidP="00CC42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E6CCF" w14:textId="77777777" w:rsidR="001C4A12" w:rsidRDefault="001C4A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459622"/>
      <w:docPartObj>
        <w:docPartGallery w:val="Page Numbers (Bottom of Page)"/>
        <w:docPartUnique/>
      </w:docPartObj>
    </w:sdtPr>
    <w:sdtEndPr>
      <w:rPr>
        <w:noProof/>
      </w:rPr>
    </w:sdtEndPr>
    <w:sdtContent>
      <w:p w14:paraId="0DC838C9" w14:textId="707E6230" w:rsidR="00CC4240" w:rsidRDefault="00CC4240">
        <w:pPr>
          <w:pStyle w:val="Footer"/>
          <w:jc w:val="right"/>
        </w:pPr>
        <w:r>
          <w:fldChar w:fldCharType="begin"/>
        </w:r>
        <w:r>
          <w:instrText xml:space="preserve"> PAGE   \* MERGEFORMAT </w:instrText>
        </w:r>
        <w:r>
          <w:fldChar w:fldCharType="separate"/>
        </w:r>
        <w:r w:rsidR="004F7655">
          <w:rPr>
            <w:noProof/>
          </w:rPr>
          <w:t>11</w:t>
        </w:r>
        <w:r>
          <w:rPr>
            <w:noProof/>
          </w:rPr>
          <w:fldChar w:fldCharType="end"/>
        </w:r>
      </w:p>
    </w:sdtContent>
  </w:sdt>
  <w:p w14:paraId="69CD30BC" w14:textId="77777777" w:rsidR="00CC4240" w:rsidRDefault="00CC42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6A737" w14:textId="77777777" w:rsidR="001C4A12" w:rsidRDefault="001C4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DD80F" w14:textId="77777777" w:rsidR="008E4195" w:rsidRDefault="008E4195" w:rsidP="00CC4240">
      <w:pPr>
        <w:spacing w:line="240" w:lineRule="auto"/>
      </w:pPr>
      <w:r>
        <w:separator/>
      </w:r>
    </w:p>
  </w:footnote>
  <w:footnote w:type="continuationSeparator" w:id="0">
    <w:p w14:paraId="1D3ABADC" w14:textId="77777777" w:rsidR="008E4195" w:rsidRDefault="008E4195" w:rsidP="00CC424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2BA9B" w14:textId="77777777" w:rsidR="001C4A12" w:rsidRDefault="001C4A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47B7F" w14:textId="77777777" w:rsidR="001C4A12" w:rsidRDefault="001C4A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6F1C5B" w14:textId="77777777" w:rsidR="001C4A12" w:rsidRDefault="001C4A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1922"/>
    <w:rsid w:val="00195516"/>
    <w:rsid w:val="001C4A12"/>
    <w:rsid w:val="00463294"/>
    <w:rsid w:val="004F7655"/>
    <w:rsid w:val="005873E8"/>
    <w:rsid w:val="006D1922"/>
    <w:rsid w:val="0070359D"/>
    <w:rsid w:val="008002E9"/>
    <w:rsid w:val="008E4195"/>
    <w:rsid w:val="008F0313"/>
    <w:rsid w:val="008F5A43"/>
    <w:rsid w:val="008F6835"/>
    <w:rsid w:val="00A125EA"/>
    <w:rsid w:val="00CC4240"/>
    <w:rsid w:val="00CD794E"/>
    <w:rsid w:val="00E260B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8823FC"/>
  <w15:docId w15:val="{63E9914E-DCCF-43E2-B872-6DCC827D8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E260B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260BC"/>
    <w:pPr>
      <w:spacing w:after="100"/>
    </w:pPr>
  </w:style>
  <w:style w:type="character" w:styleId="Hyperlink">
    <w:name w:val="Hyperlink"/>
    <w:basedOn w:val="DefaultParagraphFont"/>
    <w:uiPriority w:val="99"/>
    <w:unhideWhenUsed/>
    <w:rsid w:val="00E260BC"/>
    <w:rPr>
      <w:color w:val="0000FF" w:themeColor="hyperlink"/>
      <w:u w:val="single"/>
    </w:rPr>
  </w:style>
  <w:style w:type="paragraph" w:styleId="Header">
    <w:name w:val="header"/>
    <w:basedOn w:val="Normal"/>
    <w:link w:val="HeaderChar"/>
    <w:uiPriority w:val="99"/>
    <w:unhideWhenUsed/>
    <w:rsid w:val="00CC4240"/>
    <w:pPr>
      <w:tabs>
        <w:tab w:val="center" w:pos="4513"/>
        <w:tab w:val="right" w:pos="9026"/>
      </w:tabs>
      <w:spacing w:line="240" w:lineRule="auto"/>
    </w:pPr>
  </w:style>
  <w:style w:type="character" w:customStyle="1" w:styleId="HeaderChar">
    <w:name w:val="Header Char"/>
    <w:basedOn w:val="DefaultParagraphFont"/>
    <w:link w:val="Header"/>
    <w:uiPriority w:val="99"/>
    <w:rsid w:val="00CC4240"/>
  </w:style>
  <w:style w:type="paragraph" w:styleId="Footer">
    <w:name w:val="footer"/>
    <w:basedOn w:val="Normal"/>
    <w:link w:val="FooterChar"/>
    <w:uiPriority w:val="99"/>
    <w:unhideWhenUsed/>
    <w:rsid w:val="00CC4240"/>
    <w:pPr>
      <w:tabs>
        <w:tab w:val="center" w:pos="4513"/>
        <w:tab w:val="right" w:pos="9026"/>
      </w:tabs>
      <w:spacing w:line="240" w:lineRule="auto"/>
    </w:pPr>
  </w:style>
  <w:style w:type="character" w:customStyle="1" w:styleId="FooterChar">
    <w:name w:val="Footer Char"/>
    <w:basedOn w:val="DefaultParagraphFont"/>
    <w:link w:val="Footer"/>
    <w:uiPriority w:val="99"/>
    <w:rsid w:val="00CC42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8C4334-0048-4EC3-AADD-6D0EA70EFC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1862</Words>
  <Characters>10616</Characters>
  <Application>Microsoft Office Word</Application>
  <DocSecurity>0</DocSecurity>
  <Lines>88</Lines>
  <Paragraphs>24</Paragraphs>
  <ScaleCrop>false</ScaleCrop>
  <Company/>
  <LinksUpToDate>false</LinksUpToDate>
  <CharactersWithSpaces>12454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Finca</dc:creator>
  <cp:lastModifiedBy>Dumitru Vasile Gomoescu (2223227)</cp:lastModifiedBy>
  <cp:revision>2</cp:revision>
  <dcterms:created xsi:type="dcterms:W3CDTF">2023-11-09T10:32:00Z</dcterms:created>
  <dcterms:modified xsi:type="dcterms:W3CDTF">2023-11-09T10:32:00Z</dcterms:modified>
</cp:coreProperties>
</file>