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89A7A" w14:textId="77777777" w:rsidR="000A1BE9" w:rsidRDefault="000A1BE9" w:rsidP="000A1BE9">
      <w:pPr>
        <w:jc w:val="center"/>
        <w:rPr>
          <w:b/>
          <w:bCs/>
          <w:u w:val="single"/>
        </w:rPr>
      </w:pPr>
      <w:r>
        <w:rPr>
          <w:b/>
          <w:bCs/>
          <w:u w:val="single"/>
        </w:rPr>
        <w:t>An Annotated Bibliography On The Notion Of ‘Evil’ In Saint Augustine’s Confessions</w:t>
      </w:r>
    </w:p>
    <w:p w14:paraId="12C08FEA" w14:textId="3EE45809" w:rsidR="000A1BE9" w:rsidRDefault="000A1BE9" w:rsidP="000A1BE9">
      <w:pPr>
        <w:widowControl w:val="0"/>
        <w:spacing w:after="120" w:line="285" w:lineRule="auto"/>
        <w:rPr>
          <w:rFonts w:eastAsia="Times New Roman"/>
          <w:b/>
          <w:bCs/>
          <w:color w:val="000000"/>
          <w:kern w:val="28"/>
          <w:lang w:eastAsia="en-GB"/>
          <w14:cntxtAlts/>
        </w:rPr>
      </w:pPr>
      <w:bookmarkStart w:id="0" w:name="_Hlk61719265"/>
      <w:r w:rsidRPr="000A1BE9">
        <w:rPr>
          <w:rFonts w:eastAsia="Times New Roman"/>
          <w:b/>
          <w:bCs/>
          <w:i/>
          <w:iCs/>
          <w:color w:val="000000"/>
          <w:kern w:val="28"/>
          <w:lang w:eastAsia="en-GB"/>
          <w14:cntxtAlts/>
        </w:rPr>
        <w:t>The Catholic Bible: Douay-Rheims Version</w:t>
      </w:r>
      <w:r w:rsidR="002C6A8C">
        <w:rPr>
          <w:rFonts w:eastAsia="Times New Roman"/>
          <w:b/>
          <w:bCs/>
          <w:color w:val="000000"/>
          <w:kern w:val="28"/>
          <w:lang w:eastAsia="en-GB"/>
          <w14:cntxtAlts/>
        </w:rPr>
        <w:t>,</w:t>
      </w:r>
      <w:r w:rsidRPr="000A1BE9">
        <w:rPr>
          <w:rFonts w:eastAsia="Times New Roman"/>
          <w:b/>
          <w:bCs/>
          <w:color w:val="000000"/>
          <w:kern w:val="28"/>
          <w:lang w:eastAsia="en-GB"/>
          <w14:cntxtAlts/>
        </w:rPr>
        <w:t xml:space="preserve"> </w:t>
      </w:r>
      <w:r w:rsidR="002C6A8C">
        <w:rPr>
          <w:rFonts w:eastAsia="Times New Roman"/>
          <w:b/>
          <w:bCs/>
          <w:color w:val="000000"/>
          <w:kern w:val="28"/>
          <w:lang w:eastAsia="en-GB"/>
          <w14:cntxtAlts/>
        </w:rPr>
        <w:t>(</w:t>
      </w:r>
      <w:r w:rsidRPr="000A1BE9">
        <w:rPr>
          <w:rFonts w:eastAsia="Times New Roman"/>
          <w:b/>
          <w:bCs/>
          <w:color w:val="000000"/>
          <w:kern w:val="28"/>
          <w:lang w:eastAsia="en-GB"/>
          <w14:cntxtAlts/>
        </w:rPr>
        <w:t>Cobh</w:t>
      </w:r>
      <w:r w:rsidR="002C6A8C">
        <w:rPr>
          <w:rFonts w:eastAsia="Times New Roman"/>
          <w:b/>
          <w:bCs/>
          <w:color w:val="000000"/>
          <w:kern w:val="28"/>
          <w:lang w:eastAsia="en-GB"/>
          <w14:cntxtAlts/>
        </w:rPr>
        <w:t>,</w:t>
      </w:r>
      <w:r w:rsidRPr="000A1BE9">
        <w:rPr>
          <w:rFonts w:eastAsia="Times New Roman"/>
          <w:b/>
          <w:bCs/>
          <w:color w:val="000000"/>
          <w:kern w:val="28"/>
          <w:lang w:eastAsia="en-GB"/>
          <w14:cntxtAlts/>
        </w:rPr>
        <w:t xml:space="preserve"> St. Benedict's Priory</w:t>
      </w:r>
      <w:r w:rsidR="002C6A8C">
        <w:rPr>
          <w:rFonts w:eastAsia="Times New Roman"/>
          <w:b/>
          <w:bCs/>
          <w:color w:val="000000"/>
          <w:kern w:val="28"/>
          <w:lang w:eastAsia="en-GB"/>
          <w14:cntxtAlts/>
        </w:rPr>
        <w:t>, 2009)</w:t>
      </w:r>
      <w:r w:rsidRPr="000A1BE9">
        <w:rPr>
          <w:rFonts w:eastAsia="Times New Roman"/>
          <w:b/>
          <w:bCs/>
          <w:color w:val="000000"/>
          <w:kern w:val="28"/>
          <w:lang w:eastAsia="en-GB"/>
          <w14:cntxtAlts/>
        </w:rPr>
        <w:t>.</w:t>
      </w:r>
    </w:p>
    <w:bookmarkEnd w:id="0"/>
    <w:p w14:paraId="1067BD28" w14:textId="7CDE90A2" w:rsidR="005F3E2C" w:rsidRDefault="000A1BE9" w:rsidP="002C6A8C">
      <w:pPr>
        <w:widowControl w:val="0"/>
        <w:spacing w:after="120" w:line="285" w:lineRule="auto"/>
        <w:ind w:firstLine="720"/>
        <w:jc w:val="both"/>
        <w:rPr>
          <w:rFonts w:eastAsia="Times New Roman"/>
          <w:color w:val="000000"/>
          <w:kern w:val="28"/>
          <w:lang w:eastAsia="en-GB"/>
          <w14:cntxtAlts/>
        </w:rPr>
      </w:pPr>
      <w:r>
        <w:rPr>
          <w:rFonts w:eastAsia="Times New Roman"/>
          <w:color w:val="000000"/>
          <w:kern w:val="28"/>
          <w:lang w:eastAsia="en-GB"/>
          <w14:cntxtAlts/>
        </w:rPr>
        <w:t xml:space="preserve">The variant of the Bible </w:t>
      </w:r>
      <w:r w:rsidR="00E31D17">
        <w:rPr>
          <w:rFonts w:eastAsia="Times New Roman"/>
          <w:color w:val="000000"/>
          <w:kern w:val="28"/>
          <w:lang w:eastAsia="en-GB"/>
          <w14:cntxtAlts/>
        </w:rPr>
        <w:t xml:space="preserve">commonly </w:t>
      </w:r>
      <w:r>
        <w:rPr>
          <w:rFonts w:eastAsia="Times New Roman"/>
          <w:color w:val="000000"/>
          <w:kern w:val="28"/>
          <w:lang w:eastAsia="en-GB"/>
          <w14:cntxtAlts/>
        </w:rPr>
        <w:t xml:space="preserve">used by </w:t>
      </w:r>
      <w:r w:rsidR="00E31D17">
        <w:rPr>
          <w:rFonts w:eastAsia="Times New Roman"/>
          <w:color w:val="000000"/>
          <w:kern w:val="28"/>
          <w:lang w:eastAsia="en-GB"/>
          <w14:cntxtAlts/>
        </w:rPr>
        <w:t xml:space="preserve">Roman </w:t>
      </w:r>
      <w:r>
        <w:rPr>
          <w:rFonts w:eastAsia="Times New Roman"/>
          <w:color w:val="000000"/>
          <w:kern w:val="28"/>
          <w:lang w:eastAsia="en-GB"/>
          <w14:cntxtAlts/>
        </w:rPr>
        <w:t>Catholics</w:t>
      </w:r>
      <w:r w:rsidR="00E31D17">
        <w:rPr>
          <w:rFonts w:eastAsia="Times New Roman"/>
          <w:color w:val="000000"/>
          <w:kern w:val="28"/>
          <w:lang w:eastAsia="en-GB"/>
          <w14:cntxtAlts/>
        </w:rPr>
        <w:t xml:space="preserve">, this version was </w:t>
      </w:r>
      <w:r>
        <w:rPr>
          <w:rFonts w:eastAsia="Times New Roman"/>
          <w:color w:val="000000"/>
          <w:kern w:val="28"/>
          <w:lang w:eastAsia="en-GB"/>
          <w14:cntxtAlts/>
        </w:rPr>
        <w:t>translated into English</w:t>
      </w:r>
      <w:r w:rsidR="00E70880">
        <w:rPr>
          <w:rFonts w:eastAsia="Times New Roman"/>
          <w:color w:val="000000"/>
          <w:kern w:val="28"/>
          <w:lang w:eastAsia="en-GB"/>
          <w14:cntxtAlts/>
        </w:rPr>
        <w:t xml:space="preserve"> in 1582, from the Latin-Vulgate, and was the first English translation of the Bible</w:t>
      </w:r>
      <w:r w:rsidR="00E70880">
        <w:rPr>
          <w:rStyle w:val="FootnoteReference"/>
          <w:rFonts w:eastAsia="Times New Roman"/>
          <w:color w:val="000000"/>
          <w:kern w:val="28"/>
          <w:lang w:eastAsia="en-GB"/>
          <w14:cntxtAlts/>
        </w:rPr>
        <w:footnoteReference w:id="1"/>
      </w:r>
      <w:r w:rsidR="00E70880">
        <w:rPr>
          <w:rFonts w:eastAsia="Times New Roman"/>
          <w:color w:val="000000"/>
          <w:kern w:val="28"/>
          <w:lang w:eastAsia="en-GB"/>
          <w14:cntxtAlts/>
        </w:rPr>
        <w:t>. The Latin-Vulgate from which this version is translated was, itself, translated from various Hebrew, Greek, and other Latin versions</w:t>
      </w:r>
      <w:r w:rsidR="000F44FE">
        <w:rPr>
          <w:rFonts w:eastAsia="Times New Roman"/>
          <w:color w:val="000000"/>
          <w:kern w:val="28"/>
          <w:lang w:eastAsia="en-GB"/>
          <w14:cntxtAlts/>
        </w:rPr>
        <w:t xml:space="preserve"> by Saint Jerome, in the late fourth century</w:t>
      </w:r>
      <w:r w:rsidR="00C0695E">
        <w:rPr>
          <w:rFonts w:eastAsia="Times New Roman"/>
          <w:color w:val="000000"/>
          <w:kern w:val="28"/>
          <w:lang w:eastAsia="en-GB"/>
          <w14:cntxtAlts/>
        </w:rPr>
        <w:t xml:space="preserve"> at the request of Pope Damascus</w:t>
      </w:r>
      <w:r w:rsidR="000F44FE">
        <w:rPr>
          <w:rStyle w:val="FootnoteReference"/>
          <w:rFonts w:eastAsia="Times New Roman"/>
          <w:color w:val="000000"/>
          <w:kern w:val="28"/>
          <w:lang w:eastAsia="en-GB"/>
          <w14:cntxtAlts/>
        </w:rPr>
        <w:footnoteReference w:id="2"/>
      </w:r>
      <w:r w:rsidR="000F44FE">
        <w:rPr>
          <w:rFonts w:eastAsia="Times New Roman"/>
          <w:color w:val="000000"/>
          <w:kern w:val="28"/>
          <w:lang w:eastAsia="en-GB"/>
          <w14:cntxtAlts/>
        </w:rPr>
        <w:t>. Saint Jerome, the translator, was a contemporary of Saint Augustine</w:t>
      </w:r>
      <w:r w:rsidR="00C64C76">
        <w:rPr>
          <w:rFonts w:eastAsia="Times New Roman"/>
          <w:color w:val="000000"/>
          <w:kern w:val="28"/>
          <w:lang w:eastAsia="en-GB"/>
          <w14:cntxtAlts/>
        </w:rPr>
        <w:t>, and a man with whom’s work Saint Augustine was familiar</w:t>
      </w:r>
      <w:r w:rsidR="00C0695E">
        <w:rPr>
          <w:rFonts w:eastAsia="Times New Roman"/>
          <w:color w:val="000000"/>
          <w:kern w:val="28"/>
          <w:lang w:eastAsia="en-GB"/>
          <w14:cntxtAlts/>
        </w:rPr>
        <w:t>; while Saint Jerome was translating the Old Testament, Saint Augustine criticised his use of the original Hebrew, and no other translation</w:t>
      </w:r>
      <w:r w:rsidR="00C0695E">
        <w:rPr>
          <w:rStyle w:val="FootnoteReference"/>
          <w:rFonts w:eastAsia="Times New Roman"/>
          <w:color w:val="000000"/>
          <w:kern w:val="28"/>
          <w:lang w:eastAsia="en-GB"/>
          <w14:cntxtAlts/>
        </w:rPr>
        <w:footnoteReference w:id="3"/>
      </w:r>
      <w:r w:rsidR="00C0695E">
        <w:rPr>
          <w:rFonts w:eastAsia="Times New Roman"/>
          <w:color w:val="000000"/>
          <w:kern w:val="28"/>
          <w:lang w:eastAsia="en-GB"/>
          <w14:cntxtAlts/>
        </w:rPr>
        <w:t>. As the translation of New Testament was commission by Pope Damascus, lacked the controversy of the Old Testament translation, was contemporary to Augustine’s bishopric, and was translated by a writer familiar to Sain</w:t>
      </w:r>
      <w:r w:rsidR="00503764">
        <w:rPr>
          <w:rFonts w:eastAsia="Times New Roman"/>
          <w:color w:val="000000"/>
          <w:kern w:val="28"/>
          <w:lang w:eastAsia="en-GB"/>
          <w14:cntxtAlts/>
        </w:rPr>
        <w:t>t</w:t>
      </w:r>
      <w:r w:rsidR="00C0695E">
        <w:rPr>
          <w:rFonts w:eastAsia="Times New Roman"/>
          <w:color w:val="000000"/>
          <w:kern w:val="28"/>
          <w:lang w:eastAsia="en-GB"/>
          <w14:cntxtAlts/>
        </w:rPr>
        <w:t xml:space="preserve"> Augustine, it is probable that</w:t>
      </w:r>
      <w:r w:rsidR="00503764">
        <w:rPr>
          <w:rFonts w:eastAsia="Times New Roman"/>
          <w:color w:val="000000"/>
          <w:kern w:val="28"/>
          <w:lang w:eastAsia="en-GB"/>
          <w14:cntxtAlts/>
        </w:rPr>
        <w:t xml:space="preserve"> Saint Augustine read, and used, the Latin-Vulgate version of the New Testament, and his perception of Christian morals may have been influenced by this translation. As it was translated from the Latin-Vulgate, the Douay-Rheims Bible, at least in the New Testament, is, therefore, the closest version of the Bible – available in English – to the Bible which would have informed Saint Augustine’s notion of Christian morality. As such it shall be a valuable resource in my essay on the notion of ‘evil’ in Saint Augustine’s Confessions.</w:t>
      </w:r>
    </w:p>
    <w:p w14:paraId="015F8AC5" w14:textId="1AB198BF" w:rsidR="00503764" w:rsidRDefault="002C6A8C" w:rsidP="00503764">
      <w:pPr>
        <w:widowControl w:val="0"/>
        <w:spacing w:after="120" w:line="285" w:lineRule="auto"/>
        <w:rPr>
          <w:rFonts w:eastAsia="Times New Roman"/>
          <w:b/>
          <w:bCs/>
          <w:color w:val="000000"/>
          <w:kern w:val="28"/>
          <w:lang w:eastAsia="en-GB"/>
          <w14:cntxtAlts/>
        </w:rPr>
      </w:pPr>
      <w:bookmarkStart w:id="2" w:name="_Hlk61719293"/>
      <w:r>
        <w:rPr>
          <w:rFonts w:eastAsia="Times New Roman"/>
          <w:b/>
          <w:bCs/>
          <w:color w:val="000000"/>
          <w:kern w:val="28"/>
          <w:lang w:eastAsia="en-GB"/>
          <w14:cntxtAlts/>
        </w:rPr>
        <w:t xml:space="preserve">Russel, J. B., </w:t>
      </w:r>
      <w:r w:rsidRPr="002C6A8C">
        <w:rPr>
          <w:rFonts w:eastAsia="Times New Roman"/>
          <w:b/>
          <w:bCs/>
          <w:i/>
          <w:iCs/>
          <w:color w:val="000000"/>
          <w:kern w:val="28"/>
          <w:lang w:eastAsia="en-GB"/>
          <w14:cntxtAlts/>
        </w:rPr>
        <w:t>The Devil: Perceptions of Evil from Antiquity to Primitive Christianity</w:t>
      </w:r>
      <w:r>
        <w:rPr>
          <w:rFonts w:eastAsia="Times New Roman"/>
          <w:b/>
          <w:bCs/>
          <w:color w:val="000000"/>
          <w:kern w:val="28"/>
          <w:lang w:eastAsia="en-GB"/>
          <w14:cntxtAlts/>
        </w:rPr>
        <w:t>, (New York, Cornell University Press, 1977).</w:t>
      </w:r>
    </w:p>
    <w:bookmarkEnd w:id="2"/>
    <w:p w14:paraId="2A3D901C" w14:textId="015F3B61" w:rsidR="002C6A8C" w:rsidRDefault="002C6A8C" w:rsidP="002C6A8C">
      <w:pPr>
        <w:widowControl w:val="0"/>
        <w:spacing w:after="120" w:line="285" w:lineRule="auto"/>
        <w:jc w:val="both"/>
        <w:rPr>
          <w:rFonts w:eastAsia="Times New Roman"/>
          <w:color w:val="000000"/>
          <w:kern w:val="28"/>
          <w:lang w:eastAsia="en-GB"/>
          <w14:cntxtAlts/>
        </w:rPr>
      </w:pPr>
      <w:r>
        <w:rPr>
          <w:rFonts w:eastAsia="Times New Roman"/>
          <w:color w:val="000000"/>
          <w:kern w:val="28"/>
          <w:lang w:eastAsia="en-GB"/>
          <w14:cntxtAlts/>
        </w:rPr>
        <w:tab/>
        <w:t>In this book Russel discusses how the notion of evil developed during antiquity, and early Christianity. In his discussion of the Platonic idea of evil, that evil does not exist, or rather does not exist independently, and is only a name for lack of perfection, Russel refers to this idea’s influence on early Christin fathers, amongst them Saint Augustine</w:t>
      </w:r>
      <w:r>
        <w:rPr>
          <w:rStyle w:val="FootnoteReference"/>
          <w:rFonts w:eastAsia="Times New Roman"/>
          <w:color w:val="000000"/>
          <w:kern w:val="28"/>
          <w:lang w:eastAsia="en-GB"/>
          <w14:cntxtAlts/>
        </w:rPr>
        <w:footnoteReference w:id="4"/>
      </w:r>
      <w:r>
        <w:rPr>
          <w:rFonts w:eastAsia="Times New Roman"/>
          <w:color w:val="000000"/>
          <w:kern w:val="28"/>
          <w:lang w:eastAsia="en-GB"/>
          <w14:cntxtAlts/>
        </w:rPr>
        <w:t xml:space="preserve">. </w:t>
      </w:r>
      <w:r w:rsidR="00F93013">
        <w:rPr>
          <w:rFonts w:eastAsia="Times New Roman"/>
          <w:color w:val="000000"/>
          <w:kern w:val="28"/>
          <w:lang w:eastAsia="en-GB"/>
          <w14:cntxtAlts/>
        </w:rPr>
        <w:t>Considering his hostility to the Manicheanism, i</w:t>
      </w:r>
      <w:r>
        <w:rPr>
          <w:rFonts w:eastAsia="Times New Roman"/>
          <w:color w:val="000000"/>
          <w:kern w:val="28"/>
          <w:lang w:eastAsia="en-GB"/>
          <w14:cntxtAlts/>
        </w:rPr>
        <w:t xml:space="preserve">t is clear to see why this </w:t>
      </w:r>
      <w:r w:rsidR="00F93013">
        <w:rPr>
          <w:rFonts w:eastAsia="Times New Roman"/>
          <w:color w:val="000000"/>
          <w:kern w:val="28"/>
          <w:lang w:eastAsia="en-GB"/>
          <w14:cntxtAlts/>
        </w:rPr>
        <w:t>notion of evil would have resonated with Saint Augustine, it goes against the Manichean idea of the Dark, independent from good, represented by the Light, and distinctly different from it, and the epitome of evil</w:t>
      </w:r>
      <w:r w:rsidR="00F93013">
        <w:rPr>
          <w:rStyle w:val="FootnoteReference"/>
          <w:rFonts w:eastAsia="Times New Roman"/>
          <w:color w:val="000000"/>
          <w:kern w:val="28"/>
          <w:lang w:eastAsia="en-GB"/>
          <w14:cntxtAlts/>
        </w:rPr>
        <w:footnoteReference w:id="5"/>
      </w:r>
      <w:r w:rsidR="00C069AA">
        <w:rPr>
          <w:rFonts w:eastAsia="Times New Roman"/>
          <w:color w:val="000000"/>
          <w:kern w:val="28"/>
          <w:lang w:eastAsia="en-GB"/>
          <w14:cntxtAlts/>
        </w:rPr>
        <w:t>. It follows that Saint Augustine would have, as Russel relates, been influence by an idea of evil which is entirely other than the Manichean one. Russel goes on to discuss Skeptic views on evil, this too might aid the understanding of the notions of evil in Saint Augustine’s confessions, as – prior to his conversion the Christianity – Saint Augustine had been familiar with Skeptic teachings</w:t>
      </w:r>
      <w:r w:rsidR="006240D4">
        <w:rPr>
          <w:rStyle w:val="FootnoteReference"/>
          <w:rFonts w:eastAsia="Times New Roman"/>
          <w:color w:val="000000"/>
          <w:kern w:val="28"/>
          <w:lang w:eastAsia="en-GB"/>
          <w14:cntxtAlts/>
        </w:rPr>
        <w:footnoteReference w:id="6"/>
      </w:r>
      <w:r w:rsidR="006240D4">
        <w:rPr>
          <w:rFonts w:eastAsia="Times New Roman"/>
          <w:color w:val="000000"/>
          <w:kern w:val="28"/>
          <w:lang w:eastAsia="en-GB"/>
          <w14:cntxtAlts/>
        </w:rPr>
        <w:t>.</w:t>
      </w:r>
      <w:r w:rsidR="00C069AA">
        <w:rPr>
          <w:rFonts w:eastAsia="Times New Roman"/>
          <w:color w:val="000000"/>
          <w:kern w:val="28"/>
          <w:lang w:eastAsia="en-GB"/>
          <w14:cntxtAlts/>
        </w:rPr>
        <w:t xml:space="preserve"> A</w:t>
      </w:r>
      <w:r w:rsidR="006240D4">
        <w:rPr>
          <w:rFonts w:eastAsia="Times New Roman"/>
          <w:color w:val="000000"/>
          <w:kern w:val="28"/>
          <w:lang w:eastAsia="en-GB"/>
          <w14:cntxtAlts/>
        </w:rPr>
        <w:t>s it explores some of the key influences on Christian notions of evil, including those which are relevant to Saint Augustine, this is a very relevant source.</w:t>
      </w:r>
    </w:p>
    <w:p w14:paraId="6D5136BF" w14:textId="77777777" w:rsidR="00EA3C49" w:rsidRDefault="00EA3C49" w:rsidP="002C6A8C">
      <w:pPr>
        <w:widowControl w:val="0"/>
        <w:spacing w:after="120" w:line="285" w:lineRule="auto"/>
        <w:jc w:val="both"/>
        <w:rPr>
          <w:rFonts w:eastAsia="Times New Roman"/>
          <w:b/>
          <w:bCs/>
          <w:color w:val="000000"/>
          <w:kern w:val="28"/>
          <w:lang w:eastAsia="en-GB"/>
          <w14:cntxtAlts/>
        </w:rPr>
      </w:pPr>
      <w:bookmarkStart w:id="5" w:name="_Hlk61719328"/>
      <w:r>
        <w:rPr>
          <w:rFonts w:eastAsia="Times New Roman"/>
          <w:b/>
          <w:bCs/>
          <w:color w:val="000000"/>
          <w:kern w:val="28"/>
          <w:lang w:eastAsia="en-GB"/>
          <w14:cntxtAlts/>
        </w:rPr>
        <w:t xml:space="preserve">Chilcott, C. M., ‘The Platonic Theory of Evil’, </w:t>
      </w:r>
      <w:r>
        <w:rPr>
          <w:rFonts w:eastAsia="Times New Roman"/>
          <w:b/>
          <w:bCs/>
          <w:i/>
          <w:iCs/>
          <w:color w:val="000000"/>
          <w:kern w:val="28"/>
          <w:lang w:eastAsia="en-GB"/>
          <w14:cntxtAlts/>
        </w:rPr>
        <w:t>The Classical Quarterly</w:t>
      </w:r>
      <w:r>
        <w:rPr>
          <w:rFonts w:eastAsia="Times New Roman"/>
          <w:b/>
          <w:bCs/>
          <w:color w:val="000000"/>
          <w:kern w:val="28"/>
          <w:lang w:eastAsia="en-GB"/>
          <w14:cntxtAlts/>
        </w:rPr>
        <w:t>, Vol. 17, No. 1 (1923). Pp. 27-31.</w:t>
      </w:r>
      <w:bookmarkEnd w:id="5"/>
    </w:p>
    <w:p w14:paraId="3D759636" w14:textId="3DB18AB7" w:rsidR="00EA3C49" w:rsidRDefault="00EA3C49" w:rsidP="002C6A8C">
      <w:pPr>
        <w:widowControl w:val="0"/>
        <w:spacing w:after="120" w:line="285" w:lineRule="auto"/>
        <w:jc w:val="both"/>
        <w:rPr>
          <w:rFonts w:eastAsia="Times New Roman"/>
          <w:color w:val="000000"/>
          <w:kern w:val="28"/>
          <w:lang w:eastAsia="en-GB"/>
          <w14:cntxtAlts/>
        </w:rPr>
      </w:pPr>
      <w:r>
        <w:rPr>
          <w:rFonts w:eastAsia="Times New Roman"/>
          <w:color w:val="000000"/>
          <w:kern w:val="28"/>
          <w:lang w:eastAsia="en-GB"/>
          <w14:cntxtAlts/>
        </w:rPr>
        <w:tab/>
        <w:t>This article explores, in depth. Plato’s notions of evil,</w:t>
      </w:r>
      <w:r w:rsidR="00747EBF">
        <w:rPr>
          <w:rFonts w:eastAsia="Times New Roman"/>
          <w:color w:val="000000"/>
          <w:kern w:val="28"/>
          <w:lang w:eastAsia="en-GB"/>
          <w14:cntxtAlts/>
        </w:rPr>
        <w:t xml:space="preserve"> which as noted above were very influential upon </w:t>
      </w:r>
      <w:r w:rsidR="00BD5D70">
        <w:rPr>
          <w:rFonts w:eastAsia="Times New Roman"/>
          <w:color w:val="000000"/>
          <w:kern w:val="28"/>
          <w:lang w:eastAsia="en-GB"/>
          <w14:cntxtAlts/>
        </w:rPr>
        <w:t xml:space="preserve">Saint </w:t>
      </w:r>
      <w:r w:rsidR="00747EBF">
        <w:rPr>
          <w:rFonts w:eastAsia="Times New Roman"/>
          <w:color w:val="000000"/>
          <w:kern w:val="28"/>
          <w:lang w:eastAsia="en-GB"/>
          <w14:cntxtAlts/>
        </w:rPr>
        <w:t xml:space="preserve">Augustine. Russel’s work, as described above, does offer a good overview of how such individuals as Plato influenced Christian perceptions of evil, but this supplies background details which are invaluable. As discussed Platonic teachings on evil would have resonated with </w:t>
      </w:r>
      <w:r w:rsidR="00BD5D70">
        <w:rPr>
          <w:rFonts w:eastAsia="Times New Roman"/>
          <w:color w:val="000000"/>
          <w:kern w:val="28"/>
          <w:lang w:eastAsia="en-GB"/>
          <w14:cntxtAlts/>
        </w:rPr>
        <w:t xml:space="preserve">Saint </w:t>
      </w:r>
      <w:r w:rsidR="00747EBF">
        <w:rPr>
          <w:rFonts w:eastAsia="Times New Roman"/>
          <w:color w:val="000000"/>
          <w:kern w:val="28"/>
          <w:lang w:eastAsia="en-GB"/>
          <w14:cntxtAlts/>
        </w:rPr>
        <w:t>Augustin</w:t>
      </w:r>
      <w:r w:rsidR="00BD5D70">
        <w:rPr>
          <w:rFonts w:eastAsia="Times New Roman"/>
          <w:color w:val="000000"/>
          <w:kern w:val="28"/>
          <w:lang w:eastAsia="en-GB"/>
          <w14:cntxtAlts/>
        </w:rPr>
        <w:t>e</w:t>
      </w:r>
      <w:r w:rsidR="00747EBF">
        <w:rPr>
          <w:rFonts w:eastAsia="Times New Roman"/>
          <w:color w:val="000000"/>
          <w:kern w:val="28"/>
          <w:lang w:eastAsia="en-GB"/>
          <w14:cntxtAlts/>
        </w:rPr>
        <w:t xml:space="preserve"> due to their opposition to those of Manicheanism, this opposition is even more apparent here</w:t>
      </w:r>
      <w:r w:rsidR="00760677">
        <w:rPr>
          <w:rFonts w:eastAsia="Times New Roman"/>
          <w:color w:val="000000"/>
          <w:kern w:val="28"/>
          <w:lang w:eastAsia="en-GB"/>
          <w14:cntxtAlts/>
        </w:rPr>
        <w:t>, as Chilcott discusses, Platonic theories on evil are not dualistic, unlike the Manichean teaching</w:t>
      </w:r>
      <w:r w:rsidR="00760677">
        <w:rPr>
          <w:rStyle w:val="FootnoteReference"/>
          <w:rFonts w:eastAsia="Times New Roman"/>
          <w:color w:val="000000"/>
          <w:kern w:val="28"/>
          <w:lang w:eastAsia="en-GB"/>
          <w14:cntxtAlts/>
        </w:rPr>
        <w:footnoteReference w:id="7"/>
      </w:r>
      <w:r w:rsidR="00760677">
        <w:rPr>
          <w:rFonts w:eastAsia="Times New Roman"/>
          <w:color w:val="000000"/>
          <w:kern w:val="28"/>
          <w:lang w:eastAsia="en-GB"/>
          <w14:cntxtAlts/>
        </w:rPr>
        <w:t xml:space="preserve">. Being a more in-depth resource on Platonic evil, </w:t>
      </w:r>
      <w:r w:rsidR="00E43FF2">
        <w:rPr>
          <w:rFonts w:eastAsia="Times New Roman"/>
          <w:color w:val="000000"/>
          <w:kern w:val="28"/>
          <w:lang w:eastAsia="en-GB"/>
          <w14:cntxtAlts/>
        </w:rPr>
        <w:t>this source offers a good amount of context on the Russel text above.</w:t>
      </w:r>
    </w:p>
    <w:p w14:paraId="4D85F194" w14:textId="3810D899" w:rsidR="00E43FF2" w:rsidRDefault="00E43FF2" w:rsidP="002C6A8C">
      <w:pPr>
        <w:widowControl w:val="0"/>
        <w:spacing w:after="120" w:line="285" w:lineRule="auto"/>
        <w:jc w:val="both"/>
        <w:rPr>
          <w:b/>
          <w:bCs/>
        </w:rPr>
      </w:pPr>
      <w:bookmarkStart w:id="6" w:name="_Hlk61719357"/>
      <w:r w:rsidRPr="00E43FF2">
        <w:rPr>
          <w:b/>
          <w:bCs/>
        </w:rPr>
        <w:lastRenderedPageBreak/>
        <w:t>Dutton</w:t>
      </w:r>
      <w:r>
        <w:rPr>
          <w:b/>
          <w:bCs/>
        </w:rPr>
        <w:t xml:space="preserve"> B. D.</w:t>
      </w:r>
      <w:r w:rsidRPr="00E43FF2">
        <w:rPr>
          <w:b/>
          <w:bCs/>
        </w:rPr>
        <w:t xml:space="preserve">, </w:t>
      </w:r>
      <w:r w:rsidRPr="00E43FF2">
        <w:rPr>
          <w:b/>
          <w:bCs/>
          <w:i/>
          <w:iCs/>
        </w:rPr>
        <w:t>Augustine and Academic Skepticism: A Philosophical Study</w:t>
      </w:r>
      <w:r w:rsidRPr="00E43FF2">
        <w:rPr>
          <w:b/>
          <w:bCs/>
        </w:rPr>
        <w:t>, (New York, Cornell University Press, 2016)</w:t>
      </w:r>
      <w:r>
        <w:rPr>
          <w:b/>
          <w:bCs/>
        </w:rPr>
        <w:t>.</w:t>
      </w:r>
    </w:p>
    <w:bookmarkEnd w:id="6"/>
    <w:p w14:paraId="79523CA5" w14:textId="7AFCC159" w:rsidR="00E43FF2" w:rsidRDefault="00E43FF2" w:rsidP="002C6A8C">
      <w:pPr>
        <w:widowControl w:val="0"/>
        <w:spacing w:after="120" w:line="285" w:lineRule="auto"/>
        <w:jc w:val="both"/>
      </w:pPr>
      <w:r>
        <w:tab/>
        <w:t>This book looks at Saint</w:t>
      </w:r>
      <w:r w:rsidR="00BD5D70">
        <w:t xml:space="preserve"> Augustine’s philosophy, and how it related to Skepticism. I discussed above how Saint Augustine’s familiarity with Skeptics might have made an impression upon his notion of evil, and while this is true, the Russel book addresses Skepticism rather briefly. Whereas Dutton goes into far more detail regarding </w:t>
      </w:r>
      <w:r w:rsidR="00C57F4F">
        <w:t>Skepticism, and Saint Augustine’s</w:t>
      </w:r>
      <w:r w:rsidR="00BD5D70">
        <w:t xml:space="preserve"> relationship</w:t>
      </w:r>
      <w:r w:rsidR="00C57F4F">
        <w:t xml:space="preserve"> with it</w:t>
      </w:r>
      <w:r w:rsidR="00BD5D70">
        <w:t xml:space="preserve">. </w:t>
      </w:r>
      <w:r w:rsidR="00C57F4F">
        <w:t xml:space="preserve">The Skeptic notion of evil, </w:t>
      </w:r>
      <w:r w:rsidR="00B453A3">
        <w:t>is that it cannot be known, suspending judgement was their way</w:t>
      </w:r>
      <w:r w:rsidR="00B453A3">
        <w:rPr>
          <w:rStyle w:val="FootnoteReference"/>
        </w:rPr>
        <w:footnoteReference w:id="8"/>
      </w:r>
      <w:r w:rsidR="00B453A3">
        <w:t xml:space="preserve">. This relates to </w:t>
      </w:r>
      <w:r w:rsidR="0039419A">
        <w:t xml:space="preserve">Saint </w:t>
      </w:r>
      <w:r w:rsidR="00B453A3">
        <w:t>Augustin</w:t>
      </w:r>
      <w:r w:rsidR="0039419A">
        <w:t>e</w:t>
      </w:r>
      <w:r w:rsidR="00B453A3">
        <w:t xml:space="preserve">’s notion of evil by the contrast between them, and – with regards to Confessions – how – on reflection- </w:t>
      </w:r>
      <w:r w:rsidR="0039419A">
        <w:t xml:space="preserve">Saint </w:t>
      </w:r>
      <w:r w:rsidR="00B453A3">
        <w:t>Augustine came to condemn many of his actions, which – under Skepticism – would have been unjudged.</w:t>
      </w:r>
    </w:p>
    <w:p w14:paraId="135C0BE3" w14:textId="6FE996DA" w:rsidR="00B453A3" w:rsidRDefault="00B453A3" w:rsidP="002C6A8C">
      <w:pPr>
        <w:widowControl w:val="0"/>
        <w:spacing w:after="120" w:line="285" w:lineRule="auto"/>
        <w:jc w:val="both"/>
        <w:rPr>
          <w:rFonts w:eastAsia="Times New Roman"/>
          <w:b/>
          <w:bCs/>
          <w:color w:val="000000"/>
          <w:kern w:val="28"/>
          <w:lang w:eastAsia="en-GB"/>
          <w14:cntxtAlts/>
        </w:rPr>
      </w:pPr>
      <w:bookmarkStart w:id="7" w:name="_Hlk61639588"/>
      <w:r w:rsidRPr="00B61DC3">
        <w:rPr>
          <w:rFonts w:eastAsia="Times New Roman"/>
          <w:b/>
          <w:bCs/>
          <w:color w:val="000000"/>
          <w:kern w:val="28"/>
          <w:lang w:eastAsia="en-GB"/>
          <w14:cntxtAlts/>
        </w:rPr>
        <w:t xml:space="preserve">Aurelius Augustinus Hipponensis, </w:t>
      </w:r>
      <w:r w:rsidRPr="00B61DC3">
        <w:rPr>
          <w:rFonts w:eastAsia="Times New Roman"/>
          <w:b/>
          <w:bCs/>
          <w:i/>
          <w:iCs/>
          <w:color w:val="000000"/>
          <w:kern w:val="28"/>
          <w:lang w:eastAsia="en-GB"/>
          <w14:cntxtAlts/>
        </w:rPr>
        <w:t>The</w:t>
      </w:r>
      <w:r w:rsidR="00B61DC3" w:rsidRPr="00B61DC3">
        <w:rPr>
          <w:rFonts w:eastAsia="Times New Roman"/>
          <w:b/>
          <w:bCs/>
          <w:i/>
          <w:iCs/>
          <w:color w:val="000000"/>
          <w:kern w:val="28"/>
          <w:lang w:eastAsia="en-GB"/>
          <w14:cntxtAlts/>
        </w:rPr>
        <w:t xml:space="preserve"> Rule of Saint Augustine</w:t>
      </w:r>
      <w:r w:rsidR="00B61DC3" w:rsidRPr="00B61DC3">
        <w:rPr>
          <w:rFonts w:eastAsia="Times New Roman"/>
          <w:b/>
          <w:bCs/>
          <w:color w:val="000000"/>
          <w:kern w:val="28"/>
          <w:lang w:eastAsia="en-GB"/>
          <w14:cntxtAlts/>
        </w:rPr>
        <w:t>, trans. by Canning, R., ed. by Van Bavel T. J, (New York, Image Books, 1986).</w:t>
      </w:r>
    </w:p>
    <w:bookmarkEnd w:id="7"/>
    <w:p w14:paraId="6F4D2799" w14:textId="706E5503" w:rsidR="005E47FC" w:rsidRDefault="005E47FC" w:rsidP="002C6A8C">
      <w:pPr>
        <w:widowControl w:val="0"/>
        <w:spacing w:after="120" w:line="285" w:lineRule="auto"/>
        <w:jc w:val="both"/>
        <w:rPr>
          <w:rFonts w:eastAsia="Times New Roman"/>
          <w:color w:val="000000"/>
          <w:kern w:val="28"/>
          <w:lang w:eastAsia="en-GB"/>
          <w14:cntxtAlts/>
        </w:rPr>
      </w:pPr>
      <w:r>
        <w:rPr>
          <w:rFonts w:eastAsia="Times New Roman"/>
          <w:color w:val="000000"/>
          <w:kern w:val="28"/>
          <w:lang w:eastAsia="en-GB"/>
          <w14:cntxtAlts/>
        </w:rPr>
        <w:tab/>
        <w:t>Written by Saint Augustine himself in 397, around 10 years after his conversion, and at roughly the same time as Confessions, this text describes the rules by which Saint Augustine wished his early monastic community to live</w:t>
      </w:r>
      <w:r>
        <w:rPr>
          <w:rStyle w:val="FootnoteReference"/>
          <w:rFonts w:eastAsia="Times New Roman"/>
          <w:color w:val="000000"/>
          <w:kern w:val="28"/>
          <w:lang w:eastAsia="en-GB"/>
          <w14:cntxtAlts/>
        </w:rPr>
        <w:footnoteReference w:id="9"/>
      </w:r>
      <w:r>
        <w:rPr>
          <w:rFonts w:eastAsia="Times New Roman"/>
          <w:color w:val="000000"/>
          <w:kern w:val="28"/>
          <w:lang w:eastAsia="en-GB"/>
          <w14:cntxtAlts/>
        </w:rPr>
        <w:t xml:space="preserve">. </w:t>
      </w:r>
      <w:r w:rsidR="00267E1B">
        <w:rPr>
          <w:rFonts w:eastAsia="Times New Roman"/>
          <w:color w:val="000000"/>
          <w:kern w:val="28"/>
          <w:lang w:eastAsia="en-GB"/>
          <w14:cntxtAlts/>
        </w:rPr>
        <w:t xml:space="preserve">In this book Saint Augustine discusses – amongst other things – monks’ mutual responsibility in good and evil, and – concerning sexual matters in particular – it gives a good idea of Saint Augustine’s notion of evil – in </w:t>
      </w:r>
      <w:r w:rsidR="00A24F66">
        <w:rPr>
          <w:rFonts w:eastAsia="Times New Roman"/>
          <w:color w:val="000000"/>
          <w:kern w:val="28"/>
          <w:lang w:eastAsia="en-GB"/>
          <w14:cntxtAlts/>
        </w:rPr>
        <w:t>particular,</w:t>
      </w:r>
      <w:r w:rsidR="00267E1B">
        <w:rPr>
          <w:rFonts w:eastAsia="Times New Roman"/>
          <w:color w:val="000000"/>
          <w:kern w:val="28"/>
          <w:lang w:eastAsia="en-GB"/>
          <w14:cntxtAlts/>
        </w:rPr>
        <w:t xml:space="preserve"> the amount of personal agency involved in good, or ill acts</w:t>
      </w:r>
      <w:r w:rsidR="00267E1B">
        <w:rPr>
          <w:rStyle w:val="FootnoteReference"/>
          <w:rFonts w:eastAsia="Times New Roman"/>
          <w:color w:val="000000"/>
          <w:kern w:val="28"/>
          <w:lang w:eastAsia="en-GB"/>
          <w14:cntxtAlts/>
        </w:rPr>
        <w:footnoteReference w:id="10"/>
      </w:r>
      <w:r w:rsidR="00267E1B">
        <w:rPr>
          <w:rFonts w:eastAsia="Times New Roman"/>
          <w:color w:val="000000"/>
          <w:kern w:val="28"/>
          <w:lang w:eastAsia="en-GB"/>
          <w14:cntxtAlts/>
        </w:rPr>
        <w:t xml:space="preserve">. As it was written at roughly the same time, and by the same author, as Confessions, The Rule of Saint Augustine is liable to have significant overlap with Confession, and – indeed – it does. Notably </w:t>
      </w:r>
      <w:r w:rsidR="00883ABB">
        <w:rPr>
          <w:rFonts w:eastAsia="Times New Roman"/>
          <w:color w:val="000000"/>
          <w:kern w:val="28"/>
          <w:lang w:eastAsia="en-GB"/>
          <w14:cntxtAlts/>
        </w:rPr>
        <w:t>The Rule of Saint Augustine’s attitude regarding the evils which can come from a monk’s lust for women in reminiscent of the way Saint Augustine chastises himself for his youthful lustful indiscretions in Confessions, and further the emphasis that he places on the responsibility for sin being his monks’ is consistent with his hostility towards doctrines which diminish personal responsibility. It is clear that The Rule of Saint Augustine details the sins, and human responsibility for them, outlined in Confessions, but – as a source – it has an advantage over Confessions in the fact that it is far easier to read – much of the detail being localised to one section, rather than being spread out over a book – and discusses Saint Augustine’s notions of evil in a practical way, rather than a philosophical</w:t>
      </w:r>
      <w:r w:rsidR="004A0367">
        <w:rPr>
          <w:rFonts w:eastAsia="Times New Roman"/>
          <w:color w:val="000000"/>
          <w:kern w:val="28"/>
          <w:lang w:eastAsia="en-GB"/>
          <w14:cntxtAlts/>
        </w:rPr>
        <w:t xml:space="preserve"> way. As such it offers both new information, and aids understanding of that which Saint Augustine discusses in Confessions, meaning it is likely to be a high value source.</w:t>
      </w:r>
    </w:p>
    <w:p w14:paraId="5898BD54" w14:textId="7790E44E" w:rsidR="0016297E" w:rsidRDefault="0016297E" w:rsidP="002C6A8C">
      <w:pPr>
        <w:widowControl w:val="0"/>
        <w:spacing w:after="120" w:line="285" w:lineRule="auto"/>
        <w:jc w:val="both"/>
        <w:rPr>
          <w:b/>
          <w:bCs/>
        </w:rPr>
      </w:pPr>
      <w:bookmarkStart w:id="9" w:name="_Hlk61719488"/>
      <w:r w:rsidRPr="0016297E">
        <w:rPr>
          <w:b/>
          <w:bCs/>
        </w:rPr>
        <w:t xml:space="preserve">Burkitt, </w:t>
      </w:r>
      <w:r w:rsidRPr="0016297E">
        <w:rPr>
          <w:b/>
          <w:bCs/>
        </w:rPr>
        <w:t xml:space="preserve">F. C., </w:t>
      </w:r>
      <w:r w:rsidRPr="0016297E">
        <w:rPr>
          <w:b/>
          <w:bCs/>
          <w:i/>
          <w:iCs/>
        </w:rPr>
        <w:t>The Religion of the Manichees: Donnellan Lectures for 1924</w:t>
      </w:r>
      <w:r w:rsidRPr="0016297E">
        <w:rPr>
          <w:b/>
          <w:bCs/>
        </w:rPr>
        <w:t>, (Cambridge, Cambridge University Press, 1925)</w:t>
      </w:r>
      <w:r>
        <w:rPr>
          <w:b/>
          <w:bCs/>
        </w:rPr>
        <w:t>.</w:t>
      </w:r>
    </w:p>
    <w:bookmarkEnd w:id="9"/>
    <w:p w14:paraId="36F2A6F8" w14:textId="67E4D412" w:rsidR="00DC4EA4" w:rsidRDefault="0039419A" w:rsidP="002C6A8C">
      <w:pPr>
        <w:widowControl w:val="0"/>
        <w:spacing w:after="120" w:line="285" w:lineRule="auto"/>
        <w:jc w:val="both"/>
      </w:pPr>
      <w:r>
        <w:tab/>
        <w:t>Burkitt offers a fairly detailed exploration of the Manichee faith, a religion with which Saint Augustine had a long, and interesting relationship. As I have mentioned above, by the time he wrote Confessions, Saint Augustine was rather hostile towards the Manichees, indeed this hostility may be why he was so fond of Platonic notions of evil, as discussed above. In his book, Burkitt discusses the dualistic, literal, Manichee notion of evil – that it physically exists as the Dark, and is separate from its benevolent counterpart of the Light, and this notion is a perfect contrast to Saint Augustine’s non-dualist, abstract notion of evil</w:t>
      </w:r>
      <w:r w:rsidR="003C4E73">
        <w:t>, which I have discusses</w:t>
      </w:r>
      <w:r>
        <w:rPr>
          <w:rStyle w:val="FootnoteReference"/>
        </w:rPr>
        <w:footnoteReference w:id="11"/>
      </w:r>
      <w:r>
        <w:t>.</w:t>
      </w:r>
      <w:r w:rsidR="003C4E73">
        <w:t xml:space="preserve"> This contrast serves to highlight Saint Augustine’s </w:t>
      </w:r>
      <w:r w:rsidR="00DC4EA4">
        <w:t>notions of evil</w:t>
      </w:r>
      <w:r w:rsidR="003C4E73">
        <w:t>, and further, as – according to Burkitt – much of the information in his book is drawn from contemporary accounts of the faith</w:t>
      </w:r>
      <w:r w:rsidR="00DC4EA4">
        <w:t xml:space="preserve"> –</w:t>
      </w:r>
      <w:r w:rsidR="003C4E73">
        <w:t xml:space="preserve"> including those of Saint Augustine</w:t>
      </w:r>
      <w:r w:rsidR="00DC4EA4">
        <w:t>, it informs on the particular aspects of evil which Saint Augustine saw within the Manichean faith</w:t>
      </w:r>
      <w:r w:rsidR="00DC4EA4">
        <w:rPr>
          <w:rStyle w:val="FootnoteReference"/>
        </w:rPr>
        <w:footnoteReference w:id="12"/>
      </w:r>
      <w:r w:rsidR="00DC4EA4">
        <w:t>. As such it may be a useful source.</w:t>
      </w:r>
    </w:p>
    <w:p w14:paraId="50A89C11" w14:textId="77777777" w:rsidR="00DA64B9" w:rsidRDefault="00DA64B9" w:rsidP="002C6A8C">
      <w:pPr>
        <w:widowControl w:val="0"/>
        <w:spacing w:after="120" w:line="285" w:lineRule="auto"/>
        <w:jc w:val="both"/>
      </w:pPr>
    </w:p>
    <w:p w14:paraId="07A1C222" w14:textId="117C2FB6" w:rsidR="00DC4EA4" w:rsidRDefault="00A24F66" w:rsidP="002C6A8C">
      <w:pPr>
        <w:widowControl w:val="0"/>
        <w:spacing w:after="120" w:line="285" w:lineRule="auto"/>
        <w:jc w:val="both"/>
        <w:rPr>
          <w:b/>
          <w:bCs/>
        </w:rPr>
      </w:pPr>
      <w:bookmarkStart w:id="10" w:name="_Hlk61711396"/>
      <w:r>
        <w:rPr>
          <w:b/>
          <w:bCs/>
        </w:rPr>
        <w:lastRenderedPageBreak/>
        <w:t xml:space="preserve">Evans, G. R., </w:t>
      </w:r>
      <w:r>
        <w:rPr>
          <w:b/>
          <w:bCs/>
          <w:i/>
          <w:iCs/>
        </w:rPr>
        <w:t>Augustine on Evil</w:t>
      </w:r>
      <w:r>
        <w:rPr>
          <w:b/>
          <w:bCs/>
        </w:rPr>
        <w:t>, (Cambridge, Cambridge University Press, 1990).</w:t>
      </w:r>
    </w:p>
    <w:bookmarkEnd w:id="10"/>
    <w:p w14:paraId="5979B9BA" w14:textId="607B2D85" w:rsidR="00DC4EA4" w:rsidRDefault="00A24F66" w:rsidP="002C6A8C">
      <w:pPr>
        <w:widowControl w:val="0"/>
        <w:spacing w:after="120" w:line="285" w:lineRule="auto"/>
        <w:jc w:val="both"/>
      </w:pPr>
      <w:r>
        <w:tab/>
        <w:t>In this book Evans discusses Saint Augustine’s notions of evil, as he interprets them, based on a range of the saint’s works, Confessions amongst them</w:t>
      </w:r>
      <w:r>
        <w:rPr>
          <w:rStyle w:val="FootnoteReference"/>
        </w:rPr>
        <w:footnoteReference w:id="13"/>
      </w:r>
      <w:r>
        <w:t>. Evan’s discussion of Confession</w:t>
      </w:r>
      <w:r w:rsidR="00652516">
        <w:t>s</w:t>
      </w:r>
      <w:r>
        <w:t xml:space="preserve"> alone is greatly detailed, </w:t>
      </w:r>
      <w:r w:rsidR="00652516">
        <w:t>and offers inciteful analysis of Saint Augustine’s notion of evil, and, how it developed over the course of writing Confessions. His interpretation will be invaluable in how I develop my own. Further, his analysis of Saint Augustine’s notion of evil is enhanced by the fact that he pulls from a range of the saint’s works, offering a more complete image of his notions of evil, and a chance to see how it changed, and developed over the course of his life. As such, this is likely to be a source of great value.</w:t>
      </w:r>
    </w:p>
    <w:p w14:paraId="708E37DB" w14:textId="0FE562B6" w:rsidR="00652516" w:rsidRDefault="00652516" w:rsidP="002C6A8C">
      <w:pPr>
        <w:widowControl w:val="0"/>
        <w:spacing w:after="120" w:line="285" w:lineRule="auto"/>
        <w:jc w:val="both"/>
        <w:rPr>
          <w:b/>
          <w:bCs/>
        </w:rPr>
      </w:pPr>
      <w:bookmarkStart w:id="11" w:name="_Hlk61713079"/>
      <w:r>
        <w:rPr>
          <w:b/>
          <w:bCs/>
        </w:rPr>
        <w:t xml:space="preserve">Flescher, A. M., </w:t>
      </w:r>
      <w:r w:rsidR="006575AB">
        <w:rPr>
          <w:b/>
          <w:bCs/>
          <w:i/>
          <w:iCs/>
        </w:rPr>
        <w:t>Moral Evil</w:t>
      </w:r>
      <w:r w:rsidR="006575AB">
        <w:rPr>
          <w:b/>
          <w:bCs/>
        </w:rPr>
        <w:t>, (Washington, D.C., Georgetown University Press, 2013).</w:t>
      </w:r>
    </w:p>
    <w:bookmarkEnd w:id="11"/>
    <w:p w14:paraId="6E089431" w14:textId="7EA82BA6" w:rsidR="006575AB" w:rsidRDefault="006575AB" w:rsidP="002C6A8C">
      <w:pPr>
        <w:widowControl w:val="0"/>
        <w:spacing w:after="120" w:line="285" w:lineRule="auto"/>
        <w:jc w:val="both"/>
      </w:pPr>
      <w:r>
        <w:tab/>
        <w:t>In this book Flescher explores the nature of moral evil, and – in his fourth chapter – the notion of evil as an absence of good, which Saint Augustine was a proponent of</w:t>
      </w:r>
      <w:r w:rsidR="00D42F89">
        <w:t>, with reference both to Saint Augustine’s own view, and how subsequent theologians have interpreted him</w:t>
      </w:r>
      <w:r>
        <w:rPr>
          <w:rStyle w:val="FootnoteReference"/>
        </w:rPr>
        <w:footnoteReference w:id="14"/>
      </w:r>
      <w:r w:rsidR="00D42F89">
        <w:t xml:space="preserve">. For an essay on Saint Augustine’s notions of evil this is likely to be useful, it will enable me to incorporate a number of interpretations into my own discussion. Although </w:t>
      </w:r>
      <w:r w:rsidR="00C4748B">
        <w:t>it should be noticed that the interpretations which Flescher uses are mostly from western Christian authors, perhaps limiting the range of view expressed</w:t>
      </w:r>
      <w:r w:rsidR="005F3EDB">
        <w:rPr>
          <w:rStyle w:val="FootnoteReference"/>
        </w:rPr>
        <w:footnoteReference w:id="15"/>
      </w:r>
      <w:r w:rsidR="00C4748B">
        <w:t xml:space="preserve">. None the less, it still offers some valuable interpretation, and – used in combination with Evans’ rather more secular interpretation </w:t>
      </w:r>
      <w:r w:rsidR="005F3EDB">
        <w:t>–</w:t>
      </w:r>
      <w:r w:rsidR="00C4748B">
        <w:t xml:space="preserve"> </w:t>
      </w:r>
      <w:r w:rsidR="005F3EDB">
        <w:t>shall be a good source.</w:t>
      </w:r>
    </w:p>
    <w:p w14:paraId="149F7FA9" w14:textId="1E9F0D75" w:rsidR="005F3EDB" w:rsidRDefault="005F3EDB" w:rsidP="002C6A8C">
      <w:pPr>
        <w:widowControl w:val="0"/>
        <w:spacing w:after="120" w:line="285" w:lineRule="auto"/>
        <w:jc w:val="both"/>
        <w:rPr>
          <w:b/>
          <w:bCs/>
        </w:rPr>
      </w:pPr>
      <w:bookmarkStart w:id="12" w:name="_Hlk61716879"/>
      <w:r>
        <w:rPr>
          <w:b/>
          <w:bCs/>
        </w:rPr>
        <w:t xml:space="preserve">Neiman, S., </w:t>
      </w:r>
      <w:r w:rsidRPr="005F3EDB">
        <w:rPr>
          <w:b/>
          <w:bCs/>
          <w:i/>
          <w:iCs/>
        </w:rPr>
        <w:t>Evil in Modern Thought: An Alternative History of Philosophy</w:t>
      </w:r>
      <w:r w:rsidR="00584191">
        <w:rPr>
          <w:b/>
          <w:bCs/>
        </w:rPr>
        <w:t>, (New Jersey, Princeton University Press</w:t>
      </w:r>
      <w:r w:rsidR="000A1BE0">
        <w:rPr>
          <w:b/>
          <w:bCs/>
        </w:rPr>
        <w:t>, 2015).</w:t>
      </w:r>
    </w:p>
    <w:bookmarkEnd w:id="12"/>
    <w:p w14:paraId="56D3F50E" w14:textId="373FEA14" w:rsidR="000A1BE0" w:rsidRDefault="000A1BE0" w:rsidP="002C6A8C">
      <w:pPr>
        <w:widowControl w:val="0"/>
        <w:spacing w:after="120" w:line="285" w:lineRule="auto"/>
        <w:jc w:val="both"/>
      </w:pPr>
      <w:r>
        <w:tab/>
        <w:t xml:space="preserve">Like Flescher, Neiman explores the nature of evil, albeit from a more historical perspective, which is – perhaps – a better format for exploring Saint Augustine’s notion of evil. Certainly, the historical perspective offered by Neiman </w:t>
      </w:r>
      <w:r w:rsidR="00DA64B9">
        <w:t xml:space="preserve">better </w:t>
      </w:r>
      <w:r>
        <w:t xml:space="preserve">allows a reader to </w:t>
      </w:r>
      <w:r w:rsidR="00DA64B9">
        <w:t>see Saint Augustine’s notions of evil have been interpreted over the centuries, and – by looking at a range of historical interpretations, Nieman ensures a variety of perspectives, meaning that this may be a useful source for informing my interpretations</w:t>
      </w:r>
      <w:r w:rsidR="007E7859">
        <w:rPr>
          <w:rStyle w:val="FootnoteReference"/>
        </w:rPr>
        <w:footnoteReference w:id="16"/>
      </w:r>
      <w:r w:rsidR="00DA64B9">
        <w:t xml:space="preserve">. Of course, Neiman’s focus on more modern scholars – relative to Saint Augustine – does mean that she, herself, offers no direct interpretation of the Augustinian notions, but this can be seen indirectly via her interpretation of scholars who, themselves, base their notion of evil on Saint Augustine. This being so, </w:t>
      </w:r>
      <w:r w:rsidR="007E7859">
        <w:t>this may be a valuable source.</w:t>
      </w:r>
    </w:p>
    <w:p w14:paraId="0D6A049E" w14:textId="7865C1DD" w:rsidR="007E7859" w:rsidRDefault="007E7859" w:rsidP="002C6A8C">
      <w:pPr>
        <w:widowControl w:val="0"/>
        <w:spacing w:after="120" w:line="285" w:lineRule="auto"/>
        <w:jc w:val="both"/>
        <w:rPr>
          <w:b/>
          <w:bCs/>
        </w:rPr>
      </w:pPr>
      <w:bookmarkStart w:id="13" w:name="_Hlk61718060"/>
      <w:r>
        <w:rPr>
          <w:b/>
          <w:bCs/>
        </w:rPr>
        <w:t>Von Stuckrad. K., ‘</w:t>
      </w:r>
      <w:r w:rsidRPr="007E7859">
        <w:rPr>
          <w:b/>
          <w:bCs/>
        </w:rPr>
        <w:t>Jewish and Christian Astrology in Late Antiquity: A New Approach</w:t>
      </w:r>
      <w:r>
        <w:rPr>
          <w:b/>
          <w:bCs/>
        </w:rPr>
        <w:t xml:space="preserve">’, </w:t>
      </w:r>
      <w:r>
        <w:rPr>
          <w:b/>
          <w:bCs/>
          <w:i/>
          <w:iCs/>
        </w:rPr>
        <w:t>Numen</w:t>
      </w:r>
      <w:r>
        <w:rPr>
          <w:b/>
          <w:bCs/>
        </w:rPr>
        <w:t>, Vol. 47, No. 1 (2000). Pp. 1-40.</w:t>
      </w:r>
    </w:p>
    <w:bookmarkEnd w:id="13"/>
    <w:p w14:paraId="72CB2575" w14:textId="3021F60B" w:rsidR="007E7859" w:rsidRDefault="007E7859" w:rsidP="002C6A8C">
      <w:pPr>
        <w:widowControl w:val="0"/>
        <w:spacing w:after="120" w:line="285" w:lineRule="auto"/>
        <w:jc w:val="both"/>
      </w:pPr>
      <w:r>
        <w:tab/>
        <w:t>In this article Von Stuckrad investigates Late Antique, mono-theistic, astrology</w:t>
      </w:r>
      <w:r w:rsidR="000336C3">
        <w:t>. It is clear from Confessions that, in his early life, Saint Augustine was familiar with astrology, and would later come to find it objectionable</w:t>
      </w:r>
      <w:r w:rsidR="000336C3">
        <w:rPr>
          <w:rStyle w:val="FootnoteReference"/>
        </w:rPr>
        <w:footnoteReference w:id="17"/>
      </w:r>
      <w:r w:rsidR="000336C3">
        <w:t>. As such it is probably that astrology would have influence Saint Augustine, and Von Stuckrad offers a good overview of the kind of astrology, in its many variations, which may have influenced the saint</w:t>
      </w:r>
      <w:r w:rsidR="000336C3">
        <w:rPr>
          <w:rStyle w:val="FootnoteReference"/>
        </w:rPr>
        <w:footnoteReference w:id="18"/>
      </w:r>
      <w:r w:rsidR="000336C3">
        <w:t>. In relation to Saint Augustine’s notion</w:t>
      </w:r>
      <w:r w:rsidR="003E52EF">
        <w:t xml:space="preserve">s of evil, much can be supposed from Saint Augustine’s later objection to the practice, it being contrary to his belief in human agency in evil, and – as Von Stuckrad’s discusses – </w:t>
      </w:r>
      <w:r w:rsidR="002A77DF">
        <w:t>notion that the act of astrology is evil</w:t>
      </w:r>
      <w:r w:rsidR="002A77DF">
        <w:rPr>
          <w:rStyle w:val="FootnoteReference"/>
        </w:rPr>
        <w:footnoteReference w:id="19"/>
      </w:r>
      <w:r w:rsidR="002A77DF">
        <w:t>. Von Stuckrad also supplies background on the notions of determinism, and self-determinism, the latter of which is of primary significance to Saint Augustine’s notion of evil, which may aid my understanding of this vital aspect</w:t>
      </w:r>
      <w:r w:rsidR="002A77DF">
        <w:rPr>
          <w:rStyle w:val="FootnoteReference"/>
        </w:rPr>
        <w:footnoteReference w:id="20"/>
      </w:r>
      <w:r w:rsidR="002A77DF">
        <w:t>. This being so, this article is likely to be a useful source.</w:t>
      </w:r>
    </w:p>
    <w:p w14:paraId="17E8B5C5" w14:textId="42C36AAE" w:rsidR="002A77DF" w:rsidRDefault="002A77DF" w:rsidP="002C6A8C">
      <w:pPr>
        <w:widowControl w:val="0"/>
        <w:spacing w:after="120" w:line="285" w:lineRule="auto"/>
        <w:jc w:val="both"/>
        <w:rPr>
          <w:b/>
          <w:bCs/>
          <w:u w:val="single"/>
        </w:rPr>
      </w:pPr>
      <w:r w:rsidRPr="00C91664">
        <w:rPr>
          <w:b/>
          <w:bCs/>
          <w:u w:val="single"/>
        </w:rPr>
        <w:lastRenderedPageBreak/>
        <w:t>Bibliography</w:t>
      </w:r>
    </w:p>
    <w:p w14:paraId="5DE06CBA" w14:textId="6AFB14F3" w:rsidR="00C91664" w:rsidRDefault="00C91664" w:rsidP="002C6A8C">
      <w:pPr>
        <w:widowControl w:val="0"/>
        <w:spacing w:after="120" w:line="285" w:lineRule="auto"/>
        <w:jc w:val="both"/>
        <w:rPr>
          <w:b/>
          <w:bCs/>
        </w:rPr>
      </w:pPr>
      <w:r>
        <w:rPr>
          <w:b/>
          <w:bCs/>
        </w:rPr>
        <w:t>Primary Sources</w:t>
      </w:r>
    </w:p>
    <w:p w14:paraId="7862A185" w14:textId="77777777" w:rsidR="00C91664" w:rsidRPr="00C91664" w:rsidRDefault="00C91664" w:rsidP="00C91664">
      <w:pPr>
        <w:widowControl w:val="0"/>
        <w:spacing w:afterLines="120" w:after="288" w:line="285" w:lineRule="auto"/>
        <w:jc w:val="both"/>
      </w:pPr>
      <w:r>
        <w:t xml:space="preserve">Aurelius Augustinus Hipponensis, </w:t>
      </w:r>
      <w:r>
        <w:rPr>
          <w:i/>
          <w:iCs/>
        </w:rPr>
        <w:t>Confessions</w:t>
      </w:r>
      <w:r>
        <w:t>, trans. by H. Chadwick, (Oxford, Oxford University Press, 1991).</w:t>
      </w:r>
    </w:p>
    <w:p w14:paraId="027C4FE3" w14:textId="77777777" w:rsidR="00C91664" w:rsidRPr="00C91664" w:rsidRDefault="00C91664" w:rsidP="00C91664">
      <w:pPr>
        <w:widowControl w:val="0"/>
        <w:spacing w:afterLines="120" w:after="288" w:line="285" w:lineRule="auto"/>
        <w:jc w:val="both"/>
        <w:rPr>
          <w:rFonts w:eastAsia="Times New Roman"/>
          <w:color w:val="000000"/>
          <w:kern w:val="28"/>
          <w:lang w:eastAsia="en-GB"/>
          <w14:cntxtAlts/>
        </w:rPr>
      </w:pPr>
      <w:r w:rsidRPr="00C91664">
        <w:rPr>
          <w:rFonts w:eastAsia="Times New Roman"/>
          <w:color w:val="000000"/>
          <w:kern w:val="28"/>
          <w:lang w:eastAsia="en-GB"/>
          <w14:cntxtAlts/>
        </w:rPr>
        <w:t xml:space="preserve">Aurelius Augustinus Hipponensis, </w:t>
      </w:r>
      <w:r w:rsidRPr="00C91664">
        <w:rPr>
          <w:rFonts w:eastAsia="Times New Roman"/>
          <w:i/>
          <w:iCs/>
          <w:color w:val="000000"/>
          <w:kern w:val="28"/>
          <w:lang w:eastAsia="en-GB"/>
          <w14:cntxtAlts/>
        </w:rPr>
        <w:t>The Rule of Saint Augustine</w:t>
      </w:r>
      <w:r w:rsidRPr="00C91664">
        <w:rPr>
          <w:rFonts w:eastAsia="Times New Roman"/>
          <w:color w:val="000000"/>
          <w:kern w:val="28"/>
          <w:lang w:eastAsia="en-GB"/>
          <w14:cntxtAlts/>
        </w:rPr>
        <w:t>, trans. by Canning, R., ed. by Van Bavel T. J, (New York, Image Books, 1986).</w:t>
      </w:r>
    </w:p>
    <w:p w14:paraId="3D5F9933" w14:textId="73D1ED92" w:rsidR="00C91664" w:rsidRPr="00C91664" w:rsidRDefault="00C91664" w:rsidP="00C91664">
      <w:pPr>
        <w:widowControl w:val="0"/>
        <w:spacing w:afterLines="120" w:after="288" w:line="285" w:lineRule="auto"/>
        <w:rPr>
          <w:rFonts w:eastAsia="Times New Roman"/>
          <w:color w:val="000000"/>
          <w:kern w:val="28"/>
          <w:lang w:eastAsia="en-GB"/>
          <w14:cntxtAlts/>
        </w:rPr>
      </w:pPr>
      <w:r w:rsidRPr="00C91664">
        <w:rPr>
          <w:rFonts w:eastAsia="Times New Roman"/>
          <w:i/>
          <w:iCs/>
          <w:color w:val="000000"/>
          <w:kern w:val="28"/>
          <w:lang w:eastAsia="en-GB"/>
          <w14:cntxtAlts/>
        </w:rPr>
        <w:t>The Catholic Bible: Douay-Rheims Version</w:t>
      </w:r>
      <w:r w:rsidRPr="00C91664">
        <w:rPr>
          <w:rFonts w:eastAsia="Times New Roman"/>
          <w:color w:val="000000"/>
          <w:kern w:val="28"/>
          <w:lang w:eastAsia="en-GB"/>
          <w14:cntxtAlts/>
        </w:rPr>
        <w:t>, (Cobh, St. Benedict's Priory, 2009).</w:t>
      </w:r>
    </w:p>
    <w:p w14:paraId="24075F8B" w14:textId="25AC0FB3" w:rsidR="00C91664" w:rsidRDefault="00C91664" w:rsidP="002C6A8C">
      <w:pPr>
        <w:widowControl w:val="0"/>
        <w:spacing w:after="120" w:line="285" w:lineRule="auto"/>
        <w:jc w:val="both"/>
        <w:rPr>
          <w:b/>
          <w:bCs/>
        </w:rPr>
      </w:pPr>
      <w:r>
        <w:rPr>
          <w:b/>
          <w:bCs/>
        </w:rPr>
        <w:t>Secondary Sources</w:t>
      </w:r>
    </w:p>
    <w:p w14:paraId="28169BA6" w14:textId="77777777" w:rsidR="006D452B" w:rsidRPr="00C91664" w:rsidRDefault="006D452B" w:rsidP="006D452B">
      <w:pPr>
        <w:widowControl w:val="0"/>
        <w:spacing w:afterLines="120" w:after="288" w:line="285" w:lineRule="auto"/>
        <w:jc w:val="both"/>
      </w:pPr>
      <w:r w:rsidRPr="00C91664">
        <w:t xml:space="preserve">Burkitt, F. C., </w:t>
      </w:r>
      <w:r w:rsidRPr="00C91664">
        <w:rPr>
          <w:i/>
          <w:iCs/>
        </w:rPr>
        <w:t>The Religion of the Manichees: Donnellan Lectures for 1924</w:t>
      </w:r>
      <w:r w:rsidRPr="00C91664">
        <w:t>, (Cambridge, Cambridge University Press, 1925).</w:t>
      </w:r>
    </w:p>
    <w:p w14:paraId="601EA749" w14:textId="77777777" w:rsidR="006D452B" w:rsidRPr="00C91664" w:rsidRDefault="006D452B" w:rsidP="006D452B">
      <w:pPr>
        <w:widowControl w:val="0"/>
        <w:spacing w:afterLines="120" w:after="288" w:line="286" w:lineRule="auto"/>
        <w:jc w:val="both"/>
        <w:rPr>
          <w:rFonts w:eastAsia="Times New Roman"/>
          <w:color w:val="000000"/>
          <w:kern w:val="28"/>
          <w:lang w:eastAsia="en-GB"/>
          <w14:cntxtAlts/>
        </w:rPr>
      </w:pPr>
      <w:r w:rsidRPr="00C91664">
        <w:rPr>
          <w:rFonts w:eastAsia="Times New Roman"/>
          <w:color w:val="000000"/>
          <w:kern w:val="28"/>
          <w:lang w:eastAsia="en-GB"/>
          <w14:cntxtAlts/>
        </w:rPr>
        <w:t xml:space="preserve">Chilcott, C. M., ‘The Platonic Theory of Evil’, </w:t>
      </w:r>
      <w:r w:rsidRPr="00C91664">
        <w:rPr>
          <w:rFonts w:eastAsia="Times New Roman"/>
          <w:i/>
          <w:iCs/>
          <w:color w:val="000000"/>
          <w:kern w:val="28"/>
          <w:lang w:eastAsia="en-GB"/>
          <w14:cntxtAlts/>
        </w:rPr>
        <w:t>The Classical Quarterly</w:t>
      </w:r>
      <w:r w:rsidRPr="00C91664">
        <w:rPr>
          <w:rFonts w:eastAsia="Times New Roman"/>
          <w:color w:val="000000"/>
          <w:kern w:val="28"/>
          <w:lang w:eastAsia="en-GB"/>
          <w14:cntxtAlts/>
        </w:rPr>
        <w:t>, Vol. 17, No. 1 (1923). Pp. 27-31.</w:t>
      </w:r>
    </w:p>
    <w:p w14:paraId="2EBAC937" w14:textId="77777777" w:rsidR="006D452B" w:rsidRPr="00C91664" w:rsidRDefault="006D452B" w:rsidP="006D452B">
      <w:pPr>
        <w:widowControl w:val="0"/>
        <w:spacing w:afterLines="120" w:after="288" w:line="286" w:lineRule="auto"/>
        <w:jc w:val="both"/>
      </w:pPr>
      <w:r w:rsidRPr="00C91664">
        <w:t xml:space="preserve">Dutton B. D., </w:t>
      </w:r>
      <w:r w:rsidRPr="00C91664">
        <w:rPr>
          <w:i/>
          <w:iCs/>
        </w:rPr>
        <w:t>Augustine and Academic Skepticism: A Philosophical Study</w:t>
      </w:r>
      <w:r w:rsidRPr="00C91664">
        <w:t>, (New York, Cornell University Press, 2016).</w:t>
      </w:r>
    </w:p>
    <w:p w14:paraId="54E31E84" w14:textId="3E29DD35" w:rsidR="006D452B" w:rsidRDefault="006D452B" w:rsidP="006D452B">
      <w:pPr>
        <w:widowControl w:val="0"/>
        <w:spacing w:afterLines="120" w:after="288" w:line="285" w:lineRule="auto"/>
        <w:jc w:val="both"/>
      </w:pPr>
      <w:r w:rsidRPr="00C91664">
        <w:t xml:space="preserve">Evans, G. R., </w:t>
      </w:r>
      <w:r w:rsidRPr="00C91664">
        <w:rPr>
          <w:i/>
          <w:iCs/>
        </w:rPr>
        <w:t>Augustine on Evil</w:t>
      </w:r>
      <w:r w:rsidRPr="00C91664">
        <w:t>, (Cambridge, Cambridge University Press, 1990).</w:t>
      </w:r>
    </w:p>
    <w:p w14:paraId="67181165" w14:textId="029327A8" w:rsidR="006D452B" w:rsidRPr="006D452B" w:rsidRDefault="006D452B" w:rsidP="006D452B">
      <w:pPr>
        <w:widowControl w:val="0"/>
        <w:spacing w:afterLines="120" w:after="288" w:line="285" w:lineRule="auto"/>
        <w:jc w:val="both"/>
      </w:pPr>
      <w:r w:rsidRPr="00C91664">
        <w:t xml:space="preserve">Flescher, A. M., </w:t>
      </w:r>
      <w:r w:rsidRPr="00C91664">
        <w:rPr>
          <w:i/>
          <w:iCs/>
        </w:rPr>
        <w:t>Moral Evil</w:t>
      </w:r>
      <w:r w:rsidRPr="00C91664">
        <w:t>, (Washington, D.C., Georgetown University Press, 2013).</w:t>
      </w:r>
    </w:p>
    <w:p w14:paraId="729C008A" w14:textId="5B741502" w:rsidR="002A77DF" w:rsidRDefault="002A77DF" w:rsidP="00C91664">
      <w:pPr>
        <w:widowControl w:val="0"/>
        <w:spacing w:afterLines="120" w:after="288" w:line="285" w:lineRule="auto"/>
        <w:jc w:val="both"/>
      </w:pPr>
      <w:r>
        <w:t>Freedman,</w:t>
      </w:r>
      <w:r w:rsidR="00C91664">
        <w:t xml:space="preserve"> H.,</w:t>
      </w:r>
      <w:r>
        <w:t xml:space="preserve"> </w:t>
      </w:r>
      <w:r>
        <w:rPr>
          <w:i/>
          <w:iCs/>
        </w:rPr>
        <w:t>The Murderous History of Bible Translations; Power, Conflict, and the Quest for Meaning</w:t>
      </w:r>
      <w:r>
        <w:t>, (London, Bloomsbury, 2016).</w:t>
      </w:r>
    </w:p>
    <w:p w14:paraId="0F56DD99" w14:textId="7FCFE98F" w:rsidR="006D452B" w:rsidRDefault="006D452B" w:rsidP="00C91664">
      <w:pPr>
        <w:widowControl w:val="0"/>
        <w:spacing w:afterLines="120" w:after="288" w:line="285" w:lineRule="auto"/>
        <w:jc w:val="both"/>
      </w:pPr>
      <w:r w:rsidRPr="00C91664">
        <w:t xml:space="preserve">Neiman, S., </w:t>
      </w:r>
      <w:r w:rsidRPr="00C91664">
        <w:rPr>
          <w:i/>
          <w:iCs/>
        </w:rPr>
        <w:t>Evil in Modern Thought: An Alternative History of Philosophy</w:t>
      </w:r>
      <w:r w:rsidRPr="00C91664">
        <w:t>, (New Jersey, Princeton University Press, 2015).</w:t>
      </w:r>
    </w:p>
    <w:p w14:paraId="676AFA94" w14:textId="77777777" w:rsidR="002A77DF" w:rsidRPr="00C91664" w:rsidRDefault="002A77DF" w:rsidP="00C91664">
      <w:pPr>
        <w:widowControl w:val="0"/>
        <w:spacing w:afterLines="120" w:after="288" w:line="286" w:lineRule="auto"/>
        <w:rPr>
          <w:rFonts w:eastAsia="Times New Roman"/>
          <w:color w:val="000000"/>
          <w:kern w:val="28"/>
          <w:lang w:eastAsia="en-GB"/>
          <w14:cntxtAlts/>
        </w:rPr>
      </w:pPr>
      <w:r w:rsidRPr="00C91664">
        <w:rPr>
          <w:rFonts w:eastAsia="Times New Roman"/>
          <w:color w:val="000000"/>
          <w:kern w:val="28"/>
          <w:lang w:eastAsia="en-GB"/>
          <w14:cntxtAlts/>
        </w:rPr>
        <w:t xml:space="preserve">Russel, J. B., </w:t>
      </w:r>
      <w:r w:rsidRPr="00C91664">
        <w:rPr>
          <w:rFonts w:eastAsia="Times New Roman"/>
          <w:i/>
          <w:iCs/>
          <w:color w:val="000000"/>
          <w:kern w:val="28"/>
          <w:lang w:eastAsia="en-GB"/>
          <w14:cntxtAlts/>
        </w:rPr>
        <w:t>The Devil: Perceptions of Evil from Antiquity to Primitive Christianity</w:t>
      </w:r>
      <w:r w:rsidRPr="00C91664">
        <w:rPr>
          <w:rFonts w:eastAsia="Times New Roman"/>
          <w:color w:val="000000"/>
          <w:kern w:val="28"/>
          <w:lang w:eastAsia="en-GB"/>
          <w14:cntxtAlts/>
        </w:rPr>
        <w:t>, (New York, Cornell University Press, 1977).</w:t>
      </w:r>
    </w:p>
    <w:p w14:paraId="10CF951D" w14:textId="77777777" w:rsidR="00C91664" w:rsidRPr="00C91664" w:rsidRDefault="00C91664" w:rsidP="00C91664">
      <w:pPr>
        <w:widowControl w:val="0"/>
        <w:spacing w:afterLines="120" w:after="288" w:line="285" w:lineRule="auto"/>
        <w:jc w:val="both"/>
      </w:pPr>
      <w:r w:rsidRPr="00C91664">
        <w:t xml:space="preserve">Von Stuckrad. K., ‘Jewish and Christian Astrology in Late Antiquity: A New Approach’, </w:t>
      </w:r>
      <w:r w:rsidRPr="00C91664">
        <w:rPr>
          <w:i/>
          <w:iCs/>
        </w:rPr>
        <w:t>Numen</w:t>
      </w:r>
      <w:r w:rsidRPr="00C91664">
        <w:t>, Vol. 47, No. 1 (2000). Pp. 1-40.</w:t>
      </w:r>
    </w:p>
    <w:p w14:paraId="4D947B1A" w14:textId="77777777" w:rsidR="00C91664" w:rsidRDefault="00C91664" w:rsidP="00C91664">
      <w:pPr>
        <w:widowControl w:val="0"/>
        <w:spacing w:after="120" w:line="285" w:lineRule="auto"/>
        <w:jc w:val="both"/>
        <w:rPr>
          <w:rFonts w:eastAsia="Times New Roman"/>
          <w:b/>
          <w:bCs/>
          <w:color w:val="000000"/>
          <w:kern w:val="28"/>
          <w:lang w:eastAsia="en-GB"/>
          <w14:cntxtAlts/>
        </w:rPr>
      </w:pPr>
    </w:p>
    <w:p w14:paraId="73C5CDCE" w14:textId="77777777" w:rsidR="00C91664" w:rsidRPr="002A77DF" w:rsidRDefault="00C91664" w:rsidP="002C6A8C">
      <w:pPr>
        <w:widowControl w:val="0"/>
        <w:spacing w:after="120" w:line="285" w:lineRule="auto"/>
        <w:jc w:val="both"/>
      </w:pPr>
    </w:p>
    <w:sectPr w:rsidR="00C91664" w:rsidRPr="002A77DF" w:rsidSect="00DA64B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DF4216" w14:textId="77777777" w:rsidR="004B2D7B" w:rsidRDefault="004B2D7B" w:rsidP="000A1BE9">
      <w:pPr>
        <w:spacing w:after="0" w:line="240" w:lineRule="auto"/>
      </w:pPr>
      <w:r>
        <w:separator/>
      </w:r>
    </w:p>
  </w:endnote>
  <w:endnote w:type="continuationSeparator" w:id="0">
    <w:p w14:paraId="57EF9534" w14:textId="77777777" w:rsidR="004B2D7B" w:rsidRDefault="004B2D7B" w:rsidP="000A1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27812C" w14:textId="77777777" w:rsidR="004B2D7B" w:rsidRDefault="004B2D7B" w:rsidP="000A1BE9">
      <w:pPr>
        <w:spacing w:after="0" w:line="240" w:lineRule="auto"/>
      </w:pPr>
      <w:r>
        <w:separator/>
      </w:r>
    </w:p>
  </w:footnote>
  <w:footnote w:type="continuationSeparator" w:id="0">
    <w:p w14:paraId="1B0BF84A" w14:textId="77777777" w:rsidR="004B2D7B" w:rsidRDefault="004B2D7B" w:rsidP="000A1BE9">
      <w:pPr>
        <w:spacing w:after="0" w:line="240" w:lineRule="auto"/>
      </w:pPr>
      <w:r>
        <w:continuationSeparator/>
      </w:r>
    </w:p>
  </w:footnote>
  <w:footnote w:id="1">
    <w:p w14:paraId="241F31C2" w14:textId="3F01CED1" w:rsidR="00E70880" w:rsidRPr="00E70880" w:rsidRDefault="00E70880">
      <w:pPr>
        <w:pStyle w:val="FootnoteText"/>
      </w:pPr>
      <w:r>
        <w:rPr>
          <w:rStyle w:val="FootnoteReference"/>
        </w:rPr>
        <w:footnoteRef/>
      </w:r>
      <w:r>
        <w:t xml:space="preserve"> </w:t>
      </w:r>
      <w:bookmarkStart w:id="1" w:name="_Hlk61719233"/>
      <w:r w:rsidR="002C6A8C">
        <w:t xml:space="preserve">H. </w:t>
      </w:r>
      <w:r>
        <w:t xml:space="preserve">Freedman, </w:t>
      </w:r>
      <w:r>
        <w:rPr>
          <w:i/>
          <w:iCs/>
        </w:rPr>
        <w:t>The Murderous History of Bible Translations; Power, Conflict, and the Quest for Meaning</w:t>
      </w:r>
      <w:r>
        <w:t xml:space="preserve">, (London, Bloomsbury, 2016). </w:t>
      </w:r>
      <w:bookmarkEnd w:id="1"/>
      <w:r>
        <w:t>P. 118.</w:t>
      </w:r>
    </w:p>
  </w:footnote>
  <w:footnote w:id="2">
    <w:p w14:paraId="1691CA17" w14:textId="1E28050D" w:rsidR="000F44FE" w:rsidRPr="000F44FE" w:rsidRDefault="000F44FE">
      <w:pPr>
        <w:pStyle w:val="FootnoteText"/>
      </w:pPr>
      <w:r>
        <w:rPr>
          <w:rStyle w:val="FootnoteReference"/>
        </w:rPr>
        <w:footnoteRef/>
      </w:r>
      <w:r>
        <w:t xml:space="preserve"> Freedman, </w:t>
      </w:r>
      <w:r>
        <w:rPr>
          <w:i/>
          <w:iCs/>
        </w:rPr>
        <w:t>History of Bible Translations</w:t>
      </w:r>
      <w:r>
        <w:t>, Pp. 46-49.</w:t>
      </w:r>
    </w:p>
  </w:footnote>
  <w:footnote w:id="3">
    <w:p w14:paraId="0B6072AB" w14:textId="4FCB86B1" w:rsidR="00C0695E" w:rsidRPr="00760677" w:rsidRDefault="00C0695E">
      <w:pPr>
        <w:pStyle w:val="FootnoteText"/>
      </w:pPr>
      <w:r>
        <w:rPr>
          <w:rStyle w:val="FootnoteReference"/>
        </w:rPr>
        <w:footnoteRef/>
      </w:r>
      <w:r>
        <w:t xml:space="preserve"> Ibid, P.</w:t>
      </w:r>
      <w:r w:rsidR="00D42F89">
        <w:t xml:space="preserve"> </w:t>
      </w:r>
      <w:r>
        <w:t>48.</w:t>
      </w:r>
    </w:p>
  </w:footnote>
  <w:footnote w:id="4">
    <w:p w14:paraId="459D68F8" w14:textId="71547054" w:rsidR="002C6A8C" w:rsidRPr="00760677" w:rsidRDefault="002C6A8C">
      <w:pPr>
        <w:pStyle w:val="FootnoteText"/>
        <w:rPr>
          <w:i/>
          <w:iCs/>
        </w:rPr>
      </w:pPr>
      <w:r w:rsidRPr="00760677">
        <w:rPr>
          <w:rStyle w:val="FootnoteReference"/>
        </w:rPr>
        <w:footnoteRef/>
      </w:r>
      <w:r w:rsidRPr="00760677">
        <w:t xml:space="preserve"> J. B. Russel, </w:t>
      </w:r>
      <w:r w:rsidRPr="00760677">
        <w:rPr>
          <w:i/>
          <w:iCs/>
        </w:rPr>
        <w:t>The Devil: Perceptions of Evil from Antiquity to Primitive Christianity</w:t>
      </w:r>
      <w:r w:rsidRPr="00760677">
        <w:t>, (New York, Cornell University Press, 1977). P. 146.</w:t>
      </w:r>
    </w:p>
  </w:footnote>
  <w:footnote w:id="5">
    <w:p w14:paraId="2974C3EC" w14:textId="64A29CAD" w:rsidR="00F93013" w:rsidRPr="00760677" w:rsidRDefault="00F93013">
      <w:pPr>
        <w:pStyle w:val="FootnoteText"/>
      </w:pPr>
      <w:r w:rsidRPr="00760677">
        <w:rPr>
          <w:rStyle w:val="FootnoteReference"/>
        </w:rPr>
        <w:footnoteRef/>
      </w:r>
      <w:r w:rsidRPr="00760677">
        <w:t xml:space="preserve"> </w:t>
      </w:r>
      <w:bookmarkStart w:id="3" w:name="_Hlk61706297"/>
      <w:r w:rsidRPr="00760677">
        <w:t>F. C</w:t>
      </w:r>
      <w:bookmarkStart w:id="4" w:name="_Hlk61707428"/>
      <w:r w:rsidRPr="00760677">
        <w:t xml:space="preserve">. Burkitt, </w:t>
      </w:r>
      <w:r w:rsidRPr="00760677">
        <w:rPr>
          <w:i/>
          <w:iCs/>
        </w:rPr>
        <w:t>The Religion of the Manichees</w:t>
      </w:r>
      <w:bookmarkEnd w:id="4"/>
      <w:r w:rsidRPr="00760677">
        <w:rPr>
          <w:i/>
          <w:iCs/>
        </w:rPr>
        <w:t>: Donnellan Lectures for 1924</w:t>
      </w:r>
      <w:r w:rsidRPr="00760677">
        <w:t>, (Cambridge, Cambridge University Press, 1925)</w:t>
      </w:r>
      <w:bookmarkEnd w:id="3"/>
      <w:r w:rsidRPr="00760677">
        <w:t>. Pp. 16-20.</w:t>
      </w:r>
    </w:p>
  </w:footnote>
  <w:footnote w:id="6">
    <w:p w14:paraId="0089ECD9" w14:textId="4DFB0227" w:rsidR="006240D4" w:rsidRPr="00760677" w:rsidRDefault="006240D4">
      <w:pPr>
        <w:pStyle w:val="FootnoteText"/>
      </w:pPr>
      <w:r w:rsidRPr="00760677">
        <w:rPr>
          <w:rStyle w:val="FootnoteReference"/>
        </w:rPr>
        <w:footnoteRef/>
      </w:r>
      <w:r w:rsidRPr="00760677">
        <w:t xml:space="preserve"> B. D. Dutton, </w:t>
      </w:r>
      <w:r w:rsidRPr="00760677">
        <w:rPr>
          <w:i/>
          <w:iCs/>
        </w:rPr>
        <w:t>Augustine and Academic Skepticism: A Philosophical Study</w:t>
      </w:r>
      <w:r w:rsidRPr="00760677">
        <w:t>, (New York, Cornell University Press, 2016). Pp.</w:t>
      </w:r>
      <w:r w:rsidR="00D42F89">
        <w:t xml:space="preserve"> </w:t>
      </w:r>
      <w:r w:rsidRPr="00760677">
        <w:t>10-13.</w:t>
      </w:r>
    </w:p>
  </w:footnote>
  <w:footnote w:id="7">
    <w:p w14:paraId="2BC5B530" w14:textId="74B48B7A" w:rsidR="00760677" w:rsidRDefault="00760677">
      <w:pPr>
        <w:pStyle w:val="FootnoteText"/>
      </w:pPr>
      <w:r w:rsidRPr="00760677">
        <w:rPr>
          <w:rStyle w:val="FootnoteReference"/>
        </w:rPr>
        <w:footnoteRef/>
      </w:r>
      <w:r w:rsidRPr="00760677">
        <w:t xml:space="preserve"> </w:t>
      </w:r>
      <w:r>
        <w:t xml:space="preserve">C. M. </w:t>
      </w:r>
      <w:r w:rsidRPr="00760677">
        <w:rPr>
          <w:rFonts w:eastAsia="Times New Roman"/>
          <w:color w:val="000000"/>
          <w:kern w:val="28"/>
          <w:lang w:eastAsia="en-GB"/>
          <w14:cntxtAlts/>
        </w:rPr>
        <w:t xml:space="preserve">Chilcott, ‘The Platonic Theory of Evil’, </w:t>
      </w:r>
      <w:r w:rsidRPr="00760677">
        <w:rPr>
          <w:rFonts w:eastAsia="Times New Roman"/>
          <w:i/>
          <w:iCs/>
          <w:color w:val="000000"/>
          <w:kern w:val="28"/>
          <w:lang w:eastAsia="en-GB"/>
          <w14:cntxtAlts/>
        </w:rPr>
        <w:t>The Classical Quarterly</w:t>
      </w:r>
      <w:r w:rsidRPr="00760677">
        <w:rPr>
          <w:rFonts w:eastAsia="Times New Roman"/>
          <w:color w:val="000000"/>
          <w:kern w:val="28"/>
          <w:lang w:eastAsia="en-GB"/>
          <w14:cntxtAlts/>
        </w:rPr>
        <w:t>, Vol. 17, No. 1 (1923). Pp. 27-31</w:t>
      </w:r>
      <w:r>
        <w:rPr>
          <w:rFonts w:eastAsia="Times New Roman"/>
          <w:color w:val="000000"/>
          <w:kern w:val="28"/>
          <w:lang w:eastAsia="en-GB"/>
          <w14:cntxtAlts/>
        </w:rPr>
        <w:t xml:space="preserve"> (P.29)</w:t>
      </w:r>
      <w:r w:rsidRPr="00760677">
        <w:rPr>
          <w:rFonts w:eastAsia="Times New Roman"/>
          <w:color w:val="000000"/>
          <w:kern w:val="28"/>
          <w:lang w:eastAsia="en-GB"/>
          <w14:cntxtAlts/>
        </w:rPr>
        <w:t>.</w:t>
      </w:r>
    </w:p>
  </w:footnote>
  <w:footnote w:id="8">
    <w:p w14:paraId="5A1CEC63" w14:textId="45FCC3BE" w:rsidR="00B453A3" w:rsidRPr="00B453A3" w:rsidRDefault="00B453A3">
      <w:pPr>
        <w:pStyle w:val="FootnoteText"/>
      </w:pPr>
      <w:r>
        <w:rPr>
          <w:rStyle w:val="FootnoteReference"/>
        </w:rPr>
        <w:footnoteRef/>
      </w:r>
      <w:r>
        <w:t xml:space="preserve"> </w:t>
      </w:r>
      <w:r w:rsidRPr="00760677">
        <w:t xml:space="preserve">Dutton, </w:t>
      </w:r>
      <w:r w:rsidRPr="00760677">
        <w:rPr>
          <w:i/>
          <w:iCs/>
        </w:rPr>
        <w:t>Augustine and Academic Skepticism</w:t>
      </w:r>
      <w:r>
        <w:t>, Pp. 9-14.</w:t>
      </w:r>
    </w:p>
  </w:footnote>
  <w:footnote w:id="9">
    <w:p w14:paraId="7F3EE6C1" w14:textId="49BCB22E" w:rsidR="005E47FC" w:rsidRDefault="005E47FC">
      <w:pPr>
        <w:pStyle w:val="FootnoteText"/>
      </w:pPr>
      <w:r>
        <w:rPr>
          <w:rStyle w:val="FootnoteReference"/>
        </w:rPr>
        <w:footnoteRef/>
      </w:r>
      <w:r>
        <w:t xml:space="preserve"> </w:t>
      </w:r>
      <w:r w:rsidRPr="005E47FC">
        <w:t xml:space="preserve">Aurelius Augustinus Hipponensis, </w:t>
      </w:r>
      <w:r w:rsidRPr="005E47FC">
        <w:rPr>
          <w:i/>
          <w:iCs/>
        </w:rPr>
        <w:t>The Rule of Saint Augustine</w:t>
      </w:r>
      <w:r w:rsidRPr="005E47FC">
        <w:t xml:space="preserve">, trans. by </w:t>
      </w:r>
      <w:r>
        <w:t xml:space="preserve">R. </w:t>
      </w:r>
      <w:r w:rsidRPr="005E47FC">
        <w:t xml:space="preserve">Canning, ed. by </w:t>
      </w:r>
      <w:r>
        <w:t xml:space="preserve">T. J. </w:t>
      </w:r>
      <w:r w:rsidRPr="005E47FC">
        <w:t>Van Bavel</w:t>
      </w:r>
      <w:r>
        <w:t xml:space="preserve">, </w:t>
      </w:r>
      <w:r w:rsidRPr="005E47FC">
        <w:t>(New York, Image Books, 1986).</w:t>
      </w:r>
      <w:r>
        <w:t xml:space="preserve"> P. 4.</w:t>
      </w:r>
    </w:p>
    <w:p w14:paraId="61EF4847" w14:textId="702EAD56" w:rsidR="005E47FC" w:rsidRPr="005E47FC" w:rsidRDefault="005E47FC">
      <w:pPr>
        <w:pStyle w:val="FootnoteText"/>
      </w:pPr>
      <w:r>
        <w:t xml:space="preserve">&amp; </w:t>
      </w:r>
      <w:bookmarkStart w:id="8" w:name="_Hlk61719419"/>
      <w:r>
        <w:t xml:space="preserve">Aurelius Augustinus Hipponensis, </w:t>
      </w:r>
      <w:r>
        <w:rPr>
          <w:i/>
          <w:iCs/>
        </w:rPr>
        <w:t>Confessions</w:t>
      </w:r>
      <w:r>
        <w:t xml:space="preserve">, trans. by H. Chadwick, (Oxford, Oxford University Press, 1991). </w:t>
      </w:r>
      <w:bookmarkEnd w:id="8"/>
      <w:r>
        <w:t>P. XIII</w:t>
      </w:r>
    </w:p>
  </w:footnote>
  <w:footnote w:id="10">
    <w:p w14:paraId="0F0B730B" w14:textId="79661D37" w:rsidR="00267E1B" w:rsidRPr="00267E1B" w:rsidRDefault="00267E1B" w:rsidP="005F3EDB">
      <w:pPr>
        <w:pStyle w:val="FootnoteText"/>
      </w:pPr>
      <w:r>
        <w:rPr>
          <w:rStyle w:val="FootnoteReference"/>
        </w:rPr>
        <w:footnoteRef/>
      </w:r>
      <w:r>
        <w:t xml:space="preserve"> Augustine, </w:t>
      </w:r>
      <w:r>
        <w:rPr>
          <w:i/>
          <w:iCs/>
        </w:rPr>
        <w:t>The Rule</w:t>
      </w:r>
      <w:r>
        <w:t>, Pp. 15-18.</w:t>
      </w:r>
    </w:p>
  </w:footnote>
  <w:footnote w:id="11">
    <w:p w14:paraId="13C23F08" w14:textId="3022562E" w:rsidR="0039419A" w:rsidRPr="0039419A" w:rsidRDefault="0039419A" w:rsidP="005F3EDB">
      <w:pPr>
        <w:pStyle w:val="FootnoteText"/>
      </w:pPr>
      <w:r>
        <w:rPr>
          <w:rStyle w:val="FootnoteReference"/>
        </w:rPr>
        <w:footnoteRef/>
      </w:r>
      <w:r>
        <w:t xml:space="preserve"> </w:t>
      </w:r>
      <w:r w:rsidRPr="00760677">
        <w:t xml:space="preserve">Burkitt, </w:t>
      </w:r>
      <w:r w:rsidRPr="00760677">
        <w:rPr>
          <w:i/>
          <w:iCs/>
        </w:rPr>
        <w:t>The Religion of the Manichees</w:t>
      </w:r>
      <w:r>
        <w:t>, Pp. 16-20</w:t>
      </w:r>
      <w:r w:rsidR="00D42F89">
        <w:t>.</w:t>
      </w:r>
    </w:p>
  </w:footnote>
  <w:footnote w:id="12">
    <w:p w14:paraId="6722E913" w14:textId="2DF29F06" w:rsidR="00DC4EA4" w:rsidRDefault="00DC4EA4" w:rsidP="005F3EDB">
      <w:pPr>
        <w:pStyle w:val="FootnoteText"/>
      </w:pPr>
      <w:r>
        <w:rPr>
          <w:rStyle w:val="FootnoteReference"/>
        </w:rPr>
        <w:footnoteRef/>
      </w:r>
      <w:r>
        <w:t xml:space="preserve"> Ibid, P.16</w:t>
      </w:r>
      <w:r w:rsidR="00D42F89">
        <w:t>.</w:t>
      </w:r>
    </w:p>
  </w:footnote>
  <w:footnote w:id="13">
    <w:p w14:paraId="23B81008" w14:textId="4EF38443" w:rsidR="00A24F66" w:rsidRPr="006575AB" w:rsidRDefault="00A24F66" w:rsidP="005F3EDB">
      <w:pPr>
        <w:pStyle w:val="FootnoteText"/>
        <w:rPr>
          <w:b/>
          <w:bCs/>
        </w:rPr>
      </w:pPr>
      <w:r>
        <w:rPr>
          <w:rStyle w:val="FootnoteReference"/>
        </w:rPr>
        <w:footnoteRef/>
      </w:r>
      <w:r>
        <w:t xml:space="preserve"> G. R. </w:t>
      </w:r>
      <w:r w:rsidRPr="00A24F66">
        <w:t xml:space="preserve">Evans, </w:t>
      </w:r>
      <w:r w:rsidRPr="00A24F66">
        <w:rPr>
          <w:i/>
          <w:iCs/>
        </w:rPr>
        <w:t>Augustine on Evil</w:t>
      </w:r>
      <w:r w:rsidRPr="00A24F66">
        <w:t>, (Cambridge, Cambridge University Press, 1990).</w:t>
      </w:r>
      <w:r>
        <w:t xml:space="preserve"> P. 1.</w:t>
      </w:r>
    </w:p>
  </w:footnote>
  <w:footnote w:id="14">
    <w:p w14:paraId="70822658" w14:textId="59D2CE97" w:rsidR="006575AB" w:rsidRPr="005F3EDB" w:rsidRDefault="006575AB" w:rsidP="005F3EDB">
      <w:pPr>
        <w:widowControl w:val="0"/>
        <w:spacing w:after="0" w:line="240" w:lineRule="auto"/>
        <w:jc w:val="both"/>
        <w:rPr>
          <w:b/>
          <w:bCs/>
        </w:rPr>
      </w:pPr>
      <w:r>
        <w:rPr>
          <w:rStyle w:val="FootnoteReference"/>
        </w:rPr>
        <w:footnoteRef/>
      </w:r>
      <w:r>
        <w:t xml:space="preserve"> </w:t>
      </w:r>
      <w:r w:rsidR="00D42F89">
        <w:t xml:space="preserve">A. M. </w:t>
      </w:r>
      <w:r w:rsidR="00D42F89" w:rsidRPr="00D42F89">
        <w:t xml:space="preserve">Flescher, </w:t>
      </w:r>
      <w:r w:rsidR="00D42F89" w:rsidRPr="00D42F89">
        <w:rPr>
          <w:i/>
          <w:iCs/>
        </w:rPr>
        <w:t>Moral Evil</w:t>
      </w:r>
      <w:r w:rsidR="00D42F89" w:rsidRPr="00D42F89">
        <w:t>, (Washington, D.C., Georgetown University Press, 2013).</w:t>
      </w:r>
      <w:r w:rsidR="00D42F89">
        <w:t xml:space="preserve"> Pp. 164-206.</w:t>
      </w:r>
    </w:p>
  </w:footnote>
  <w:footnote w:id="15">
    <w:p w14:paraId="02160517" w14:textId="21CE04EB" w:rsidR="005F3EDB" w:rsidRPr="005F3EDB" w:rsidRDefault="005F3EDB" w:rsidP="005F3EDB">
      <w:pPr>
        <w:pStyle w:val="FootnoteText"/>
      </w:pPr>
      <w:r>
        <w:rPr>
          <w:rStyle w:val="FootnoteReference"/>
        </w:rPr>
        <w:footnoteRef/>
      </w:r>
      <w:r>
        <w:t xml:space="preserve"> Flescher, </w:t>
      </w:r>
      <w:r>
        <w:rPr>
          <w:i/>
          <w:iCs/>
        </w:rPr>
        <w:t>Evil</w:t>
      </w:r>
      <w:r>
        <w:t>, Pp. 181-183.</w:t>
      </w:r>
    </w:p>
  </w:footnote>
  <w:footnote w:id="16">
    <w:p w14:paraId="2A03E273" w14:textId="347AD107" w:rsidR="007E7859" w:rsidRPr="000336C3" w:rsidRDefault="007E7859">
      <w:pPr>
        <w:pStyle w:val="FootnoteText"/>
        <w:rPr>
          <w:b/>
          <w:bCs/>
        </w:rPr>
      </w:pPr>
      <w:r>
        <w:rPr>
          <w:rStyle w:val="FootnoteReference"/>
        </w:rPr>
        <w:footnoteRef/>
      </w:r>
      <w:r>
        <w:t xml:space="preserve"> S. </w:t>
      </w:r>
      <w:r w:rsidRPr="007E7859">
        <w:t xml:space="preserve">Neiman, </w:t>
      </w:r>
      <w:r w:rsidRPr="007E7859">
        <w:rPr>
          <w:i/>
          <w:iCs/>
        </w:rPr>
        <w:t>Evil in Modern Thought: An Alternative History of Philosophy</w:t>
      </w:r>
      <w:r w:rsidRPr="007E7859">
        <w:t>, (New Jersey, Princeton University Press, 2015).</w:t>
      </w:r>
      <w:r>
        <w:t xml:space="preserve"> Pp. 18-56.</w:t>
      </w:r>
    </w:p>
  </w:footnote>
  <w:footnote w:id="17">
    <w:p w14:paraId="3D0BA47C" w14:textId="41CB6DE8" w:rsidR="000336C3" w:rsidRDefault="000336C3">
      <w:pPr>
        <w:pStyle w:val="FootnoteText"/>
      </w:pPr>
      <w:r>
        <w:rPr>
          <w:rStyle w:val="FootnoteReference"/>
        </w:rPr>
        <w:footnoteRef/>
      </w:r>
      <w:r>
        <w:t xml:space="preserve"> Augustine, </w:t>
      </w:r>
      <w:r w:rsidRPr="000336C3">
        <w:rPr>
          <w:i/>
          <w:iCs/>
        </w:rPr>
        <w:t>Confessions</w:t>
      </w:r>
      <w:r>
        <w:t>, Pp. 54-55.</w:t>
      </w:r>
    </w:p>
  </w:footnote>
  <w:footnote w:id="18">
    <w:p w14:paraId="11834CC5" w14:textId="47A69071" w:rsidR="000336C3" w:rsidRPr="003E52EF" w:rsidRDefault="000336C3" w:rsidP="003E52EF">
      <w:pPr>
        <w:widowControl w:val="0"/>
        <w:spacing w:after="0" w:line="286" w:lineRule="auto"/>
        <w:jc w:val="both"/>
        <w:rPr>
          <w:b/>
          <w:bCs/>
        </w:rPr>
      </w:pPr>
      <w:r>
        <w:rPr>
          <w:rStyle w:val="FootnoteReference"/>
        </w:rPr>
        <w:footnoteRef/>
      </w:r>
      <w:r>
        <w:t xml:space="preserve"> K. </w:t>
      </w:r>
      <w:r w:rsidRPr="000336C3">
        <w:t>Von Stuckrad</w:t>
      </w:r>
      <w:bookmarkStart w:id="14" w:name="_Hlk61718808"/>
      <w:r>
        <w:t>,</w:t>
      </w:r>
      <w:r w:rsidRPr="000336C3">
        <w:t xml:space="preserve"> ‘Jewish and Christian Astrology in Late Antiquity: A New Approach’</w:t>
      </w:r>
      <w:bookmarkEnd w:id="14"/>
      <w:r w:rsidRPr="000336C3">
        <w:t xml:space="preserve">, </w:t>
      </w:r>
      <w:r w:rsidRPr="000336C3">
        <w:rPr>
          <w:i/>
          <w:iCs/>
        </w:rPr>
        <w:t>Numen</w:t>
      </w:r>
      <w:r w:rsidRPr="000336C3">
        <w:t>, Vol. 47, No. 1 (2000). Pp. 1-40</w:t>
      </w:r>
      <w:r w:rsidR="003E52EF">
        <w:t xml:space="preserve"> (Pp.5-9)</w:t>
      </w:r>
      <w:r w:rsidRPr="000336C3">
        <w:t>.</w:t>
      </w:r>
    </w:p>
  </w:footnote>
  <w:footnote w:id="19">
    <w:p w14:paraId="0D1AA074" w14:textId="0B718FB3" w:rsidR="002A77DF" w:rsidRDefault="002A77DF">
      <w:pPr>
        <w:pStyle w:val="FootnoteText"/>
      </w:pPr>
      <w:r>
        <w:rPr>
          <w:rStyle w:val="FootnoteReference"/>
        </w:rPr>
        <w:footnoteRef/>
      </w:r>
      <w:r>
        <w:t xml:space="preserve"> Von Stuckrad, ‘</w:t>
      </w:r>
      <w:r w:rsidRPr="000336C3">
        <w:t>Jewish and Christian Astrology in Late Antiquity: A New Approach’</w:t>
      </w:r>
      <w:r>
        <w:t>, P. 18.</w:t>
      </w:r>
    </w:p>
  </w:footnote>
  <w:footnote w:id="20">
    <w:p w14:paraId="3FAD57D5" w14:textId="5E4E4DBE" w:rsidR="002A77DF" w:rsidRDefault="002A77DF">
      <w:pPr>
        <w:pStyle w:val="FootnoteText"/>
      </w:pPr>
      <w:r>
        <w:rPr>
          <w:rStyle w:val="FootnoteReference"/>
        </w:rPr>
        <w:footnoteRef/>
      </w:r>
      <w:r>
        <w:t xml:space="preserve"> Ibid, Pp. 22-32.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E0130A" w14:textId="26A41A18" w:rsidR="000A1BE9" w:rsidRDefault="000A1BE9" w:rsidP="000A1BE9">
    <w:pPr>
      <w:pStyle w:val="Header"/>
      <w:jc w:val="center"/>
    </w:pPr>
    <w:r>
      <w:t>Samuel Lawrence – Confessing With Saint Augustine – Annotated Bibliography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BE9"/>
    <w:rsid w:val="000336C3"/>
    <w:rsid w:val="000A1BE0"/>
    <w:rsid w:val="000A1BE9"/>
    <w:rsid w:val="000F44FE"/>
    <w:rsid w:val="0016297E"/>
    <w:rsid w:val="00267E1B"/>
    <w:rsid w:val="002A77DF"/>
    <w:rsid w:val="002C6A8C"/>
    <w:rsid w:val="0039419A"/>
    <w:rsid w:val="003C4E73"/>
    <w:rsid w:val="003E52EF"/>
    <w:rsid w:val="004A0367"/>
    <w:rsid w:val="004B2D7B"/>
    <w:rsid w:val="00503764"/>
    <w:rsid w:val="00584191"/>
    <w:rsid w:val="005E47FC"/>
    <w:rsid w:val="005F3E2C"/>
    <w:rsid w:val="005F3EDB"/>
    <w:rsid w:val="006240D4"/>
    <w:rsid w:val="00652516"/>
    <w:rsid w:val="006575AB"/>
    <w:rsid w:val="006D452B"/>
    <w:rsid w:val="00747EBF"/>
    <w:rsid w:val="00760677"/>
    <w:rsid w:val="007E7859"/>
    <w:rsid w:val="00881F6A"/>
    <w:rsid w:val="00883ABB"/>
    <w:rsid w:val="00A24F66"/>
    <w:rsid w:val="00AC0081"/>
    <w:rsid w:val="00B453A3"/>
    <w:rsid w:val="00B61DC3"/>
    <w:rsid w:val="00BD5D70"/>
    <w:rsid w:val="00C0695E"/>
    <w:rsid w:val="00C069AA"/>
    <w:rsid w:val="00C4748B"/>
    <w:rsid w:val="00C57F4F"/>
    <w:rsid w:val="00C64C76"/>
    <w:rsid w:val="00C91664"/>
    <w:rsid w:val="00D42F89"/>
    <w:rsid w:val="00DA64B9"/>
    <w:rsid w:val="00DC4EA4"/>
    <w:rsid w:val="00E31D17"/>
    <w:rsid w:val="00E43FF2"/>
    <w:rsid w:val="00E70880"/>
    <w:rsid w:val="00EA3C49"/>
    <w:rsid w:val="00F93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3EC2C"/>
  <w15:chartTrackingRefBased/>
  <w15:docId w15:val="{AABD37AB-4867-45E7-A8CA-4891409A6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1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BE9"/>
  </w:style>
  <w:style w:type="paragraph" w:styleId="Footer">
    <w:name w:val="footer"/>
    <w:basedOn w:val="Normal"/>
    <w:link w:val="FooterChar"/>
    <w:uiPriority w:val="99"/>
    <w:unhideWhenUsed/>
    <w:rsid w:val="000A1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BE9"/>
  </w:style>
  <w:style w:type="paragraph" w:styleId="FootnoteText">
    <w:name w:val="footnote text"/>
    <w:basedOn w:val="Normal"/>
    <w:link w:val="FootnoteTextChar"/>
    <w:uiPriority w:val="99"/>
    <w:semiHidden/>
    <w:unhideWhenUsed/>
    <w:rsid w:val="00E70880"/>
    <w:pPr>
      <w:spacing w:after="0" w:line="240" w:lineRule="auto"/>
    </w:pPr>
  </w:style>
  <w:style w:type="character" w:customStyle="1" w:styleId="FootnoteTextChar">
    <w:name w:val="Footnote Text Char"/>
    <w:basedOn w:val="DefaultParagraphFont"/>
    <w:link w:val="FootnoteText"/>
    <w:uiPriority w:val="99"/>
    <w:semiHidden/>
    <w:rsid w:val="00E70880"/>
  </w:style>
  <w:style w:type="character" w:styleId="FootnoteReference">
    <w:name w:val="footnote reference"/>
    <w:basedOn w:val="DefaultParagraphFont"/>
    <w:uiPriority w:val="99"/>
    <w:semiHidden/>
    <w:unhideWhenUsed/>
    <w:rsid w:val="00E708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624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D8280-31A3-4B19-BD8D-56DCE369B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4</Pages>
  <Words>1905</Words>
  <Characters>10861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4</cp:revision>
  <dcterms:created xsi:type="dcterms:W3CDTF">2021-01-14T15:21:00Z</dcterms:created>
  <dcterms:modified xsi:type="dcterms:W3CDTF">2021-01-16T20:03:00Z</dcterms:modified>
</cp:coreProperties>
</file>