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spacing w:before="480" w:line="360" w:lineRule="auto"/>
        <w:jc w:val="both"/>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Marketing Environmental Analysis for Pioneers and Followers:</w:t>
      </w:r>
    </w:p>
    <w:p w:rsidR="00000000" w:rsidDel="00000000" w:rsidP="00000000" w:rsidRDefault="00000000" w:rsidRPr="00000000" w14:paraId="00000002">
      <w:pPr>
        <w:keepNext w:val="0"/>
        <w:keepLines w:val="0"/>
        <w:spacing w:before="480"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pStyle w:val="Title"/>
        <w:keepNext w:val="0"/>
        <w:keepLines w:val="0"/>
        <w:spacing w:after="80" w:line="360" w:lineRule="auto"/>
        <w:jc w:val="both"/>
        <w:rPr>
          <w:rFonts w:ascii="Times New Roman" w:cs="Times New Roman" w:eastAsia="Times New Roman" w:hAnsi="Times New Roman"/>
          <w:b w:val="1"/>
          <w:sz w:val="40"/>
          <w:szCs w:val="40"/>
        </w:rPr>
      </w:pPr>
      <w:bookmarkStart w:colFirst="0" w:colLast="0" w:name="_h9sjq56ybia5" w:id="0"/>
      <w:bookmarkEnd w:id="0"/>
      <w:r w:rsidDel="00000000" w:rsidR="00000000" w:rsidRPr="00000000">
        <w:rPr>
          <w:rFonts w:ascii="Times New Roman" w:cs="Times New Roman" w:eastAsia="Times New Roman" w:hAnsi="Times New Roman"/>
          <w:b w:val="1"/>
          <w:sz w:val="40"/>
          <w:szCs w:val="40"/>
          <w:rtl w:val="0"/>
        </w:rPr>
        <w:t xml:space="preserve">Title: Technological and Environmental Factors in the Electric Vehicle Industry (Tesla vs Hyundai)</w:t>
      </w:r>
    </w:p>
    <w:p w:rsidR="00000000" w:rsidDel="00000000" w:rsidP="00000000" w:rsidRDefault="00000000" w:rsidRPr="00000000" w14:paraId="00000004">
      <w:pPr>
        <w:pStyle w:val="Title"/>
        <w:keepNext w:val="0"/>
        <w:keepLines w:val="0"/>
        <w:spacing w:after="80" w:line="360" w:lineRule="auto"/>
        <w:jc w:val="both"/>
        <w:rPr>
          <w:rFonts w:ascii="Times New Roman" w:cs="Times New Roman" w:eastAsia="Times New Roman" w:hAnsi="Times New Roman"/>
          <w:b w:val="1"/>
          <w:sz w:val="40"/>
          <w:szCs w:val="40"/>
        </w:rPr>
      </w:pPr>
      <w:bookmarkStart w:colFirst="0" w:colLast="0" w:name="_3fz34jy1gs61" w:id="1"/>
      <w:bookmarkEnd w:id="1"/>
      <w:r w:rsidDel="00000000" w:rsidR="00000000" w:rsidRPr="00000000">
        <w:rPr>
          <w:rtl w:val="0"/>
        </w:rPr>
      </w:r>
    </w:p>
    <w:p w:rsidR="00000000" w:rsidDel="00000000" w:rsidP="00000000" w:rsidRDefault="00000000" w:rsidRPr="00000000" w14:paraId="00000005">
      <w:pPr>
        <w:pStyle w:val="Title"/>
        <w:keepNext w:val="0"/>
        <w:keepLines w:val="0"/>
        <w:spacing w:after="80" w:line="360" w:lineRule="auto"/>
        <w:jc w:val="both"/>
        <w:rPr>
          <w:rFonts w:ascii="Times New Roman" w:cs="Times New Roman" w:eastAsia="Times New Roman" w:hAnsi="Times New Roman"/>
          <w:b w:val="1"/>
          <w:sz w:val="40"/>
          <w:szCs w:val="40"/>
        </w:rPr>
      </w:pPr>
      <w:bookmarkStart w:colFirst="0" w:colLast="0" w:name="_yw2hi3agne3k" w:id="2"/>
      <w:bookmarkEnd w:id="2"/>
      <w:r w:rsidDel="00000000" w:rsidR="00000000" w:rsidRPr="00000000">
        <w:rPr>
          <w:rtl w:val="0"/>
        </w:rPr>
      </w:r>
    </w:p>
    <w:p w:rsidR="00000000" w:rsidDel="00000000" w:rsidP="00000000" w:rsidRDefault="00000000" w:rsidRPr="00000000" w14:paraId="00000006">
      <w:pPr>
        <w:keepNext w:val="0"/>
        <w:keepLines w:val="0"/>
        <w:spacing w:after="80" w:line="360" w:lineRule="auto"/>
        <w:jc w:val="both"/>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Student Name:</w:t>
      </w:r>
    </w:p>
    <w:p w:rsidR="00000000" w:rsidDel="00000000" w:rsidP="00000000" w:rsidRDefault="00000000" w:rsidRPr="00000000" w14:paraId="00000007">
      <w:pPr>
        <w:keepNext w:val="0"/>
        <w:keepLines w:val="0"/>
        <w:spacing w:after="80" w:line="360" w:lineRule="auto"/>
        <w:jc w:val="both"/>
        <w:rPr/>
      </w:pPr>
      <w:r w:rsidDel="00000000" w:rsidR="00000000" w:rsidRPr="00000000">
        <w:rPr>
          <w:rFonts w:ascii="Times New Roman" w:cs="Times New Roman" w:eastAsia="Times New Roman" w:hAnsi="Times New Roman"/>
          <w:b w:val="1"/>
          <w:sz w:val="36"/>
          <w:szCs w:val="36"/>
          <w:rtl w:val="0"/>
        </w:rPr>
        <w:t xml:space="preserve">Student ID:</w:t>
      </w:r>
      <w:r w:rsidDel="00000000" w:rsidR="00000000" w:rsidRPr="00000000">
        <w:br w:type="page"/>
      </w:r>
      <w:r w:rsidDel="00000000" w:rsidR="00000000" w:rsidRPr="00000000">
        <w:rPr>
          <w:rtl w:val="0"/>
        </w:rPr>
      </w:r>
    </w:p>
    <w:p w:rsidR="00000000" w:rsidDel="00000000" w:rsidP="00000000" w:rsidRDefault="00000000" w:rsidRPr="00000000" w14:paraId="00000008">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32"/>
          <w:szCs w:val="32"/>
          <w:rtl w:val="0"/>
        </w:rPr>
        <w:t xml:space="preserve">Table of contents:</w:t>
      </w: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Times New Roman" w:cs="Times New Roman" w:eastAsia="Times New Roman" w:hAnsi="Times New Roman"/>
                <w:sz w:val="24"/>
                <w:szCs w:val="24"/>
              </w:rPr>
            </w:pPr>
            <w:r w:rsidDel="00000000" w:rsidR="00000000" w:rsidRPr="00000000">
              <w:rPr>
                <w:rtl w:val="0"/>
              </w:rPr>
            </w:r>
          </w:p>
          <w:sdt>
            <w:sdtPr>
              <w:id w:val="-1333954061"/>
              <w:docPartObj>
                <w:docPartGallery w:val="Table of Contents"/>
                <w:docPartUnique w:val="1"/>
              </w:docPartObj>
            </w:sdtPr>
            <w:sdtContent>
              <w:p w:rsidR="00000000" w:rsidDel="00000000" w:rsidP="00000000" w:rsidRDefault="00000000" w:rsidRPr="00000000" w14:paraId="0000000A">
                <w:pPr>
                  <w:widowControl w:val="0"/>
                  <w:tabs>
                    <w:tab w:val="right" w:leader="none" w:pos="12000"/>
                  </w:tabs>
                  <w:spacing w:before="60" w:line="276" w:lineRule="auto"/>
                  <w:jc w:val="both"/>
                  <w:rPr>
                    <w:rFonts w:ascii="Times New Roman" w:cs="Times New Roman" w:eastAsia="Times New Roman" w:hAnsi="Times New Roman"/>
                    <w:color w:val="000000"/>
                    <w:sz w:val="24"/>
                    <w:szCs w:val="24"/>
                    <w:u w:val="none"/>
                  </w:rPr>
                </w:pPr>
                <w:r w:rsidDel="00000000" w:rsidR="00000000" w:rsidRPr="00000000">
                  <w:fldChar w:fldCharType="begin"/>
                  <w:instrText xml:space="preserve"> TOC \h \u \z \t "Heading 1,1,Heading 2,2,Heading 3,3,Heading 4,4,Heading 5,5,Heading 6,6,"</w:instrText>
                  <w:fldChar w:fldCharType="separate"/>
                </w:r>
                <w:hyperlink w:anchor="_wzwejzhos1n9">
                  <w:r w:rsidDel="00000000" w:rsidR="00000000" w:rsidRPr="00000000">
                    <w:rPr>
                      <w:rFonts w:ascii="Times New Roman" w:cs="Times New Roman" w:eastAsia="Times New Roman" w:hAnsi="Times New Roman"/>
                      <w:color w:val="000000"/>
                      <w:sz w:val="24"/>
                      <w:szCs w:val="24"/>
                      <w:u w:val="none"/>
                      <w:rtl w:val="0"/>
                    </w:rPr>
                    <w:t xml:space="preserve">1. Introduction:</w:t>
                    <w:tab/>
                  </w:r>
                </w:hyperlink>
                <w:r w:rsidDel="00000000" w:rsidR="00000000" w:rsidRPr="00000000">
                  <w:fldChar w:fldCharType="begin"/>
                  <w:instrText xml:space="preserve"> PAGEREF _wzwejzhos1n9 \h </w:instrText>
                  <w:fldChar w:fldCharType="separate"/>
                </w:r>
                <w:r w:rsidDel="00000000" w:rsidR="00000000" w:rsidRPr="00000000">
                  <w:rPr>
                    <w:rFonts w:ascii="Times New Roman" w:cs="Times New Roman" w:eastAsia="Times New Roman" w:hAnsi="Times New Roman"/>
                    <w:sz w:val="24"/>
                    <w:szCs w:val="24"/>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B">
                <w:pPr>
                  <w:widowControl w:val="0"/>
                  <w:tabs>
                    <w:tab w:val="right" w:leader="none" w:pos="12000"/>
                  </w:tabs>
                  <w:spacing w:before="60" w:line="276" w:lineRule="auto"/>
                  <w:jc w:val="both"/>
                  <w:rPr>
                    <w:rFonts w:ascii="Times New Roman" w:cs="Times New Roman" w:eastAsia="Times New Roman" w:hAnsi="Times New Roman"/>
                    <w:color w:val="000000"/>
                    <w:sz w:val="24"/>
                    <w:szCs w:val="24"/>
                    <w:u w:val="none"/>
                  </w:rPr>
                </w:pPr>
                <w:hyperlink w:anchor="_hael7mbsfzce">
                  <w:r w:rsidDel="00000000" w:rsidR="00000000" w:rsidRPr="00000000">
                    <w:rPr>
                      <w:rFonts w:ascii="Times New Roman" w:cs="Times New Roman" w:eastAsia="Times New Roman" w:hAnsi="Times New Roman"/>
                      <w:color w:val="000000"/>
                      <w:sz w:val="24"/>
                      <w:szCs w:val="24"/>
                      <w:u w:val="none"/>
                      <w:rtl w:val="0"/>
                    </w:rPr>
                    <w:t xml:space="preserve">2. Conceptual foundations and methodological approach:</w:t>
                    <w:tab/>
                  </w:r>
                </w:hyperlink>
                <w:r w:rsidDel="00000000" w:rsidR="00000000" w:rsidRPr="00000000">
                  <w:fldChar w:fldCharType="begin"/>
                  <w:instrText xml:space="preserve"> PAGEREF _hael7mbsfzce \h </w:instrText>
                  <w:fldChar w:fldCharType="separate"/>
                </w:r>
                <w:r w:rsidDel="00000000" w:rsidR="00000000" w:rsidRPr="00000000">
                  <w:rPr>
                    <w:rFonts w:ascii="Times New Roman" w:cs="Times New Roman" w:eastAsia="Times New Roman" w:hAnsi="Times New Roman"/>
                    <w:sz w:val="24"/>
                    <w:szCs w:val="24"/>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C">
                <w:pPr>
                  <w:widowControl w:val="0"/>
                  <w:tabs>
                    <w:tab w:val="right" w:leader="none" w:pos="12000"/>
                  </w:tabs>
                  <w:spacing w:before="60" w:line="276" w:lineRule="auto"/>
                  <w:jc w:val="both"/>
                  <w:rPr>
                    <w:rFonts w:ascii="Times New Roman" w:cs="Times New Roman" w:eastAsia="Times New Roman" w:hAnsi="Times New Roman"/>
                    <w:color w:val="000000"/>
                    <w:sz w:val="24"/>
                    <w:szCs w:val="24"/>
                    <w:u w:val="none"/>
                  </w:rPr>
                </w:pPr>
                <w:hyperlink w:anchor="_m4986zvk43wy">
                  <w:r w:rsidDel="00000000" w:rsidR="00000000" w:rsidRPr="00000000">
                    <w:rPr>
                      <w:rFonts w:ascii="Times New Roman" w:cs="Times New Roman" w:eastAsia="Times New Roman" w:hAnsi="Times New Roman"/>
                      <w:color w:val="000000"/>
                      <w:sz w:val="24"/>
                      <w:szCs w:val="24"/>
                      <w:u w:val="none"/>
                      <w:rtl w:val="0"/>
                    </w:rPr>
                    <w:t xml:space="preserve">3. Task 1: Critical analysis of technological and environmental macro actors:</w:t>
                    <w:tab/>
                  </w:r>
                </w:hyperlink>
                <w:r w:rsidDel="00000000" w:rsidR="00000000" w:rsidRPr="00000000">
                  <w:fldChar w:fldCharType="begin"/>
                  <w:instrText xml:space="preserve"> PAGEREF _m4986zvk43wy \h </w:instrText>
                  <w:fldChar w:fldCharType="separate"/>
                </w:r>
                <w:r w:rsidDel="00000000" w:rsidR="00000000" w:rsidRPr="00000000">
                  <w:rPr>
                    <w:rFonts w:ascii="Times New Roman" w:cs="Times New Roman" w:eastAsia="Times New Roman" w:hAnsi="Times New Roman"/>
                    <w:sz w:val="24"/>
                    <w:szCs w:val="24"/>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D">
                <w:pPr>
                  <w:widowControl w:val="0"/>
                  <w:tabs>
                    <w:tab w:val="right" w:leader="none" w:pos="12000"/>
                  </w:tabs>
                  <w:spacing w:before="60" w:line="276" w:lineRule="auto"/>
                  <w:ind w:left="360" w:firstLine="0"/>
                  <w:jc w:val="both"/>
                  <w:rPr>
                    <w:rFonts w:ascii="Times New Roman" w:cs="Times New Roman" w:eastAsia="Times New Roman" w:hAnsi="Times New Roman"/>
                    <w:color w:val="000000"/>
                    <w:sz w:val="24"/>
                    <w:szCs w:val="24"/>
                    <w:u w:val="none"/>
                  </w:rPr>
                </w:pPr>
                <w:hyperlink w:anchor="_lnkgrw53lvo">
                  <w:r w:rsidDel="00000000" w:rsidR="00000000" w:rsidRPr="00000000">
                    <w:rPr>
                      <w:rFonts w:ascii="Times New Roman" w:cs="Times New Roman" w:eastAsia="Times New Roman" w:hAnsi="Times New Roman"/>
                      <w:color w:val="000000"/>
                      <w:sz w:val="24"/>
                      <w:szCs w:val="24"/>
                      <w:u w:val="none"/>
                      <w:rtl w:val="0"/>
                    </w:rPr>
                    <w:t xml:space="preserve">3.1 Technological factors: characterisation and critical implications:</w:t>
                    <w:tab/>
                  </w:r>
                </w:hyperlink>
                <w:r w:rsidDel="00000000" w:rsidR="00000000" w:rsidRPr="00000000">
                  <w:fldChar w:fldCharType="begin"/>
                  <w:instrText xml:space="preserve"> PAGEREF _lnkgrw53lvo \h </w:instrText>
                  <w:fldChar w:fldCharType="separate"/>
                </w:r>
                <w:r w:rsidDel="00000000" w:rsidR="00000000" w:rsidRPr="00000000">
                  <w:rPr>
                    <w:rFonts w:ascii="Times New Roman" w:cs="Times New Roman" w:eastAsia="Times New Roman" w:hAnsi="Times New Roman"/>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E">
                <w:pPr>
                  <w:widowControl w:val="0"/>
                  <w:tabs>
                    <w:tab w:val="right" w:leader="none" w:pos="12000"/>
                  </w:tabs>
                  <w:spacing w:before="60" w:line="276" w:lineRule="auto"/>
                  <w:ind w:left="720" w:firstLine="0"/>
                  <w:jc w:val="both"/>
                  <w:rPr>
                    <w:rFonts w:ascii="Times New Roman" w:cs="Times New Roman" w:eastAsia="Times New Roman" w:hAnsi="Times New Roman"/>
                    <w:color w:val="000000"/>
                    <w:sz w:val="24"/>
                    <w:szCs w:val="24"/>
                    <w:u w:val="none"/>
                  </w:rPr>
                </w:pPr>
                <w:hyperlink w:anchor="_hgs1dz86mhf1">
                  <w:r w:rsidDel="00000000" w:rsidR="00000000" w:rsidRPr="00000000">
                    <w:rPr>
                      <w:rFonts w:ascii="Times New Roman" w:cs="Times New Roman" w:eastAsia="Times New Roman" w:hAnsi="Times New Roman"/>
                      <w:color w:val="000000"/>
                      <w:sz w:val="24"/>
                      <w:szCs w:val="24"/>
                      <w:u w:val="none"/>
                      <w:rtl w:val="0"/>
                    </w:rPr>
                    <w:t xml:space="preserve">3.1.1 Opportunities:</w:t>
                    <w:tab/>
                  </w:r>
                </w:hyperlink>
                <w:r w:rsidDel="00000000" w:rsidR="00000000" w:rsidRPr="00000000">
                  <w:fldChar w:fldCharType="begin"/>
                  <w:instrText xml:space="preserve"> PAGEREF _hgs1dz86mhf1 \h </w:instrText>
                  <w:fldChar w:fldCharType="separate"/>
                </w:r>
                <w:r w:rsidDel="00000000" w:rsidR="00000000" w:rsidRPr="00000000">
                  <w:rPr>
                    <w:rFonts w:ascii="Times New Roman" w:cs="Times New Roman" w:eastAsia="Times New Roman" w:hAnsi="Times New Roman"/>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F">
                <w:pPr>
                  <w:widowControl w:val="0"/>
                  <w:tabs>
                    <w:tab w:val="right" w:leader="none" w:pos="12000"/>
                  </w:tabs>
                  <w:spacing w:before="60" w:line="276" w:lineRule="auto"/>
                  <w:ind w:left="720" w:firstLine="0"/>
                  <w:jc w:val="both"/>
                  <w:rPr>
                    <w:rFonts w:ascii="Times New Roman" w:cs="Times New Roman" w:eastAsia="Times New Roman" w:hAnsi="Times New Roman"/>
                    <w:color w:val="000000"/>
                    <w:sz w:val="24"/>
                    <w:szCs w:val="24"/>
                    <w:u w:val="none"/>
                  </w:rPr>
                </w:pPr>
                <w:hyperlink w:anchor="_88kqmyth5tft">
                  <w:r w:rsidDel="00000000" w:rsidR="00000000" w:rsidRPr="00000000">
                    <w:rPr>
                      <w:rFonts w:ascii="Times New Roman" w:cs="Times New Roman" w:eastAsia="Times New Roman" w:hAnsi="Times New Roman"/>
                      <w:color w:val="000000"/>
                      <w:sz w:val="24"/>
                      <w:szCs w:val="24"/>
                      <w:u w:val="none"/>
                      <w:rtl w:val="0"/>
                    </w:rPr>
                    <w:t xml:space="preserve">3.1.2 Threats:</w:t>
                    <w:tab/>
                  </w:r>
                </w:hyperlink>
                <w:r w:rsidDel="00000000" w:rsidR="00000000" w:rsidRPr="00000000">
                  <w:fldChar w:fldCharType="begin"/>
                  <w:instrText xml:space="preserve"> PAGEREF _88kqmyth5tft \h </w:instrText>
                  <w:fldChar w:fldCharType="separate"/>
                </w:r>
                <w:r w:rsidDel="00000000" w:rsidR="00000000" w:rsidRPr="00000000">
                  <w:rPr>
                    <w:rFonts w:ascii="Times New Roman" w:cs="Times New Roman" w:eastAsia="Times New Roman" w:hAnsi="Times New Roman"/>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0">
                <w:pPr>
                  <w:widowControl w:val="0"/>
                  <w:tabs>
                    <w:tab w:val="right" w:leader="none" w:pos="12000"/>
                  </w:tabs>
                  <w:spacing w:before="60" w:line="276" w:lineRule="auto"/>
                  <w:ind w:left="720" w:firstLine="0"/>
                  <w:jc w:val="both"/>
                  <w:rPr>
                    <w:rFonts w:ascii="Times New Roman" w:cs="Times New Roman" w:eastAsia="Times New Roman" w:hAnsi="Times New Roman"/>
                    <w:color w:val="000000"/>
                    <w:sz w:val="24"/>
                    <w:szCs w:val="24"/>
                    <w:u w:val="none"/>
                  </w:rPr>
                </w:pPr>
                <w:hyperlink w:anchor="_qpxuwh8upc66">
                  <w:r w:rsidDel="00000000" w:rsidR="00000000" w:rsidRPr="00000000">
                    <w:rPr>
                      <w:rFonts w:ascii="Times New Roman" w:cs="Times New Roman" w:eastAsia="Times New Roman" w:hAnsi="Times New Roman"/>
                      <w:color w:val="000000"/>
                      <w:sz w:val="24"/>
                      <w:szCs w:val="24"/>
                      <w:u w:val="none"/>
                      <w:rtl w:val="0"/>
                    </w:rPr>
                    <w:t xml:space="preserve">3.1.3 Impact on pioneers (Tesla):</w:t>
                    <w:tab/>
                  </w:r>
                </w:hyperlink>
                <w:r w:rsidDel="00000000" w:rsidR="00000000" w:rsidRPr="00000000">
                  <w:fldChar w:fldCharType="begin"/>
                  <w:instrText xml:space="preserve"> PAGEREF _qpxuwh8upc66 \h </w:instrText>
                  <w:fldChar w:fldCharType="separate"/>
                </w:r>
                <w:r w:rsidDel="00000000" w:rsidR="00000000" w:rsidRPr="00000000">
                  <w:rPr>
                    <w:rFonts w:ascii="Times New Roman" w:cs="Times New Roman" w:eastAsia="Times New Roman" w:hAnsi="Times New Roman"/>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276" w:lineRule="auto"/>
                  <w:ind w:left="720" w:firstLine="0"/>
                  <w:jc w:val="both"/>
                  <w:rPr>
                    <w:rFonts w:ascii="Times New Roman" w:cs="Times New Roman" w:eastAsia="Times New Roman" w:hAnsi="Times New Roman"/>
                    <w:color w:val="000000"/>
                    <w:sz w:val="24"/>
                    <w:szCs w:val="24"/>
                    <w:u w:val="none"/>
                  </w:rPr>
                </w:pPr>
                <w:hyperlink w:anchor="_1anyz2yndnql">
                  <w:r w:rsidDel="00000000" w:rsidR="00000000" w:rsidRPr="00000000">
                    <w:rPr>
                      <w:rFonts w:ascii="Times New Roman" w:cs="Times New Roman" w:eastAsia="Times New Roman" w:hAnsi="Times New Roman"/>
                      <w:color w:val="000000"/>
                      <w:sz w:val="24"/>
                      <w:szCs w:val="24"/>
                      <w:u w:val="none"/>
                      <w:rtl w:val="0"/>
                    </w:rPr>
                    <w:t xml:space="preserve">3.1.4 Impact on followers (Hyundai):</w:t>
                    <w:tab/>
                  </w:r>
                </w:hyperlink>
                <w:r w:rsidDel="00000000" w:rsidR="00000000" w:rsidRPr="00000000">
                  <w:fldChar w:fldCharType="begin"/>
                  <w:instrText xml:space="preserve"> PAGEREF _1anyz2yndnql \h </w:instrText>
                  <w:fldChar w:fldCharType="separate"/>
                </w:r>
                <w:r w:rsidDel="00000000" w:rsidR="00000000" w:rsidRPr="00000000">
                  <w:rPr>
                    <w:rFonts w:ascii="Times New Roman" w:cs="Times New Roman" w:eastAsia="Times New Roman" w:hAnsi="Times New Roman"/>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276" w:lineRule="auto"/>
                  <w:ind w:left="720" w:firstLine="0"/>
                  <w:jc w:val="both"/>
                  <w:rPr>
                    <w:rFonts w:ascii="Times New Roman" w:cs="Times New Roman" w:eastAsia="Times New Roman" w:hAnsi="Times New Roman"/>
                    <w:color w:val="000000"/>
                    <w:sz w:val="24"/>
                    <w:szCs w:val="24"/>
                    <w:u w:val="none"/>
                  </w:rPr>
                </w:pPr>
                <w:hyperlink w:anchor="_vr1dviepudn7">
                  <w:r w:rsidDel="00000000" w:rsidR="00000000" w:rsidRPr="00000000">
                    <w:rPr>
                      <w:rFonts w:ascii="Times New Roman" w:cs="Times New Roman" w:eastAsia="Times New Roman" w:hAnsi="Times New Roman"/>
                      <w:color w:val="000000"/>
                      <w:sz w:val="24"/>
                      <w:szCs w:val="24"/>
                      <w:u w:val="none"/>
                      <w:rtl w:val="0"/>
                    </w:rPr>
                    <w:t xml:space="preserve">3.1.5 Critical synthesis (technological):</w:t>
                    <w:tab/>
                  </w:r>
                </w:hyperlink>
                <w:r w:rsidDel="00000000" w:rsidR="00000000" w:rsidRPr="00000000">
                  <w:fldChar w:fldCharType="begin"/>
                  <w:instrText xml:space="preserve"> PAGEREF _vr1dviepudn7 \h </w:instrText>
                  <w:fldChar w:fldCharType="separate"/>
                </w:r>
                <w:r w:rsidDel="00000000" w:rsidR="00000000" w:rsidRPr="00000000">
                  <w:rPr>
                    <w:rFonts w:ascii="Times New Roman" w:cs="Times New Roman" w:eastAsia="Times New Roman" w:hAnsi="Times New Roman"/>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76" w:lineRule="auto"/>
                  <w:ind w:left="360" w:firstLine="0"/>
                  <w:jc w:val="both"/>
                  <w:rPr>
                    <w:rFonts w:ascii="Times New Roman" w:cs="Times New Roman" w:eastAsia="Times New Roman" w:hAnsi="Times New Roman"/>
                    <w:color w:val="000000"/>
                    <w:sz w:val="24"/>
                    <w:szCs w:val="24"/>
                    <w:u w:val="none"/>
                  </w:rPr>
                </w:pPr>
                <w:hyperlink w:anchor="_b6qk7513ijl6">
                  <w:r w:rsidDel="00000000" w:rsidR="00000000" w:rsidRPr="00000000">
                    <w:rPr>
                      <w:rFonts w:ascii="Times New Roman" w:cs="Times New Roman" w:eastAsia="Times New Roman" w:hAnsi="Times New Roman"/>
                      <w:color w:val="000000"/>
                      <w:sz w:val="24"/>
                      <w:szCs w:val="24"/>
                      <w:u w:val="none"/>
                      <w:rtl w:val="0"/>
                    </w:rPr>
                    <w:t xml:space="preserve">3.2 Environmental factors: characterisation and critical implications:</w:t>
                    <w:tab/>
                  </w:r>
                </w:hyperlink>
                <w:r w:rsidDel="00000000" w:rsidR="00000000" w:rsidRPr="00000000">
                  <w:fldChar w:fldCharType="begin"/>
                  <w:instrText xml:space="preserve"> PAGEREF _b6qk7513ijl6 \h </w:instrText>
                  <w:fldChar w:fldCharType="separate"/>
                </w:r>
                <w:r w:rsidDel="00000000" w:rsidR="00000000" w:rsidRPr="00000000">
                  <w:rPr>
                    <w:rFonts w:ascii="Times New Roman" w:cs="Times New Roman" w:eastAsia="Times New Roman" w:hAnsi="Times New Roman"/>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76" w:lineRule="auto"/>
                  <w:ind w:left="720" w:firstLine="0"/>
                  <w:jc w:val="both"/>
                  <w:rPr>
                    <w:rFonts w:ascii="Times New Roman" w:cs="Times New Roman" w:eastAsia="Times New Roman" w:hAnsi="Times New Roman"/>
                    <w:color w:val="000000"/>
                    <w:sz w:val="24"/>
                    <w:szCs w:val="24"/>
                    <w:u w:val="none"/>
                  </w:rPr>
                </w:pPr>
                <w:hyperlink w:anchor="_m11vuccj3fus">
                  <w:r w:rsidDel="00000000" w:rsidR="00000000" w:rsidRPr="00000000">
                    <w:rPr>
                      <w:rFonts w:ascii="Times New Roman" w:cs="Times New Roman" w:eastAsia="Times New Roman" w:hAnsi="Times New Roman"/>
                      <w:color w:val="000000"/>
                      <w:sz w:val="24"/>
                      <w:szCs w:val="24"/>
                      <w:u w:val="none"/>
                      <w:rtl w:val="0"/>
                    </w:rPr>
                    <w:t xml:space="preserve">3.2.1 Opportunities:</w:t>
                    <w:tab/>
                  </w:r>
                </w:hyperlink>
                <w:r w:rsidDel="00000000" w:rsidR="00000000" w:rsidRPr="00000000">
                  <w:fldChar w:fldCharType="begin"/>
                  <w:instrText xml:space="preserve"> PAGEREF _m11vuccj3fus \h </w:instrText>
                  <w:fldChar w:fldCharType="separate"/>
                </w:r>
                <w:r w:rsidDel="00000000" w:rsidR="00000000" w:rsidRPr="00000000">
                  <w:rPr>
                    <w:rFonts w:ascii="Times New Roman" w:cs="Times New Roman" w:eastAsia="Times New Roman" w:hAnsi="Times New Roman"/>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76" w:lineRule="auto"/>
                  <w:ind w:left="720" w:firstLine="0"/>
                  <w:jc w:val="both"/>
                  <w:rPr>
                    <w:rFonts w:ascii="Times New Roman" w:cs="Times New Roman" w:eastAsia="Times New Roman" w:hAnsi="Times New Roman"/>
                    <w:color w:val="000000"/>
                    <w:sz w:val="24"/>
                    <w:szCs w:val="24"/>
                    <w:u w:val="none"/>
                  </w:rPr>
                </w:pPr>
                <w:hyperlink w:anchor="_ishyz2r7u058">
                  <w:r w:rsidDel="00000000" w:rsidR="00000000" w:rsidRPr="00000000">
                    <w:rPr>
                      <w:rFonts w:ascii="Times New Roman" w:cs="Times New Roman" w:eastAsia="Times New Roman" w:hAnsi="Times New Roman"/>
                      <w:color w:val="000000"/>
                      <w:sz w:val="24"/>
                      <w:szCs w:val="24"/>
                      <w:u w:val="none"/>
                      <w:rtl w:val="0"/>
                    </w:rPr>
                    <w:t xml:space="preserve">3.2.2 Threats:</w:t>
                    <w:tab/>
                  </w:r>
                </w:hyperlink>
                <w:r w:rsidDel="00000000" w:rsidR="00000000" w:rsidRPr="00000000">
                  <w:fldChar w:fldCharType="begin"/>
                  <w:instrText xml:space="preserve"> PAGEREF _ishyz2r7u058 \h </w:instrText>
                  <w:fldChar w:fldCharType="separate"/>
                </w:r>
                <w:r w:rsidDel="00000000" w:rsidR="00000000" w:rsidRPr="00000000">
                  <w:rPr>
                    <w:rFonts w:ascii="Times New Roman" w:cs="Times New Roman" w:eastAsia="Times New Roman" w:hAnsi="Times New Roman"/>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76" w:lineRule="auto"/>
                  <w:ind w:left="720" w:firstLine="0"/>
                  <w:jc w:val="both"/>
                  <w:rPr>
                    <w:rFonts w:ascii="Times New Roman" w:cs="Times New Roman" w:eastAsia="Times New Roman" w:hAnsi="Times New Roman"/>
                    <w:color w:val="000000"/>
                    <w:sz w:val="24"/>
                    <w:szCs w:val="24"/>
                    <w:u w:val="none"/>
                  </w:rPr>
                </w:pPr>
                <w:hyperlink w:anchor="_guswutk6bg9r">
                  <w:r w:rsidDel="00000000" w:rsidR="00000000" w:rsidRPr="00000000">
                    <w:rPr>
                      <w:rFonts w:ascii="Times New Roman" w:cs="Times New Roman" w:eastAsia="Times New Roman" w:hAnsi="Times New Roman"/>
                      <w:color w:val="000000"/>
                      <w:sz w:val="24"/>
                      <w:szCs w:val="24"/>
                      <w:u w:val="none"/>
                      <w:rtl w:val="0"/>
                    </w:rPr>
                    <w:t xml:space="preserve">3.2.3 Impact on pioneers (Tesla):</w:t>
                    <w:tab/>
                  </w:r>
                </w:hyperlink>
                <w:r w:rsidDel="00000000" w:rsidR="00000000" w:rsidRPr="00000000">
                  <w:fldChar w:fldCharType="begin"/>
                  <w:instrText xml:space="preserve"> PAGEREF _guswutk6bg9r \h </w:instrText>
                  <w:fldChar w:fldCharType="separate"/>
                </w:r>
                <w:r w:rsidDel="00000000" w:rsidR="00000000" w:rsidRPr="00000000">
                  <w:rPr>
                    <w:rFonts w:ascii="Times New Roman" w:cs="Times New Roman" w:eastAsia="Times New Roman" w:hAnsi="Times New Roman"/>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76" w:lineRule="auto"/>
                  <w:ind w:left="720" w:firstLine="0"/>
                  <w:jc w:val="both"/>
                  <w:rPr>
                    <w:rFonts w:ascii="Times New Roman" w:cs="Times New Roman" w:eastAsia="Times New Roman" w:hAnsi="Times New Roman"/>
                    <w:color w:val="000000"/>
                    <w:sz w:val="24"/>
                    <w:szCs w:val="24"/>
                    <w:u w:val="none"/>
                  </w:rPr>
                </w:pPr>
                <w:hyperlink w:anchor="_l4o8n2u72aa">
                  <w:r w:rsidDel="00000000" w:rsidR="00000000" w:rsidRPr="00000000">
                    <w:rPr>
                      <w:rFonts w:ascii="Times New Roman" w:cs="Times New Roman" w:eastAsia="Times New Roman" w:hAnsi="Times New Roman"/>
                      <w:color w:val="000000"/>
                      <w:sz w:val="24"/>
                      <w:szCs w:val="24"/>
                      <w:u w:val="none"/>
                      <w:rtl w:val="0"/>
                    </w:rPr>
                    <w:t xml:space="preserve">3.2.4 Impact on followers (Hyundai):</w:t>
                    <w:tab/>
                  </w:r>
                </w:hyperlink>
                <w:r w:rsidDel="00000000" w:rsidR="00000000" w:rsidRPr="00000000">
                  <w:fldChar w:fldCharType="begin"/>
                  <w:instrText xml:space="preserve"> PAGEREF _l4o8n2u72aa \h </w:instrText>
                  <w:fldChar w:fldCharType="separate"/>
                </w:r>
                <w:r w:rsidDel="00000000" w:rsidR="00000000" w:rsidRPr="00000000">
                  <w:rPr>
                    <w:rFonts w:ascii="Times New Roman" w:cs="Times New Roman" w:eastAsia="Times New Roman" w:hAnsi="Times New Roman"/>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76" w:lineRule="auto"/>
                  <w:ind w:left="720" w:firstLine="0"/>
                  <w:jc w:val="both"/>
                  <w:rPr>
                    <w:rFonts w:ascii="Times New Roman" w:cs="Times New Roman" w:eastAsia="Times New Roman" w:hAnsi="Times New Roman"/>
                    <w:color w:val="000000"/>
                    <w:sz w:val="24"/>
                    <w:szCs w:val="24"/>
                    <w:u w:val="none"/>
                  </w:rPr>
                </w:pPr>
                <w:hyperlink w:anchor="_f424m61c2k3l">
                  <w:r w:rsidDel="00000000" w:rsidR="00000000" w:rsidRPr="00000000">
                    <w:rPr>
                      <w:rFonts w:ascii="Times New Roman" w:cs="Times New Roman" w:eastAsia="Times New Roman" w:hAnsi="Times New Roman"/>
                      <w:color w:val="000000"/>
                      <w:sz w:val="24"/>
                      <w:szCs w:val="24"/>
                      <w:u w:val="none"/>
                      <w:rtl w:val="0"/>
                    </w:rPr>
                    <w:t xml:space="preserve">3.2.5 Critical synthesis (environmental):</w:t>
                    <w:tab/>
                  </w:r>
                </w:hyperlink>
                <w:r w:rsidDel="00000000" w:rsidR="00000000" w:rsidRPr="00000000">
                  <w:fldChar w:fldCharType="begin"/>
                  <w:instrText xml:space="preserve"> PAGEREF _f424m61c2k3l \h </w:instrText>
                  <w:fldChar w:fldCharType="separate"/>
                </w:r>
                <w:r w:rsidDel="00000000" w:rsidR="00000000" w:rsidRPr="00000000">
                  <w:rPr>
                    <w:rFonts w:ascii="Times New Roman" w:cs="Times New Roman" w:eastAsia="Times New Roman" w:hAnsi="Times New Roman"/>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76" w:lineRule="auto"/>
                  <w:jc w:val="both"/>
                  <w:rPr>
                    <w:rFonts w:ascii="Times New Roman" w:cs="Times New Roman" w:eastAsia="Times New Roman" w:hAnsi="Times New Roman"/>
                    <w:color w:val="000000"/>
                    <w:sz w:val="24"/>
                    <w:szCs w:val="24"/>
                    <w:u w:val="none"/>
                  </w:rPr>
                </w:pPr>
                <w:hyperlink w:anchor="_rrqpargp6vyi">
                  <w:r w:rsidDel="00000000" w:rsidR="00000000" w:rsidRPr="00000000">
                    <w:rPr>
                      <w:rFonts w:ascii="Times New Roman" w:cs="Times New Roman" w:eastAsia="Times New Roman" w:hAnsi="Times New Roman"/>
                      <w:color w:val="000000"/>
                      <w:sz w:val="24"/>
                      <w:szCs w:val="24"/>
                      <w:u w:val="none"/>
                      <w:rtl w:val="0"/>
                    </w:rPr>
                    <w:t xml:space="preserve">4. Task 2: Strategic responses to maintain competitiveness:</w:t>
                    <w:tab/>
                  </w:r>
                </w:hyperlink>
                <w:r w:rsidDel="00000000" w:rsidR="00000000" w:rsidRPr="00000000">
                  <w:fldChar w:fldCharType="begin"/>
                  <w:instrText xml:space="preserve"> PAGEREF _rrqpargp6vyi \h </w:instrText>
                  <w:fldChar w:fldCharType="separate"/>
                </w:r>
                <w:r w:rsidDel="00000000" w:rsidR="00000000" w:rsidRPr="00000000">
                  <w:rPr>
                    <w:rFonts w:ascii="Times New Roman" w:cs="Times New Roman" w:eastAsia="Times New Roman" w:hAnsi="Times New Roman"/>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76" w:lineRule="auto"/>
                  <w:ind w:left="360" w:firstLine="0"/>
                  <w:jc w:val="both"/>
                  <w:rPr>
                    <w:rFonts w:ascii="Times New Roman" w:cs="Times New Roman" w:eastAsia="Times New Roman" w:hAnsi="Times New Roman"/>
                    <w:color w:val="000000"/>
                    <w:sz w:val="24"/>
                    <w:szCs w:val="24"/>
                    <w:u w:val="none"/>
                  </w:rPr>
                </w:pPr>
                <w:hyperlink w:anchor="_hqgk3nr1tf08">
                  <w:r w:rsidDel="00000000" w:rsidR="00000000" w:rsidRPr="00000000">
                    <w:rPr>
                      <w:rFonts w:ascii="Times New Roman" w:cs="Times New Roman" w:eastAsia="Times New Roman" w:hAnsi="Times New Roman"/>
                      <w:color w:val="000000"/>
                      <w:sz w:val="24"/>
                      <w:szCs w:val="24"/>
                      <w:u w:val="none"/>
                      <w:rtl w:val="0"/>
                    </w:rPr>
                    <w:t xml:space="preserve">4.1 Strategy choice and competitive advantage (Porter &amp; RBV):</w:t>
                    <w:tab/>
                  </w:r>
                </w:hyperlink>
                <w:r w:rsidDel="00000000" w:rsidR="00000000" w:rsidRPr="00000000">
                  <w:fldChar w:fldCharType="begin"/>
                  <w:instrText xml:space="preserve"> PAGEREF _hqgk3nr1tf08 \h </w:instrText>
                  <w:fldChar w:fldCharType="separate"/>
                </w:r>
                <w:r w:rsidDel="00000000" w:rsidR="00000000" w:rsidRPr="00000000">
                  <w:rPr>
                    <w:rFonts w:ascii="Times New Roman" w:cs="Times New Roman" w:eastAsia="Times New Roman" w:hAnsi="Times New Roman"/>
                    <w:sz w:val="24"/>
                    <w:szCs w:val="24"/>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76" w:lineRule="auto"/>
                  <w:ind w:left="360" w:firstLine="0"/>
                  <w:jc w:val="both"/>
                  <w:rPr>
                    <w:rFonts w:ascii="Times New Roman" w:cs="Times New Roman" w:eastAsia="Times New Roman" w:hAnsi="Times New Roman"/>
                    <w:color w:val="000000"/>
                    <w:sz w:val="24"/>
                    <w:szCs w:val="24"/>
                    <w:u w:val="none"/>
                  </w:rPr>
                </w:pPr>
                <w:hyperlink w:anchor="_jec7y2x8u5az">
                  <w:r w:rsidDel="00000000" w:rsidR="00000000" w:rsidRPr="00000000">
                    <w:rPr>
                      <w:rFonts w:ascii="Times New Roman" w:cs="Times New Roman" w:eastAsia="Times New Roman" w:hAnsi="Times New Roman"/>
                      <w:color w:val="000000"/>
                      <w:sz w:val="24"/>
                      <w:szCs w:val="24"/>
                      <w:u w:val="none"/>
                      <w:rtl w:val="0"/>
                    </w:rPr>
                    <w:t xml:space="preserve">4.2 Market/product strategy (Ansoff &amp; Diffusion):</w:t>
                    <w:tab/>
                  </w:r>
                </w:hyperlink>
                <w:r w:rsidDel="00000000" w:rsidR="00000000" w:rsidRPr="00000000">
                  <w:fldChar w:fldCharType="begin"/>
                  <w:instrText xml:space="preserve"> PAGEREF _jec7y2x8u5az \h </w:instrText>
                  <w:fldChar w:fldCharType="separate"/>
                </w:r>
                <w:r w:rsidDel="00000000" w:rsidR="00000000" w:rsidRPr="00000000">
                  <w:rPr>
                    <w:rFonts w:ascii="Times New Roman" w:cs="Times New Roman" w:eastAsia="Times New Roman" w:hAnsi="Times New Roman"/>
                    <w:sz w:val="24"/>
                    <w:szCs w:val="24"/>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76" w:lineRule="auto"/>
                  <w:ind w:left="360" w:firstLine="0"/>
                  <w:jc w:val="both"/>
                  <w:rPr>
                    <w:rFonts w:ascii="Times New Roman" w:cs="Times New Roman" w:eastAsia="Times New Roman" w:hAnsi="Times New Roman"/>
                    <w:color w:val="000000"/>
                    <w:sz w:val="24"/>
                    <w:szCs w:val="24"/>
                    <w:u w:val="none"/>
                  </w:rPr>
                </w:pPr>
                <w:hyperlink w:anchor="_sjyun9s4npcm">
                  <w:r w:rsidDel="00000000" w:rsidR="00000000" w:rsidRPr="00000000">
                    <w:rPr>
                      <w:rFonts w:ascii="Times New Roman" w:cs="Times New Roman" w:eastAsia="Times New Roman" w:hAnsi="Times New Roman"/>
                      <w:color w:val="000000"/>
                      <w:sz w:val="24"/>
                      <w:szCs w:val="24"/>
                      <w:u w:val="none"/>
                      <w:rtl w:val="0"/>
                    </w:rPr>
                    <w:t xml:space="preserve">4.3 Capability configuration: vertical integration, alliances and modularity</w:t>
                    <w:tab/>
                  </w:r>
                </w:hyperlink>
                <w:r w:rsidDel="00000000" w:rsidR="00000000" w:rsidRPr="00000000">
                  <w:fldChar w:fldCharType="begin"/>
                  <w:instrText xml:space="preserve"> PAGEREF _sjyun9s4npcm \h </w:instrText>
                  <w:fldChar w:fldCharType="separate"/>
                </w:r>
                <w:r w:rsidDel="00000000" w:rsidR="00000000" w:rsidRPr="00000000">
                  <w:rPr>
                    <w:rFonts w:ascii="Times New Roman" w:cs="Times New Roman" w:eastAsia="Times New Roman" w:hAnsi="Times New Roman"/>
                    <w:sz w:val="24"/>
                    <w:szCs w:val="24"/>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76" w:lineRule="auto"/>
                  <w:ind w:left="360" w:firstLine="0"/>
                  <w:jc w:val="both"/>
                  <w:rPr>
                    <w:rFonts w:ascii="Times New Roman" w:cs="Times New Roman" w:eastAsia="Times New Roman" w:hAnsi="Times New Roman"/>
                    <w:color w:val="000000"/>
                    <w:sz w:val="24"/>
                    <w:szCs w:val="24"/>
                    <w:u w:val="none"/>
                  </w:rPr>
                </w:pPr>
                <w:hyperlink w:anchor="_8jl7w6h6rtki">
                  <w:r w:rsidDel="00000000" w:rsidR="00000000" w:rsidRPr="00000000">
                    <w:rPr>
                      <w:rFonts w:ascii="Times New Roman" w:cs="Times New Roman" w:eastAsia="Times New Roman" w:hAnsi="Times New Roman"/>
                      <w:color w:val="000000"/>
                      <w:sz w:val="24"/>
                      <w:szCs w:val="24"/>
                      <w:u w:val="none"/>
                      <w:rtl w:val="0"/>
                    </w:rPr>
                    <w:t xml:space="preserve">4.4 Dynamic Capabilities: sensing, seizing and reconfiguring</w:t>
                    <w:tab/>
                  </w:r>
                </w:hyperlink>
                <w:r w:rsidDel="00000000" w:rsidR="00000000" w:rsidRPr="00000000">
                  <w:fldChar w:fldCharType="begin"/>
                  <w:instrText xml:space="preserve"> PAGEREF _8jl7w6h6rtki \h </w:instrText>
                  <w:fldChar w:fldCharType="separate"/>
                </w:r>
                <w:r w:rsidDel="00000000" w:rsidR="00000000" w:rsidRPr="00000000">
                  <w:rPr>
                    <w:rFonts w:ascii="Times New Roman" w:cs="Times New Roman" w:eastAsia="Times New Roman" w:hAnsi="Times New Roman"/>
                    <w:sz w:val="24"/>
                    <w:szCs w:val="24"/>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76" w:lineRule="auto"/>
                  <w:ind w:left="360" w:firstLine="0"/>
                  <w:jc w:val="both"/>
                  <w:rPr>
                    <w:rFonts w:ascii="Times New Roman" w:cs="Times New Roman" w:eastAsia="Times New Roman" w:hAnsi="Times New Roman"/>
                    <w:color w:val="000000"/>
                    <w:sz w:val="24"/>
                    <w:szCs w:val="24"/>
                    <w:u w:val="none"/>
                  </w:rPr>
                </w:pPr>
                <w:hyperlink w:anchor="_arq493ncgin5">
                  <w:r w:rsidDel="00000000" w:rsidR="00000000" w:rsidRPr="00000000">
                    <w:rPr>
                      <w:rFonts w:ascii="Times New Roman" w:cs="Times New Roman" w:eastAsia="Times New Roman" w:hAnsi="Times New Roman"/>
                      <w:color w:val="000000"/>
                      <w:sz w:val="24"/>
                      <w:szCs w:val="24"/>
                      <w:u w:val="none"/>
                      <w:rtl w:val="0"/>
                    </w:rPr>
                    <w:t xml:space="preserve">4.5 Marketing mix and positioning responses:</w:t>
                    <w:tab/>
                  </w:r>
                </w:hyperlink>
                <w:r w:rsidDel="00000000" w:rsidR="00000000" w:rsidRPr="00000000">
                  <w:fldChar w:fldCharType="begin"/>
                  <w:instrText xml:space="preserve"> PAGEREF _arq493ncgin5 \h </w:instrText>
                  <w:fldChar w:fldCharType="separate"/>
                </w:r>
                <w:r w:rsidDel="00000000" w:rsidR="00000000" w:rsidRPr="00000000">
                  <w:rPr>
                    <w:rFonts w:ascii="Times New Roman" w:cs="Times New Roman" w:eastAsia="Times New Roman" w:hAnsi="Times New Roman"/>
                    <w:sz w:val="24"/>
                    <w:szCs w:val="24"/>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276" w:lineRule="auto"/>
                  <w:ind w:left="360" w:firstLine="0"/>
                  <w:jc w:val="both"/>
                  <w:rPr>
                    <w:rFonts w:ascii="Times New Roman" w:cs="Times New Roman" w:eastAsia="Times New Roman" w:hAnsi="Times New Roman"/>
                    <w:color w:val="000000"/>
                    <w:sz w:val="24"/>
                    <w:szCs w:val="24"/>
                    <w:u w:val="none"/>
                  </w:rPr>
                </w:pPr>
                <w:hyperlink w:anchor="_4jlya1ywod58">
                  <w:r w:rsidDel="00000000" w:rsidR="00000000" w:rsidRPr="00000000">
                    <w:rPr>
                      <w:rFonts w:ascii="Times New Roman" w:cs="Times New Roman" w:eastAsia="Times New Roman" w:hAnsi="Times New Roman"/>
                      <w:color w:val="000000"/>
                      <w:sz w:val="24"/>
                      <w:szCs w:val="24"/>
                      <w:u w:val="none"/>
                      <w:rtl w:val="0"/>
                    </w:rPr>
                    <w:t xml:space="preserve">4.6 Critical evaluation of strategic trade-offs:</w:t>
                    <w:tab/>
                  </w:r>
                </w:hyperlink>
                <w:r w:rsidDel="00000000" w:rsidR="00000000" w:rsidRPr="00000000">
                  <w:fldChar w:fldCharType="begin"/>
                  <w:instrText xml:space="preserve"> PAGEREF _4jlya1ywod58 \h </w:instrText>
                  <w:fldChar w:fldCharType="separate"/>
                </w:r>
                <w:r w:rsidDel="00000000" w:rsidR="00000000" w:rsidRPr="00000000">
                  <w:rPr>
                    <w:rFonts w:ascii="Times New Roman" w:cs="Times New Roman" w:eastAsia="Times New Roman" w:hAnsi="Times New Roman"/>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0">
                <w:pPr>
                  <w:widowControl w:val="0"/>
                  <w:tabs>
                    <w:tab w:val="right" w:leader="none" w:pos="12000"/>
                  </w:tabs>
                  <w:spacing w:before="60" w:line="276" w:lineRule="auto"/>
                  <w:ind w:left="360" w:firstLine="0"/>
                  <w:jc w:val="both"/>
                  <w:rPr>
                    <w:rFonts w:ascii="Times New Roman" w:cs="Times New Roman" w:eastAsia="Times New Roman" w:hAnsi="Times New Roman"/>
                    <w:color w:val="000000"/>
                    <w:sz w:val="24"/>
                    <w:szCs w:val="24"/>
                    <w:u w:val="none"/>
                  </w:rPr>
                </w:pPr>
                <w:hyperlink w:anchor="_f3mdvf3rqqgj">
                  <w:r w:rsidDel="00000000" w:rsidR="00000000" w:rsidRPr="00000000">
                    <w:rPr>
                      <w:rFonts w:ascii="Times New Roman" w:cs="Times New Roman" w:eastAsia="Times New Roman" w:hAnsi="Times New Roman"/>
                      <w:color w:val="000000"/>
                      <w:sz w:val="24"/>
                      <w:szCs w:val="24"/>
                      <w:u w:val="none"/>
                      <w:rtl w:val="0"/>
                    </w:rPr>
                    <w:t xml:space="preserve">4.7 Strategic recommendations:</w:t>
                    <w:tab/>
                  </w:r>
                </w:hyperlink>
                <w:r w:rsidDel="00000000" w:rsidR="00000000" w:rsidRPr="00000000">
                  <w:fldChar w:fldCharType="begin"/>
                  <w:instrText xml:space="preserve"> PAGEREF _f3mdvf3rqqgj \h </w:instrText>
                  <w:fldChar w:fldCharType="separate"/>
                </w:r>
                <w:r w:rsidDel="00000000" w:rsidR="00000000" w:rsidRPr="00000000">
                  <w:rPr>
                    <w:rFonts w:ascii="Times New Roman" w:cs="Times New Roman" w:eastAsia="Times New Roman" w:hAnsi="Times New Roman"/>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1">
                <w:pPr>
                  <w:widowControl w:val="0"/>
                  <w:tabs>
                    <w:tab w:val="right" w:leader="none" w:pos="12000"/>
                  </w:tabs>
                  <w:spacing w:before="60" w:line="276" w:lineRule="auto"/>
                  <w:ind w:left="720" w:firstLine="0"/>
                  <w:jc w:val="both"/>
                  <w:rPr>
                    <w:rFonts w:ascii="Times New Roman" w:cs="Times New Roman" w:eastAsia="Times New Roman" w:hAnsi="Times New Roman"/>
                    <w:color w:val="000000"/>
                    <w:sz w:val="24"/>
                    <w:szCs w:val="24"/>
                    <w:u w:val="none"/>
                  </w:rPr>
                </w:pPr>
                <w:hyperlink w:anchor="_6e7llh4rm4ni">
                  <w:r w:rsidDel="00000000" w:rsidR="00000000" w:rsidRPr="00000000">
                    <w:rPr>
                      <w:rFonts w:ascii="Times New Roman" w:cs="Times New Roman" w:eastAsia="Times New Roman" w:hAnsi="Times New Roman"/>
                      <w:color w:val="000000"/>
                      <w:sz w:val="24"/>
                      <w:szCs w:val="24"/>
                      <w:u w:val="none"/>
                      <w:rtl w:val="0"/>
                    </w:rPr>
                    <w:t xml:space="preserve">4.7.1 For pioneers (Tesla):</w:t>
                    <w:tab/>
                  </w:r>
                </w:hyperlink>
                <w:r w:rsidDel="00000000" w:rsidR="00000000" w:rsidRPr="00000000">
                  <w:fldChar w:fldCharType="begin"/>
                  <w:instrText xml:space="preserve"> PAGEREF _6e7llh4rm4ni \h </w:instrText>
                  <w:fldChar w:fldCharType="separate"/>
                </w:r>
                <w:r w:rsidDel="00000000" w:rsidR="00000000" w:rsidRPr="00000000">
                  <w:rPr>
                    <w:rFonts w:ascii="Times New Roman" w:cs="Times New Roman" w:eastAsia="Times New Roman" w:hAnsi="Times New Roman"/>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2">
                <w:pPr>
                  <w:widowControl w:val="0"/>
                  <w:tabs>
                    <w:tab w:val="right" w:leader="none" w:pos="12000"/>
                  </w:tabs>
                  <w:spacing w:before="60" w:line="276" w:lineRule="auto"/>
                  <w:ind w:left="720" w:firstLine="0"/>
                  <w:jc w:val="both"/>
                  <w:rPr>
                    <w:rFonts w:ascii="Times New Roman" w:cs="Times New Roman" w:eastAsia="Times New Roman" w:hAnsi="Times New Roman"/>
                    <w:color w:val="000000"/>
                    <w:sz w:val="24"/>
                    <w:szCs w:val="24"/>
                    <w:u w:val="none"/>
                  </w:rPr>
                </w:pPr>
                <w:hyperlink w:anchor="_yzf7ls8lh124">
                  <w:r w:rsidDel="00000000" w:rsidR="00000000" w:rsidRPr="00000000">
                    <w:rPr>
                      <w:rFonts w:ascii="Times New Roman" w:cs="Times New Roman" w:eastAsia="Times New Roman" w:hAnsi="Times New Roman"/>
                      <w:color w:val="000000"/>
                      <w:sz w:val="24"/>
                      <w:szCs w:val="24"/>
                      <w:u w:val="none"/>
                      <w:rtl w:val="0"/>
                    </w:rPr>
                    <w:t xml:space="preserve">4.7.2 For followers (Hyundai):</w:t>
                    <w:tab/>
                  </w:r>
                </w:hyperlink>
                <w:r w:rsidDel="00000000" w:rsidR="00000000" w:rsidRPr="00000000">
                  <w:fldChar w:fldCharType="begin"/>
                  <w:instrText xml:space="preserve"> PAGEREF _yzf7ls8lh124 \h </w:instrText>
                  <w:fldChar w:fldCharType="separate"/>
                </w:r>
                <w:r w:rsidDel="00000000" w:rsidR="00000000" w:rsidRPr="00000000">
                  <w:rPr>
                    <w:rFonts w:ascii="Times New Roman" w:cs="Times New Roman" w:eastAsia="Times New Roman" w:hAnsi="Times New Roman"/>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276" w:lineRule="auto"/>
                  <w:ind w:left="720" w:firstLine="0"/>
                  <w:jc w:val="both"/>
                  <w:rPr>
                    <w:rFonts w:ascii="Times New Roman" w:cs="Times New Roman" w:eastAsia="Times New Roman" w:hAnsi="Times New Roman"/>
                    <w:color w:val="000000"/>
                    <w:sz w:val="24"/>
                    <w:szCs w:val="24"/>
                    <w:u w:val="none"/>
                  </w:rPr>
                </w:pPr>
                <w:hyperlink w:anchor="_w3nolnc2bo7r">
                  <w:r w:rsidDel="00000000" w:rsidR="00000000" w:rsidRPr="00000000">
                    <w:rPr>
                      <w:rFonts w:ascii="Times New Roman" w:cs="Times New Roman" w:eastAsia="Times New Roman" w:hAnsi="Times New Roman"/>
                      <w:color w:val="000000"/>
                      <w:sz w:val="24"/>
                      <w:szCs w:val="24"/>
                      <w:u w:val="none"/>
                      <w:rtl w:val="0"/>
                    </w:rPr>
                    <w:t xml:space="preserve">4.7.3 Industry and policy actions:</w:t>
                    <w:tab/>
                  </w:r>
                </w:hyperlink>
                <w:r w:rsidDel="00000000" w:rsidR="00000000" w:rsidRPr="00000000">
                  <w:fldChar w:fldCharType="begin"/>
                  <w:instrText xml:space="preserve"> PAGEREF _w3nolnc2bo7r \h </w:instrText>
                  <w:fldChar w:fldCharType="separate"/>
                </w:r>
                <w:r w:rsidDel="00000000" w:rsidR="00000000" w:rsidRPr="00000000">
                  <w:rPr>
                    <w:rFonts w:ascii="Times New Roman" w:cs="Times New Roman" w:eastAsia="Times New Roman" w:hAnsi="Times New Roman"/>
                    <w:sz w:val="24"/>
                    <w:szCs w:val="24"/>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76" w:lineRule="auto"/>
                  <w:jc w:val="both"/>
                  <w:rPr>
                    <w:rFonts w:ascii="Times New Roman" w:cs="Times New Roman" w:eastAsia="Times New Roman" w:hAnsi="Times New Roman"/>
                    <w:color w:val="000000"/>
                    <w:sz w:val="24"/>
                    <w:szCs w:val="24"/>
                    <w:u w:val="none"/>
                  </w:rPr>
                </w:pPr>
                <w:hyperlink w:anchor="_ef99cduu4gvj">
                  <w:r w:rsidDel="00000000" w:rsidR="00000000" w:rsidRPr="00000000">
                    <w:rPr>
                      <w:rFonts w:ascii="Times New Roman" w:cs="Times New Roman" w:eastAsia="Times New Roman" w:hAnsi="Times New Roman"/>
                      <w:color w:val="000000"/>
                      <w:sz w:val="24"/>
                      <w:szCs w:val="24"/>
                      <w:u w:val="none"/>
                      <w:rtl w:val="0"/>
                    </w:rPr>
                    <w:t xml:space="preserve">5. Conclusion</w:t>
                    <w:tab/>
                  </w:r>
                </w:hyperlink>
                <w:r w:rsidDel="00000000" w:rsidR="00000000" w:rsidRPr="00000000">
                  <w:fldChar w:fldCharType="begin"/>
                  <w:instrText xml:space="preserve"> PAGEREF _ef99cduu4gvj \h </w:instrText>
                  <w:fldChar w:fldCharType="separate"/>
                </w:r>
                <w:r w:rsidDel="00000000" w:rsidR="00000000" w:rsidRPr="00000000">
                  <w:rPr>
                    <w:rFonts w:ascii="Times New Roman" w:cs="Times New Roman" w:eastAsia="Times New Roman" w:hAnsi="Times New Roman"/>
                    <w:sz w:val="24"/>
                    <w:szCs w:val="24"/>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76" w:lineRule="auto"/>
                  <w:jc w:val="both"/>
                  <w:rPr>
                    <w:rFonts w:ascii="Times New Roman" w:cs="Times New Roman" w:eastAsia="Times New Roman" w:hAnsi="Times New Roman"/>
                    <w:color w:val="000000"/>
                    <w:sz w:val="24"/>
                    <w:szCs w:val="24"/>
                    <w:u w:val="none"/>
                  </w:rPr>
                </w:pPr>
                <w:hyperlink w:anchor="_68d4dob14dcb">
                  <w:r w:rsidDel="00000000" w:rsidR="00000000" w:rsidRPr="00000000">
                    <w:rPr>
                      <w:rFonts w:ascii="Times New Roman" w:cs="Times New Roman" w:eastAsia="Times New Roman" w:hAnsi="Times New Roman"/>
                      <w:color w:val="000000"/>
                      <w:sz w:val="24"/>
                      <w:szCs w:val="24"/>
                      <w:u w:val="none"/>
                      <w:rtl w:val="0"/>
                    </w:rPr>
                    <w:t xml:space="preserve">References:</w:t>
                    <w:tab/>
                  </w:r>
                </w:hyperlink>
                <w:r w:rsidDel="00000000" w:rsidR="00000000" w:rsidRPr="00000000">
                  <w:fldChar w:fldCharType="begin"/>
                  <w:instrText xml:space="preserve"> PAGEREF _68d4dob14dcb \h </w:instrText>
                  <w:fldChar w:fldCharType="separate"/>
                </w:r>
                <w:r w:rsidDel="00000000" w:rsidR="00000000" w:rsidRPr="00000000">
                  <w:rPr>
                    <w:rFonts w:ascii="Times New Roman" w:cs="Times New Roman" w:eastAsia="Times New Roman" w:hAnsi="Times New Roman"/>
                    <w:sz w:val="24"/>
                    <w:szCs w:val="24"/>
                    <w:rtl w:val="0"/>
                  </w:rPr>
                  <w:t xml:space="preserve">11</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Times New Roman" w:cs="Times New Roman" w:eastAsia="Times New Roman" w:hAnsi="Times New Roman"/>
                <w:sz w:val="24"/>
                <w:szCs w:val="24"/>
              </w:rPr>
            </w:pPr>
            <w:r w:rsidDel="00000000" w:rsidR="00000000" w:rsidRPr="00000000">
              <w:rPr>
                <w:rtl w:val="0"/>
              </w:rPr>
            </w:r>
          </w:p>
        </w:tc>
      </w:tr>
    </w:tbl>
    <w:p w:rsidR="00000000" w:rsidDel="00000000" w:rsidP="00000000" w:rsidRDefault="00000000" w:rsidRPr="00000000" w14:paraId="00000027">
      <w:pPr>
        <w:keepNext w:val="0"/>
        <w:keepLines w:val="0"/>
        <w:spacing w:after="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pStyle w:val="Heading2"/>
        <w:keepNext w:val="0"/>
        <w:keepLines w:val="0"/>
        <w:spacing w:after="80" w:line="360" w:lineRule="auto"/>
        <w:jc w:val="both"/>
        <w:rPr>
          <w:rFonts w:ascii="Times New Roman" w:cs="Times New Roman" w:eastAsia="Times New Roman" w:hAnsi="Times New Roman"/>
          <w:b w:val="1"/>
          <w:sz w:val="24"/>
          <w:szCs w:val="24"/>
        </w:rPr>
      </w:pPr>
      <w:bookmarkStart w:colFirst="0" w:colLast="0" w:name="_tun1kaukyaiq" w:id="3"/>
      <w:bookmarkEnd w:id="3"/>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2"/>
        <w:keepNext w:val="0"/>
        <w:keepLines w:val="0"/>
        <w:spacing w:after="80" w:line="360" w:lineRule="auto"/>
        <w:jc w:val="both"/>
        <w:rPr>
          <w:rFonts w:ascii="Times New Roman" w:cs="Times New Roman" w:eastAsia="Times New Roman" w:hAnsi="Times New Roman"/>
          <w:b w:val="1"/>
          <w:sz w:val="24"/>
          <w:szCs w:val="24"/>
        </w:rPr>
      </w:pPr>
      <w:bookmarkStart w:colFirst="0" w:colLast="0" w:name="_njp08gqmystf" w:id="4"/>
      <w:bookmarkEnd w:id="4"/>
      <w:r w:rsidDel="00000000" w:rsidR="00000000" w:rsidRPr="00000000">
        <w:rPr>
          <w:rtl w:val="0"/>
        </w:rPr>
      </w:r>
    </w:p>
    <w:p w:rsidR="00000000" w:rsidDel="00000000" w:rsidP="00000000" w:rsidRDefault="00000000" w:rsidRPr="00000000" w14:paraId="0000002A">
      <w:pPr>
        <w:pStyle w:val="Heading1"/>
        <w:keepNext w:val="0"/>
        <w:keepLines w:val="0"/>
        <w:numPr>
          <w:ilvl w:val="0"/>
          <w:numId w:val="2"/>
        </w:numPr>
        <w:spacing w:before="280" w:line="360" w:lineRule="auto"/>
        <w:ind w:left="720" w:hanging="360"/>
        <w:jc w:val="both"/>
        <w:rPr>
          <w:rFonts w:ascii="Times New Roman" w:cs="Times New Roman" w:eastAsia="Times New Roman" w:hAnsi="Times New Roman"/>
          <w:b w:val="1"/>
          <w:sz w:val="32"/>
          <w:szCs w:val="32"/>
          <w:u w:val="none"/>
        </w:rPr>
      </w:pPr>
      <w:bookmarkStart w:colFirst="0" w:colLast="0" w:name="_wzwejzhos1n9" w:id="5"/>
      <w:bookmarkEnd w:id="5"/>
      <w:r w:rsidDel="00000000" w:rsidR="00000000" w:rsidRPr="00000000">
        <w:rPr>
          <w:rFonts w:ascii="Times New Roman" w:cs="Times New Roman" w:eastAsia="Times New Roman" w:hAnsi="Times New Roman"/>
          <w:b w:val="1"/>
          <w:sz w:val="32"/>
          <w:szCs w:val="32"/>
          <w:rtl w:val="0"/>
        </w:rPr>
        <w:t xml:space="preserve">Introduction:</w:t>
      </w:r>
    </w:p>
    <w:p w:rsidR="00000000" w:rsidDel="00000000" w:rsidP="00000000" w:rsidRDefault="00000000" w:rsidRPr="00000000" w14:paraId="0000002B">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macro marketing environment imposes structural limits and opportunities that have the final say on firm strategy and market performance (Mudany, Ngala and Gituro, 2021). The implications on pioneer and follower firms are acute in rapidly changing industries, like the technology and environmental regulation interplay to restructure demand, supply chains, and competitive advantage. This essay is a critical analysis of two macro actors, technological and environmental ones, and how these forces pose different opportunities and threats to a pioneer (Tesla) and a follower (Hyundai) that work in the EV industry. Based on the PESTEL analysis to place the factors, and utilization of Porter's generic strategies, Ansoff's matrix, the Resource-Based View (RBV) (Sun and Yang, 2025), the Innovation Diffusion and Dynamic Capabilities models, the analysis illustrates how the external change leads to asymmetric strategic imperative and how a response of the firm results in competitiveness. This discussion is summed up by theory-based suggestions for the two types of organisations.</w:t>
      </w:r>
      <w:r w:rsidDel="00000000" w:rsidR="00000000" w:rsidRPr="00000000">
        <w:rPr>
          <w:rtl w:val="0"/>
        </w:rPr>
      </w:r>
    </w:p>
    <w:p w:rsidR="00000000" w:rsidDel="00000000" w:rsidP="00000000" w:rsidRDefault="00000000" w:rsidRPr="00000000" w14:paraId="0000002C">
      <w:pPr>
        <w:pStyle w:val="Heading1"/>
        <w:keepNext w:val="0"/>
        <w:keepLines w:val="0"/>
        <w:numPr>
          <w:ilvl w:val="0"/>
          <w:numId w:val="2"/>
        </w:numPr>
        <w:spacing w:before="280" w:line="360" w:lineRule="auto"/>
        <w:ind w:left="720" w:hanging="360"/>
        <w:jc w:val="both"/>
        <w:rPr>
          <w:rFonts w:ascii="Times New Roman" w:cs="Times New Roman" w:eastAsia="Times New Roman" w:hAnsi="Times New Roman"/>
          <w:b w:val="1"/>
          <w:sz w:val="32"/>
          <w:szCs w:val="32"/>
          <w:u w:val="none"/>
        </w:rPr>
      </w:pPr>
      <w:bookmarkStart w:colFirst="0" w:colLast="0" w:name="_hael7mbsfzce" w:id="6"/>
      <w:bookmarkEnd w:id="6"/>
      <w:r w:rsidDel="00000000" w:rsidR="00000000" w:rsidRPr="00000000">
        <w:rPr>
          <w:rFonts w:ascii="Times New Roman" w:cs="Times New Roman" w:eastAsia="Times New Roman" w:hAnsi="Times New Roman"/>
          <w:b w:val="1"/>
          <w:sz w:val="32"/>
          <w:szCs w:val="32"/>
          <w:rtl w:val="0"/>
        </w:rPr>
        <w:t xml:space="preserve">Conceptual foundations and methodological approach:</w:t>
      </w:r>
    </w:p>
    <w:p w:rsidR="00000000" w:rsidDel="00000000" w:rsidP="00000000" w:rsidRDefault="00000000" w:rsidRPr="00000000" w14:paraId="0000002D">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Conceptual anchorages are necessary for analytical clarity. The PESTEL model systematises the macro-environmental factors into Political, Economic, Social, Technological, Environmental, and Legal factors and is suitable in terms of isolating the focus macro actors (Vaidya, 2025). Prescriptive advice to the strategy choice is Porter's generic strategies (López et al., 2025) and the product-market growth matrix developed by Ansoff. The reason why the firm-specific resources and capabilities create sustainable advantage is explained by RBV, and the capability of the firm to sense, seize, as well as reconfigure the assets when the environment is changing rapidly is discussed in Dynamic Capabilities (Wibisono and Supoyo, 2023). The demand adoption curve, as explained by Rogers under Diffusion of Innovations, is applicable to pioneers and followers. This is an empirical analysis of the industry logic and observable industry firm behaviour ( platform control, vertical integration, alliances ) to imply strategic fit; thus, it is a critical exegesis and not an empirical hypothesis test.</w:t>
      </w:r>
    </w:p>
    <w:p w:rsidR="00000000" w:rsidDel="00000000" w:rsidP="00000000" w:rsidRDefault="00000000" w:rsidRPr="00000000" w14:paraId="0000002E">
      <w:pPr>
        <w:spacing w:after="120" w:before="12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976688" cy="2600325"/>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976688" cy="2600325"/>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spacing w:after="120" w:before="120" w:line="360" w:lineRule="auto"/>
        <w:jc w:val="center"/>
        <w:rPr>
          <w:rFonts w:ascii="Times New Roman" w:cs="Times New Roman" w:eastAsia="Times New Roman" w:hAnsi="Times New Roman"/>
          <w:i w:val="1"/>
        </w:rPr>
      </w:pPr>
      <w:r w:rsidDel="00000000" w:rsidR="00000000" w:rsidRPr="00000000">
        <w:rPr>
          <w:rFonts w:ascii="Times New Roman" w:cs="Times New Roman" w:eastAsia="Times New Roman" w:hAnsi="Times New Roman"/>
          <w:b w:val="1"/>
          <w:i w:val="1"/>
          <w:rtl w:val="0"/>
        </w:rPr>
        <w:t xml:space="preserve">Figure 1:</w:t>
      </w:r>
      <w:r w:rsidDel="00000000" w:rsidR="00000000" w:rsidRPr="00000000">
        <w:rPr>
          <w:rFonts w:ascii="Times New Roman" w:cs="Times New Roman" w:eastAsia="Times New Roman" w:hAnsi="Times New Roman"/>
          <w:i w:val="1"/>
          <w:rtl w:val="0"/>
        </w:rPr>
        <w:t xml:space="preserve"> Theoretical Integration Framework for Pioneers and Followers in the EV Industry (selfmade)</w:t>
      </w:r>
      <w:r w:rsidDel="00000000" w:rsidR="00000000" w:rsidRPr="00000000">
        <w:rPr>
          <w:rtl w:val="0"/>
        </w:rPr>
      </w:r>
    </w:p>
    <w:p w:rsidR="00000000" w:rsidDel="00000000" w:rsidP="00000000" w:rsidRDefault="00000000" w:rsidRPr="00000000" w14:paraId="00000030">
      <w:pPr>
        <w:pStyle w:val="Heading1"/>
        <w:keepNext w:val="0"/>
        <w:keepLines w:val="0"/>
        <w:numPr>
          <w:ilvl w:val="0"/>
          <w:numId w:val="2"/>
        </w:numPr>
        <w:spacing w:before="280" w:line="360" w:lineRule="auto"/>
        <w:ind w:left="720" w:hanging="360"/>
        <w:jc w:val="both"/>
        <w:rPr>
          <w:rFonts w:ascii="Times New Roman" w:cs="Times New Roman" w:eastAsia="Times New Roman" w:hAnsi="Times New Roman"/>
          <w:b w:val="1"/>
          <w:sz w:val="32"/>
          <w:szCs w:val="32"/>
          <w:u w:val="none"/>
        </w:rPr>
      </w:pPr>
      <w:bookmarkStart w:colFirst="0" w:colLast="0" w:name="_m4986zvk43wy" w:id="7"/>
      <w:bookmarkEnd w:id="7"/>
      <w:r w:rsidDel="00000000" w:rsidR="00000000" w:rsidRPr="00000000">
        <w:rPr>
          <w:rFonts w:ascii="Times New Roman" w:cs="Times New Roman" w:eastAsia="Times New Roman" w:hAnsi="Times New Roman"/>
          <w:b w:val="1"/>
          <w:sz w:val="32"/>
          <w:szCs w:val="32"/>
          <w:rtl w:val="0"/>
        </w:rPr>
        <w:t xml:space="preserve">Task 1: Critical analysis of technological and environmental macro actors:</w:t>
      </w:r>
    </w:p>
    <w:p w:rsidR="00000000" w:rsidDel="00000000" w:rsidP="00000000" w:rsidRDefault="00000000" w:rsidRPr="00000000" w14:paraId="00000031">
      <w:pPr>
        <w:pStyle w:val="Heading2"/>
        <w:keepNext w:val="0"/>
        <w:keepLines w:val="0"/>
        <w:spacing w:after="40" w:before="240" w:line="360" w:lineRule="auto"/>
        <w:jc w:val="both"/>
        <w:rPr>
          <w:rFonts w:ascii="Times New Roman" w:cs="Times New Roman" w:eastAsia="Times New Roman" w:hAnsi="Times New Roman"/>
          <w:b w:val="1"/>
          <w:sz w:val="28"/>
          <w:szCs w:val="28"/>
        </w:rPr>
      </w:pPr>
      <w:bookmarkStart w:colFirst="0" w:colLast="0" w:name="_lnkgrw53lvo" w:id="8"/>
      <w:bookmarkEnd w:id="8"/>
      <w:r w:rsidDel="00000000" w:rsidR="00000000" w:rsidRPr="00000000">
        <w:rPr>
          <w:rFonts w:ascii="Times New Roman" w:cs="Times New Roman" w:eastAsia="Times New Roman" w:hAnsi="Times New Roman"/>
          <w:b w:val="1"/>
          <w:sz w:val="28"/>
          <w:szCs w:val="28"/>
          <w:rtl w:val="0"/>
        </w:rPr>
        <w:t xml:space="preserve">3.1 Technological factors: characterisation and critical implications:</w:t>
      </w:r>
    </w:p>
    <w:p w:rsidR="00000000" w:rsidDel="00000000" w:rsidP="00000000" w:rsidRDefault="00000000" w:rsidRPr="00000000" w14:paraId="00000032">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EV industry change in technology is multi-systematic. Vehicles, Battery chemistry and energy density, cost/kWh of batteries, charging technology and standards, powertrain, vehicle software (OTA updates), and autonomy and sensing advancement are all key technological vectors. There is path dependence and network effects in technology in this industry: the early standards, charging infrastructure, and software ecosystems determine downstream compatibility and switching costs (Rivera et al., 2023).</w:t>
      </w:r>
      <w:r w:rsidDel="00000000" w:rsidR="00000000" w:rsidRPr="00000000">
        <w:rPr>
          <w:rtl w:val="0"/>
        </w:rPr>
      </w:r>
    </w:p>
    <w:p w:rsidR="00000000" w:rsidDel="00000000" w:rsidP="00000000" w:rsidRDefault="00000000" w:rsidRPr="00000000" w14:paraId="00000033">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hgs1dz86mhf1" w:id="9"/>
      <w:bookmarkEnd w:id="9"/>
      <w:r w:rsidDel="00000000" w:rsidR="00000000" w:rsidRPr="00000000">
        <w:rPr>
          <w:rFonts w:ascii="Times New Roman" w:cs="Times New Roman" w:eastAsia="Times New Roman" w:hAnsi="Times New Roman"/>
          <w:b w:val="1"/>
          <w:color w:val="000000"/>
          <w:sz w:val="24"/>
          <w:szCs w:val="24"/>
          <w:rtl w:val="0"/>
        </w:rPr>
        <w:t xml:space="preserve">3.1.1 Opportunities: </w:t>
      </w:r>
    </w:p>
    <w:p w:rsidR="00000000" w:rsidDel="00000000" w:rsidP="00000000" w:rsidRDefault="00000000" w:rsidRPr="00000000" w14:paraId="0000003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value of technological advances is achieved through product differentiation (wider range, faster charging, the ability to be autonomous) and platforms (subscriptions to software, energy storage services). The first movers can also enjoy standard-setting rents and establish customer lock-in by developing an integrated system of hardware and software (Ässia Boukhatmi and Wim Van Opstal, 2025). In addition, falling battery prices widen markets to be served as the aggregate cost of ownership (TCO) to consumers falls, leading to demand.</w:t>
      </w:r>
    </w:p>
    <w:p w:rsidR="00000000" w:rsidDel="00000000" w:rsidP="00000000" w:rsidRDefault="00000000" w:rsidRPr="00000000" w14:paraId="00000035">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88kqmyth5tft" w:id="10"/>
      <w:bookmarkEnd w:id="10"/>
      <w:r w:rsidDel="00000000" w:rsidR="00000000" w:rsidRPr="00000000">
        <w:rPr>
          <w:rFonts w:ascii="Times New Roman" w:cs="Times New Roman" w:eastAsia="Times New Roman" w:hAnsi="Times New Roman"/>
          <w:b w:val="1"/>
          <w:color w:val="000000"/>
          <w:sz w:val="24"/>
          <w:szCs w:val="24"/>
          <w:rtl w:val="0"/>
        </w:rPr>
        <w:t xml:space="preserve">3.1.2 Threats: </w:t>
      </w:r>
    </w:p>
    <w:p w:rsidR="00000000" w:rsidDel="00000000" w:rsidP="00000000" w:rsidRDefault="00000000" w:rsidRPr="00000000" w14:paraId="0000003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Quickly changing technology increases the cost of maintaining parity; the high cost of research and development and capital investment ratchets the financial burden on companies that have to keep on innovating. Modularisation and commoditisation of technology (e.g., standard battery cells) decrease the rents that can be obtained through hardware innovation, and specialised supplier entry (battery manufacturers, software platforms) can disintermediate OEMs (Koelmel et al., 2024). Fragmentation of standards (a number of charging standards or proprietary software stacks) adds to the cost of coordination and gives rise to consumer confusion.</w:t>
      </w:r>
    </w:p>
    <w:p w:rsidR="00000000" w:rsidDel="00000000" w:rsidP="00000000" w:rsidRDefault="00000000" w:rsidRPr="00000000" w14:paraId="00000037">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qpxuwh8upc66" w:id="11"/>
      <w:bookmarkEnd w:id="11"/>
      <w:r w:rsidDel="00000000" w:rsidR="00000000" w:rsidRPr="00000000">
        <w:rPr>
          <w:rFonts w:ascii="Times New Roman" w:cs="Times New Roman" w:eastAsia="Times New Roman" w:hAnsi="Times New Roman"/>
          <w:b w:val="1"/>
          <w:color w:val="000000"/>
          <w:sz w:val="24"/>
          <w:szCs w:val="24"/>
          <w:rtl w:val="0"/>
        </w:rPr>
        <w:t xml:space="preserve">3.1.3 Impact on pioneers (Tesla): </w:t>
      </w:r>
    </w:p>
    <w:p w:rsidR="00000000" w:rsidDel="00000000" w:rsidP="00000000" w:rsidRDefault="00000000" w:rsidRPr="00000000" w14:paraId="0000003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Being a first mover, Tesla enjoyed first mover advantages: exclusive battery packs, an early network of superchargers, an over-the-air software platform, and a set of public relations about being an autonomous leader. The investments created brand premium and network effects. Nonetheless, pioneering is associated with the risk of experimentation and capital intensity. The large R&amp;D and capex investments of Tesla expose it to the risk of substitution in case the technology directions shift (e.g., arrival of radically different battery chemistry or third-party software platforms) that undermine its proprietary benefits (Maro, 2025).</w:t>
      </w:r>
    </w:p>
    <w:p w:rsidR="00000000" w:rsidDel="00000000" w:rsidP="00000000" w:rsidRDefault="00000000" w:rsidRPr="00000000" w14:paraId="00000039">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1anyz2yndnql" w:id="12"/>
      <w:bookmarkEnd w:id="12"/>
      <w:r w:rsidDel="00000000" w:rsidR="00000000" w:rsidRPr="00000000">
        <w:rPr>
          <w:rFonts w:ascii="Times New Roman" w:cs="Times New Roman" w:eastAsia="Times New Roman" w:hAnsi="Times New Roman"/>
          <w:b w:val="1"/>
          <w:color w:val="000000"/>
          <w:sz w:val="24"/>
          <w:szCs w:val="24"/>
          <w:rtl w:val="0"/>
        </w:rPr>
        <w:t xml:space="preserve">3.1.4 Impact on followers (Hyundai): </w:t>
      </w:r>
    </w:p>
    <w:p w:rsidR="00000000" w:rsidDel="00000000" w:rsidP="00000000" w:rsidRDefault="00000000" w:rsidRPr="00000000" w14:paraId="0000003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Technology maturation benefits followers such as Hyundai: they have the ability to access established technologies (Kim, 2025), have lower costs on individual components, and have the ability to design products that can appeal to a mass market, as opposed to early adopters in a niche. The strength that Hyundai has is the ability to produce large amounts of manufacturing, supplier relations, and cost engineering. However, there is a differentiation challenge for followers: competitive differentiation has to be based on complementary capabilities (service, distribution, localized product adaptations) in case core technologies become commoditised.</w:t>
      </w:r>
    </w:p>
    <w:p w:rsidR="00000000" w:rsidDel="00000000" w:rsidP="00000000" w:rsidRDefault="00000000" w:rsidRPr="00000000" w14:paraId="0000003B">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vr1dviepudn7" w:id="13"/>
      <w:bookmarkEnd w:id="13"/>
      <w:r w:rsidDel="00000000" w:rsidR="00000000" w:rsidRPr="00000000">
        <w:rPr>
          <w:rFonts w:ascii="Times New Roman" w:cs="Times New Roman" w:eastAsia="Times New Roman" w:hAnsi="Times New Roman"/>
          <w:b w:val="1"/>
          <w:color w:val="000000"/>
          <w:sz w:val="24"/>
          <w:szCs w:val="24"/>
          <w:rtl w:val="0"/>
        </w:rPr>
        <w:t xml:space="preserve">3.1.5 Critical synthesis (technological): </w:t>
      </w:r>
    </w:p>
    <w:p w:rsidR="00000000" w:rsidDel="00000000" w:rsidP="00000000" w:rsidRDefault="00000000" w:rsidRPr="00000000" w14:paraId="0000003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Asymmetric risk-reward trade-offs arise due to technological factors. First movers obtain the resource commitment and first-mover rents, but they face increased levels of uncertainty. The followers can take advantage of less ambiguity and less expenditure, only to find themselves forced to compete based on their prices unless they are able to come up with unique complementary capacities.</w:t>
      </w:r>
    </w:p>
    <w:p w:rsidR="00000000" w:rsidDel="00000000" w:rsidP="00000000" w:rsidRDefault="00000000" w:rsidRPr="00000000" w14:paraId="0000003D">
      <w:pPr>
        <w:pStyle w:val="Heading2"/>
        <w:keepNext w:val="0"/>
        <w:keepLines w:val="0"/>
        <w:spacing w:after="40" w:before="240" w:line="360" w:lineRule="auto"/>
        <w:jc w:val="both"/>
        <w:rPr>
          <w:rFonts w:ascii="Times New Roman" w:cs="Times New Roman" w:eastAsia="Times New Roman" w:hAnsi="Times New Roman"/>
          <w:b w:val="1"/>
          <w:sz w:val="28"/>
          <w:szCs w:val="28"/>
        </w:rPr>
      </w:pPr>
      <w:bookmarkStart w:colFirst="0" w:colLast="0" w:name="_b6qk7513ijl6" w:id="14"/>
      <w:bookmarkEnd w:id="14"/>
      <w:r w:rsidDel="00000000" w:rsidR="00000000" w:rsidRPr="00000000">
        <w:rPr>
          <w:rFonts w:ascii="Times New Roman" w:cs="Times New Roman" w:eastAsia="Times New Roman" w:hAnsi="Times New Roman"/>
          <w:b w:val="1"/>
          <w:sz w:val="28"/>
          <w:szCs w:val="28"/>
          <w:rtl w:val="0"/>
        </w:rPr>
        <w:t xml:space="preserve">3.2 Environmental factors: characterisation and critical implications:</w:t>
      </w:r>
    </w:p>
    <w:p w:rsidR="00000000" w:rsidDel="00000000" w:rsidP="00000000" w:rsidRDefault="00000000" w:rsidRPr="00000000" w14:paraId="0000003E">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macro factors in the environment are regulations on emissions, electrification subsidies and incentives, consumer preferences in the environment, and lifecycle aspects, such as battery recycling and responsible sourcing of minerals (Su et al., 2025). These are working as regulatory push (compliance needs), and market push (consumer preference and incentives).</w:t>
      </w:r>
    </w:p>
    <w:p w:rsidR="00000000" w:rsidDel="00000000" w:rsidP="00000000" w:rsidRDefault="00000000" w:rsidRPr="00000000" w14:paraId="0000003F">
      <w:pPr>
        <w:spacing w:after="120" w:before="12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116225" cy="2324100"/>
            <wp:effectExtent b="0" l="0" r="0" t="0"/>
            <wp:docPr id="1"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116225" cy="23241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after="240" w:before="240" w:line="360" w:lineRule="auto"/>
        <w:ind w:left="600" w:right="60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rtl w:val="0"/>
        </w:rPr>
        <w:t xml:space="preserve">Figure 2:</w:t>
      </w:r>
      <w:r w:rsidDel="00000000" w:rsidR="00000000" w:rsidRPr="00000000">
        <w:rPr>
          <w:rFonts w:ascii="Times New Roman" w:cs="Times New Roman" w:eastAsia="Times New Roman" w:hAnsi="Times New Roman"/>
          <w:i w:val="1"/>
          <w:rtl w:val="0"/>
        </w:rPr>
        <w:t xml:space="preserve"> Environmental Drivers and Strategic Responses in the EV Industry (selfmade)</w:t>
      </w:r>
      <w:r w:rsidDel="00000000" w:rsidR="00000000" w:rsidRPr="00000000">
        <w:rPr>
          <w:rtl w:val="0"/>
        </w:rPr>
      </w:r>
    </w:p>
    <w:p w:rsidR="00000000" w:rsidDel="00000000" w:rsidP="00000000" w:rsidRDefault="00000000" w:rsidRPr="00000000" w14:paraId="00000041">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m11vuccj3fus" w:id="15"/>
      <w:bookmarkEnd w:id="15"/>
      <w:r w:rsidDel="00000000" w:rsidR="00000000" w:rsidRPr="00000000">
        <w:rPr>
          <w:rFonts w:ascii="Times New Roman" w:cs="Times New Roman" w:eastAsia="Times New Roman" w:hAnsi="Times New Roman"/>
          <w:b w:val="1"/>
          <w:color w:val="000000"/>
          <w:sz w:val="24"/>
          <w:szCs w:val="24"/>
          <w:rtl w:val="0"/>
        </w:rPr>
        <w:t xml:space="preserve">3.2.1 Opportunities: </w:t>
      </w:r>
    </w:p>
    <w:p w:rsidR="00000000" w:rsidDel="00000000" w:rsidP="00000000" w:rsidRDefault="00000000" w:rsidRPr="00000000" w14:paraId="0000004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Tax credits, purchase subsidies, low-emission zones, and other government incentives are lowered in order to break price barriers and hasten adoption. There is a premium that firms can draw to their brands and a regulatory risk that they can avoid by the believable adoption of lifecycle sustainability. New adjacencies (e.g., vehicle-to-grid services or renewable energy integration) can be provided by environmental policy to increase the potential revenue (Du et al., 2025).</w:t>
      </w:r>
    </w:p>
    <w:p w:rsidR="00000000" w:rsidDel="00000000" w:rsidP="00000000" w:rsidRDefault="00000000" w:rsidRPr="00000000" w14:paraId="00000043">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ishyz2r7u058" w:id="16"/>
      <w:bookmarkEnd w:id="16"/>
      <w:r w:rsidDel="00000000" w:rsidR="00000000" w:rsidRPr="00000000">
        <w:rPr>
          <w:rFonts w:ascii="Times New Roman" w:cs="Times New Roman" w:eastAsia="Times New Roman" w:hAnsi="Times New Roman"/>
          <w:b w:val="1"/>
          <w:color w:val="000000"/>
          <w:sz w:val="24"/>
          <w:szCs w:val="24"/>
          <w:rtl w:val="0"/>
        </w:rPr>
        <w:t xml:space="preserve">3.2.2 Threats: </w:t>
      </w:r>
    </w:p>
    <w:p w:rsidR="00000000" w:rsidDel="00000000" w:rsidP="00000000" w:rsidRDefault="00000000" w:rsidRPr="00000000" w14:paraId="0000004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Tighter control increases compliance expenses (reporting, recycling requirements), and scrutiny of environmental friendliness of the sources of raw materials (lithium, cobalt) brings supply chain risk and reputational loss. The risks of greenwashing imply the possibility of regulatory and reputational fines. Furthermore, the volatility and the concentration risk can be created due to geopolitical restrictions on the important minerals.</w:t>
      </w:r>
    </w:p>
    <w:p w:rsidR="00000000" w:rsidDel="00000000" w:rsidP="00000000" w:rsidRDefault="00000000" w:rsidRPr="00000000" w14:paraId="00000045">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guswutk6bg9r" w:id="17"/>
      <w:bookmarkEnd w:id="17"/>
      <w:r w:rsidDel="00000000" w:rsidR="00000000" w:rsidRPr="00000000">
        <w:rPr>
          <w:rFonts w:ascii="Times New Roman" w:cs="Times New Roman" w:eastAsia="Times New Roman" w:hAnsi="Times New Roman"/>
          <w:b w:val="1"/>
          <w:color w:val="000000"/>
          <w:sz w:val="24"/>
          <w:szCs w:val="24"/>
          <w:rtl w:val="0"/>
        </w:rPr>
        <w:t xml:space="preserve">3.2.3 Impact on pioneers (Tesla): </w:t>
      </w:r>
    </w:p>
    <w:p w:rsidR="00000000" w:rsidDel="00000000" w:rsidP="00000000" w:rsidRDefault="00000000" w:rsidRPr="00000000" w14:paraId="0000004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early green story of Tesla gave the company legitimacy and brand power; nevertheless, the leader status also creates an increased exposure to the supply chain scrutiny and demands (Charles, 2025) to lead in terms of sustainability measures. Tesla also needs to be able to show plausible lifecycle stewardship (recycling, traceability) to continue being legitimate and not face reputational fines.</w:t>
      </w:r>
    </w:p>
    <w:p w:rsidR="00000000" w:rsidDel="00000000" w:rsidP="00000000" w:rsidRDefault="00000000" w:rsidRPr="00000000" w14:paraId="00000047">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l4o8n2u72aa" w:id="18"/>
      <w:bookmarkEnd w:id="18"/>
      <w:r w:rsidDel="00000000" w:rsidR="00000000" w:rsidRPr="00000000">
        <w:rPr>
          <w:rFonts w:ascii="Times New Roman" w:cs="Times New Roman" w:eastAsia="Times New Roman" w:hAnsi="Times New Roman"/>
          <w:b w:val="1"/>
          <w:color w:val="000000"/>
          <w:sz w:val="24"/>
          <w:szCs w:val="24"/>
          <w:rtl w:val="0"/>
        </w:rPr>
        <w:t xml:space="preserve">3.2.4 Impact on followers (Hyundai): </w:t>
      </w:r>
    </w:p>
    <w:p w:rsidR="00000000" w:rsidDel="00000000" w:rsidP="00000000" w:rsidRDefault="00000000" w:rsidRPr="00000000" w14:paraId="0000004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Environmental policy is an equaliser, subsidies and emissions standards shift general demand to EVs (Lam and Mercure, 2021), which can provide a significant addressable market to their followers. The presence of a manufacturing base allows Hyundai to scale up quickly in order to satisfy mass demand. However, it is important that the followers invest in supply chain transparency and the ability to recycle to prevent the downstream liabilities as regulations become stricter.</w:t>
      </w:r>
    </w:p>
    <w:p w:rsidR="00000000" w:rsidDel="00000000" w:rsidP="00000000" w:rsidRDefault="00000000" w:rsidRPr="00000000" w14:paraId="00000049">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f424m61c2k3l" w:id="19"/>
      <w:bookmarkEnd w:id="19"/>
      <w:r w:rsidDel="00000000" w:rsidR="00000000" w:rsidRPr="00000000">
        <w:rPr>
          <w:rFonts w:ascii="Times New Roman" w:cs="Times New Roman" w:eastAsia="Times New Roman" w:hAnsi="Times New Roman"/>
          <w:b w:val="1"/>
          <w:color w:val="000000"/>
          <w:sz w:val="24"/>
          <w:szCs w:val="24"/>
          <w:rtl w:val="0"/>
        </w:rPr>
        <w:t xml:space="preserve">3.2.5 Critical synthesis (environmental): </w:t>
      </w:r>
    </w:p>
    <w:p w:rsidR="00000000" w:rsidDel="00000000" w:rsidP="00000000" w:rsidRDefault="00000000" w:rsidRPr="00000000" w14:paraId="0000004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environmental conditions shorten the time of investments and add lifecycle accountability. They reward companies that have integrative supply chain governance and punish those actors who operate based on superficial sustainability claims. Strategic responses should hence be integrative in terms of adherence to and competitive capture of opportunities.</w:t>
      </w:r>
    </w:p>
    <w:p w:rsidR="00000000" w:rsidDel="00000000" w:rsidP="00000000" w:rsidRDefault="00000000" w:rsidRPr="00000000" w14:paraId="0000004B">
      <w:pPr>
        <w:pStyle w:val="Heading1"/>
        <w:keepNext w:val="0"/>
        <w:keepLines w:val="0"/>
        <w:numPr>
          <w:ilvl w:val="0"/>
          <w:numId w:val="2"/>
        </w:numPr>
        <w:spacing w:before="280" w:line="360" w:lineRule="auto"/>
        <w:ind w:left="720" w:hanging="360"/>
        <w:jc w:val="both"/>
        <w:rPr>
          <w:rFonts w:ascii="Times New Roman" w:cs="Times New Roman" w:eastAsia="Times New Roman" w:hAnsi="Times New Roman"/>
          <w:b w:val="1"/>
          <w:sz w:val="32"/>
          <w:szCs w:val="32"/>
          <w:u w:val="none"/>
        </w:rPr>
      </w:pPr>
      <w:bookmarkStart w:colFirst="0" w:colLast="0" w:name="_rrqpargp6vyi" w:id="20"/>
      <w:bookmarkEnd w:id="20"/>
      <w:r w:rsidDel="00000000" w:rsidR="00000000" w:rsidRPr="00000000">
        <w:rPr>
          <w:rFonts w:ascii="Times New Roman" w:cs="Times New Roman" w:eastAsia="Times New Roman" w:hAnsi="Times New Roman"/>
          <w:b w:val="1"/>
          <w:sz w:val="32"/>
          <w:szCs w:val="32"/>
          <w:rtl w:val="0"/>
        </w:rPr>
        <w:t xml:space="preserve">Task 2: Strategic responses to maintain competitiveness:</w:t>
      </w:r>
    </w:p>
    <w:p w:rsidR="00000000" w:rsidDel="00000000" w:rsidP="00000000" w:rsidRDefault="00000000" w:rsidRPr="00000000" w14:paraId="0000004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Applying strategy theory clarifies how pioneers and followers should respond to these macro actors.</w:t>
      </w:r>
    </w:p>
    <w:p w:rsidR="00000000" w:rsidDel="00000000" w:rsidP="00000000" w:rsidRDefault="00000000" w:rsidRPr="00000000" w14:paraId="0000004D">
      <w:pPr>
        <w:pStyle w:val="Heading2"/>
        <w:keepNext w:val="0"/>
        <w:keepLines w:val="0"/>
        <w:spacing w:after="40" w:before="240" w:line="360" w:lineRule="auto"/>
        <w:jc w:val="both"/>
        <w:rPr>
          <w:rFonts w:ascii="Times New Roman" w:cs="Times New Roman" w:eastAsia="Times New Roman" w:hAnsi="Times New Roman"/>
          <w:b w:val="1"/>
          <w:sz w:val="28"/>
          <w:szCs w:val="28"/>
        </w:rPr>
      </w:pPr>
      <w:bookmarkStart w:colFirst="0" w:colLast="0" w:name="_hqgk3nr1tf08" w:id="21"/>
      <w:bookmarkEnd w:id="21"/>
      <w:r w:rsidDel="00000000" w:rsidR="00000000" w:rsidRPr="00000000">
        <w:rPr>
          <w:rFonts w:ascii="Times New Roman" w:cs="Times New Roman" w:eastAsia="Times New Roman" w:hAnsi="Times New Roman"/>
          <w:b w:val="1"/>
          <w:sz w:val="28"/>
          <w:szCs w:val="28"/>
          <w:rtl w:val="0"/>
        </w:rPr>
        <w:t xml:space="preserve">4.1 Strategy choice and competitive advantage (Porter &amp; RBV):</w:t>
      </w:r>
    </w:p>
    <w:p w:rsidR="00000000" w:rsidDel="00000000" w:rsidP="00000000" w:rsidRDefault="00000000" w:rsidRPr="00000000" w14:paraId="0000004E">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the typology proposed by Porter, there are two coherent strategic postures. Pioneers are institutionally predisposed to differentiation: they use the advantage of unique technologies, brand, and network effects to achieve premiums  (López et al., 2025). RBV augments this by focusing on the importance of valuable, rare, inimitable, and non-substitutable resources (VRIN) in maintaining advantage (Aliane et al., 2023). The VRIN capabilities at Tesla consist of software architecture, brand image, and the supercharger network. To maintain the differentiation, it is necessary to be innovative and preserve the core assets.</w:t>
      </w:r>
    </w:p>
    <w:p w:rsidR="00000000" w:rsidDel="00000000" w:rsidP="00000000" w:rsidRDefault="00000000" w:rsidRPr="00000000" w14:paraId="0000004F">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followers are in a good position to seek cost leadership or a hybrid approach involving scale efficiency and selective differentiation. The sources of RBV that can help Hyundai to achieve competitive pricing and fast expansion of supply are the manufacturing capabilities and integration with the suppliers (Cho et al., 2025). However, it is also the case with RBV that, to prevent commoditisation, followers are expected to develop unique features that are not limited to cost-level, such as better distribution, after-sales service, or localized product design.</w:t>
      </w:r>
      <w:r w:rsidDel="00000000" w:rsidR="00000000" w:rsidRPr="00000000">
        <w:rPr>
          <w:rtl w:val="0"/>
        </w:rPr>
      </w:r>
    </w:p>
    <w:p w:rsidR="00000000" w:rsidDel="00000000" w:rsidP="00000000" w:rsidRDefault="00000000" w:rsidRPr="00000000" w14:paraId="00000050">
      <w:pPr>
        <w:pStyle w:val="Heading2"/>
        <w:keepNext w:val="0"/>
        <w:keepLines w:val="0"/>
        <w:spacing w:after="40" w:before="240" w:line="360" w:lineRule="auto"/>
        <w:jc w:val="both"/>
        <w:rPr>
          <w:rFonts w:ascii="Times New Roman" w:cs="Times New Roman" w:eastAsia="Times New Roman" w:hAnsi="Times New Roman"/>
          <w:b w:val="1"/>
          <w:sz w:val="28"/>
          <w:szCs w:val="28"/>
        </w:rPr>
      </w:pPr>
      <w:bookmarkStart w:colFirst="0" w:colLast="0" w:name="_jec7y2x8u5az" w:id="22"/>
      <w:bookmarkEnd w:id="22"/>
      <w:r w:rsidDel="00000000" w:rsidR="00000000" w:rsidRPr="00000000">
        <w:rPr>
          <w:rFonts w:ascii="Times New Roman" w:cs="Times New Roman" w:eastAsia="Times New Roman" w:hAnsi="Times New Roman"/>
          <w:b w:val="1"/>
          <w:sz w:val="28"/>
          <w:szCs w:val="28"/>
          <w:rtl w:val="0"/>
        </w:rPr>
        <w:t xml:space="preserve">4.2 Market/product strategy (Ansoff &amp; Diffusion):</w:t>
      </w:r>
    </w:p>
    <w:p w:rsidR="00000000" w:rsidDel="00000000" w:rsidP="00000000" w:rsidRDefault="00000000" w:rsidRPr="00000000" w14:paraId="00000051">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matrix by Ansoff recommends that explorers take advantage of market development and diversification and leverage the platform effects (Markova and Kuznetsova, 2022). The example of Tesla entering energy storage and services is a successful case of adjacencies created with the use of core technological competencies. Diffusion of innovations by Rogers states that pioneers need to emphasize perceived risks minimization and signalling value to bridge the chasm created between early adopters and early majority (Li et al., 2024). The warranty policies, OTA enhancement, and brand stories of Tesla are structured such that they promote diffusion.</w:t>
      </w:r>
    </w:p>
    <w:p w:rsidR="00000000" w:rsidDel="00000000" w:rsidP="00000000" w:rsidRDefault="00000000" w:rsidRPr="00000000" w14:paraId="00000052">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timing of product development and market penetration strategies should be grounded on the timing of the maturation of the technology and perceived risk reduction by the followers. The approach of Hyundai, which involved the introduction of affordable BEVs to the market with the aim of attracting mainstream customers to their offer (Breno Niero et al., 2023), can be seen as an early-majority one: providing stable, cheaper BEV models with good dealer networks and financial solutions.</w:t>
      </w:r>
      <w:r w:rsidDel="00000000" w:rsidR="00000000" w:rsidRPr="00000000">
        <w:rPr>
          <w:rtl w:val="0"/>
        </w:rPr>
      </w:r>
    </w:p>
    <w:p w:rsidR="00000000" w:rsidDel="00000000" w:rsidP="00000000" w:rsidRDefault="00000000" w:rsidRPr="00000000" w14:paraId="00000053">
      <w:pPr>
        <w:pStyle w:val="Heading2"/>
        <w:keepNext w:val="0"/>
        <w:keepLines w:val="0"/>
        <w:spacing w:after="40" w:before="240" w:line="360" w:lineRule="auto"/>
        <w:jc w:val="both"/>
        <w:rPr>
          <w:rFonts w:ascii="Times New Roman" w:cs="Times New Roman" w:eastAsia="Times New Roman" w:hAnsi="Times New Roman"/>
          <w:b w:val="1"/>
          <w:sz w:val="28"/>
          <w:szCs w:val="28"/>
        </w:rPr>
      </w:pPr>
      <w:bookmarkStart w:colFirst="0" w:colLast="0" w:name="_sjyun9s4npcm" w:id="23"/>
      <w:bookmarkEnd w:id="23"/>
      <w:r w:rsidDel="00000000" w:rsidR="00000000" w:rsidRPr="00000000">
        <w:rPr>
          <w:rFonts w:ascii="Times New Roman" w:cs="Times New Roman" w:eastAsia="Times New Roman" w:hAnsi="Times New Roman"/>
          <w:b w:val="1"/>
          <w:sz w:val="28"/>
          <w:szCs w:val="28"/>
          <w:rtl w:val="0"/>
        </w:rPr>
        <w:t xml:space="preserve">4.3 Capability configuration: vertical integration, alliances and modularity</w:t>
      </w:r>
    </w:p>
    <w:p w:rsidR="00000000" w:rsidDel="00000000" w:rsidP="00000000" w:rsidRDefault="00000000" w:rsidRPr="00000000" w14:paraId="00000054">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shown by strategic literature, a combination of vertical integration and strategic alliances can be the best in very complex technological industries (Wang, Wang and Mardani, 2023). Vertical integration is useful to pioneers in activities that create critical differentiation (battery cell R&amp;D, proprietary software). However, complete vertical integration is costly and may decrease agility. In line with this, a selective integration policy, that is, possession of core differentiating activities, coupled with the outsourcing of modular components, balances between control and flexibility.</w:t>
      </w:r>
    </w:p>
    <w:p w:rsidR="00000000" w:rsidDel="00000000" w:rsidP="00000000" w:rsidRDefault="00000000" w:rsidRPr="00000000" w14:paraId="00000055">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Alliances, joint ventures, or collaborations between suppliers allow followers to internalise important technologies without incurring the entire cost of research and development (Wang, Song and Shin, 2024). The relationships that Hyundai has developed with battery suppliers and the investment in home battery capability depict a learning process that contributes to internal competence.</w:t>
      </w:r>
      <w:r w:rsidDel="00000000" w:rsidR="00000000" w:rsidRPr="00000000">
        <w:rPr>
          <w:rtl w:val="0"/>
        </w:rPr>
      </w:r>
    </w:p>
    <w:p w:rsidR="00000000" w:rsidDel="00000000" w:rsidP="00000000" w:rsidRDefault="00000000" w:rsidRPr="00000000" w14:paraId="00000056">
      <w:pPr>
        <w:pStyle w:val="Heading2"/>
        <w:keepNext w:val="0"/>
        <w:keepLines w:val="0"/>
        <w:spacing w:after="40" w:before="240" w:line="360" w:lineRule="auto"/>
        <w:jc w:val="both"/>
        <w:rPr>
          <w:rFonts w:ascii="Times New Roman" w:cs="Times New Roman" w:eastAsia="Times New Roman" w:hAnsi="Times New Roman"/>
          <w:b w:val="1"/>
          <w:sz w:val="28"/>
          <w:szCs w:val="28"/>
        </w:rPr>
      </w:pPr>
      <w:bookmarkStart w:colFirst="0" w:colLast="0" w:name="_8jl7w6h6rtki" w:id="24"/>
      <w:bookmarkEnd w:id="24"/>
      <w:r w:rsidDel="00000000" w:rsidR="00000000" w:rsidRPr="00000000">
        <w:rPr>
          <w:rFonts w:ascii="Times New Roman" w:cs="Times New Roman" w:eastAsia="Times New Roman" w:hAnsi="Times New Roman"/>
          <w:b w:val="1"/>
          <w:sz w:val="28"/>
          <w:szCs w:val="28"/>
          <w:rtl w:val="0"/>
        </w:rPr>
        <w:t xml:space="preserve">4.4 Dynamic Capabilities: sensing, seizing and reconfiguring</w:t>
      </w:r>
    </w:p>
    <w:p w:rsidR="00000000" w:rsidDel="00000000" w:rsidP="00000000" w:rsidRDefault="00000000" w:rsidRPr="00000000" w14:paraId="00000057">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dynamic capabilities lens, developed by Teece, would best fit in a case of rapid change in technology and regulation (Teece, 2023). Companies need to feel technological changes (e.g., solid-state batteries), capture opportunities (scale production, strategic alliances), and redesign assets (production lines, supply chains). Pioneers should not fall into inertia and competence traps, of committing to an early architecture, by conducting trader scan designs all the time, and experimenting with modular designs. To foresee changes and not constantly be on the losing side, followers are forced to consciously establish sensing mechanisms (R&amp;D alliances, acquisitions) (Oehler, 2022).</w:t>
      </w:r>
      <w:r w:rsidDel="00000000" w:rsidR="00000000" w:rsidRPr="00000000">
        <w:rPr>
          <w:rtl w:val="0"/>
        </w:rPr>
      </w:r>
    </w:p>
    <w:p w:rsidR="00000000" w:rsidDel="00000000" w:rsidP="00000000" w:rsidRDefault="00000000" w:rsidRPr="00000000" w14:paraId="00000058">
      <w:pPr>
        <w:pStyle w:val="Heading2"/>
        <w:keepNext w:val="0"/>
        <w:keepLines w:val="0"/>
        <w:spacing w:after="40" w:before="240" w:line="360" w:lineRule="auto"/>
        <w:jc w:val="both"/>
        <w:rPr>
          <w:rFonts w:ascii="Times New Roman" w:cs="Times New Roman" w:eastAsia="Times New Roman" w:hAnsi="Times New Roman"/>
          <w:b w:val="1"/>
          <w:sz w:val="28"/>
          <w:szCs w:val="28"/>
        </w:rPr>
      </w:pPr>
      <w:bookmarkStart w:colFirst="0" w:colLast="0" w:name="_arq493ncgin5" w:id="25"/>
      <w:bookmarkEnd w:id="25"/>
      <w:r w:rsidDel="00000000" w:rsidR="00000000" w:rsidRPr="00000000">
        <w:rPr>
          <w:rFonts w:ascii="Times New Roman" w:cs="Times New Roman" w:eastAsia="Times New Roman" w:hAnsi="Times New Roman"/>
          <w:b w:val="1"/>
          <w:sz w:val="28"/>
          <w:szCs w:val="28"/>
          <w:rtl w:val="0"/>
        </w:rPr>
        <w:t xml:space="preserve">4.5 Marketing mix and positioning responses:</w:t>
      </w:r>
    </w:p>
    <w:p w:rsidR="00000000" w:rsidDel="00000000" w:rsidP="00000000" w:rsidRDefault="00000000" w:rsidRPr="00000000" w14:paraId="00000059">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Innovation in products and platform services (OTA updates, data monetisation) should be used by pioneers, but they should not lose the premium positioning (George, 2025). There can be price strategies involving early adopters being skimmed and compensating with the wider segments. Differentiation is supported by the distribution strategies that regulate customer experience (integrated charging networks, direct sales). Advertisements ought to focus on the story of innovation and leadership in sustainability.</w:t>
      </w:r>
    </w:p>
    <w:p w:rsidR="00000000" w:rsidDel="00000000" w:rsidP="00000000" w:rsidRDefault="00000000" w:rsidRPr="00000000" w14:paraId="0000005A">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Value propositions such as reliability, lower cost of ownership, and accessibility of services should be highlighted through the use of dealer networks, and they should be used by followers to provide local customer experiences. Price-sensitive segments take up penetration pricing and financing support to accelerate their adoption. Advertising needs to preempt lifecycle credentials and overall cost advantage over existing in-service internal combustion engine cars (George, 2024).</w:t>
      </w:r>
      <w:r w:rsidDel="00000000" w:rsidR="00000000" w:rsidRPr="00000000">
        <w:rPr>
          <w:rtl w:val="0"/>
        </w:rPr>
      </w:r>
    </w:p>
    <w:p w:rsidR="00000000" w:rsidDel="00000000" w:rsidP="00000000" w:rsidRDefault="00000000" w:rsidRPr="00000000" w14:paraId="0000005B">
      <w:pPr>
        <w:pStyle w:val="Heading2"/>
        <w:keepNext w:val="0"/>
        <w:keepLines w:val="0"/>
        <w:spacing w:before="280" w:line="360" w:lineRule="auto"/>
        <w:jc w:val="both"/>
        <w:rPr>
          <w:rFonts w:ascii="Times New Roman" w:cs="Times New Roman" w:eastAsia="Times New Roman" w:hAnsi="Times New Roman"/>
          <w:b w:val="1"/>
          <w:sz w:val="28"/>
          <w:szCs w:val="28"/>
        </w:rPr>
      </w:pPr>
      <w:bookmarkStart w:colFirst="0" w:colLast="0" w:name="_4jlya1ywod58" w:id="26"/>
      <w:bookmarkEnd w:id="26"/>
      <w:r w:rsidDel="00000000" w:rsidR="00000000" w:rsidRPr="00000000">
        <w:rPr>
          <w:rFonts w:ascii="Times New Roman" w:cs="Times New Roman" w:eastAsia="Times New Roman" w:hAnsi="Times New Roman"/>
          <w:b w:val="1"/>
          <w:sz w:val="28"/>
          <w:szCs w:val="28"/>
          <w:rtl w:val="0"/>
        </w:rPr>
        <w:t xml:space="preserve">4.6 Critical evaluation of strategic trade-offs:</w:t>
      </w:r>
    </w:p>
    <w:p w:rsidR="00000000" w:rsidDel="00000000" w:rsidP="00000000" w:rsidRDefault="00000000" w:rsidRPr="00000000" w14:paraId="0000005C">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inevitable trade-offs are detected in the theoretical frameworks (Ohashi, Jürgens and Thomson, 2021). Pioneers run the risk of being over-taken by the company that comes in later and invests excessively in an outdated technology structure. The followers also face the threat of commoditisation should they be concerned only with costs and copying. Both of them are subject to a “race to legitimacy in the face of environmental questioning: the earlier a company can be seen, the more reputational exposure it will experience; the later a company can be seen, the more compliance costs it will face as the standards become established. Best practices are therefore a combination of safeguarding proprietary advantages and flexibility in cooperation criteria and supply chain management (Ventura, 2021).</w:t>
      </w:r>
      <w:r w:rsidDel="00000000" w:rsidR="00000000" w:rsidRPr="00000000">
        <w:rPr>
          <w:rtl w:val="0"/>
        </w:rPr>
      </w:r>
    </w:p>
    <w:p w:rsidR="00000000" w:rsidDel="00000000" w:rsidP="00000000" w:rsidRDefault="00000000" w:rsidRPr="00000000" w14:paraId="0000005D">
      <w:pPr>
        <w:pStyle w:val="Heading2"/>
        <w:keepNext w:val="0"/>
        <w:keepLines w:val="0"/>
        <w:spacing w:before="280" w:line="360" w:lineRule="auto"/>
        <w:jc w:val="both"/>
        <w:rPr>
          <w:rFonts w:ascii="Times New Roman" w:cs="Times New Roman" w:eastAsia="Times New Roman" w:hAnsi="Times New Roman"/>
          <w:b w:val="1"/>
          <w:sz w:val="28"/>
          <w:szCs w:val="28"/>
        </w:rPr>
      </w:pPr>
      <w:bookmarkStart w:colFirst="0" w:colLast="0" w:name="_f3mdvf3rqqgj" w:id="27"/>
      <w:bookmarkEnd w:id="27"/>
      <w:r w:rsidDel="00000000" w:rsidR="00000000" w:rsidRPr="00000000">
        <w:rPr>
          <w:rFonts w:ascii="Times New Roman" w:cs="Times New Roman" w:eastAsia="Times New Roman" w:hAnsi="Times New Roman"/>
          <w:b w:val="1"/>
          <w:sz w:val="28"/>
          <w:szCs w:val="28"/>
          <w:rtl w:val="0"/>
        </w:rPr>
        <w:t xml:space="preserve">4.7 Strategic recommendations:</w:t>
      </w:r>
    </w:p>
    <w:p w:rsidR="00000000" w:rsidDel="00000000" w:rsidP="00000000" w:rsidRDefault="00000000" w:rsidRPr="00000000" w14:paraId="0000005E">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6e7llh4rm4ni" w:id="28"/>
      <w:bookmarkEnd w:id="28"/>
      <w:r w:rsidDel="00000000" w:rsidR="00000000" w:rsidRPr="00000000">
        <w:rPr>
          <w:rFonts w:ascii="Times New Roman" w:cs="Times New Roman" w:eastAsia="Times New Roman" w:hAnsi="Times New Roman"/>
          <w:b w:val="1"/>
          <w:color w:val="000000"/>
          <w:sz w:val="24"/>
          <w:szCs w:val="24"/>
          <w:rtl w:val="0"/>
        </w:rPr>
        <w:t xml:space="preserve">4.7.1 For pioneers (Tesla):</w:t>
      </w:r>
    </w:p>
    <w:p w:rsidR="00000000" w:rsidDel="00000000" w:rsidP="00000000" w:rsidRDefault="00000000" w:rsidRPr="00000000" w14:paraId="0000005F">
      <w:pPr>
        <w:numPr>
          <w:ilvl w:val="0"/>
          <w:numId w:val="4"/>
        </w:numPr>
        <w:spacing w:after="0" w:afterAutospacing="0" w:before="240"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Selective modularisation</w:t>
      </w:r>
      <w:r w:rsidDel="00000000" w:rsidR="00000000" w:rsidRPr="00000000">
        <w:rPr>
          <w:rFonts w:ascii="Times New Roman" w:cs="Times New Roman" w:eastAsia="Times New Roman" w:hAnsi="Times New Roman"/>
          <w:sz w:val="24"/>
          <w:szCs w:val="24"/>
          <w:rtl w:val="0"/>
        </w:rPr>
        <w:t xml:space="preserve">: Maintain proprietary control of software and platform, but modularize non-core parts to be able to take advantage of scale economies and lower costs. This will minimize exposure to component commoditisation (Riihimäki, 2025).</w:t>
      </w:r>
    </w:p>
    <w:p w:rsidR="00000000" w:rsidDel="00000000" w:rsidP="00000000" w:rsidRDefault="00000000" w:rsidRPr="00000000" w14:paraId="00000060">
      <w:pPr>
        <w:numPr>
          <w:ilvl w:val="0"/>
          <w:numId w:val="4"/>
        </w:numPr>
        <w:spacing w:after="0" w:afterAutospacing="0" w:before="0" w:beforeAutospacing="0"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Supply chain traceability and circularity</w:t>
      </w:r>
      <w:r w:rsidDel="00000000" w:rsidR="00000000" w:rsidRPr="00000000">
        <w:rPr>
          <w:rFonts w:ascii="Times New Roman" w:cs="Times New Roman" w:eastAsia="Times New Roman" w:hAnsi="Times New Roman"/>
          <w:sz w:val="24"/>
          <w:szCs w:val="24"/>
          <w:rtl w:val="0"/>
        </w:rPr>
        <w:t xml:space="preserve">: Invest in battery recycling, supplier auditing, and transparent sourcing to be less scrutinized by environmentalists and obtain access to important inputs (Pikuleva, 2023).</w:t>
      </w:r>
    </w:p>
    <w:p w:rsidR="00000000" w:rsidDel="00000000" w:rsidP="00000000" w:rsidRDefault="00000000" w:rsidRPr="00000000" w14:paraId="00000061">
      <w:pPr>
        <w:numPr>
          <w:ilvl w:val="0"/>
          <w:numId w:val="4"/>
        </w:numPr>
        <w:spacing w:after="240" w:before="0" w:beforeAutospacing="0"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Service and data monetisation</w:t>
      </w:r>
      <w:r w:rsidDel="00000000" w:rsidR="00000000" w:rsidRPr="00000000">
        <w:rPr>
          <w:rFonts w:ascii="Times New Roman" w:cs="Times New Roman" w:eastAsia="Times New Roman" w:hAnsi="Times New Roman"/>
          <w:sz w:val="24"/>
          <w:szCs w:val="24"/>
          <w:rtl w:val="0"/>
        </w:rPr>
        <w:t xml:space="preserve">: Expand the recurring revenue services (energy, software subs, V2G), diversify income, and deep lock-in (Böck, 2023).</w:t>
      </w:r>
    </w:p>
    <w:p w:rsidR="00000000" w:rsidDel="00000000" w:rsidP="00000000" w:rsidRDefault="00000000" w:rsidRPr="00000000" w14:paraId="00000062">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yzf7ls8lh124" w:id="29"/>
      <w:bookmarkEnd w:id="29"/>
      <w:r w:rsidDel="00000000" w:rsidR="00000000" w:rsidRPr="00000000">
        <w:rPr>
          <w:rFonts w:ascii="Times New Roman" w:cs="Times New Roman" w:eastAsia="Times New Roman" w:hAnsi="Times New Roman"/>
          <w:b w:val="1"/>
          <w:color w:val="000000"/>
          <w:sz w:val="24"/>
          <w:szCs w:val="24"/>
          <w:rtl w:val="0"/>
        </w:rPr>
        <w:t xml:space="preserve">4.7.2 For followers (Hyundai):</w:t>
      </w:r>
    </w:p>
    <w:p w:rsidR="00000000" w:rsidDel="00000000" w:rsidP="00000000" w:rsidRDefault="00000000" w:rsidRPr="00000000" w14:paraId="00000063">
      <w:pPr>
        <w:numPr>
          <w:ilvl w:val="0"/>
          <w:numId w:val="1"/>
        </w:numPr>
        <w:spacing w:after="0" w:afterAutospacing="0" w:before="240"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Fast-follower differentiation</w:t>
      </w:r>
      <w:r w:rsidDel="00000000" w:rsidR="00000000" w:rsidRPr="00000000">
        <w:rPr>
          <w:rFonts w:ascii="Times New Roman" w:cs="Times New Roman" w:eastAsia="Times New Roman" w:hAnsi="Times New Roman"/>
          <w:sz w:val="24"/>
          <w:szCs w:val="24"/>
          <w:rtl w:val="0"/>
        </w:rPr>
        <w:t xml:space="preserve">: Invest in localized product features, customer-service ecosystems, and design language so that you do not have to compete based on price alone (Jain, Ambika and Sheth, 2022).</w:t>
      </w:r>
    </w:p>
    <w:p w:rsidR="00000000" w:rsidDel="00000000" w:rsidP="00000000" w:rsidRDefault="00000000" w:rsidRPr="00000000" w14:paraId="00000064">
      <w:pPr>
        <w:numPr>
          <w:ilvl w:val="0"/>
          <w:numId w:val="1"/>
        </w:numPr>
        <w:spacing w:after="0" w:afterAutospacing="0" w:before="0" w:beforeAutospacing="0"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Strategic alliances for technology absorption</w:t>
      </w:r>
      <w:r w:rsidDel="00000000" w:rsidR="00000000" w:rsidRPr="00000000">
        <w:rPr>
          <w:rFonts w:ascii="Times New Roman" w:cs="Times New Roman" w:eastAsia="Times New Roman" w:hAnsi="Times New Roman"/>
          <w:sz w:val="24"/>
          <w:szCs w:val="24"/>
          <w:rtl w:val="0"/>
        </w:rPr>
        <w:t xml:space="preserve">: Internalise important technologies with the help of JVs and long-term supplier alliances, as in-house competencies are developed (Sun, Deng and Wright, 2020).</w:t>
      </w:r>
    </w:p>
    <w:p w:rsidR="00000000" w:rsidDel="00000000" w:rsidP="00000000" w:rsidRDefault="00000000" w:rsidRPr="00000000" w14:paraId="00000065">
      <w:pPr>
        <w:numPr>
          <w:ilvl w:val="0"/>
          <w:numId w:val="1"/>
        </w:numPr>
        <w:spacing w:after="240" w:before="0" w:beforeAutospacing="0" w:line="360" w:lineRule="auto"/>
        <w:ind w:left="720" w:hanging="360"/>
        <w:jc w:val="both"/>
        <w:rPr>
          <w:sz w:val="24"/>
          <w:szCs w:val="24"/>
        </w:rPr>
      </w:pPr>
      <w:r w:rsidDel="00000000" w:rsidR="00000000" w:rsidRPr="00000000">
        <w:rPr>
          <w:rFonts w:ascii="Times New Roman" w:cs="Times New Roman" w:eastAsia="Times New Roman" w:hAnsi="Times New Roman"/>
          <w:b w:val="1"/>
          <w:sz w:val="24"/>
          <w:szCs w:val="24"/>
          <w:rtl w:val="0"/>
        </w:rPr>
        <w:t xml:space="preserve">Sustainability as a competitive lever</w:t>
      </w:r>
      <w:r w:rsidDel="00000000" w:rsidR="00000000" w:rsidRPr="00000000">
        <w:rPr>
          <w:rFonts w:ascii="Times New Roman" w:cs="Times New Roman" w:eastAsia="Times New Roman" w:hAnsi="Times New Roman"/>
          <w:sz w:val="24"/>
          <w:szCs w:val="24"/>
          <w:rtl w:val="0"/>
        </w:rPr>
        <w:t xml:space="preserve">: Embark on life cycle assessment and public reporting to transform compliance into brand equity (Liu et al., 2025).</w:t>
      </w:r>
    </w:p>
    <w:p w:rsidR="00000000" w:rsidDel="00000000" w:rsidP="00000000" w:rsidRDefault="00000000" w:rsidRPr="00000000" w14:paraId="00000066">
      <w:pPr>
        <w:pStyle w:val="Heading3"/>
        <w:spacing w:after="240" w:before="240" w:line="360" w:lineRule="auto"/>
        <w:jc w:val="both"/>
        <w:rPr>
          <w:rFonts w:ascii="Times New Roman" w:cs="Times New Roman" w:eastAsia="Times New Roman" w:hAnsi="Times New Roman"/>
          <w:b w:val="1"/>
          <w:color w:val="000000"/>
          <w:sz w:val="24"/>
          <w:szCs w:val="24"/>
        </w:rPr>
      </w:pPr>
      <w:bookmarkStart w:colFirst="0" w:colLast="0" w:name="_w3nolnc2bo7r" w:id="30"/>
      <w:bookmarkEnd w:id="30"/>
      <w:r w:rsidDel="00000000" w:rsidR="00000000" w:rsidRPr="00000000">
        <w:rPr>
          <w:rFonts w:ascii="Times New Roman" w:cs="Times New Roman" w:eastAsia="Times New Roman" w:hAnsi="Times New Roman"/>
          <w:b w:val="1"/>
          <w:color w:val="000000"/>
          <w:sz w:val="24"/>
          <w:szCs w:val="24"/>
          <w:rtl w:val="0"/>
        </w:rPr>
        <w:t xml:space="preserve">4.7.3 Industry and policy actions:</w:t>
      </w:r>
    </w:p>
    <w:p w:rsidR="00000000" w:rsidDel="00000000" w:rsidP="00000000" w:rsidRDefault="00000000" w:rsidRPr="00000000" w14:paraId="00000067">
      <w:pPr>
        <w:numPr>
          <w:ilvl w:val="0"/>
          <w:numId w:val="3"/>
        </w:numPr>
        <w:spacing w:after="0" w:afterAutospacing="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Enhance interoperability of charging by consortia in order to minimize fragmentation costs.</w:t>
      </w:r>
    </w:p>
    <w:p w:rsidR="00000000" w:rsidDel="00000000" w:rsidP="00000000" w:rsidRDefault="00000000" w:rsidRPr="00000000" w14:paraId="00000068">
      <w:pPr>
        <w:numPr>
          <w:ilvl w:val="0"/>
          <w:numId w:val="3"/>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Recycling in the support industry to establish economies of scale in dealing with the end-of-life.</w:t>
      </w:r>
    </w:p>
    <w:p w:rsidR="00000000" w:rsidDel="00000000" w:rsidP="00000000" w:rsidRDefault="00000000" w:rsidRPr="00000000" w14:paraId="00000069">
      <w:pPr>
        <w:numPr>
          <w:ilvl w:val="0"/>
          <w:numId w:val="3"/>
        </w:numPr>
        <w:spacing w:after="24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Promote public-private collaboration in charging infrastructure to expedite the process and decrease the early adopter infrastructure costs.</w:t>
      </w:r>
    </w:p>
    <w:p w:rsidR="00000000" w:rsidDel="00000000" w:rsidP="00000000" w:rsidRDefault="00000000" w:rsidRPr="00000000" w14:paraId="0000006A">
      <w:pPr>
        <w:pStyle w:val="Heading1"/>
        <w:keepNext w:val="0"/>
        <w:keepLines w:val="0"/>
        <w:spacing w:before="280" w:line="360" w:lineRule="auto"/>
        <w:jc w:val="both"/>
        <w:rPr>
          <w:rFonts w:ascii="Times New Roman" w:cs="Times New Roman" w:eastAsia="Times New Roman" w:hAnsi="Times New Roman"/>
          <w:b w:val="1"/>
          <w:sz w:val="32"/>
          <w:szCs w:val="32"/>
        </w:rPr>
      </w:pPr>
      <w:bookmarkStart w:colFirst="0" w:colLast="0" w:name="_ef99cduu4gvj" w:id="31"/>
      <w:bookmarkEnd w:id="31"/>
      <w:r w:rsidDel="00000000" w:rsidR="00000000" w:rsidRPr="00000000">
        <w:rPr>
          <w:rFonts w:ascii="Times New Roman" w:cs="Times New Roman" w:eastAsia="Times New Roman" w:hAnsi="Times New Roman"/>
          <w:b w:val="1"/>
          <w:sz w:val="32"/>
          <w:szCs w:val="32"/>
          <w:rtl w:val="0"/>
        </w:rPr>
        <w:t xml:space="preserve">   5. Conclusion</w:t>
      </w:r>
    </w:p>
    <w:p w:rsidR="00000000" w:rsidDel="00000000" w:rsidP="00000000" w:rsidRDefault="00000000" w:rsidRPr="00000000" w14:paraId="0000006B">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macro forces of technology and environmental factors that restructure the competitive environments within the EV market (Fedotov, 2022). Platform ownership, brand and technological leadership, and substantial innovation risk, capital intensity, and environmental scrutiny are some of the first-mover benefits that pioneers such as Tesla have to bear. Follower firms such as Hyundai will be in a position to take advantage of the maturation and scale of technology to capture mass markets, but they will have to develop unique offline complementary capabilities to avoid commoditisation. Porter, Ansoff, RBV, and Dynamic Capabilities-based strategic responses indicate that a hybrid strategy, which involves the protection of core proprietary assets and modularity, partnerships, and sustainability governance, is most likely to position firms in a competitive position. Finally, success is not so much about being a pioneer or follower; it is related to the fit between environmental pressures, organisational capabilities, and consistent strategic decisions (Pantano, Pedeliento and Christodoulides, 2022).</w:t>
      </w:r>
    </w:p>
    <w:p w:rsidR="00000000" w:rsidDel="00000000" w:rsidP="00000000" w:rsidRDefault="00000000" w:rsidRPr="00000000" w14:paraId="0000006C">
      <w:pPr>
        <w:spacing w:after="120" w:before="1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4050" cy="3214688"/>
            <wp:effectExtent b="0" l="0" r="0" t="0"/>
            <wp:docPr id="3"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4050" cy="3214688"/>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spacing w:after="240" w:before="240" w:line="360" w:lineRule="auto"/>
        <w:ind w:left="600" w:right="600" w:firstLine="0"/>
        <w:jc w:val="both"/>
        <w:rPr>
          <w:rFonts w:ascii="Times New Roman" w:cs="Times New Roman" w:eastAsia="Times New Roman" w:hAnsi="Times New Roman"/>
          <w:i w:val="1"/>
        </w:rPr>
      </w:pPr>
      <w:r w:rsidDel="00000000" w:rsidR="00000000" w:rsidRPr="00000000">
        <w:rPr>
          <w:rFonts w:ascii="Times New Roman" w:cs="Times New Roman" w:eastAsia="Times New Roman" w:hAnsi="Times New Roman"/>
          <w:b w:val="1"/>
          <w:i w:val="1"/>
          <w:rtl w:val="0"/>
        </w:rPr>
        <w:t xml:space="preserve">Figure 3: </w:t>
      </w:r>
      <w:r w:rsidDel="00000000" w:rsidR="00000000" w:rsidRPr="00000000">
        <w:rPr>
          <w:rFonts w:ascii="Times New Roman" w:cs="Times New Roman" w:eastAsia="Times New Roman" w:hAnsi="Times New Roman"/>
          <w:i w:val="1"/>
          <w:rtl w:val="0"/>
        </w:rPr>
        <w:t xml:space="preserve">Macro–Strategy–Performance Alignment Model for EV Competitiveness (selfmade)</w:t>
      </w:r>
    </w:p>
    <w:p w:rsidR="00000000" w:rsidDel="00000000" w:rsidP="00000000" w:rsidRDefault="00000000" w:rsidRPr="00000000" w14:paraId="0000006E">
      <w:pPr>
        <w:spacing w:after="120" w:before="12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after="120" w:before="120"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70">
      <w:pPr>
        <w:pStyle w:val="Heading1"/>
        <w:spacing w:line="360" w:lineRule="auto"/>
        <w:jc w:val="both"/>
        <w:rPr>
          <w:rFonts w:ascii="Times New Roman" w:cs="Times New Roman" w:eastAsia="Times New Roman" w:hAnsi="Times New Roman"/>
          <w:b w:val="1"/>
          <w:sz w:val="36"/>
          <w:szCs w:val="36"/>
        </w:rPr>
      </w:pPr>
      <w:bookmarkStart w:colFirst="0" w:colLast="0" w:name="_68d4dob14dcb" w:id="32"/>
      <w:bookmarkEnd w:id="32"/>
      <w:r w:rsidDel="00000000" w:rsidR="00000000" w:rsidRPr="00000000">
        <w:rPr>
          <w:rFonts w:ascii="Times New Roman" w:cs="Times New Roman" w:eastAsia="Times New Roman" w:hAnsi="Times New Roman"/>
          <w:b w:val="1"/>
          <w:sz w:val="32"/>
          <w:szCs w:val="32"/>
          <w:rtl w:val="0"/>
        </w:rPr>
        <w:t xml:space="preserve">References: </w:t>
      </w:r>
      <w:r w:rsidDel="00000000" w:rsidR="00000000" w:rsidRPr="00000000">
        <w:rPr>
          <w:rtl w:val="0"/>
        </w:rPr>
      </w:r>
    </w:p>
    <w:p w:rsidR="00000000" w:rsidDel="00000000" w:rsidP="00000000" w:rsidRDefault="00000000" w:rsidRPr="00000000" w14:paraId="00000071">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Aliane, N., Gharbi, H., Bouzguenda, K. and Seraj, A.H.A. (2023). VRINE In Green: Shifting Towards Ecological RBV Theory. </w:t>
      </w:r>
      <w:r w:rsidDel="00000000" w:rsidR="00000000" w:rsidRPr="00000000">
        <w:rPr>
          <w:rFonts w:ascii="Times New Roman" w:cs="Times New Roman" w:eastAsia="Times New Roman" w:hAnsi="Times New Roman"/>
          <w:i w:val="1"/>
          <w:sz w:val="24"/>
          <w:szCs w:val="24"/>
          <w:rtl w:val="0"/>
        </w:rPr>
        <w:t xml:space="preserve">AGBIOFORUM</w:t>
      </w:r>
      <w:r w:rsidDel="00000000" w:rsidR="00000000" w:rsidRPr="00000000">
        <w:rPr>
          <w:rFonts w:ascii="Times New Roman" w:cs="Times New Roman" w:eastAsia="Times New Roman" w:hAnsi="Times New Roman"/>
          <w:sz w:val="24"/>
          <w:szCs w:val="24"/>
          <w:rtl w:val="0"/>
        </w:rPr>
        <w:t xml:space="preserve">, [online] 25(2), pp.180–192.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https://agbioforum.org/menuscript/index.php/agb/article/view/263</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2">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Ässia Boukhatmi and Wim Van Opstal (2025). How Can Digital Platforms Resolve Market Failures to Foster a Circular Economy? </w:t>
      </w:r>
      <w:r w:rsidDel="00000000" w:rsidR="00000000" w:rsidRPr="00000000">
        <w:rPr>
          <w:rFonts w:ascii="Times New Roman" w:cs="Times New Roman" w:eastAsia="Times New Roman" w:hAnsi="Times New Roman"/>
          <w:i w:val="1"/>
          <w:sz w:val="24"/>
          <w:szCs w:val="24"/>
          <w:rtl w:val="0"/>
        </w:rPr>
        <w:t xml:space="preserve">Business Strategy and the Environment</w:t>
      </w:r>
      <w:r w:rsidDel="00000000" w:rsidR="00000000" w:rsidRPr="00000000">
        <w:rPr>
          <w:rFonts w:ascii="Times New Roman" w:cs="Times New Roman" w:eastAsia="Times New Roman" w:hAnsi="Times New Roman"/>
          <w:sz w:val="24"/>
          <w:szCs w:val="24"/>
          <w:rtl w:val="0"/>
        </w:rPr>
        <w:t xml:space="preserve">. doi:</w:t>
      </w:r>
      <w:hyperlink r:id="rId10">
        <w:r w:rsidDel="00000000" w:rsidR="00000000" w:rsidRPr="00000000">
          <w:rPr>
            <w:rFonts w:ascii="Times New Roman" w:cs="Times New Roman" w:eastAsia="Times New Roman" w:hAnsi="Times New Roman"/>
            <w:color w:val="1155cc"/>
            <w:sz w:val="24"/>
            <w:szCs w:val="24"/>
            <w:u w:val="single"/>
            <w:rtl w:val="0"/>
          </w:rPr>
          <w:t xml:space="preserve">https://doi.org/10.1002/bse.70190</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3">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Böck, J. (2023). </w:t>
      </w:r>
      <w:r w:rsidDel="00000000" w:rsidR="00000000" w:rsidRPr="00000000">
        <w:rPr>
          <w:rFonts w:ascii="Times New Roman" w:cs="Times New Roman" w:eastAsia="Times New Roman" w:hAnsi="Times New Roman"/>
          <w:i w:val="1"/>
          <w:sz w:val="24"/>
          <w:szCs w:val="24"/>
          <w:rtl w:val="0"/>
        </w:rPr>
        <w:t xml:space="preserve">Solar Electric Vehicles with Distributed Energy Storage in the European energy transition: A socio-technical system analysis</w:t>
      </w:r>
      <w:r w:rsidDel="00000000" w:rsidR="00000000" w:rsidRPr="00000000">
        <w:rPr>
          <w:rFonts w:ascii="Times New Roman" w:cs="Times New Roman" w:eastAsia="Times New Roman" w:hAnsi="Times New Roman"/>
          <w:sz w:val="24"/>
          <w:szCs w:val="24"/>
          <w:rtl w:val="0"/>
        </w:rPr>
        <w:t xml:space="preserve">. [online] studenttheses.uu.nl. 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https://studenttheses.uu.nl/handle/20.500.12932/44279</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4">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Breno Niero, Srimeechai, P., Chhabra, R. and Samarth Kanoi (2023). </w:t>
      </w:r>
      <w:r w:rsidDel="00000000" w:rsidR="00000000" w:rsidRPr="00000000">
        <w:rPr>
          <w:rFonts w:ascii="Times New Roman" w:cs="Times New Roman" w:eastAsia="Times New Roman" w:hAnsi="Times New Roman"/>
          <w:i w:val="1"/>
          <w:sz w:val="24"/>
          <w:szCs w:val="24"/>
          <w:rtl w:val="0"/>
        </w:rPr>
        <w:t xml:space="preserve">Charging Innovation: A global business analysis of Hyundai’s electric future</w:t>
      </w:r>
      <w:r w:rsidDel="00000000" w:rsidR="00000000" w:rsidRPr="00000000">
        <w:rPr>
          <w:rFonts w:ascii="Times New Roman" w:cs="Times New Roman" w:eastAsia="Times New Roman" w:hAnsi="Times New Roman"/>
          <w:sz w:val="24"/>
          <w:szCs w:val="24"/>
          <w:rtl w:val="0"/>
        </w:rPr>
        <w:t xml:space="preserve">. [online]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https://www.researchgate.net/profile/Breno-Niero/publication/376203954_Charging_Innovation_A_global_business_analysis_of_Hyundai</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5">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Charles (2025). The CEO As Brand Risk: Assessing and Restoring Tesla’s Brand Image. </w:t>
      </w:r>
      <w:r w:rsidDel="00000000" w:rsidR="00000000" w:rsidRPr="00000000">
        <w:rPr>
          <w:rFonts w:ascii="Times New Roman" w:cs="Times New Roman" w:eastAsia="Times New Roman" w:hAnsi="Times New Roman"/>
          <w:i w:val="1"/>
          <w:sz w:val="24"/>
          <w:szCs w:val="24"/>
          <w:rtl w:val="0"/>
        </w:rPr>
        <w:t xml:space="preserve">Uliege.be</w:t>
      </w:r>
      <w:r w:rsidDel="00000000" w:rsidR="00000000" w:rsidRPr="00000000">
        <w:rPr>
          <w:rFonts w:ascii="Times New Roman" w:cs="Times New Roman" w:eastAsia="Times New Roman" w:hAnsi="Times New Roman"/>
          <w:sz w:val="24"/>
          <w:szCs w:val="24"/>
          <w:rtl w:val="0"/>
        </w:rPr>
        <w:t xml:space="preserve">. [online] doi:</w:t>
      </w:r>
      <w:hyperlink r:id="rId13">
        <w:r w:rsidDel="00000000" w:rsidR="00000000" w:rsidRPr="00000000">
          <w:rPr>
            <w:rFonts w:ascii="Times New Roman" w:cs="Times New Roman" w:eastAsia="Times New Roman" w:hAnsi="Times New Roman"/>
            <w:color w:val="1155cc"/>
            <w:sz w:val="24"/>
            <w:szCs w:val="24"/>
            <w:u w:val="single"/>
            <w:rtl w:val="0"/>
          </w:rPr>
          <w:t xml:space="preserve">https://hdl.handle.net/2268/333797</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6">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Cho, M.-J., Bae, K., Byun, J. and Shin, J. (2025). Expanding the identification of key resource combinations for mid- to long-term growth in electric vehicle market entry. </w:t>
      </w:r>
      <w:r w:rsidDel="00000000" w:rsidR="00000000" w:rsidRPr="00000000">
        <w:rPr>
          <w:rFonts w:ascii="Times New Roman" w:cs="Times New Roman" w:eastAsia="Times New Roman" w:hAnsi="Times New Roman"/>
          <w:i w:val="1"/>
          <w:sz w:val="24"/>
          <w:szCs w:val="24"/>
          <w:rtl w:val="0"/>
        </w:rPr>
        <w:t xml:space="preserve">PubMed</w:t>
      </w:r>
      <w:r w:rsidDel="00000000" w:rsidR="00000000" w:rsidRPr="00000000">
        <w:rPr>
          <w:rFonts w:ascii="Times New Roman" w:cs="Times New Roman" w:eastAsia="Times New Roman" w:hAnsi="Times New Roman"/>
          <w:sz w:val="24"/>
          <w:szCs w:val="24"/>
          <w:rtl w:val="0"/>
        </w:rPr>
        <w:t xml:space="preserve">, 20(8), pp.e0328563–e0328563. doi:</w:t>
      </w:r>
      <w:hyperlink r:id="rId14">
        <w:r w:rsidDel="00000000" w:rsidR="00000000" w:rsidRPr="00000000">
          <w:rPr>
            <w:rFonts w:ascii="Times New Roman" w:cs="Times New Roman" w:eastAsia="Times New Roman" w:hAnsi="Times New Roman"/>
            <w:color w:val="1155cc"/>
            <w:sz w:val="24"/>
            <w:szCs w:val="24"/>
            <w:u w:val="single"/>
            <w:rtl w:val="0"/>
          </w:rPr>
          <w:t xml:space="preserve">https://doi.org/10.1371/journal.pone.0328563</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7">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 P., Liu, T., Chen, T., Jiang, M., Zhu, H., Shang, Y., Goh, H.H., Zhao, Huang, C., Kong, F., Kurniawan, T.A., Goh, K.C., Du, Y. and Zhang, D. (2025). Enhancing Green Mobility through Vehicle-to-Grid: Potential, Technological Barriers, and Policy Implications. </w:t>
      </w:r>
      <w:r w:rsidDel="00000000" w:rsidR="00000000" w:rsidRPr="00000000">
        <w:rPr>
          <w:rFonts w:ascii="Times New Roman" w:cs="Times New Roman" w:eastAsia="Times New Roman" w:hAnsi="Times New Roman"/>
          <w:i w:val="1"/>
          <w:sz w:val="24"/>
          <w:szCs w:val="24"/>
          <w:rtl w:val="0"/>
        </w:rPr>
        <w:t xml:space="preserve">Energy &amp; Environmental Science</w:t>
      </w:r>
      <w:r w:rsidDel="00000000" w:rsidR="00000000" w:rsidRPr="00000000">
        <w:rPr>
          <w:rFonts w:ascii="Times New Roman" w:cs="Times New Roman" w:eastAsia="Times New Roman" w:hAnsi="Times New Roman"/>
          <w:sz w:val="24"/>
          <w:szCs w:val="24"/>
          <w:rtl w:val="0"/>
        </w:rPr>
        <w:t xml:space="preserve">. doi:</w:t>
      </w:r>
      <w:hyperlink r:id="rId15">
        <w:r w:rsidDel="00000000" w:rsidR="00000000" w:rsidRPr="00000000">
          <w:rPr>
            <w:rFonts w:ascii="Times New Roman" w:cs="Times New Roman" w:eastAsia="Times New Roman" w:hAnsi="Times New Roman"/>
            <w:color w:val="1155cc"/>
            <w:sz w:val="24"/>
            <w:szCs w:val="24"/>
            <w:u w:val="single"/>
            <w:rtl w:val="0"/>
          </w:rPr>
          <w:t xml:space="preserve">https://doi.org/10.1039/d5ee00116a</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8">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Fedotov, P. (2022). Critical analysis of the electric vehicle industry. </w:t>
      </w:r>
      <w:r w:rsidDel="00000000" w:rsidR="00000000" w:rsidRPr="00000000">
        <w:rPr>
          <w:rFonts w:ascii="Times New Roman" w:cs="Times New Roman" w:eastAsia="Times New Roman" w:hAnsi="Times New Roman"/>
          <w:i w:val="1"/>
          <w:sz w:val="24"/>
          <w:szCs w:val="24"/>
          <w:rtl w:val="0"/>
        </w:rPr>
        <w:t xml:space="preserve">Exchanges: the Interdisciplinary Research Journal</w:t>
      </w:r>
      <w:r w:rsidDel="00000000" w:rsidR="00000000" w:rsidRPr="00000000">
        <w:rPr>
          <w:rFonts w:ascii="Times New Roman" w:cs="Times New Roman" w:eastAsia="Times New Roman" w:hAnsi="Times New Roman"/>
          <w:sz w:val="24"/>
          <w:szCs w:val="24"/>
          <w:rtl w:val="0"/>
        </w:rPr>
        <w:t xml:space="preserve">, [online] 10(1), pp.43–56. doi:</w:t>
      </w:r>
      <w:hyperlink r:id="rId16">
        <w:r w:rsidDel="00000000" w:rsidR="00000000" w:rsidRPr="00000000">
          <w:rPr>
            <w:rFonts w:ascii="Times New Roman" w:cs="Times New Roman" w:eastAsia="Times New Roman" w:hAnsi="Times New Roman"/>
            <w:color w:val="1155cc"/>
            <w:sz w:val="24"/>
            <w:szCs w:val="24"/>
            <w:u w:val="single"/>
            <w:rtl w:val="0"/>
          </w:rPr>
          <w:t xml:space="preserve">https://doi.org/10.31273/eirj.v10i1.362</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9">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George (2024). Bridging the Digital Divide: Understanding the Human Impacts of Digital Transformation. </w:t>
      </w:r>
      <w:r w:rsidDel="00000000" w:rsidR="00000000" w:rsidRPr="00000000">
        <w:rPr>
          <w:rFonts w:ascii="Times New Roman" w:cs="Times New Roman" w:eastAsia="Times New Roman" w:hAnsi="Times New Roman"/>
          <w:i w:val="1"/>
          <w:sz w:val="24"/>
          <w:szCs w:val="24"/>
          <w:rtl w:val="0"/>
        </w:rPr>
        <w:t xml:space="preserve">Partners Universal International Innovation Journal</w:t>
      </w:r>
      <w:r w:rsidDel="00000000" w:rsidR="00000000" w:rsidRPr="00000000">
        <w:rPr>
          <w:rFonts w:ascii="Times New Roman" w:cs="Times New Roman" w:eastAsia="Times New Roman" w:hAnsi="Times New Roman"/>
          <w:sz w:val="24"/>
          <w:szCs w:val="24"/>
          <w:rtl w:val="0"/>
        </w:rPr>
        <w:t xml:space="preserve">, [online] 2(3), pp.1–34. doi:</w:t>
      </w:r>
      <w:hyperlink r:id="rId17">
        <w:r w:rsidDel="00000000" w:rsidR="00000000" w:rsidRPr="00000000">
          <w:rPr>
            <w:rFonts w:ascii="Times New Roman" w:cs="Times New Roman" w:eastAsia="Times New Roman" w:hAnsi="Times New Roman"/>
            <w:color w:val="1155cc"/>
            <w:sz w:val="24"/>
            <w:szCs w:val="24"/>
            <w:u w:val="single"/>
            <w:rtl w:val="0"/>
          </w:rPr>
          <w:t xml:space="preserve">https://doi.org/10.5281/zenodo.11287684</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A">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George (2025). Leveraging the New Oil: An Analysis of Emergent Data Monetization Models and their Impact on Corporate Innovation. </w:t>
      </w:r>
      <w:r w:rsidDel="00000000" w:rsidR="00000000" w:rsidRPr="00000000">
        <w:rPr>
          <w:rFonts w:ascii="Times New Roman" w:cs="Times New Roman" w:eastAsia="Times New Roman" w:hAnsi="Times New Roman"/>
          <w:i w:val="1"/>
          <w:sz w:val="24"/>
          <w:szCs w:val="24"/>
          <w:rtl w:val="0"/>
        </w:rPr>
        <w:t xml:space="preserve">Partners Universal Innovative Research Publication</w:t>
      </w:r>
      <w:r w:rsidDel="00000000" w:rsidR="00000000" w:rsidRPr="00000000">
        <w:rPr>
          <w:rFonts w:ascii="Times New Roman" w:cs="Times New Roman" w:eastAsia="Times New Roman" w:hAnsi="Times New Roman"/>
          <w:sz w:val="24"/>
          <w:szCs w:val="24"/>
          <w:rtl w:val="0"/>
        </w:rPr>
        <w:t xml:space="preserve">, [online] 3(2), pp.37–52. doi:</w:t>
      </w:r>
      <w:hyperlink r:id="rId18">
        <w:r w:rsidDel="00000000" w:rsidR="00000000" w:rsidRPr="00000000">
          <w:rPr>
            <w:rFonts w:ascii="Times New Roman" w:cs="Times New Roman" w:eastAsia="Times New Roman" w:hAnsi="Times New Roman"/>
            <w:color w:val="1155cc"/>
            <w:sz w:val="24"/>
            <w:szCs w:val="24"/>
            <w:u w:val="single"/>
            <w:rtl w:val="0"/>
          </w:rPr>
          <w:t xml:space="preserve">https://doi.org/10.5281/zenodo.15288191</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B">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Jain, V., Ambika, A. and Sheth, J.N. (2022). Customer-Centric Service Ecosystem for Emerging Markets. </w:t>
      </w:r>
      <w:r w:rsidDel="00000000" w:rsidR="00000000" w:rsidRPr="00000000">
        <w:rPr>
          <w:rFonts w:ascii="Times New Roman" w:cs="Times New Roman" w:eastAsia="Times New Roman" w:hAnsi="Times New Roman"/>
          <w:i w:val="1"/>
          <w:sz w:val="24"/>
          <w:szCs w:val="24"/>
          <w:rtl w:val="0"/>
        </w:rPr>
        <w:t xml:space="preserve">The Palgrave Handbook of Service Management</w:t>
      </w:r>
      <w:r w:rsidDel="00000000" w:rsidR="00000000" w:rsidRPr="00000000">
        <w:rPr>
          <w:rFonts w:ascii="Times New Roman" w:cs="Times New Roman" w:eastAsia="Times New Roman" w:hAnsi="Times New Roman"/>
          <w:sz w:val="24"/>
          <w:szCs w:val="24"/>
          <w:rtl w:val="0"/>
        </w:rPr>
        <w:t xml:space="preserve">, pp.393–410. doi:</w:t>
      </w:r>
      <w:hyperlink r:id="rId19">
        <w:r w:rsidDel="00000000" w:rsidR="00000000" w:rsidRPr="00000000">
          <w:rPr>
            <w:rFonts w:ascii="Times New Roman" w:cs="Times New Roman" w:eastAsia="Times New Roman" w:hAnsi="Times New Roman"/>
            <w:color w:val="1155cc"/>
            <w:sz w:val="24"/>
            <w:szCs w:val="24"/>
            <w:u w:val="single"/>
            <w:rtl w:val="0"/>
          </w:rPr>
          <w:t xml:space="preserve">https://doi.org/10.1007/978-3-030-91828-6_21</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C">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Kim, H. (2025). The Rise of Two South Korean Multinationals. </w:t>
      </w:r>
      <w:r w:rsidDel="00000000" w:rsidR="00000000" w:rsidRPr="00000000">
        <w:rPr>
          <w:rFonts w:ascii="Times New Roman" w:cs="Times New Roman" w:eastAsia="Times New Roman" w:hAnsi="Times New Roman"/>
          <w:i w:val="1"/>
          <w:sz w:val="24"/>
          <w:szCs w:val="24"/>
          <w:rtl w:val="0"/>
        </w:rPr>
        <w:t xml:space="preserve">Routledge Handbook of Korean Business and Management</w:t>
      </w:r>
      <w:r w:rsidDel="00000000" w:rsidR="00000000" w:rsidRPr="00000000">
        <w:rPr>
          <w:rFonts w:ascii="Times New Roman" w:cs="Times New Roman" w:eastAsia="Times New Roman" w:hAnsi="Times New Roman"/>
          <w:sz w:val="24"/>
          <w:szCs w:val="24"/>
          <w:rtl w:val="0"/>
        </w:rPr>
        <w:t xml:space="preserve">, pp.224–247. doi:</w:t>
      </w:r>
      <w:hyperlink r:id="rId20">
        <w:r w:rsidDel="00000000" w:rsidR="00000000" w:rsidRPr="00000000">
          <w:rPr>
            <w:rFonts w:ascii="Times New Roman" w:cs="Times New Roman" w:eastAsia="Times New Roman" w:hAnsi="Times New Roman"/>
            <w:color w:val="1155cc"/>
            <w:sz w:val="24"/>
            <w:szCs w:val="24"/>
            <w:u w:val="single"/>
            <w:rtl w:val="0"/>
          </w:rPr>
          <w:t xml:space="preserve">https://doi.org/10.4324/9781003180920-12</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D">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Koelmel, B., Haug, T., Klein, L., Schwab, L., Bulander, R., Hinderer, H., Weyer, M., Brugger, T., Kuehn, A. and Brysch, T. (2024). Are German Automotive Suppliers in the Commodity Trap? Risks and Potentials of the Taiwanese Platform MIH EV Open. </w:t>
      </w:r>
      <w:r w:rsidDel="00000000" w:rsidR="00000000" w:rsidRPr="00000000">
        <w:rPr>
          <w:rFonts w:ascii="Times New Roman" w:cs="Times New Roman" w:eastAsia="Times New Roman" w:hAnsi="Times New Roman"/>
          <w:i w:val="1"/>
          <w:sz w:val="24"/>
          <w:szCs w:val="24"/>
          <w:rtl w:val="0"/>
        </w:rPr>
        <w:t xml:space="preserve">Commodities</w:t>
      </w:r>
      <w:r w:rsidDel="00000000" w:rsidR="00000000" w:rsidRPr="00000000">
        <w:rPr>
          <w:rFonts w:ascii="Times New Roman" w:cs="Times New Roman" w:eastAsia="Times New Roman" w:hAnsi="Times New Roman"/>
          <w:sz w:val="24"/>
          <w:szCs w:val="24"/>
          <w:rtl w:val="0"/>
        </w:rPr>
        <w:t xml:space="preserve">, 3(4), pp.389–420. doi:</w:t>
      </w:r>
      <w:hyperlink r:id="rId21">
        <w:r w:rsidDel="00000000" w:rsidR="00000000" w:rsidRPr="00000000">
          <w:rPr>
            <w:rFonts w:ascii="Times New Roman" w:cs="Times New Roman" w:eastAsia="Times New Roman" w:hAnsi="Times New Roman"/>
            <w:color w:val="1155cc"/>
            <w:sz w:val="24"/>
            <w:szCs w:val="24"/>
            <w:u w:val="single"/>
            <w:rtl w:val="0"/>
          </w:rPr>
          <w:t xml:space="preserve">https://doi.org/10.3390/commodities3040022</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E">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Lam, A. and Mercure, J.-F. (2021). Which policy mixes are best for decarbonising passenger cars? Simulating interactions among taxes, subsidies and regulations for the United Kingdom, the United States, Japan, China, and India. </w:t>
      </w:r>
      <w:r w:rsidDel="00000000" w:rsidR="00000000" w:rsidRPr="00000000">
        <w:rPr>
          <w:rFonts w:ascii="Times New Roman" w:cs="Times New Roman" w:eastAsia="Times New Roman" w:hAnsi="Times New Roman"/>
          <w:i w:val="1"/>
          <w:sz w:val="24"/>
          <w:szCs w:val="24"/>
          <w:rtl w:val="0"/>
        </w:rPr>
        <w:t xml:space="preserve">Energy Research &amp; Social Science</w:t>
      </w:r>
      <w:r w:rsidDel="00000000" w:rsidR="00000000" w:rsidRPr="00000000">
        <w:rPr>
          <w:rFonts w:ascii="Times New Roman" w:cs="Times New Roman" w:eastAsia="Times New Roman" w:hAnsi="Times New Roman"/>
          <w:sz w:val="24"/>
          <w:szCs w:val="24"/>
          <w:rtl w:val="0"/>
        </w:rPr>
        <w:t xml:space="preserve">, 75, p.101951. doi:</w:t>
      </w:r>
      <w:hyperlink r:id="rId22">
        <w:r w:rsidDel="00000000" w:rsidR="00000000" w:rsidRPr="00000000">
          <w:rPr>
            <w:rFonts w:ascii="Times New Roman" w:cs="Times New Roman" w:eastAsia="Times New Roman" w:hAnsi="Times New Roman"/>
            <w:color w:val="1155cc"/>
            <w:sz w:val="24"/>
            <w:szCs w:val="24"/>
            <w:u w:val="single"/>
            <w:rtl w:val="0"/>
          </w:rPr>
          <w:t xml:space="preserve">https://doi.org/10.1016/j.erss.2021.101951</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7F">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 Z., Jiao, Y., Cheng, Y., Shen, Z. and Zhou, M. (2024). Unlocking the power of peer influence: Strategies for bridging the adoption chasm in new product diffusion. </w:t>
      </w:r>
      <w:r w:rsidDel="00000000" w:rsidR="00000000" w:rsidRPr="00000000">
        <w:rPr>
          <w:rFonts w:ascii="Times New Roman" w:cs="Times New Roman" w:eastAsia="Times New Roman" w:hAnsi="Times New Roman"/>
          <w:i w:val="1"/>
          <w:sz w:val="24"/>
          <w:szCs w:val="24"/>
          <w:rtl w:val="0"/>
        </w:rPr>
        <w:t xml:space="preserve">Managerial and Decision Economics</w:t>
      </w:r>
      <w:r w:rsidDel="00000000" w:rsidR="00000000" w:rsidRPr="00000000">
        <w:rPr>
          <w:rFonts w:ascii="Times New Roman" w:cs="Times New Roman" w:eastAsia="Times New Roman" w:hAnsi="Times New Roman"/>
          <w:sz w:val="24"/>
          <w:szCs w:val="24"/>
          <w:rtl w:val="0"/>
        </w:rPr>
        <w:t xml:space="preserve">. doi:</w:t>
      </w:r>
      <w:hyperlink r:id="rId23">
        <w:r w:rsidDel="00000000" w:rsidR="00000000" w:rsidRPr="00000000">
          <w:rPr>
            <w:rFonts w:ascii="Times New Roman" w:cs="Times New Roman" w:eastAsia="Times New Roman" w:hAnsi="Times New Roman"/>
            <w:color w:val="1155cc"/>
            <w:sz w:val="24"/>
            <w:szCs w:val="24"/>
            <w:u w:val="single"/>
            <w:rtl w:val="0"/>
          </w:rPr>
          <w:t xml:space="preserve">https://doi.org/10.1002/mde.4379</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0">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Liu, Y., Xu, X., Hai, H. and Hussain, H. (2025). Does Shared Institutional Equity Enhance Corporate Eco-Transparency Reporting? Evidence from Firm Life Cycles Stages.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17(2), p.791. doi:</w:t>
      </w:r>
      <w:hyperlink r:id="rId24">
        <w:r w:rsidDel="00000000" w:rsidR="00000000" w:rsidRPr="00000000">
          <w:rPr>
            <w:rFonts w:ascii="Times New Roman" w:cs="Times New Roman" w:eastAsia="Times New Roman" w:hAnsi="Times New Roman"/>
            <w:color w:val="1155cc"/>
            <w:sz w:val="24"/>
            <w:szCs w:val="24"/>
            <w:u w:val="single"/>
            <w:rtl w:val="0"/>
          </w:rPr>
          <w:t xml:space="preserve">https://doi.org/10.3390/su17020791</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1">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López, J.G.V., Morales, J.A.R., Vasquez, M.M.G., Cadavid, D.A.L. and Cóndor, L.W.O. (2025). Competitive strategies in Colombian and Peruvian SMEs: a comparative study. </w:t>
      </w:r>
      <w:r w:rsidDel="00000000" w:rsidR="00000000" w:rsidRPr="00000000">
        <w:rPr>
          <w:rFonts w:ascii="Times New Roman" w:cs="Times New Roman" w:eastAsia="Times New Roman" w:hAnsi="Times New Roman"/>
          <w:i w:val="1"/>
          <w:sz w:val="24"/>
          <w:szCs w:val="24"/>
          <w:rtl w:val="0"/>
        </w:rPr>
        <w:t xml:space="preserve">International Journal of Business Continuity and Risk Management</w:t>
      </w:r>
      <w:r w:rsidDel="00000000" w:rsidR="00000000" w:rsidRPr="00000000">
        <w:rPr>
          <w:rFonts w:ascii="Times New Roman" w:cs="Times New Roman" w:eastAsia="Times New Roman" w:hAnsi="Times New Roman"/>
          <w:sz w:val="24"/>
          <w:szCs w:val="24"/>
          <w:rtl w:val="0"/>
        </w:rPr>
        <w:t xml:space="preserve">, 15(3), pp.263–288. doi:</w:t>
      </w:r>
      <w:hyperlink r:id="rId25">
        <w:r w:rsidDel="00000000" w:rsidR="00000000" w:rsidRPr="00000000">
          <w:rPr>
            <w:rFonts w:ascii="Times New Roman" w:cs="Times New Roman" w:eastAsia="Times New Roman" w:hAnsi="Times New Roman"/>
            <w:color w:val="1155cc"/>
            <w:sz w:val="24"/>
            <w:szCs w:val="24"/>
            <w:u w:val="single"/>
            <w:rtl w:val="0"/>
          </w:rPr>
          <w:t xml:space="preserve">https://doi.org/10.1504/ijbcrm.2025.148358</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2">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Markova, V.D. and Kuznetsova, S.A. (2022). STRATEGIC MANAGEMENT IN ECOSYSTEMS: ANALYSIS OF THE RUSSIAN EXPERIENCE. </w:t>
      </w:r>
      <w:r w:rsidDel="00000000" w:rsidR="00000000" w:rsidRPr="00000000">
        <w:rPr>
          <w:rFonts w:ascii="Times New Roman" w:cs="Times New Roman" w:eastAsia="Times New Roman" w:hAnsi="Times New Roman"/>
          <w:i w:val="1"/>
          <w:sz w:val="24"/>
          <w:szCs w:val="24"/>
          <w:rtl w:val="0"/>
        </w:rPr>
        <w:t xml:space="preserve">Strategic decisions and risk management</w:t>
      </w:r>
      <w:r w:rsidDel="00000000" w:rsidR="00000000" w:rsidRPr="00000000">
        <w:rPr>
          <w:rFonts w:ascii="Times New Roman" w:cs="Times New Roman" w:eastAsia="Times New Roman" w:hAnsi="Times New Roman"/>
          <w:sz w:val="24"/>
          <w:szCs w:val="24"/>
          <w:rtl w:val="0"/>
        </w:rPr>
        <w:t xml:space="preserve">, 12(3), pp.242–251. doi:</w:t>
      </w:r>
      <w:hyperlink r:id="rId26">
        <w:r w:rsidDel="00000000" w:rsidR="00000000" w:rsidRPr="00000000">
          <w:rPr>
            <w:rFonts w:ascii="Times New Roman" w:cs="Times New Roman" w:eastAsia="Times New Roman" w:hAnsi="Times New Roman"/>
            <w:color w:val="1155cc"/>
            <w:sz w:val="24"/>
            <w:szCs w:val="24"/>
            <w:u w:val="single"/>
            <w:rtl w:val="0"/>
          </w:rPr>
          <w:t xml:space="preserve">https://doi.org/10.17747/2618-947x-2021-3-242-251</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3">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Maro, D. (2025). Business Model Innovation in the Renewable Energy Storage Market: An Empirical Analysis of Leading Global Battery Energy Storage System Companies - Webthesis. </w:t>
      </w:r>
      <w:r w:rsidDel="00000000" w:rsidR="00000000" w:rsidRPr="00000000">
        <w:rPr>
          <w:rFonts w:ascii="Times New Roman" w:cs="Times New Roman" w:eastAsia="Times New Roman" w:hAnsi="Times New Roman"/>
          <w:i w:val="1"/>
          <w:sz w:val="24"/>
          <w:szCs w:val="24"/>
          <w:rtl w:val="0"/>
        </w:rPr>
        <w:t xml:space="preserve">Polito.it</w:t>
      </w:r>
      <w:r w:rsidDel="00000000" w:rsidR="00000000" w:rsidRPr="00000000">
        <w:rPr>
          <w:rFonts w:ascii="Times New Roman" w:cs="Times New Roman" w:eastAsia="Times New Roman" w:hAnsi="Times New Roman"/>
          <w:sz w:val="24"/>
          <w:szCs w:val="24"/>
          <w:rtl w:val="0"/>
        </w:rPr>
        <w:t xml:space="preserve">. [online] doi:</w:t>
      </w:r>
      <w:hyperlink r:id="rId27">
        <w:r w:rsidDel="00000000" w:rsidR="00000000" w:rsidRPr="00000000">
          <w:rPr>
            <w:rFonts w:ascii="Times New Roman" w:cs="Times New Roman" w:eastAsia="Times New Roman" w:hAnsi="Times New Roman"/>
            <w:color w:val="1155cc"/>
            <w:sz w:val="24"/>
            <w:szCs w:val="24"/>
            <w:u w:val="single"/>
            <w:rtl w:val="0"/>
          </w:rPr>
          <w:t xml:space="preserve">https://webthesis.biblio.polito.it/secure/35543/1/tesi.pdf</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4">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Mudany, J.O., Ngala, M. and Gituro, W. (2021). Moderating Effect of Macro Environment on the Intervening Effect of Capital Structure on the Relationship Between Strategy Implementation and Performance of Energy Sector Institutions in Kenya. </w:t>
      </w:r>
      <w:r w:rsidDel="00000000" w:rsidR="00000000" w:rsidRPr="00000000">
        <w:rPr>
          <w:rFonts w:ascii="Times New Roman" w:cs="Times New Roman" w:eastAsia="Times New Roman" w:hAnsi="Times New Roman"/>
          <w:i w:val="1"/>
          <w:sz w:val="24"/>
          <w:szCs w:val="24"/>
          <w:rtl w:val="0"/>
        </w:rPr>
        <w:t xml:space="preserve">repository.cuk.ac.ke</w:t>
      </w:r>
      <w:r w:rsidDel="00000000" w:rsidR="00000000" w:rsidRPr="00000000">
        <w:rPr>
          <w:rFonts w:ascii="Times New Roman" w:cs="Times New Roman" w:eastAsia="Times New Roman" w:hAnsi="Times New Roman"/>
          <w:sz w:val="24"/>
          <w:szCs w:val="24"/>
          <w:rtl w:val="0"/>
        </w:rPr>
        <w:t xml:space="preserve">. [online] Available at: </w:t>
      </w:r>
      <w:hyperlink r:id="rId28">
        <w:r w:rsidDel="00000000" w:rsidR="00000000" w:rsidRPr="00000000">
          <w:rPr>
            <w:rFonts w:ascii="Times New Roman" w:cs="Times New Roman" w:eastAsia="Times New Roman" w:hAnsi="Times New Roman"/>
            <w:color w:val="1155cc"/>
            <w:sz w:val="24"/>
            <w:szCs w:val="24"/>
            <w:u w:val="single"/>
            <w:rtl w:val="0"/>
          </w:rPr>
          <w:t xml:space="preserve">https://repository.cuk.ac.ke/xmlui/handle/123456789/952</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5">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Oehler, L. (2022). How do R&amp;D networks change? The upgrading of innovation capabilities in emerging market firms. Insights from China’s wind energy sector. </w:t>
      </w:r>
      <w:r w:rsidDel="00000000" w:rsidR="00000000" w:rsidRPr="00000000">
        <w:rPr>
          <w:rFonts w:ascii="Times New Roman" w:cs="Times New Roman" w:eastAsia="Times New Roman" w:hAnsi="Times New Roman"/>
          <w:i w:val="1"/>
          <w:sz w:val="24"/>
          <w:szCs w:val="24"/>
          <w:rtl w:val="0"/>
        </w:rPr>
        <w:t xml:space="preserve">Innovation and Development</w:t>
      </w:r>
      <w:r w:rsidDel="00000000" w:rsidR="00000000" w:rsidRPr="00000000">
        <w:rPr>
          <w:rFonts w:ascii="Times New Roman" w:cs="Times New Roman" w:eastAsia="Times New Roman" w:hAnsi="Times New Roman"/>
          <w:sz w:val="24"/>
          <w:szCs w:val="24"/>
          <w:rtl w:val="0"/>
        </w:rPr>
        <w:t xml:space="preserve">, pp.1–25. doi:</w:t>
      </w:r>
      <w:hyperlink r:id="rId29">
        <w:r w:rsidDel="00000000" w:rsidR="00000000" w:rsidRPr="00000000">
          <w:rPr>
            <w:rFonts w:ascii="Times New Roman" w:cs="Times New Roman" w:eastAsia="Times New Roman" w:hAnsi="Times New Roman"/>
            <w:color w:val="1155cc"/>
            <w:sz w:val="24"/>
            <w:szCs w:val="24"/>
            <w:u w:val="single"/>
            <w:rtl w:val="0"/>
          </w:rPr>
          <w:t xml:space="preserve">https://doi.org/10.1080/2157930x.2022.2027627</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6">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Ohashi, K., Jürgens, A. and Thomson, J.D. (2021). Trade‐off mitigation: a conceptual framework for understanding floral adaptation in multispecies interactions. </w:t>
      </w:r>
      <w:r w:rsidDel="00000000" w:rsidR="00000000" w:rsidRPr="00000000">
        <w:rPr>
          <w:rFonts w:ascii="Times New Roman" w:cs="Times New Roman" w:eastAsia="Times New Roman" w:hAnsi="Times New Roman"/>
          <w:i w:val="1"/>
          <w:sz w:val="24"/>
          <w:szCs w:val="24"/>
          <w:rtl w:val="0"/>
        </w:rPr>
        <w:t xml:space="preserve">Biological Reviews</w:t>
      </w:r>
      <w:r w:rsidDel="00000000" w:rsidR="00000000" w:rsidRPr="00000000">
        <w:rPr>
          <w:rFonts w:ascii="Times New Roman" w:cs="Times New Roman" w:eastAsia="Times New Roman" w:hAnsi="Times New Roman"/>
          <w:sz w:val="24"/>
          <w:szCs w:val="24"/>
          <w:rtl w:val="0"/>
        </w:rPr>
        <w:t xml:space="preserve">, 96(5), pp.2258–2280. doi:</w:t>
      </w:r>
      <w:hyperlink r:id="rId30">
        <w:r w:rsidDel="00000000" w:rsidR="00000000" w:rsidRPr="00000000">
          <w:rPr>
            <w:rFonts w:ascii="Times New Roman" w:cs="Times New Roman" w:eastAsia="Times New Roman" w:hAnsi="Times New Roman"/>
            <w:color w:val="1155cc"/>
            <w:sz w:val="24"/>
            <w:szCs w:val="24"/>
            <w:u w:val="single"/>
            <w:rtl w:val="0"/>
          </w:rPr>
          <w:t xml:space="preserve">https://doi.org/10.1111/brv.12754</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7">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Pantano, E., Pedeliento, G. and Christodoulides, G. (2022). A strategic framework for technological innovations in support of the customer experience: A focus on luxury retailers. </w:t>
      </w:r>
      <w:r w:rsidDel="00000000" w:rsidR="00000000" w:rsidRPr="00000000">
        <w:rPr>
          <w:rFonts w:ascii="Times New Roman" w:cs="Times New Roman" w:eastAsia="Times New Roman" w:hAnsi="Times New Roman"/>
          <w:i w:val="1"/>
          <w:sz w:val="24"/>
          <w:szCs w:val="24"/>
          <w:rtl w:val="0"/>
        </w:rPr>
        <w:t xml:space="preserve">Journal of Retailing and Consumer Services</w:t>
      </w:r>
      <w:r w:rsidDel="00000000" w:rsidR="00000000" w:rsidRPr="00000000">
        <w:rPr>
          <w:rFonts w:ascii="Times New Roman" w:cs="Times New Roman" w:eastAsia="Times New Roman" w:hAnsi="Times New Roman"/>
          <w:sz w:val="24"/>
          <w:szCs w:val="24"/>
          <w:rtl w:val="0"/>
        </w:rPr>
        <w:t xml:space="preserve">, 66, p.102959. doi:</w:t>
      </w:r>
      <w:hyperlink r:id="rId31">
        <w:r w:rsidDel="00000000" w:rsidR="00000000" w:rsidRPr="00000000">
          <w:rPr>
            <w:rFonts w:ascii="Times New Roman" w:cs="Times New Roman" w:eastAsia="Times New Roman" w:hAnsi="Times New Roman"/>
            <w:color w:val="1155cc"/>
            <w:sz w:val="24"/>
            <w:szCs w:val="24"/>
            <w:u w:val="single"/>
            <w:rtl w:val="0"/>
          </w:rPr>
          <w:t xml:space="preserve">https://doi.org/10.1016/j.jretconser.2022.102959</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8">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Pikuleva, E. (2023). </w:t>
      </w:r>
      <w:r w:rsidDel="00000000" w:rsidR="00000000" w:rsidRPr="00000000">
        <w:rPr>
          <w:rFonts w:ascii="Times New Roman" w:cs="Times New Roman" w:eastAsia="Times New Roman" w:hAnsi="Times New Roman"/>
          <w:i w:val="1"/>
          <w:sz w:val="24"/>
          <w:szCs w:val="24"/>
          <w:rtl w:val="0"/>
        </w:rPr>
        <w:t xml:space="preserve">Achieving Sustainability in Complex Multi-Tier Supply Chains: The Role of Supply Chain Visibility and Transparency in Responsible Sourcing of Critical Minerals</w:t>
      </w:r>
      <w:r w:rsidDel="00000000" w:rsidR="00000000" w:rsidRPr="00000000">
        <w:rPr>
          <w:rFonts w:ascii="Times New Roman" w:cs="Times New Roman" w:eastAsia="Times New Roman" w:hAnsi="Times New Roman"/>
          <w:sz w:val="24"/>
          <w:szCs w:val="24"/>
          <w:rtl w:val="0"/>
        </w:rPr>
        <w:t xml:space="preserve">. [online] Lub.lu.se. Available at: </w:t>
      </w:r>
      <w:hyperlink r:id="rId32">
        <w:r w:rsidDel="00000000" w:rsidR="00000000" w:rsidRPr="00000000">
          <w:rPr>
            <w:rFonts w:ascii="Times New Roman" w:cs="Times New Roman" w:eastAsia="Times New Roman" w:hAnsi="Times New Roman"/>
            <w:color w:val="1155cc"/>
            <w:sz w:val="24"/>
            <w:szCs w:val="24"/>
            <w:u w:val="single"/>
            <w:rtl w:val="0"/>
          </w:rPr>
          <w:t xml:space="preserve">https://lup.lub.lu.se/student-papers/search/publication/9134000</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9">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Riihimäki, M. (2025). </w:t>
      </w:r>
      <w:r w:rsidDel="00000000" w:rsidR="00000000" w:rsidRPr="00000000">
        <w:rPr>
          <w:rFonts w:ascii="Times New Roman" w:cs="Times New Roman" w:eastAsia="Times New Roman" w:hAnsi="Times New Roman"/>
          <w:i w:val="1"/>
          <w:sz w:val="24"/>
          <w:szCs w:val="24"/>
          <w:rtl w:val="0"/>
        </w:rPr>
        <w:t xml:space="preserve">How industrial equipment manufacturers survive commoditization : A dynamic capabilities approach</w:t>
      </w:r>
      <w:r w:rsidDel="00000000" w:rsidR="00000000" w:rsidRPr="00000000">
        <w:rPr>
          <w:rFonts w:ascii="Times New Roman" w:cs="Times New Roman" w:eastAsia="Times New Roman" w:hAnsi="Times New Roman"/>
          <w:sz w:val="24"/>
          <w:szCs w:val="24"/>
          <w:rtl w:val="0"/>
        </w:rPr>
        <w:t xml:space="preserve">. [online] Uwasa.fi. Available at: </w:t>
      </w:r>
      <w:hyperlink r:id="rId33">
        <w:r w:rsidDel="00000000" w:rsidR="00000000" w:rsidRPr="00000000">
          <w:rPr>
            <w:rFonts w:ascii="Times New Roman" w:cs="Times New Roman" w:eastAsia="Times New Roman" w:hAnsi="Times New Roman"/>
            <w:color w:val="1155cc"/>
            <w:sz w:val="24"/>
            <w:szCs w:val="24"/>
            <w:u w:val="single"/>
            <w:rtl w:val="0"/>
          </w:rPr>
          <w:t xml:space="preserve">https://osuva.uwasa.fi/items/fd79937e-bb19-4eff-a014-75ad177f3771</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A">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Rivera, S., Goetz, S.M., Kouro, S., Lehn, P.W., Pathmanathan, M., Bauer, P. and Mastromauro, R.A. (2023). Charging Infrastructure and Grid Integration for Electromobility. </w:t>
      </w:r>
      <w:r w:rsidDel="00000000" w:rsidR="00000000" w:rsidRPr="00000000">
        <w:rPr>
          <w:rFonts w:ascii="Times New Roman" w:cs="Times New Roman" w:eastAsia="Times New Roman" w:hAnsi="Times New Roman"/>
          <w:i w:val="1"/>
          <w:sz w:val="24"/>
          <w:szCs w:val="24"/>
          <w:rtl w:val="0"/>
        </w:rPr>
        <w:t xml:space="preserve">Proceedings of the IEEE</w:t>
      </w:r>
      <w:r w:rsidDel="00000000" w:rsidR="00000000" w:rsidRPr="00000000">
        <w:rPr>
          <w:rFonts w:ascii="Times New Roman" w:cs="Times New Roman" w:eastAsia="Times New Roman" w:hAnsi="Times New Roman"/>
          <w:sz w:val="24"/>
          <w:szCs w:val="24"/>
          <w:rtl w:val="0"/>
        </w:rPr>
        <w:t xml:space="preserve">, [online] 111(4), pp.371–396. doi:</w:t>
      </w:r>
      <w:hyperlink r:id="rId34">
        <w:r w:rsidDel="00000000" w:rsidR="00000000" w:rsidRPr="00000000">
          <w:rPr>
            <w:rFonts w:ascii="Times New Roman" w:cs="Times New Roman" w:eastAsia="Times New Roman" w:hAnsi="Times New Roman"/>
            <w:color w:val="1155cc"/>
            <w:sz w:val="24"/>
            <w:szCs w:val="24"/>
            <w:u w:val="single"/>
            <w:rtl w:val="0"/>
          </w:rPr>
          <w:t xml:space="preserve">https://doi.org/10.1109/JPROC.2022.3216362</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B">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 D., Mei, Y., Liu, T. and Amine, K. (2025). Global Regulations for Sustainable Battery Recycling: Challenges and Opportunities.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[online] 17(7), pp.3045–3045. doi:</w:t>
      </w:r>
      <w:hyperlink r:id="rId35">
        <w:r w:rsidDel="00000000" w:rsidR="00000000" w:rsidRPr="00000000">
          <w:rPr>
            <w:rFonts w:ascii="Times New Roman" w:cs="Times New Roman" w:eastAsia="Times New Roman" w:hAnsi="Times New Roman"/>
            <w:color w:val="1155cc"/>
            <w:sz w:val="24"/>
            <w:szCs w:val="24"/>
            <w:u w:val="single"/>
            <w:rtl w:val="0"/>
          </w:rPr>
          <w:t xml:space="preserve">https://doi.org/10.3390/su17073045</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C">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Sun, L. and Yang, Q. (2025). Strategic Synergy between Financial Leverage and Technological Innovation: Analysing BYD’s Competitive Edge in the Global EV Market: A Mixed-Methods Study Integrating Porter’s Five Forces Analysis with a Financial Strategy Matrix (2018--2024). </w:t>
      </w:r>
      <w:r w:rsidDel="00000000" w:rsidR="00000000" w:rsidRPr="00000000">
        <w:rPr>
          <w:rFonts w:ascii="Times New Roman" w:cs="Times New Roman" w:eastAsia="Times New Roman" w:hAnsi="Times New Roman"/>
          <w:i w:val="1"/>
          <w:sz w:val="24"/>
          <w:szCs w:val="24"/>
          <w:rtl w:val="0"/>
        </w:rPr>
        <w:t xml:space="preserve">Financial Economics Research</w:t>
      </w:r>
      <w:r w:rsidDel="00000000" w:rsidR="00000000" w:rsidRPr="00000000">
        <w:rPr>
          <w:rFonts w:ascii="Times New Roman" w:cs="Times New Roman" w:eastAsia="Times New Roman" w:hAnsi="Times New Roman"/>
          <w:sz w:val="24"/>
          <w:szCs w:val="24"/>
          <w:rtl w:val="0"/>
        </w:rPr>
        <w:t xml:space="preserve">, 2(1), pp.57–66. doi:</w:t>
      </w:r>
      <w:hyperlink r:id="rId36">
        <w:r w:rsidDel="00000000" w:rsidR="00000000" w:rsidRPr="00000000">
          <w:rPr>
            <w:rFonts w:ascii="Times New Roman" w:cs="Times New Roman" w:eastAsia="Times New Roman" w:hAnsi="Times New Roman"/>
            <w:color w:val="1155cc"/>
            <w:sz w:val="24"/>
            <w:szCs w:val="24"/>
            <w:u w:val="single"/>
            <w:rtl w:val="0"/>
          </w:rPr>
          <w:t xml:space="preserve">https://doi.org/10.70267/fer.250201.5767</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D">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Sun, P., Deng, Z. and Wright, M. (2020). Partnering with Leviathan: The politics of innovation in foreign-host-state joint ventures. </w:t>
      </w:r>
      <w:r w:rsidDel="00000000" w:rsidR="00000000" w:rsidRPr="00000000">
        <w:rPr>
          <w:rFonts w:ascii="Times New Roman" w:cs="Times New Roman" w:eastAsia="Times New Roman" w:hAnsi="Times New Roman"/>
          <w:i w:val="1"/>
          <w:sz w:val="24"/>
          <w:szCs w:val="24"/>
          <w:rtl w:val="0"/>
        </w:rPr>
        <w:t xml:space="preserve">Journal of International Business Studies</w:t>
      </w:r>
      <w:r w:rsidDel="00000000" w:rsidR="00000000" w:rsidRPr="00000000">
        <w:rPr>
          <w:rFonts w:ascii="Times New Roman" w:cs="Times New Roman" w:eastAsia="Times New Roman" w:hAnsi="Times New Roman"/>
          <w:sz w:val="24"/>
          <w:szCs w:val="24"/>
          <w:rtl w:val="0"/>
        </w:rPr>
        <w:t xml:space="preserve">, 52. doi:</w:t>
      </w:r>
      <w:hyperlink r:id="rId37">
        <w:r w:rsidDel="00000000" w:rsidR="00000000" w:rsidRPr="00000000">
          <w:rPr>
            <w:rFonts w:ascii="Times New Roman" w:cs="Times New Roman" w:eastAsia="Times New Roman" w:hAnsi="Times New Roman"/>
            <w:color w:val="1155cc"/>
            <w:sz w:val="24"/>
            <w:szCs w:val="24"/>
            <w:u w:val="single"/>
            <w:rtl w:val="0"/>
          </w:rPr>
          <w:t xml:space="preserve">https://doi.org/10.1057/s41267-020-00340-y</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E">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Sun, W., Chen, K. and Mei, J. (2024a). </w:t>
      </w:r>
      <w:r w:rsidDel="00000000" w:rsidR="00000000" w:rsidRPr="00000000">
        <w:rPr>
          <w:rFonts w:ascii="Times New Roman" w:cs="Times New Roman" w:eastAsia="Times New Roman" w:hAnsi="Times New Roman"/>
          <w:i w:val="1"/>
          <w:sz w:val="24"/>
          <w:szCs w:val="24"/>
          <w:rtl w:val="0"/>
        </w:rPr>
        <w:t xml:space="preserve">Integrating the Resource-Based View and Dynamic Capabilities: A Comprehensive Framework for Sustaining Competitive Advantage in Dynamic Markets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8F">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Sun, W., Chen, K. and Mei, J. (2024b). </w:t>
      </w:r>
      <w:r w:rsidDel="00000000" w:rsidR="00000000" w:rsidRPr="00000000">
        <w:rPr>
          <w:rFonts w:ascii="Times New Roman" w:cs="Times New Roman" w:eastAsia="Times New Roman" w:hAnsi="Times New Roman"/>
          <w:i w:val="1"/>
          <w:sz w:val="24"/>
          <w:szCs w:val="24"/>
          <w:rtl w:val="0"/>
        </w:rPr>
        <w:t xml:space="preserve">Integrating the Resource-Based View and Dynamic Capabilities: A Comprehensive Framework for Sustaining Competitive Advantage in Dynamic Markets</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0">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Teece, D.J. (2023). Evolutionary economics, routines, and dynamic capabilities. </w:t>
      </w:r>
      <w:r w:rsidDel="00000000" w:rsidR="00000000" w:rsidRPr="00000000">
        <w:rPr>
          <w:rFonts w:ascii="Times New Roman" w:cs="Times New Roman" w:eastAsia="Times New Roman" w:hAnsi="Times New Roman"/>
          <w:i w:val="1"/>
          <w:sz w:val="24"/>
          <w:szCs w:val="24"/>
          <w:rtl w:val="0"/>
        </w:rPr>
        <w:t xml:space="preserve">Routledge Handbook of Evolutionary Economics</w:t>
      </w:r>
      <w:r w:rsidDel="00000000" w:rsidR="00000000" w:rsidRPr="00000000">
        <w:rPr>
          <w:rFonts w:ascii="Times New Roman" w:cs="Times New Roman" w:eastAsia="Times New Roman" w:hAnsi="Times New Roman"/>
          <w:sz w:val="24"/>
          <w:szCs w:val="24"/>
          <w:rtl w:val="0"/>
        </w:rPr>
        <w:t xml:space="preserve">, pp.197–214. doi:</w:t>
      </w:r>
      <w:hyperlink r:id="rId38">
        <w:r w:rsidDel="00000000" w:rsidR="00000000" w:rsidRPr="00000000">
          <w:rPr>
            <w:rFonts w:ascii="Times New Roman" w:cs="Times New Roman" w:eastAsia="Times New Roman" w:hAnsi="Times New Roman"/>
            <w:color w:val="1155cc"/>
            <w:sz w:val="24"/>
            <w:szCs w:val="24"/>
            <w:u w:val="single"/>
            <w:rtl w:val="0"/>
          </w:rPr>
          <w:t xml:space="preserve">https://doi.org/10.4324/9780429398971-17</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1">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Vaidya, P. (2025). </w:t>
      </w:r>
      <w:r w:rsidDel="00000000" w:rsidR="00000000" w:rsidRPr="00000000">
        <w:rPr>
          <w:rFonts w:ascii="Times New Roman" w:cs="Times New Roman" w:eastAsia="Times New Roman" w:hAnsi="Times New Roman"/>
          <w:i w:val="1"/>
          <w:sz w:val="24"/>
          <w:szCs w:val="24"/>
          <w:rtl w:val="0"/>
        </w:rPr>
        <w:t xml:space="preserve">Barriers and Drivers to a Just Wind Energy Transition in India : A Multi Dimensional Analysis</w:t>
      </w:r>
      <w:r w:rsidDel="00000000" w:rsidR="00000000" w:rsidRPr="00000000">
        <w:rPr>
          <w:rFonts w:ascii="Times New Roman" w:cs="Times New Roman" w:eastAsia="Times New Roman" w:hAnsi="Times New Roman"/>
          <w:sz w:val="24"/>
          <w:szCs w:val="24"/>
          <w:rtl w:val="0"/>
        </w:rPr>
        <w:t xml:space="preserve">. [online] DIVA. Available at: </w:t>
      </w:r>
      <w:hyperlink r:id="rId39">
        <w:r w:rsidDel="00000000" w:rsidR="00000000" w:rsidRPr="00000000">
          <w:rPr>
            <w:rFonts w:ascii="Times New Roman" w:cs="Times New Roman" w:eastAsia="Times New Roman" w:hAnsi="Times New Roman"/>
            <w:color w:val="1155cc"/>
            <w:sz w:val="24"/>
            <w:szCs w:val="24"/>
            <w:u w:val="single"/>
            <w:rtl w:val="0"/>
          </w:rPr>
          <w:t xml:space="preserve">https://www.diva-portal.org/smash/record.jsf?pid=diva2%3A1979216&amp;dswid=-3376</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2">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Ventura, L. (2021). Supply chain management and sustainability: the new boundaries of the firm. </w:t>
      </w:r>
      <w:r w:rsidDel="00000000" w:rsidR="00000000" w:rsidRPr="00000000">
        <w:rPr>
          <w:rFonts w:ascii="Times New Roman" w:cs="Times New Roman" w:eastAsia="Times New Roman" w:hAnsi="Times New Roman"/>
          <w:i w:val="1"/>
          <w:sz w:val="24"/>
          <w:szCs w:val="24"/>
          <w:rtl w:val="0"/>
        </w:rPr>
        <w:t xml:space="preserve">Uniform Law Review</w:t>
      </w:r>
      <w:r w:rsidDel="00000000" w:rsidR="00000000" w:rsidRPr="00000000">
        <w:rPr>
          <w:rFonts w:ascii="Times New Roman" w:cs="Times New Roman" w:eastAsia="Times New Roman" w:hAnsi="Times New Roman"/>
          <w:sz w:val="24"/>
          <w:szCs w:val="24"/>
          <w:rtl w:val="0"/>
        </w:rPr>
        <w:t xml:space="preserve">, 26(3). doi:</w:t>
      </w:r>
      <w:hyperlink r:id="rId40">
        <w:r w:rsidDel="00000000" w:rsidR="00000000" w:rsidRPr="00000000">
          <w:rPr>
            <w:rFonts w:ascii="Times New Roman" w:cs="Times New Roman" w:eastAsia="Times New Roman" w:hAnsi="Times New Roman"/>
            <w:color w:val="1155cc"/>
            <w:sz w:val="24"/>
            <w:szCs w:val="24"/>
            <w:u w:val="single"/>
            <w:rtl w:val="0"/>
          </w:rPr>
          <w:t xml:space="preserve">https://doi.org/10.1093/ulr/unab025</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3">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Wang, H., Song, C. and Shin, K. (2024). Does the impact of open innovation depend on contextual factors? A case of the Korean biopharmaceutical industry. </w:t>
      </w:r>
      <w:r w:rsidDel="00000000" w:rsidR="00000000" w:rsidRPr="00000000">
        <w:rPr>
          <w:rFonts w:ascii="Times New Roman" w:cs="Times New Roman" w:eastAsia="Times New Roman" w:hAnsi="Times New Roman"/>
          <w:i w:val="1"/>
          <w:sz w:val="24"/>
          <w:szCs w:val="24"/>
          <w:rtl w:val="0"/>
        </w:rPr>
        <w:t xml:space="preserve">PLOS ONE</w:t>
      </w:r>
      <w:r w:rsidDel="00000000" w:rsidR="00000000" w:rsidRPr="00000000">
        <w:rPr>
          <w:rFonts w:ascii="Times New Roman" w:cs="Times New Roman" w:eastAsia="Times New Roman" w:hAnsi="Times New Roman"/>
          <w:sz w:val="24"/>
          <w:szCs w:val="24"/>
          <w:rtl w:val="0"/>
        </w:rPr>
        <w:t xml:space="preserve">, 19(11), p.e0310311. doi:</w:t>
      </w:r>
      <w:hyperlink r:id="rId41">
        <w:r w:rsidDel="00000000" w:rsidR="00000000" w:rsidRPr="00000000">
          <w:rPr>
            <w:rFonts w:ascii="Times New Roman" w:cs="Times New Roman" w:eastAsia="Times New Roman" w:hAnsi="Times New Roman"/>
            <w:color w:val="1155cc"/>
            <w:sz w:val="24"/>
            <w:szCs w:val="24"/>
            <w:u w:val="single"/>
            <w:rtl w:val="0"/>
          </w:rPr>
          <w:t xml:space="preserve">https://doi.org/10.1371/journal.pone.0310311</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4">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Wang, M., Wang, Y. and Mardani, A. (2023). Empirical analysis of the influencing factors of knowledge sharing in industrial technology innovation strategic alliances. </w:t>
      </w:r>
      <w:r w:rsidDel="00000000" w:rsidR="00000000" w:rsidRPr="00000000">
        <w:rPr>
          <w:rFonts w:ascii="Times New Roman" w:cs="Times New Roman" w:eastAsia="Times New Roman" w:hAnsi="Times New Roman"/>
          <w:i w:val="1"/>
          <w:sz w:val="24"/>
          <w:szCs w:val="24"/>
          <w:rtl w:val="0"/>
        </w:rPr>
        <w:t xml:space="preserve">Journal of Business Research</w:t>
      </w:r>
      <w:r w:rsidDel="00000000" w:rsidR="00000000" w:rsidRPr="00000000">
        <w:rPr>
          <w:rFonts w:ascii="Times New Roman" w:cs="Times New Roman" w:eastAsia="Times New Roman" w:hAnsi="Times New Roman"/>
          <w:sz w:val="24"/>
          <w:szCs w:val="24"/>
          <w:rtl w:val="0"/>
        </w:rPr>
        <w:t xml:space="preserve">, 157, p.113635. doi:</w:t>
      </w:r>
      <w:hyperlink r:id="rId42">
        <w:r w:rsidDel="00000000" w:rsidR="00000000" w:rsidRPr="00000000">
          <w:rPr>
            <w:rFonts w:ascii="Times New Roman" w:cs="Times New Roman" w:eastAsia="Times New Roman" w:hAnsi="Times New Roman"/>
            <w:color w:val="1155cc"/>
            <w:sz w:val="24"/>
            <w:szCs w:val="24"/>
            <w:u w:val="single"/>
            <w:rtl w:val="0"/>
          </w:rPr>
          <w:t xml:space="preserve">https://doi.org/10.1016/j.jbusres.2022.113635</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5">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Wibisono, H. and Supoyo, M. (2023). Business Transformation: Exploring Dynamic Capabilities, Technological Innovation, and Competitive Advantage through the Lens of Resource-Based View in Construction Services Companies. </w:t>
      </w:r>
      <w:r w:rsidDel="00000000" w:rsidR="00000000" w:rsidRPr="00000000">
        <w:rPr>
          <w:rFonts w:ascii="Times New Roman" w:cs="Times New Roman" w:eastAsia="Times New Roman" w:hAnsi="Times New Roman"/>
          <w:i w:val="1"/>
          <w:sz w:val="24"/>
          <w:szCs w:val="24"/>
          <w:rtl w:val="0"/>
        </w:rPr>
        <w:t xml:space="preserve">Journal of Contemporary Administration and Management (ADMAN)</w:t>
      </w:r>
      <w:r w:rsidDel="00000000" w:rsidR="00000000" w:rsidRPr="00000000">
        <w:rPr>
          <w:rFonts w:ascii="Times New Roman" w:cs="Times New Roman" w:eastAsia="Times New Roman" w:hAnsi="Times New Roman"/>
          <w:sz w:val="24"/>
          <w:szCs w:val="24"/>
          <w:rtl w:val="0"/>
        </w:rPr>
        <w:t xml:space="preserve">, [online] 1(3), pp.263–270. doi:</w:t>
      </w:r>
      <w:hyperlink r:id="rId43">
        <w:r w:rsidDel="00000000" w:rsidR="00000000" w:rsidRPr="00000000">
          <w:rPr>
            <w:rFonts w:ascii="Times New Roman" w:cs="Times New Roman" w:eastAsia="Times New Roman" w:hAnsi="Times New Roman"/>
            <w:color w:val="1155cc"/>
            <w:sz w:val="24"/>
            <w:szCs w:val="24"/>
            <w:u w:val="single"/>
            <w:rtl w:val="0"/>
          </w:rPr>
          <w:t xml:space="preserve">https://doi.org/10.61100/adman.v1i3.93</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6">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rFonts w:ascii="Times New Roman" w:cs="Times New Roman" w:eastAsia="Times New Roman" w:hAnsi="Times New Roman"/>
        <w:b w:val="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rFonts w:ascii="Times New Roman" w:cs="Times New Roman" w:eastAsia="Times New Roman" w:hAnsi="Times New Roman"/>
        <w:b w:val="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093/ulr/unab025" TargetMode="External"/><Relationship Id="rId20" Type="http://schemas.openxmlformats.org/officeDocument/2006/relationships/hyperlink" Target="https://doi.org/10.4324/9781003180920-12" TargetMode="External"/><Relationship Id="rId42" Type="http://schemas.openxmlformats.org/officeDocument/2006/relationships/hyperlink" Target="https://doi.org/10.1016/j.jbusres.2022.113635" TargetMode="External"/><Relationship Id="rId41" Type="http://schemas.openxmlformats.org/officeDocument/2006/relationships/hyperlink" Target="https://doi.org/10.1371/journal.pone.0310311" TargetMode="External"/><Relationship Id="rId22" Type="http://schemas.openxmlformats.org/officeDocument/2006/relationships/hyperlink" Target="https://doi.org/10.1016/j.erss.2021.101951" TargetMode="External"/><Relationship Id="rId21" Type="http://schemas.openxmlformats.org/officeDocument/2006/relationships/hyperlink" Target="https://doi.org/10.3390/commodities3040022" TargetMode="External"/><Relationship Id="rId43" Type="http://schemas.openxmlformats.org/officeDocument/2006/relationships/hyperlink" Target="https://doi.org/10.61100/adman.v1i3.93" TargetMode="External"/><Relationship Id="rId24" Type="http://schemas.openxmlformats.org/officeDocument/2006/relationships/hyperlink" Target="https://doi.org/10.3390/su17020791" TargetMode="External"/><Relationship Id="rId23" Type="http://schemas.openxmlformats.org/officeDocument/2006/relationships/hyperlink" Target="https://doi.org/10.1002/mde.437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gbioforum.org/menuscript/index.php/agb/article/view/263" TargetMode="External"/><Relationship Id="rId26" Type="http://schemas.openxmlformats.org/officeDocument/2006/relationships/hyperlink" Target="https://doi.org/10.17747/2618-947x-2021-3-242-251" TargetMode="External"/><Relationship Id="rId25" Type="http://schemas.openxmlformats.org/officeDocument/2006/relationships/hyperlink" Target="https://doi.org/10.1504/ijbcrm.2025.148358" TargetMode="External"/><Relationship Id="rId28" Type="http://schemas.openxmlformats.org/officeDocument/2006/relationships/hyperlink" Target="https://repository.cuk.ac.ke/xmlui/handle/123456789/952" TargetMode="External"/><Relationship Id="rId27" Type="http://schemas.openxmlformats.org/officeDocument/2006/relationships/hyperlink" Target="https://webthesis.biblio.polito.it/secure/35543/1/tesi.pdf"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doi.org/10.1080/2157930x.2022.2027627" TargetMode="External"/><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doi.org/10.1016/j.jretconser.2022.102959" TargetMode="External"/><Relationship Id="rId30" Type="http://schemas.openxmlformats.org/officeDocument/2006/relationships/hyperlink" Target="https://doi.org/10.1111/brv.12754" TargetMode="External"/><Relationship Id="rId11" Type="http://schemas.openxmlformats.org/officeDocument/2006/relationships/hyperlink" Target="https://studenttheses.uu.nl/handle/20.500.12932/44279" TargetMode="External"/><Relationship Id="rId33" Type="http://schemas.openxmlformats.org/officeDocument/2006/relationships/hyperlink" Target="https://osuva.uwasa.fi/items/fd79937e-bb19-4eff-a014-75ad177f3771" TargetMode="External"/><Relationship Id="rId10" Type="http://schemas.openxmlformats.org/officeDocument/2006/relationships/hyperlink" Target="https://doi.org/10.1002/bse.70190" TargetMode="External"/><Relationship Id="rId32" Type="http://schemas.openxmlformats.org/officeDocument/2006/relationships/hyperlink" Target="https://lup.lub.lu.se/student-papers/search/publication/9134000" TargetMode="External"/><Relationship Id="rId13" Type="http://schemas.openxmlformats.org/officeDocument/2006/relationships/hyperlink" Target="https://hdl.handle.net/2268/333797" TargetMode="External"/><Relationship Id="rId35" Type="http://schemas.openxmlformats.org/officeDocument/2006/relationships/hyperlink" Target="https://doi.org/10.3390/su17073045" TargetMode="External"/><Relationship Id="rId12" Type="http://schemas.openxmlformats.org/officeDocument/2006/relationships/hyperlink" Target="https://www.researchgate.net/profile/Breno-Niero/publication/376203954_Charging_Innovation_A_global_business_analysis_of_Hyundai" TargetMode="External"/><Relationship Id="rId34" Type="http://schemas.openxmlformats.org/officeDocument/2006/relationships/hyperlink" Target="https://doi.org/10.1109/JPROC.2022.3216362" TargetMode="External"/><Relationship Id="rId15" Type="http://schemas.openxmlformats.org/officeDocument/2006/relationships/hyperlink" Target="https://doi.org/10.1039/d5ee00116a" TargetMode="External"/><Relationship Id="rId37" Type="http://schemas.openxmlformats.org/officeDocument/2006/relationships/hyperlink" Target="https://doi.org/10.1057/s41267-020-00340-y" TargetMode="External"/><Relationship Id="rId14" Type="http://schemas.openxmlformats.org/officeDocument/2006/relationships/hyperlink" Target="https://doi.org/10.1371/journal.pone.0328563" TargetMode="External"/><Relationship Id="rId36" Type="http://schemas.openxmlformats.org/officeDocument/2006/relationships/hyperlink" Target="https://doi.org/10.70267/fer.250201.5767" TargetMode="External"/><Relationship Id="rId17" Type="http://schemas.openxmlformats.org/officeDocument/2006/relationships/hyperlink" Target="https://doi.org/10.5281/zenodo.11287684" TargetMode="External"/><Relationship Id="rId39" Type="http://schemas.openxmlformats.org/officeDocument/2006/relationships/hyperlink" Target="https://www.diva-portal.org/smash/record.jsf?pid=diva2%3A1979216&amp;dswid=-3376" TargetMode="External"/><Relationship Id="rId16" Type="http://schemas.openxmlformats.org/officeDocument/2006/relationships/hyperlink" Target="https://doi.org/10.31273/eirj.v10i1.362" TargetMode="External"/><Relationship Id="rId38" Type="http://schemas.openxmlformats.org/officeDocument/2006/relationships/hyperlink" Target="https://doi.org/10.4324/9780429398971-17" TargetMode="External"/><Relationship Id="rId19" Type="http://schemas.openxmlformats.org/officeDocument/2006/relationships/hyperlink" Target="https://doi.org/10.1007/978-3-030-91828-6_21" TargetMode="External"/><Relationship Id="rId18" Type="http://schemas.openxmlformats.org/officeDocument/2006/relationships/hyperlink" Target="https://doi.org/10.5281/zenodo.152881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