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rPr>
        <w:id w:val="655506291"/>
        <w:docPartObj>
          <w:docPartGallery w:val="Cover Pages"/>
          <w:docPartUnique/>
        </w:docPartObj>
      </w:sdtPr>
      <w:sdtEndPr/>
      <w:sdtContent>
        <w:p w:rsidR="009B5048" w:rsidRDefault="009B5048">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9B5048" w:rsidRDefault="009B504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9B5048" w:rsidRDefault="009B504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B5048" w:rsidRDefault="009327B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B5048">
                                      <w:rPr>
                                        <w:color w:val="4472C4" w:themeColor="accent1"/>
                                        <w:sz w:val="26"/>
                                        <w:szCs w:val="26"/>
                                      </w:rPr>
                                      <w:t>shannon Jones</w:t>
                                    </w:r>
                                  </w:sdtContent>
                                </w:sdt>
                              </w:p>
                              <w:p w:rsidR="009B5048" w:rsidRDefault="009B5048">
                                <w:pPr>
                                  <w:pStyle w:val="NoSpacing"/>
                                  <w:rPr>
                                    <w:color w:val="595959" w:themeColor="text1" w:themeTint="A6"/>
                                    <w:sz w:val="20"/>
                                    <w:szCs w:val="20"/>
                                  </w:rPr>
                                </w:pPr>
                                <w:r>
                                  <w:rPr>
                                    <w:caps/>
                                    <w:color w:val="595959" w:themeColor="text1" w:themeTint="A6"/>
                                    <w:sz w:val="20"/>
                                    <w:szCs w:val="20"/>
                                  </w:rPr>
                                  <w:t xml:space="preserve">1803188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9B5048" w:rsidRDefault="009327B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B5048">
                                <w:rPr>
                                  <w:color w:val="4472C4" w:themeColor="accent1"/>
                                  <w:sz w:val="26"/>
                                  <w:szCs w:val="26"/>
                                </w:rPr>
                                <w:t>shannon Jones</w:t>
                              </w:r>
                            </w:sdtContent>
                          </w:sdt>
                        </w:p>
                        <w:p w:rsidR="009B5048" w:rsidRDefault="009B5048">
                          <w:pPr>
                            <w:pStyle w:val="NoSpacing"/>
                            <w:rPr>
                              <w:color w:val="595959" w:themeColor="text1" w:themeTint="A6"/>
                              <w:sz w:val="20"/>
                              <w:szCs w:val="20"/>
                            </w:rPr>
                          </w:pPr>
                          <w:r>
                            <w:rPr>
                              <w:caps/>
                              <w:color w:val="595959" w:themeColor="text1" w:themeTint="A6"/>
                              <w:sz w:val="20"/>
                              <w:szCs w:val="20"/>
                            </w:rPr>
                            <w:t xml:space="preserve">1803188 </w:t>
                          </w:r>
                        </w:p>
                      </w:txbxContent>
                    </v:textbox>
                    <w10:wrap anchorx="page" anchory="page"/>
                  </v:shape>
                </w:pict>
              </mc:Fallback>
            </mc:AlternateContent>
          </w:r>
        </w:p>
        <w:p w:rsidR="003A70CA" w:rsidRDefault="009B5048">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90525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39052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B5048" w:rsidRDefault="009327B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B5048">
                                      <w:rPr>
                                        <w:rFonts w:asciiTheme="majorHAnsi" w:eastAsiaTheme="majorEastAsia" w:hAnsiTheme="majorHAnsi" w:cstheme="majorBidi"/>
                                        <w:color w:val="262626" w:themeColor="text1" w:themeTint="D9"/>
                                        <w:sz w:val="72"/>
                                        <w:szCs w:val="72"/>
                                      </w:rPr>
                                      <w:t>Learning Log Report</w:t>
                                    </w:r>
                                  </w:sdtContent>
                                </w:sdt>
                              </w:p>
                              <w:p w:rsidR="009B5048" w:rsidRDefault="009327B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D5102">
                                      <w:rPr>
                                        <w:color w:val="404040" w:themeColor="text1" w:themeTint="BF"/>
                                        <w:sz w:val="36"/>
                                        <w:szCs w:val="36"/>
                                      </w:rPr>
                                      <w:t>Distinctiveness &amp; Regeneration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0;margin-top:0;width:307.5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" filled="f" stroked="f" strokeweight=".5pt">
                    <v:textbox inset="0,0,0,0">
                      <w:txbxContent>
                        <w:p w:rsidR="009B5048" w:rsidRDefault="009327B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B5048">
                                <w:rPr>
                                  <w:rFonts w:asciiTheme="majorHAnsi" w:eastAsiaTheme="majorEastAsia" w:hAnsiTheme="majorHAnsi" w:cstheme="majorBidi"/>
                                  <w:color w:val="262626" w:themeColor="text1" w:themeTint="D9"/>
                                  <w:sz w:val="72"/>
                                  <w:szCs w:val="72"/>
                                </w:rPr>
                                <w:t>Learning Log Report</w:t>
                              </w:r>
                            </w:sdtContent>
                          </w:sdt>
                        </w:p>
                        <w:p w:rsidR="009B5048" w:rsidRDefault="009327B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D5102">
                                <w:rPr>
                                  <w:color w:val="404040" w:themeColor="text1" w:themeTint="BF"/>
                                  <w:sz w:val="36"/>
                                  <w:szCs w:val="36"/>
                                </w:rPr>
                                <w:t>Distinctiveness &amp; Regeneration</w:t>
                              </w:r>
                            </w:sdtContent>
                          </w:sdt>
                        </w:p>
                      </w:txbxContent>
                    </v:textbox>
                    <w10:wrap anchorx="page" anchory="page"/>
                  </v:shape>
                </w:pict>
              </mc:Fallback>
            </mc:AlternateContent>
          </w:r>
        </w:p>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3A70CA" w:rsidRDefault="003A70CA"/>
        <w:p w:rsidR="000720CB" w:rsidRDefault="000720CB"/>
        <w:p w:rsidR="00A304FF" w:rsidRDefault="00A304FF">
          <w:r>
            <w:lastRenderedPageBreak/>
            <w:t xml:space="preserve">Introduction </w:t>
          </w:r>
        </w:p>
      </w:sdtContent>
    </w:sdt>
    <w:p w:rsidR="00A304FF" w:rsidRDefault="003E1E37">
      <w:r>
        <w:t xml:space="preserve">The Purpose of this report is to highlight the </w:t>
      </w:r>
      <w:r w:rsidR="00E32FA4">
        <w:t>distinctiveness and</w:t>
      </w:r>
      <w:r w:rsidR="00EF5582">
        <w:t xml:space="preserve"> regeneration </w:t>
      </w:r>
      <w:r>
        <w:t xml:space="preserve">of Llanelli through research and findings from guest lecturers and the field trip to the Llanelli Wetland Centre </w:t>
      </w:r>
      <w:r w:rsidR="00EF5582">
        <w:t xml:space="preserve">about how Llanelli changed due to the Industrial </w:t>
      </w:r>
      <w:r w:rsidR="00E32FA4">
        <w:t xml:space="preserve">revolution, </w:t>
      </w:r>
      <w:r w:rsidR="00EF5582">
        <w:t xml:space="preserve">Tata steel and the Wetland Centre </w:t>
      </w:r>
    </w:p>
    <w:p w:rsidR="00EF5582" w:rsidRDefault="00EF5582"/>
    <w:p w:rsidR="00A304FF" w:rsidRDefault="00C85FDE">
      <w:r>
        <w:t>Industrial Rev</w:t>
      </w:r>
      <w:r w:rsidR="00EF5582">
        <w:t xml:space="preserve">olution </w:t>
      </w:r>
    </w:p>
    <w:p w:rsidR="002E34F9" w:rsidRDefault="00C85FDE">
      <w:r>
        <w:t>The lowland area of the south Wales’ valleys Had the most opportunities during the industrial revolution in Great Britain. South Wakes had a huge access to natural resources of coal and iron ore</w:t>
      </w:r>
      <w:r w:rsidR="002E34F9">
        <w:t xml:space="preserve">. There was also easy access to the sea, Llanelli had been trading coal with France since the middle ages. </w:t>
      </w:r>
      <w:r>
        <w:t xml:space="preserve"> </w:t>
      </w:r>
      <w:r w:rsidR="002E34F9">
        <w:t xml:space="preserve">The shape of coalfields in this area is significant to both surface coal mines and as we shall see deep shaft coal mines creating the inventions of the industrial revolution to access pumped water from the water table. </w:t>
      </w:r>
    </w:p>
    <w:p w:rsidR="002E34F9" w:rsidRDefault="002E34F9">
      <w:r>
        <w:t xml:space="preserve">Before the industrial revolution the land was controlled by large estates with tenant formers and smaller family farms.  The coal mines did not have large capital investment or knowledge of future developments. At this time there were only small operations that provided income only for the associated families. </w:t>
      </w:r>
      <w:r w:rsidR="002B0786">
        <w:t>The first period of change happened from about 1700 – 1750 when the coal seems below the large estates were leased out. The area was known for its exports of high quality coal that created a huge increase in demand due to steam engines and other machinery becoming more popular</w:t>
      </w:r>
      <w:sdt>
        <w:sdtPr>
          <w:id w:val="-1633542240"/>
          <w:citation/>
        </w:sdtPr>
        <w:sdtEndPr/>
        <w:sdtContent>
          <w:r w:rsidR="002B0786">
            <w:fldChar w:fldCharType="begin"/>
          </w:r>
          <w:r w:rsidR="002B0786">
            <w:rPr>
              <w:lang w:val="en-GB"/>
            </w:rPr>
            <w:instrText xml:space="preserve"> CITATION Cra02 \l 2057 </w:instrText>
          </w:r>
          <w:r w:rsidR="002B0786">
            <w:fldChar w:fldCharType="separate"/>
          </w:r>
          <w:r w:rsidR="00EF5582">
            <w:rPr>
              <w:noProof/>
              <w:lang w:val="en-GB"/>
            </w:rPr>
            <w:t xml:space="preserve"> </w:t>
          </w:r>
          <w:r w:rsidR="00EF5582" w:rsidRPr="00EF5582">
            <w:rPr>
              <w:noProof/>
              <w:lang w:val="en-GB"/>
            </w:rPr>
            <w:t>(Craig, Jones, &amp; Symons, 2002)</w:t>
          </w:r>
          <w:r w:rsidR="002B0786">
            <w:fldChar w:fldCharType="end"/>
          </w:r>
        </w:sdtContent>
      </w:sdt>
      <w:sdt>
        <w:sdtPr>
          <w:id w:val="560603210"/>
          <w:citation/>
        </w:sdtPr>
        <w:sdtEndPr/>
        <w:sdtContent>
          <w:r w:rsidR="002B0786">
            <w:fldChar w:fldCharType="begin"/>
          </w:r>
          <w:r w:rsidR="002B0786">
            <w:rPr>
              <w:lang w:val="en-GB"/>
            </w:rPr>
            <w:instrText xml:space="preserve"> CITATION Han \l 2057 </w:instrText>
          </w:r>
          <w:r w:rsidR="002B0786">
            <w:fldChar w:fldCharType="separate"/>
          </w:r>
          <w:r w:rsidR="00EF5582">
            <w:rPr>
              <w:noProof/>
              <w:lang w:val="en-GB"/>
            </w:rPr>
            <w:t xml:space="preserve"> </w:t>
          </w:r>
          <w:r w:rsidR="00EF5582" w:rsidRPr="00EF5582">
            <w:rPr>
              <w:noProof/>
              <w:lang w:val="en-GB"/>
            </w:rPr>
            <w:t>(Hannam)</w:t>
          </w:r>
          <w:r w:rsidR="002B0786">
            <w:fldChar w:fldCharType="end"/>
          </w:r>
        </w:sdtContent>
      </w:sdt>
      <w:r w:rsidR="002B0786">
        <w:t xml:space="preserve"> </w:t>
      </w:r>
    </w:p>
    <w:p w:rsidR="00C85FDE" w:rsidRDefault="00C85FDE"/>
    <w:p w:rsidR="00B45354" w:rsidRDefault="00B45354">
      <w:r>
        <w:t>Coal in Llanelli</w:t>
      </w:r>
    </w:p>
    <w:p w:rsidR="00F844E7" w:rsidRDefault="00B45354">
      <w:r>
        <w:t>The end of the 18</w:t>
      </w:r>
      <w:r w:rsidRPr="00B45354">
        <w:rPr>
          <w:vertAlign w:val="superscript"/>
        </w:rPr>
        <w:t>th</w:t>
      </w:r>
      <w:r>
        <w:t xml:space="preserve"> century saw the beginnings of a canal and rail network across south Wales. This allowed the transport of coal extracted with the help of new steam engines for pumping and winding to coast or cities. King coal The South Wales Coalfield was at the height of production between the 1880s and </w:t>
      </w:r>
      <w:r w:rsidR="00F844E7">
        <w:t>1913. In 1930 Wales recorded its highest ever output of 57.000.000 tons of coal, this was produced by nearly a quarter of a million welsh miners. Llanelli coal was shipped around the world to as far as south America it was also used by railway companies to fuel trains.</w:t>
      </w:r>
    </w:p>
    <w:p w:rsidR="0058257D" w:rsidRDefault="00F844E7">
      <w:r>
        <w:t xml:space="preserve">In 1912 232,00 men worked in 620 mines in wales. The largest rate of employment in the welsh mines was in 1920 The number of men that were employed was 271,000. In 1936 oil power and shipping was created, this meant that 241 mines were shut leaving </w:t>
      </w:r>
      <w:r w:rsidR="00337FD5">
        <w:t xml:space="preserve">140,000 men unemployed. </w:t>
      </w:r>
      <w:sdt>
        <w:sdtPr>
          <w:id w:val="-674188635"/>
          <w:citation/>
        </w:sdtPr>
        <w:sdtEndPr/>
        <w:sdtContent>
          <w:r w:rsidR="00337FD5">
            <w:fldChar w:fldCharType="begin"/>
          </w:r>
          <w:r w:rsidR="00337FD5">
            <w:rPr>
              <w:lang w:val="en-GB"/>
            </w:rPr>
            <w:instrText xml:space="preserve">CITATION Devnd \l 2057 </w:instrText>
          </w:r>
          <w:r w:rsidR="00337FD5">
            <w:fldChar w:fldCharType="separate"/>
          </w:r>
          <w:r w:rsidR="00EF5582" w:rsidRPr="00EF5582">
            <w:rPr>
              <w:noProof/>
              <w:lang w:val="en-GB"/>
            </w:rPr>
            <w:t>(Industry, n.d)</w:t>
          </w:r>
          <w:r w:rsidR="00337FD5">
            <w:fldChar w:fldCharType="end"/>
          </w:r>
        </w:sdtContent>
      </w:sdt>
      <w:r>
        <w:t xml:space="preserve">   </w:t>
      </w:r>
    </w:p>
    <w:p w:rsidR="00337FD5" w:rsidRDefault="00337FD5"/>
    <w:p w:rsidR="00EF5582" w:rsidRDefault="00EF5582"/>
    <w:p w:rsidR="00EF5582" w:rsidRDefault="00EF5582"/>
    <w:p w:rsidR="00EF5582" w:rsidRDefault="00EF5582"/>
    <w:p w:rsidR="00EF5582" w:rsidRDefault="00EF5582"/>
    <w:p w:rsidR="00EF5582" w:rsidRDefault="00EF5582"/>
    <w:p w:rsidR="0058257D" w:rsidRDefault="0058257D">
      <w:r>
        <w:lastRenderedPageBreak/>
        <w:t xml:space="preserve">Tata Steel </w:t>
      </w:r>
    </w:p>
    <w:p w:rsidR="003A70CA" w:rsidRDefault="005D5102" w:rsidP="00B45354">
      <w:r>
        <w:t xml:space="preserve">Tata Steel has many packaging manufacturing sites in Europe including The Netherlands, </w:t>
      </w:r>
      <w:r w:rsidR="002C4298">
        <w:t>Trostre Llanelli wales and Belgium. The packaging that is manufactured includes Electrolytic tinplate and Polymer-Coated steel (Protact®) customers of Tata Steel include Crown France who produce baby food, Crown Braunstone who produces DWI food cans, Heinz that use 3 piece cans  and Ardagh in Sutton that use DWI Food cans, ends and 3 piece can production.</w:t>
      </w:r>
      <w:sdt>
        <w:sdtPr>
          <w:id w:val="506417496"/>
          <w:citation/>
        </w:sdtPr>
        <w:sdtEndPr/>
        <w:sdtContent>
          <w:r w:rsidR="002C4298">
            <w:fldChar w:fldCharType="begin"/>
          </w:r>
          <w:r w:rsidR="002C4298">
            <w:rPr>
              <w:lang w:val="en-GB"/>
            </w:rPr>
            <w:instrText xml:space="preserve"> CITATION Nic \l 2057 </w:instrText>
          </w:r>
          <w:r w:rsidR="002C4298">
            <w:fldChar w:fldCharType="separate"/>
          </w:r>
          <w:r w:rsidR="00EF5582">
            <w:rPr>
              <w:noProof/>
              <w:lang w:val="en-GB"/>
            </w:rPr>
            <w:t xml:space="preserve"> </w:t>
          </w:r>
          <w:r w:rsidR="00EF5582" w:rsidRPr="00EF5582">
            <w:rPr>
              <w:noProof/>
              <w:lang w:val="en-GB"/>
            </w:rPr>
            <w:t>(Jones)</w:t>
          </w:r>
          <w:r w:rsidR="002C4298">
            <w:fldChar w:fldCharType="end"/>
          </w:r>
        </w:sdtContent>
      </w:sdt>
      <w:r w:rsidR="00544C2C">
        <w:t xml:space="preserve"> as of 2016</w:t>
      </w:r>
      <w:r w:rsidR="00A304FF">
        <w:t xml:space="preserve"> Tata Steel had 11,000 employees and had a t</w:t>
      </w:r>
      <w:r w:rsidR="00544C2C">
        <w:t xml:space="preserve">urnover </w:t>
      </w:r>
      <w:r w:rsidR="00A304FF">
        <w:t>that was</w:t>
      </w:r>
      <w:r w:rsidR="00544C2C">
        <w:t xml:space="preserve"> above</w:t>
      </w:r>
      <w:r w:rsidR="00A304FF">
        <w:t xml:space="preserve"> 2bn. Sales were close to 4 million tones. Tata sold 60% of its production to UK manufacturers, 25% was exported to Europe and the remaining 15% to the rest of the world. Packaging represented 10% of Tata Steel UK’s sales by revenue. </w:t>
      </w:r>
      <w:sdt>
        <w:sdtPr>
          <w:id w:val="-1101414231"/>
          <w:citation/>
        </w:sdtPr>
        <w:sdtEndPr/>
        <w:sdtContent>
          <w:r w:rsidR="00A304FF">
            <w:fldChar w:fldCharType="begin"/>
          </w:r>
          <w:r w:rsidR="00A304FF">
            <w:rPr>
              <w:lang w:val="en-GB"/>
            </w:rPr>
            <w:instrText xml:space="preserve"> CITATION Chr16 \l 2057 </w:instrText>
          </w:r>
          <w:r w:rsidR="00A304FF">
            <w:fldChar w:fldCharType="separate"/>
          </w:r>
          <w:r w:rsidR="00EF5582" w:rsidRPr="00EF5582">
            <w:rPr>
              <w:noProof/>
              <w:lang w:val="en-GB"/>
            </w:rPr>
            <w:t>(Kelsey, 2016)</w:t>
          </w:r>
          <w:r w:rsidR="00A304FF">
            <w:fldChar w:fldCharType="end"/>
          </w:r>
        </w:sdtContent>
      </w:sdt>
    </w:p>
    <w:p w:rsidR="003A70CA" w:rsidRDefault="003A70CA" w:rsidP="00B45354"/>
    <w:p w:rsidR="00B45354" w:rsidRDefault="00B45354" w:rsidP="00B45354">
      <w:r>
        <w:t xml:space="preserve">Wetlands Centre </w:t>
      </w:r>
    </w:p>
    <w:p w:rsidR="00544C2C" w:rsidRDefault="00B45354" w:rsidP="00B45354">
      <w:r>
        <w:t>In the 1980s the Wildlife Wetland Trust</w:t>
      </w:r>
      <w:r w:rsidR="00337FD5">
        <w:t xml:space="preserve"> (WWT)</w:t>
      </w:r>
      <w:r>
        <w:t xml:space="preserve"> were looking at potential sites across South Wales to set up a Wetland Centre. They chose Trostre as it would have been less likely to suffer from pollution that might occur elsewhere. The founder of the Wetland Centre was Sir peter Scott, he created the trust with the vision to allow the public to get closer to nature He also said that “The most effective way to save the threatened natural world is to cause people to fall in love with it again, with its beauty and its reality”</w:t>
      </w:r>
      <w:r>
        <w:rPr>
          <w:noProof/>
          <w:lang w:val="en-GB"/>
        </w:rPr>
        <w:t xml:space="preserve"> (Sir Peter Scott)</w:t>
      </w:r>
      <w:r w:rsidR="00337FD5">
        <w:t xml:space="preserve">  </w:t>
      </w:r>
      <w:r>
        <w:t>The site was first developed on 250 acers of land at Trostre and another 200 acres next door the Centre was built on unused farm land</w:t>
      </w:r>
      <w:r w:rsidR="00544C2C">
        <w:t xml:space="preserve">, by using unused farmland this regenerates the area and attracts tourists and families. The habitat of this area is salt marsh which is great for birds, the marches have been developed to create slightly different habitats of birds across the area. </w:t>
      </w:r>
    </w:p>
    <w:p w:rsidR="00B45354" w:rsidRDefault="00544C2C" w:rsidP="00B45354">
      <w:r>
        <w:t>T</w:t>
      </w:r>
      <w:r w:rsidR="00B45354">
        <w:t>he Centre opened in 1991</w:t>
      </w:r>
      <w:r w:rsidR="00337FD5">
        <w:t>. Th</w:t>
      </w:r>
      <w:r>
        <w:t>e</w:t>
      </w:r>
      <w:r w:rsidR="00337FD5">
        <w:t xml:space="preserve"> WWT grew more and more popular during Peters life and since </w:t>
      </w:r>
      <w:r>
        <w:t>his death</w:t>
      </w:r>
      <w:r w:rsidR="00337FD5">
        <w:t xml:space="preserve"> in 1989 the wetlands </w:t>
      </w:r>
      <w:r>
        <w:t>Centre</w:t>
      </w:r>
      <w:r w:rsidR="00337FD5">
        <w:t xml:space="preserve"> </w:t>
      </w:r>
      <w:r>
        <w:t>welcomes a million visitors each year to nice wetlands centers in the UK</w:t>
      </w:r>
      <w:sdt>
        <w:sdtPr>
          <w:id w:val="-247191551"/>
          <w:citation/>
        </w:sdtPr>
        <w:sdtEndPr/>
        <w:sdtContent>
          <w:r>
            <w:fldChar w:fldCharType="begin"/>
          </w:r>
          <w:r>
            <w:rPr>
              <w:lang w:val="en-GB"/>
            </w:rPr>
            <w:instrText xml:space="preserve"> CITATION Wil19 \l 2057 </w:instrText>
          </w:r>
          <w:r>
            <w:fldChar w:fldCharType="separate"/>
          </w:r>
          <w:r w:rsidR="00EF5582">
            <w:rPr>
              <w:noProof/>
              <w:lang w:val="en-GB"/>
            </w:rPr>
            <w:t xml:space="preserve"> </w:t>
          </w:r>
          <w:r w:rsidR="00EF5582" w:rsidRPr="00EF5582">
            <w:rPr>
              <w:noProof/>
              <w:lang w:val="en-GB"/>
            </w:rPr>
            <w:t>(Wildlife Wetland Trust, n.d.)</w:t>
          </w:r>
          <w:r>
            <w:fldChar w:fldCharType="end"/>
          </w:r>
        </w:sdtContent>
      </w:sdt>
      <w:r>
        <w:t xml:space="preserve"> The Llanelli Centre had 70,000 visitors last year and 24,000 in 2014 so visitor numbers are increasing each year. Half the visitors are families and the others are bird watchers and local tourists</w:t>
      </w:r>
      <w:r w:rsidR="00E32FA4">
        <w:t>.</w:t>
      </w:r>
    </w:p>
    <w:p w:rsidR="002C4298" w:rsidRDefault="002C4298"/>
    <w:p w:rsidR="00EF5582" w:rsidRDefault="00EF5582"/>
    <w:p w:rsidR="00EF5582" w:rsidRDefault="00EF5582"/>
    <w:p w:rsidR="00EF5582" w:rsidRDefault="00EF5582"/>
    <w:p w:rsidR="00EF5582" w:rsidRDefault="00EF5582"/>
    <w:p w:rsidR="00EF5582" w:rsidRDefault="00EF5582"/>
    <w:p w:rsidR="00EF5582" w:rsidRDefault="00EF5582"/>
    <w:p w:rsidR="00EF5582" w:rsidRDefault="00EF5582"/>
    <w:p w:rsidR="00EF5582" w:rsidRDefault="00EF5582"/>
    <w:sdt>
      <w:sdtPr>
        <w:rPr>
          <w:rFonts w:asciiTheme="minorHAnsi" w:eastAsiaTheme="minorHAnsi" w:hAnsiTheme="minorHAnsi" w:cstheme="minorBidi"/>
          <w:color w:val="auto"/>
          <w:sz w:val="22"/>
          <w:szCs w:val="22"/>
        </w:rPr>
        <w:id w:val="1960215659"/>
        <w:docPartObj>
          <w:docPartGallery w:val="Bibliographies"/>
          <w:docPartUnique/>
        </w:docPartObj>
      </w:sdtPr>
      <w:sdtEndPr/>
      <w:sdtContent>
        <w:p w:rsidR="009327B6" w:rsidRDefault="009327B6" w:rsidP="009327B6">
          <w:pPr>
            <w:pStyle w:val="Heading1"/>
          </w:pPr>
        </w:p>
        <w:p w:rsidR="00EF5582" w:rsidRDefault="009327B6" w:rsidP="00EF5582"/>
      </w:sdtContent>
    </w:sdt>
    <w:p w:rsidR="00EF5582" w:rsidRDefault="00EF5582" w:rsidP="00EF5582"/>
    <w:sdt>
      <w:sdtPr>
        <w:id w:val="-906846824"/>
        <w:docPartObj>
          <w:docPartGallery w:val="Bibliographies"/>
          <w:docPartUnique/>
        </w:docPartObj>
      </w:sdtPr>
      <w:sdtEndPr>
        <w:rPr>
          <w:rFonts w:asciiTheme="minorHAnsi" w:eastAsiaTheme="minorHAnsi" w:hAnsiTheme="minorHAnsi" w:cstheme="minorBidi"/>
          <w:color w:val="auto"/>
          <w:sz w:val="22"/>
          <w:szCs w:val="22"/>
        </w:rPr>
      </w:sdtEndPr>
      <w:sdtContent>
        <w:p w:rsidR="009327B6" w:rsidRDefault="009327B6">
          <w:pPr>
            <w:pStyle w:val="Heading1"/>
          </w:pPr>
          <w:r>
            <w:t>References</w:t>
          </w:r>
        </w:p>
        <w:sdt>
          <w:sdtPr>
            <w:id w:val="-573587230"/>
            <w:bibliography/>
          </w:sdtPr>
          <w:sdtContent>
            <w:p w:rsidR="009327B6" w:rsidRDefault="009327B6" w:rsidP="009327B6">
              <w:pPr>
                <w:pStyle w:val="Bibliography"/>
                <w:ind w:left="720" w:hanging="720"/>
                <w:rPr>
                  <w:noProof/>
                  <w:sz w:val="24"/>
                  <w:szCs w:val="24"/>
                </w:rPr>
              </w:pPr>
              <w:r>
                <w:fldChar w:fldCharType="begin"/>
              </w:r>
              <w:r>
                <w:instrText xml:space="preserve"> BIBLIOGRAPHY </w:instrText>
              </w:r>
              <w:r>
                <w:fldChar w:fldCharType="separate"/>
              </w:r>
              <w:r>
                <w:rPr>
                  <w:noProof/>
                </w:rPr>
                <w:t>Craig, R. S., Jones, P., &amp; Symons, M. V. (2002). The Industrial and Maritime History of Llanelli and Burry Port 1750- 2000. Carmarthenshire County Council.</w:t>
              </w:r>
            </w:p>
            <w:p w:rsidR="009327B6" w:rsidRDefault="009327B6" w:rsidP="009327B6">
              <w:pPr>
                <w:pStyle w:val="Bibliography"/>
                <w:ind w:left="720" w:hanging="720"/>
                <w:rPr>
                  <w:noProof/>
                </w:rPr>
              </w:pPr>
              <w:r>
                <w:rPr>
                  <w:noProof/>
                </w:rPr>
                <w:t>Hannam, J. (n.d.). The Roots of Modern Llanelli.</w:t>
              </w:r>
            </w:p>
            <w:p w:rsidR="009327B6" w:rsidRDefault="009327B6" w:rsidP="009327B6">
              <w:pPr>
                <w:pStyle w:val="Bibliography"/>
                <w:ind w:left="720" w:hanging="720"/>
                <w:rPr>
                  <w:noProof/>
                </w:rPr>
              </w:pPr>
              <w:r>
                <w:rPr>
                  <w:noProof/>
                </w:rPr>
                <w:t xml:space="preserve">Industry, D. o. (n.d). </w:t>
              </w:r>
              <w:r>
                <w:rPr>
                  <w:i/>
                  <w:iCs/>
                  <w:noProof/>
                </w:rPr>
                <w:t>Development of the coal industry</w:t>
              </w:r>
              <w:r>
                <w:rPr>
                  <w:noProof/>
                </w:rPr>
                <w:t>. Retrieved March 15, 2019, from Coalfield Web Materials: http://www.agor.org.uk/cwm/themes/life/economy/</w:t>
              </w:r>
            </w:p>
            <w:p w:rsidR="009327B6" w:rsidRDefault="009327B6" w:rsidP="009327B6">
              <w:pPr>
                <w:pStyle w:val="Bibliography"/>
                <w:ind w:left="720" w:hanging="720"/>
                <w:rPr>
                  <w:noProof/>
                </w:rPr>
              </w:pPr>
              <w:r>
                <w:rPr>
                  <w:noProof/>
                </w:rPr>
                <w:t>Jones, N. (n.d.). Tata Steel Packaging Process and Customer Focus.</w:t>
              </w:r>
            </w:p>
            <w:p w:rsidR="009327B6" w:rsidRDefault="009327B6" w:rsidP="009327B6">
              <w:pPr>
                <w:pStyle w:val="Bibliography"/>
                <w:ind w:left="720" w:hanging="720"/>
                <w:rPr>
                  <w:noProof/>
                </w:rPr>
              </w:pPr>
              <w:r>
                <w:rPr>
                  <w:noProof/>
                </w:rPr>
                <w:t xml:space="preserve">Kelsey, C. (2016, April 28). </w:t>
              </w:r>
              <w:r>
                <w:rPr>
                  <w:i/>
                  <w:iCs/>
                  <w:noProof/>
                </w:rPr>
                <w:t>The facts and figures about Tata Steel UK</w:t>
              </w:r>
              <w:r>
                <w:rPr>
                  <w:noProof/>
                </w:rPr>
                <w:t>. Retrieved March 15, 2019, from Wales online: https://www.walesonline.co.uk/business/business-news/facts-figures-tata-steel-uk-11258131</w:t>
              </w:r>
            </w:p>
            <w:p w:rsidR="009327B6" w:rsidRDefault="009327B6" w:rsidP="009327B6">
              <w:pPr>
                <w:pStyle w:val="Bibliography"/>
                <w:ind w:left="720" w:hanging="720"/>
                <w:rPr>
                  <w:noProof/>
                </w:rPr>
              </w:pPr>
              <w:r>
                <w:rPr>
                  <w:i/>
                  <w:iCs/>
                  <w:noProof/>
                </w:rPr>
                <w:t>Sir Peter Scott.</w:t>
              </w:r>
              <w:r>
                <w:rPr>
                  <w:noProof/>
                </w:rPr>
                <w:t xml:space="preserve"> (n.d.).</w:t>
              </w:r>
            </w:p>
            <w:p w:rsidR="009327B6" w:rsidRDefault="009327B6" w:rsidP="009327B6">
              <w:pPr>
                <w:pStyle w:val="Bibliography"/>
                <w:ind w:left="720" w:hanging="720"/>
                <w:rPr>
                  <w:noProof/>
                </w:rPr>
              </w:pPr>
              <w:r>
                <w:rPr>
                  <w:noProof/>
                </w:rPr>
                <w:t xml:space="preserve">Wildlife Wetland Trust. (n.d.). </w:t>
              </w:r>
              <w:r>
                <w:rPr>
                  <w:i/>
                  <w:iCs/>
                  <w:noProof/>
                </w:rPr>
                <w:t>Our History</w:t>
              </w:r>
              <w:r>
                <w:rPr>
                  <w:noProof/>
                </w:rPr>
                <w:t>. Retrieved March 12, 2019, from WWT: https://www.wwt.org.uk/who-we-are/our-history/</w:t>
              </w:r>
            </w:p>
            <w:p w:rsidR="009327B6" w:rsidRDefault="009327B6" w:rsidP="009327B6">
              <w:r>
                <w:rPr>
                  <w:b/>
                  <w:bCs/>
                  <w:noProof/>
                </w:rPr>
                <w:fldChar w:fldCharType="end"/>
              </w:r>
            </w:p>
          </w:sdtContent>
        </w:sdt>
      </w:sdtContent>
    </w:sdt>
    <w:p w:rsidR="00EF5582" w:rsidRDefault="00EF5582">
      <w:bookmarkStart w:id="0" w:name="_GoBack"/>
      <w:bookmarkEnd w:id="0"/>
    </w:p>
    <w:sectPr w:rsidR="00EF5582" w:rsidSect="009B504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0NjY2N7M0tDAxtzRT0lEKTi0uzszPAykwrgUAUe8TUCwAAAA="/>
  </w:docVars>
  <w:rsids>
    <w:rsidRoot w:val="009B5048"/>
    <w:rsid w:val="000720CB"/>
    <w:rsid w:val="002B0786"/>
    <w:rsid w:val="002C4298"/>
    <w:rsid w:val="002E34F9"/>
    <w:rsid w:val="00337FD5"/>
    <w:rsid w:val="003A70CA"/>
    <w:rsid w:val="003E1E37"/>
    <w:rsid w:val="005138FA"/>
    <w:rsid w:val="00544C2C"/>
    <w:rsid w:val="0058257D"/>
    <w:rsid w:val="005C0307"/>
    <w:rsid w:val="005D5102"/>
    <w:rsid w:val="00734364"/>
    <w:rsid w:val="009327B6"/>
    <w:rsid w:val="009B5048"/>
    <w:rsid w:val="00A304FF"/>
    <w:rsid w:val="00B45354"/>
    <w:rsid w:val="00C85FDE"/>
    <w:rsid w:val="00D13A70"/>
    <w:rsid w:val="00E32FA4"/>
    <w:rsid w:val="00EF5582"/>
    <w:rsid w:val="00F84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43A30"/>
  <w15:chartTrackingRefBased/>
  <w15:docId w15:val="{C82CFD51-E16C-418B-8B96-E20A1DF96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5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5048"/>
    <w:pPr>
      <w:spacing w:after="0" w:line="240" w:lineRule="auto"/>
    </w:pPr>
    <w:rPr>
      <w:rFonts w:eastAsiaTheme="minorEastAsia"/>
    </w:rPr>
  </w:style>
  <w:style w:type="character" w:customStyle="1" w:styleId="NoSpacingChar">
    <w:name w:val="No Spacing Char"/>
    <w:basedOn w:val="DefaultParagraphFont"/>
    <w:link w:val="NoSpacing"/>
    <w:uiPriority w:val="1"/>
    <w:rsid w:val="009B5048"/>
    <w:rPr>
      <w:rFonts w:eastAsiaTheme="minorEastAsia"/>
    </w:rPr>
  </w:style>
  <w:style w:type="character" w:customStyle="1" w:styleId="Heading1Char">
    <w:name w:val="Heading 1 Char"/>
    <w:basedOn w:val="DefaultParagraphFont"/>
    <w:link w:val="Heading1"/>
    <w:uiPriority w:val="9"/>
    <w:rsid w:val="00EF558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F5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6542">
      <w:bodyDiv w:val="1"/>
      <w:marLeft w:val="0"/>
      <w:marRight w:val="0"/>
      <w:marTop w:val="0"/>
      <w:marBottom w:val="0"/>
      <w:divBdr>
        <w:top w:val="none" w:sz="0" w:space="0" w:color="auto"/>
        <w:left w:val="none" w:sz="0" w:space="0" w:color="auto"/>
        <w:bottom w:val="none" w:sz="0" w:space="0" w:color="auto"/>
        <w:right w:val="none" w:sz="0" w:space="0" w:color="auto"/>
      </w:divBdr>
    </w:div>
    <w:div w:id="51851900">
      <w:bodyDiv w:val="1"/>
      <w:marLeft w:val="0"/>
      <w:marRight w:val="0"/>
      <w:marTop w:val="0"/>
      <w:marBottom w:val="0"/>
      <w:divBdr>
        <w:top w:val="none" w:sz="0" w:space="0" w:color="auto"/>
        <w:left w:val="none" w:sz="0" w:space="0" w:color="auto"/>
        <w:bottom w:val="none" w:sz="0" w:space="0" w:color="auto"/>
        <w:right w:val="none" w:sz="0" w:space="0" w:color="auto"/>
      </w:divBdr>
    </w:div>
    <w:div w:id="256259668">
      <w:bodyDiv w:val="1"/>
      <w:marLeft w:val="0"/>
      <w:marRight w:val="0"/>
      <w:marTop w:val="0"/>
      <w:marBottom w:val="0"/>
      <w:divBdr>
        <w:top w:val="none" w:sz="0" w:space="0" w:color="auto"/>
        <w:left w:val="none" w:sz="0" w:space="0" w:color="auto"/>
        <w:bottom w:val="none" w:sz="0" w:space="0" w:color="auto"/>
        <w:right w:val="none" w:sz="0" w:space="0" w:color="auto"/>
      </w:divBdr>
    </w:div>
    <w:div w:id="360672955">
      <w:bodyDiv w:val="1"/>
      <w:marLeft w:val="0"/>
      <w:marRight w:val="0"/>
      <w:marTop w:val="0"/>
      <w:marBottom w:val="0"/>
      <w:divBdr>
        <w:top w:val="none" w:sz="0" w:space="0" w:color="auto"/>
        <w:left w:val="none" w:sz="0" w:space="0" w:color="auto"/>
        <w:bottom w:val="none" w:sz="0" w:space="0" w:color="auto"/>
        <w:right w:val="none" w:sz="0" w:space="0" w:color="auto"/>
      </w:divBdr>
    </w:div>
    <w:div w:id="406998307">
      <w:bodyDiv w:val="1"/>
      <w:marLeft w:val="0"/>
      <w:marRight w:val="0"/>
      <w:marTop w:val="0"/>
      <w:marBottom w:val="0"/>
      <w:divBdr>
        <w:top w:val="none" w:sz="0" w:space="0" w:color="auto"/>
        <w:left w:val="none" w:sz="0" w:space="0" w:color="auto"/>
        <w:bottom w:val="none" w:sz="0" w:space="0" w:color="auto"/>
        <w:right w:val="none" w:sz="0" w:space="0" w:color="auto"/>
      </w:divBdr>
    </w:div>
    <w:div w:id="582180331">
      <w:bodyDiv w:val="1"/>
      <w:marLeft w:val="0"/>
      <w:marRight w:val="0"/>
      <w:marTop w:val="0"/>
      <w:marBottom w:val="0"/>
      <w:divBdr>
        <w:top w:val="none" w:sz="0" w:space="0" w:color="auto"/>
        <w:left w:val="none" w:sz="0" w:space="0" w:color="auto"/>
        <w:bottom w:val="none" w:sz="0" w:space="0" w:color="auto"/>
        <w:right w:val="none" w:sz="0" w:space="0" w:color="auto"/>
      </w:divBdr>
    </w:div>
    <w:div w:id="641354510">
      <w:bodyDiv w:val="1"/>
      <w:marLeft w:val="0"/>
      <w:marRight w:val="0"/>
      <w:marTop w:val="0"/>
      <w:marBottom w:val="0"/>
      <w:divBdr>
        <w:top w:val="none" w:sz="0" w:space="0" w:color="auto"/>
        <w:left w:val="none" w:sz="0" w:space="0" w:color="auto"/>
        <w:bottom w:val="none" w:sz="0" w:space="0" w:color="auto"/>
        <w:right w:val="none" w:sz="0" w:space="0" w:color="auto"/>
      </w:divBdr>
    </w:div>
    <w:div w:id="804467418">
      <w:bodyDiv w:val="1"/>
      <w:marLeft w:val="0"/>
      <w:marRight w:val="0"/>
      <w:marTop w:val="0"/>
      <w:marBottom w:val="0"/>
      <w:divBdr>
        <w:top w:val="none" w:sz="0" w:space="0" w:color="auto"/>
        <w:left w:val="none" w:sz="0" w:space="0" w:color="auto"/>
        <w:bottom w:val="none" w:sz="0" w:space="0" w:color="auto"/>
        <w:right w:val="none" w:sz="0" w:space="0" w:color="auto"/>
      </w:divBdr>
    </w:div>
    <w:div w:id="832643768">
      <w:bodyDiv w:val="1"/>
      <w:marLeft w:val="0"/>
      <w:marRight w:val="0"/>
      <w:marTop w:val="0"/>
      <w:marBottom w:val="0"/>
      <w:divBdr>
        <w:top w:val="none" w:sz="0" w:space="0" w:color="auto"/>
        <w:left w:val="none" w:sz="0" w:space="0" w:color="auto"/>
        <w:bottom w:val="none" w:sz="0" w:space="0" w:color="auto"/>
        <w:right w:val="none" w:sz="0" w:space="0" w:color="auto"/>
      </w:divBdr>
    </w:div>
    <w:div w:id="850072125">
      <w:bodyDiv w:val="1"/>
      <w:marLeft w:val="0"/>
      <w:marRight w:val="0"/>
      <w:marTop w:val="0"/>
      <w:marBottom w:val="0"/>
      <w:divBdr>
        <w:top w:val="none" w:sz="0" w:space="0" w:color="auto"/>
        <w:left w:val="none" w:sz="0" w:space="0" w:color="auto"/>
        <w:bottom w:val="none" w:sz="0" w:space="0" w:color="auto"/>
        <w:right w:val="none" w:sz="0" w:space="0" w:color="auto"/>
      </w:divBdr>
    </w:div>
    <w:div w:id="858084763">
      <w:bodyDiv w:val="1"/>
      <w:marLeft w:val="0"/>
      <w:marRight w:val="0"/>
      <w:marTop w:val="0"/>
      <w:marBottom w:val="0"/>
      <w:divBdr>
        <w:top w:val="none" w:sz="0" w:space="0" w:color="auto"/>
        <w:left w:val="none" w:sz="0" w:space="0" w:color="auto"/>
        <w:bottom w:val="none" w:sz="0" w:space="0" w:color="auto"/>
        <w:right w:val="none" w:sz="0" w:space="0" w:color="auto"/>
      </w:divBdr>
    </w:div>
    <w:div w:id="861436093">
      <w:bodyDiv w:val="1"/>
      <w:marLeft w:val="0"/>
      <w:marRight w:val="0"/>
      <w:marTop w:val="0"/>
      <w:marBottom w:val="0"/>
      <w:divBdr>
        <w:top w:val="none" w:sz="0" w:space="0" w:color="auto"/>
        <w:left w:val="none" w:sz="0" w:space="0" w:color="auto"/>
        <w:bottom w:val="none" w:sz="0" w:space="0" w:color="auto"/>
        <w:right w:val="none" w:sz="0" w:space="0" w:color="auto"/>
      </w:divBdr>
    </w:div>
    <w:div w:id="1061487450">
      <w:bodyDiv w:val="1"/>
      <w:marLeft w:val="0"/>
      <w:marRight w:val="0"/>
      <w:marTop w:val="0"/>
      <w:marBottom w:val="0"/>
      <w:divBdr>
        <w:top w:val="none" w:sz="0" w:space="0" w:color="auto"/>
        <w:left w:val="none" w:sz="0" w:space="0" w:color="auto"/>
        <w:bottom w:val="none" w:sz="0" w:space="0" w:color="auto"/>
        <w:right w:val="none" w:sz="0" w:space="0" w:color="auto"/>
      </w:divBdr>
    </w:div>
    <w:div w:id="1064336196">
      <w:bodyDiv w:val="1"/>
      <w:marLeft w:val="0"/>
      <w:marRight w:val="0"/>
      <w:marTop w:val="0"/>
      <w:marBottom w:val="0"/>
      <w:divBdr>
        <w:top w:val="none" w:sz="0" w:space="0" w:color="auto"/>
        <w:left w:val="none" w:sz="0" w:space="0" w:color="auto"/>
        <w:bottom w:val="none" w:sz="0" w:space="0" w:color="auto"/>
        <w:right w:val="none" w:sz="0" w:space="0" w:color="auto"/>
      </w:divBdr>
    </w:div>
    <w:div w:id="1078673794">
      <w:bodyDiv w:val="1"/>
      <w:marLeft w:val="0"/>
      <w:marRight w:val="0"/>
      <w:marTop w:val="0"/>
      <w:marBottom w:val="0"/>
      <w:divBdr>
        <w:top w:val="none" w:sz="0" w:space="0" w:color="auto"/>
        <w:left w:val="none" w:sz="0" w:space="0" w:color="auto"/>
        <w:bottom w:val="none" w:sz="0" w:space="0" w:color="auto"/>
        <w:right w:val="none" w:sz="0" w:space="0" w:color="auto"/>
      </w:divBdr>
    </w:div>
    <w:div w:id="1189023652">
      <w:bodyDiv w:val="1"/>
      <w:marLeft w:val="0"/>
      <w:marRight w:val="0"/>
      <w:marTop w:val="0"/>
      <w:marBottom w:val="0"/>
      <w:divBdr>
        <w:top w:val="none" w:sz="0" w:space="0" w:color="auto"/>
        <w:left w:val="none" w:sz="0" w:space="0" w:color="auto"/>
        <w:bottom w:val="none" w:sz="0" w:space="0" w:color="auto"/>
        <w:right w:val="none" w:sz="0" w:space="0" w:color="auto"/>
      </w:divBdr>
    </w:div>
    <w:div w:id="1209609610">
      <w:bodyDiv w:val="1"/>
      <w:marLeft w:val="0"/>
      <w:marRight w:val="0"/>
      <w:marTop w:val="0"/>
      <w:marBottom w:val="0"/>
      <w:divBdr>
        <w:top w:val="none" w:sz="0" w:space="0" w:color="auto"/>
        <w:left w:val="none" w:sz="0" w:space="0" w:color="auto"/>
        <w:bottom w:val="none" w:sz="0" w:space="0" w:color="auto"/>
        <w:right w:val="none" w:sz="0" w:space="0" w:color="auto"/>
      </w:divBdr>
    </w:div>
    <w:div w:id="1337734195">
      <w:bodyDiv w:val="1"/>
      <w:marLeft w:val="0"/>
      <w:marRight w:val="0"/>
      <w:marTop w:val="0"/>
      <w:marBottom w:val="0"/>
      <w:divBdr>
        <w:top w:val="none" w:sz="0" w:space="0" w:color="auto"/>
        <w:left w:val="none" w:sz="0" w:space="0" w:color="auto"/>
        <w:bottom w:val="none" w:sz="0" w:space="0" w:color="auto"/>
        <w:right w:val="none" w:sz="0" w:space="0" w:color="auto"/>
      </w:divBdr>
    </w:div>
    <w:div w:id="1382561279">
      <w:bodyDiv w:val="1"/>
      <w:marLeft w:val="0"/>
      <w:marRight w:val="0"/>
      <w:marTop w:val="0"/>
      <w:marBottom w:val="0"/>
      <w:divBdr>
        <w:top w:val="none" w:sz="0" w:space="0" w:color="auto"/>
        <w:left w:val="none" w:sz="0" w:space="0" w:color="auto"/>
        <w:bottom w:val="none" w:sz="0" w:space="0" w:color="auto"/>
        <w:right w:val="none" w:sz="0" w:space="0" w:color="auto"/>
      </w:divBdr>
    </w:div>
    <w:div w:id="1515413057">
      <w:bodyDiv w:val="1"/>
      <w:marLeft w:val="0"/>
      <w:marRight w:val="0"/>
      <w:marTop w:val="0"/>
      <w:marBottom w:val="0"/>
      <w:divBdr>
        <w:top w:val="none" w:sz="0" w:space="0" w:color="auto"/>
        <w:left w:val="none" w:sz="0" w:space="0" w:color="auto"/>
        <w:bottom w:val="none" w:sz="0" w:space="0" w:color="auto"/>
        <w:right w:val="none" w:sz="0" w:space="0" w:color="auto"/>
      </w:divBdr>
    </w:div>
    <w:div w:id="1552423375">
      <w:bodyDiv w:val="1"/>
      <w:marLeft w:val="0"/>
      <w:marRight w:val="0"/>
      <w:marTop w:val="0"/>
      <w:marBottom w:val="0"/>
      <w:divBdr>
        <w:top w:val="none" w:sz="0" w:space="0" w:color="auto"/>
        <w:left w:val="none" w:sz="0" w:space="0" w:color="auto"/>
        <w:bottom w:val="none" w:sz="0" w:space="0" w:color="auto"/>
        <w:right w:val="none" w:sz="0" w:space="0" w:color="auto"/>
      </w:divBdr>
    </w:div>
    <w:div w:id="1717268706">
      <w:bodyDiv w:val="1"/>
      <w:marLeft w:val="0"/>
      <w:marRight w:val="0"/>
      <w:marTop w:val="0"/>
      <w:marBottom w:val="0"/>
      <w:divBdr>
        <w:top w:val="none" w:sz="0" w:space="0" w:color="auto"/>
        <w:left w:val="none" w:sz="0" w:space="0" w:color="auto"/>
        <w:bottom w:val="none" w:sz="0" w:space="0" w:color="auto"/>
        <w:right w:val="none" w:sz="0" w:space="0" w:color="auto"/>
      </w:divBdr>
    </w:div>
    <w:div w:id="1742824775">
      <w:bodyDiv w:val="1"/>
      <w:marLeft w:val="0"/>
      <w:marRight w:val="0"/>
      <w:marTop w:val="0"/>
      <w:marBottom w:val="0"/>
      <w:divBdr>
        <w:top w:val="none" w:sz="0" w:space="0" w:color="auto"/>
        <w:left w:val="none" w:sz="0" w:space="0" w:color="auto"/>
        <w:bottom w:val="none" w:sz="0" w:space="0" w:color="auto"/>
        <w:right w:val="none" w:sz="0" w:space="0" w:color="auto"/>
      </w:divBdr>
    </w:div>
    <w:div w:id="1788115550">
      <w:bodyDiv w:val="1"/>
      <w:marLeft w:val="0"/>
      <w:marRight w:val="0"/>
      <w:marTop w:val="0"/>
      <w:marBottom w:val="0"/>
      <w:divBdr>
        <w:top w:val="none" w:sz="0" w:space="0" w:color="auto"/>
        <w:left w:val="none" w:sz="0" w:space="0" w:color="auto"/>
        <w:bottom w:val="none" w:sz="0" w:space="0" w:color="auto"/>
        <w:right w:val="none" w:sz="0" w:space="0" w:color="auto"/>
      </w:divBdr>
    </w:div>
    <w:div w:id="1816071344">
      <w:bodyDiv w:val="1"/>
      <w:marLeft w:val="0"/>
      <w:marRight w:val="0"/>
      <w:marTop w:val="0"/>
      <w:marBottom w:val="0"/>
      <w:divBdr>
        <w:top w:val="none" w:sz="0" w:space="0" w:color="auto"/>
        <w:left w:val="none" w:sz="0" w:space="0" w:color="auto"/>
        <w:bottom w:val="none" w:sz="0" w:space="0" w:color="auto"/>
        <w:right w:val="none" w:sz="0" w:space="0" w:color="auto"/>
      </w:divBdr>
    </w:div>
    <w:div w:id="1848406029">
      <w:bodyDiv w:val="1"/>
      <w:marLeft w:val="0"/>
      <w:marRight w:val="0"/>
      <w:marTop w:val="0"/>
      <w:marBottom w:val="0"/>
      <w:divBdr>
        <w:top w:val="none" w:sz="0" w:space="0" w:color="auto"/>
        <w:left w:val="none" w:sz="0" w:space="0" w:color="auto"/>
        <w:bottom w:val="none" w:sz="0" w:space="0" w:color="auto"/>
        <w:right w:val="none" w:sz="0" w:space="0" w:color="auto"/>
      </w:divBdr>
    </w:div>
    <w:div w:id="1872571218">
      <w:bodyDiv w:val="1"/>
      <w:marLeft w:val="0"/>
      <w:marRight w:val="0"/>
      <w:marTop w:val="0"/>
      <w:marBottom w:val="0"/>
      <w:divBdr>
        <w:top w:val="none" w:sz="0" w:space="0" w:color="auto"/>
        <w:left w:val="none" w:sz="0" w:space="0" w:color="auto"/>
        <w:bottom w:val="none" w:sz="0" w:space="0" w:color="auto"/>
        <w:right w:val="none" w:sz="0" w:space="0" w:color="auto"/>
      </w:divBdr>
    </w:div>
    <w:div w:id="1937714794">
      <w:bodyDiv w:val="1"/>
      <w:marLeft w:val="0"/>
      <w:marRight w:val="0"/>
      <w:marTop w:val="0"/>
      <w:marBottom w:val="0"/>
      <w:divBdr>
        <w:top w:val="none" w:sz="0" w:space="0" w:color="auto"/>
        <w:left w:val="none" w:sz="0" w:space="0" w:color="auto"/>
        <w:bottom w:val="none" w:sz="0" w:space="0" w:color="auto"/>
        <w:right w:val="none" w:sz="0" w:space="0" w:color="auto"/>
      </w:divBdr>
    </w:div>
    <w:div w:id="2014142533">
      <w:bodyDiv w:val="1"/>
      <w:marLeft w:val="0"/>
      <w:marRight w:val="0"/>
      <w:marTop w:val="0"/>
      <w:marBottom w:val="0"/>
      <w:divBdr>
        <w:top w:val="none" w:sz="0" w:space="0" w:color="auto"/>
        <w:left w:val="none" w:sz="0" w:space="0" w:color="auto"/>
        <w:bottom w:val="none" w:sz="0" w:space="0" w:color="auto"/>
        <w:right w:val="none" w:sz="0" w:space="0" w:color="auto"/>
      </w:divBdr>
    </w:div>
    <w:div w:id="2052654760">
      <w:bodyDiv w:val="1"/>
      <w:marLeft w:val="0"/>
      <w:marRight w:val="0"/>
      <w:marTop w:val="0"/>
      <w:marBottom w:val="0"/>
      <w:divBdr>
        <w:top w:val="none" w:sz="0" w:space="0" w:color="auto"/>
        <w:left w:val="none" w:sz="0" w:space="0" w:color="auto"/>
        <w:bottom w:val="none" w:sz="0" w:space="0" w:color="auto"/>
        <w:right w:val="none" w:sz="0" w:space="0" w:color="auto"/>
      </w:divBdr>
    </w:div>
    <w:div w:id="206452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Sir</b:Tag>
    <b:SourceType>Book</b:SourceType>
    <b:Guid>{586EADA6-CE35-411F-BCFC-D430A74E9B3B}</b:Guid>
    <b:Title>Sir Peter Scott</b:Title>
    <b:RefOrder>7</b:RefOrder>
  </b:Source>
  <b:Source>
    <b:Tag>Nic</b:Tag>
    <b:SourceType>ElectronicSource</b:SourceType>
    <b:Guid>{AC40BC2D-FCB1-4A95-899E-54DB4ABC46F1}</b:Guid>
    <b:Title>Tata  Steel Packaging Process and Customer Focus</b:Title>
    <b:Author>
      <b:Author>
        <b:NameList>
          <b:Person>
            <b:Last>Jones</b:Last>
            <b:First>Nicola</b:First>
          </b:Person>
        </b:NameList>
      </b:Author>
    </b:Author>
    <b:RefOrder>4</b:RefOrder>
  </b:Source>
  <b:Source>
    <b:Tag>Devnd</b:Tag>
    <b:SourceType>InternetSite</b:SourceType>
    <b:Guid>{BE5FB8D2-BB74-425D-9825-DA978148AB26}</b:Guid>
    <b:Title>Development of the coal industry</b:Title>
    <b:Year>n.d</b:Year>
    <b:InternetSiteTitle>Coalfield Web Materials</b:InternetSiteTitle>
    <b:YearAccessed>2019</b:YearAccessed>
    <b:MonthAccessed>March</b:MonthAccessed>
    <b:DayAccessed>15</b:DayAccessed>
    <b:URL>http://www.agor.org.uk/cwm/themes/life/economy/</b:URL>
    <b:Author>
      <b:Author>
        <b:NameList>
          <b:Person>
            <b:Last>Industry</b:Last>
            <b:First>Development</b:First>
            <b:Middle>of coal</b:Middle>
          </b:Person>
        </b:NameList>
      </b:Author>
    </b:Author>
    <b:RefOrder>3</b:RefOrder>
  </b:Source>
  <b:Source>
    <b:Tag>Wil19</b:Tag>
    <b:SourceType>InternetSite</b:SourceType>
    <b:Guid>{543054EA-C5F8-4A5B-985B-361A2F740EEB}</b:Guid>
    <b:Author>
      <b:Author>
        <b:Corporate>Wildlife Wetland Trust</b:Corporate>
      </b:Author>
    </b:Author>
    <b:Title>Our History</b:Title>
    <b:InternetSiteTitle>WWT</b:InternetSiteTitle>
    <b:YearAccessed>2019</b:YearAccessed>
    <b:MonthAccessed>March</b:MonthAccessed>
    <b:DayAccessed>12</b:DayAccessed>
    <b:URL>https://www.wwt.org.uk/who-we-are/our-history/</b:URL>
    <b:RefOrder>6</b:RefOrder>
  </b:Source>
  <b:Source>
    <b:Tag>Chr16</b:Tag>
    <b:SourceType>InternetSite</b:SourceType>
    <b:Guid>{A1680832-93A6-4FBF-B513-7BC743071177}</b:Guid>
    <b:Author>
      <b:Author>
        <b:NameList>
          <b:Person>
            <b:Last>Kelsey</b:Last>
            <b:First>Chris</b:First>
          </b:Person>
        </b:NameList>
      </b:Author>
    </b:Author>
    <b:Title>The facts and figures about Tata Steel UK</b:Title>
    <b:InternetSiteTitle>Wales online</b:InternetSiteTitle>
    <b:Year>2016</b:Year>
    <b:Month>April</b:Month>
    <b:Day>28</b:Day>
    <b:YearAccessed>2019</b:YearAccessed>
    <b:MonthAccessed>March </b:MonthAccessed>
    <b:DayAccessed>15</b:DayAccessed>
    <b:URL>https://www.walesonline.co.uk/business/business-news/facts-figures-tata-steel-uk-11258131</b:URL>
    <b:RefOrder>5</b:RefOrder>
  </b:Source>
  <b:Source>
    <b:Tag>Cra02</b:Tag>
    <b:SourceType>Misc</b:SourceType>
    <b:Guid>{D7F1E0B7-DC28-4D87-8519-E618335E3C13}</b:Guid>
    <b:Title>The Industrial and Maritime History of Llanelli and Burry Port 1750- 2000</b:Title>
    <b:Year>2002</b:Year>
    <b:Publisher>Carmarthenshire County Council</b:Publisher>
    <b:Author>
      <b:Author>
        <b:NameList>
          <b:Person>
            <b:Last>Craig</b:Last>
            <b:Middle>S</b:Middle>
            <b:First>R</b:First>
          </b:Person>
          <b:Person>
            <b:Last>Jones</b:Last>
            <b:First>Protheroe </b:First>
          </b:Person>
          <b:Person>
            <b:Last>Symons</b:Last>
            <b:Middle>V</b:Middle>
            <b:First>M</b:First>
          </b:Person>
        </b:NameList>
      </b:Author>
    </b:Author>
    <b:RefOrder>1</b:RefOrder>
  </b:Source>
  <b:Source>
    <b:Tag>Han</b:Tag>
    <b:SourceType>Misc</b:SourceType>
    <b:Guid>{BFE7DA70-57D7-4F16-B1B1-19AA26C60756}</b:Guid>
    <b:Title>The Roots of Modern Llanelli</b:Title>
    <b:Author>
      <b:Author>
        <b:NameList>
          <b:Person>
            <b:Last>Hannam</b:Last>
            <b:First>Julie</b:First>
          </b:Person>
        </b:NameList>
      </b:Author>
    </b:Author>
    <b:RefOrder>2</b:RefOrder>
  </b:Source>
</b:Sources>
</file>

<file path=customXml/itemProps1.xml><?xml version="1.0" encoding="utf-8"?>
<ds:datastoreItem xmlns:ds="http://schemas.openxmlformats.org/officeDocument/2006/customXml" ds:itemID="{5FCB3E0C-330E-4BF4-BEBA-E1470AB4E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834</Words>
  <Characters>4756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Learning Log Report</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 Report</dc:title>
  <dc:subject>Distinctiveness &amp; Regeneration</dc:subject>
  <dc:creator>shannon Jones</dc:creator>
  <cp:keywords/>
  <dc:description/>
  <cp:lastModifiedBy>Shannon Jones (1803188)</cp:lastModifiedBy>
  <cp:revision>9</cp:revision>
  <dcterms:created xsi:type="dcterms:W3CDTF">2019-03-14T13:45:00Z</dcterms:created>
  <dcterms:modified xsi:type="dcterms:W3CDTF">2019-03-15T16:30:00Z</dcterms:modified>
</cp:coreProperties>
</file>