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639FA" w14:textId="77777777" w:rsidR="009F69CF" w:rsidRDefault="009F69CF" w:rsidP="009F69CF">
      <w:pPr>
        <w:spacing w:after="0" w:line="360" w:lineRule="auto"/>
        <w:ind w:left="3478"/>
        <w:jc w:val="both"/>
        <w:rPr>
          <w:rFonts w:ascii="Arial" w:eastAsia="Arial" w:hAnsi="Arial" w:cs="Arial"/>
          <w:b/>
          <w:bCs/>
        </w:rPr>
      </w:pPr>
    </w:p>
    <w:p w14:paraId="1B6B0EF4" w14:textId="77777777" w:rsidR="009F69CF" w:rsidRDefault="009F69CF" w:rsidP="009F69CF">
      <w:pPr>
        <w:spacing w:line="360" w:lineRule="auto"/>
        <w:rPr>
          <w:lang w:val="en-US"/>
        </w:rPr>
      </w:pPr>
    </w:p>
    <w:p w14:paraId="75296607" w14:textId="77777777" w:rsidR="009F69CF" w:rsidRDefault="009F69CF" w:rsidP="009F69CF">
      <w:pPr>
        <w:spacing w:line="360" w:lineRule="auto"/>
        <w:jc w:val="center"/>
      </w:pPr>
      <w:r>
        <w:rPr>
          <w:noProof/>
        </w:rPr>
        <w:drawing>
          <wp:inline distT="0" distB="0" distL="0" distR="0" wp14:anchorId="7B5FF747" wp14:editId="2B9E63DE">
            <wp:extent cx="3810330" cy="1627773"/>
            <wp:effectExtent l="0" t="0" r="0" b="0"/>
            <wp:docPr id="130636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0025" name="Picture 1306360025"/>
                    <pic:cNvPicPr/>
                  </pic:nvPicPr>
                  <pic:blipFill>
                    <a:blip r:embed="rId8">
                      <a:extLst>
                        <a:ext uri="{28A0092B-C50C-407E-A947-70E740481C1C}">
                          <a14:useLocalDpi xmlns:a14="http://schemas.microsoft.com/office/drawing/2010/main"/>
                        </a:ext>
                      </a:extLst>
                    </a:blip>
                    <a:stretch>
                      <a:fillRect/>
                    </a:stretch>
                  </pic:blipFill>
                  <pic:spPr>
                    <a:xfrm>
                      <a:off x="0" y="0"/>
                      <a:ext cx="3810330" cy="1627773"/>
                    </a:xfrm>
                    <a:prstGeom prst="rect">
                      <a:avLst/>
                    </a:prstGeom>
                  </pic:spPr>
                </pic:pic>
              </a:graphicData>
            </a:graphic>
          </wp:inline>
        </w:drawing>
      </w:r>
    </w:p>
    <w:p w14:paraId="503C0E02" w14:textId="77777777" w:rsidR="009F69CF" w:rsidRDefault="009F69CF" w:rsidP="009F69CF">
      <w:pPr>
        <w:spacing w:line="360" w:lineRule="auto"/>
        <w:rPr>
          <w:lang w:val="en-US"/>
        </w:rPr>
      </w:pPr>
    </w:p>
    <w:p w14:paraId="2AF2391F" w14:textId="77777777" w:rsidR="009F69CF" w:rsidRDefault="009F69CF" w:rsidP="009F69CF">
      <w:pPr>
        <w:spacing w:line="360" w:lineRule="auto"/>
        <w:rPr>
          <w:rFonts w:ascii="Arial" w:eastAsia="Arial" w:hAnsi="Arial" w:cs="Arial"/>
          <w:lang w:val="en-US"/>
        </w:rPr>
      </w:pPr>
    </w:p>
    <w:p w14:paraId="29861E4C"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Student Name: Shyam </w:t>
      </w:r>
      <w:proofErr w:type="spellStart"/>
      <w:r w:rsidRPr="290B13FD">
        <w:rPr>
          <w:rFonts w:ascii="Arial" w:eastAsia="Arial" w:hAnsi="Arial" w:cs="Arial"/>
          <w:b/>
          <w:bCs/>
          <w:lang w:val="en-US"/>
        </w:rPr>
        <w:t>SatishKumar</w:t>
      </w:r>
      <w:proofErr w:type="spellEnd"/>
      <w:r w:rsidRPr="290B13FD">
        <w:rPr>
          <w:rFonts w:ascii="Arial" w:eastAsia="Arial" w:hAnsi="Arial" w:cs="Arial"/>
          <w:b/>
          <w:bCs/>
          <w:lang w:val="en-US"/>
        </w:rPr>
        <w:t xml:space="preserve"> Patel</w:t>
      </w:r>
    </w:p>
    <w:p w14:paraId="194520C1"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0C06491C"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Student ID: 2520602</w:t>
      </w:r>
    </w:p>
    <w:p w14:paraId="682F651A"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7D467D8B" w14:textId="0F502C88"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Name: </w:t>
      </w:r>
      <w:r w:rsidR="005B0425" w:rsidRPr="005B0425">
        <w:rPr>
          <w:rFonts w:ascii="Arial" w:eastAsia="Arial" w:hAnsi="Arial" w:cs="Arial"/>
          <w:b/>
          <w:bCs/>
        </w:rPr>
        <w:t>Financial Management</w:t>
      </w:r>
    </w:p>
    <w:p w14:paraId="144B3B4E" w14:textId="77777777" w:rsidR="009F69CF" w:rsidRDefault="009F69CF" w:rsidP="009F69CF">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252ED1EA" w14:textId="311772BF"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Code: </w:t>
      </w:r>
      <w:r w:rsidR="00D0792F" w:rsidRPr="00D0792F">
        <w:rPr>
          <w:rFonts w:ascii="Arial" w:eastAsia="Arial" w:hAnsi="Arial" w:cs="Arial"/>
          <w:b/>
          <w:bCs/>
        </w:rPr>
        <w:t>LCMB7002</w:t>
      </w:r>
    </w:p>
    <w:p w14:paraId="1037C8CA" w14:textId="77777777" w:rsidR="009F69CF" w:rsidRDefault="009F69CF" w:rsidP="009F69CF">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71EAB80" w14:textId="3084429E"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Lecturer’s Name:  </w:t>
      </w:r>
      <w:r w:rsidR="00190AC4">
        <w:rPr>
          <w:rFonts w:ascii="Arial" w:eastAsia="Arial" w:hAnsi="Arial" w:cs="Arial"/>
          <w:b/>
          <w:bCs/>
          <w:lang w:val="en-US"/>
        </w:rPr>
        <w:t xml:space="preserve">Isaiah </w:t>
      </w:r>
      <w:proofErr w:type="spellStart"/>
      <w:r w:rsidR="00190AC4">
        <w:rPr>
          <w:rFonts w:ascii="Arial" w:eastAsia="Arial" w:hAnsi="Arial" w:cs="Arial"/>
          <w:b/>
          <w:bCs/>
          <w:lang w:val="en-US"/>
        </w:rPr>
        <w:t>Oino</w:t>
      </w:r>
      <w:proofErr w:type="spellEnd"/>
    </w:p>
    <w:p w14:paraId="7EA6173A" w14:textId="77777777" w:rsidR="009F69CF" w:rsidRDefault="009F69CF" w:rsidP="009F69CF">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4D60215" w14:textId="73FBF93A"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Word Count: </w:t>
      </w:r>
      <w:r w:rsidR="00556986">
        <w:rPr>
          <w:rFonts w:ascii="Arial" w:eastAsia="Arial" w:hAnsi="Arial" w:cs="Arial"/>
          <w:b/>
          <w:bCs/>
          <w:lang w:val="en-US"/>
        </w:rPr>
        <w:t>53</w:t>
      </w:r>
      <w:r w:rsidR="005B0425">
        <w:rPr>
          <w:rFonts w:ascii="Arial" w:eastAsia="Arial" w:hAnsi="Arial" w:cs="Arial"/>
          <w:b/>
          <w:bCs/>
          <w:lang w:val="en-US"/>
        </w:rPr>
        <w:t>85</w:t>
      </w:r>
    </w:p>
    <w:p w14:paraId="611ABCC3" w14:textId="77777777" w:rsidR="009F69CF" w:rsidRDefault="009F69CF" w:rsidP="009F69CF">
      <w:pPr>
        <w:spacing w:line="360" w:lineRule="auto"/>
        <w:ind w:left="3478"/>
        <w:rPr>
          <w:rFonts w:ascii="Arial" w:eastAsia="Arial" w:hAnsi="Arial" w:cs="Arial"/>
          <w:b/>
          <w:bCs/>
          <w:lang w:val="en-US"/>
        </w:rPr>
      </w:pPr>
      <w:r w:rsidRPr="290B13FD">
        <w:rPr>
          <w:rFonts w:ascii="Arial" w:eastAsia="Arial" w:hAnsi="Arial" w:cs="Arial"/>
          <w:b/>
          <w:bCs/>
          <w:lang w:val="en-US"/>
        </w:rPr>
        <w:t xml:space="preserve"> </w:t>
      </w:r>
    </w:p>
    <w:p w14:paraId="59C87C93"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Term 1</w:t>
      </w:r>
    </w:p>
    <w:p w14:paraId="2CA4CAD4" w14:textId="77777777" w:rsidR="00D81C52" w:rsidRDefault="00D81C52" w:rsidP="009F69CF">
      <w:pPr>
        <w:spacing w:line="360" w:lineRule="auto"/>
        <w:jc w:val="center"/>
        <w:rPr>
          <w:rFonts w:ascii="Arial" w:eastAsia="Arial" w:hAnsi="Arial" w:cs="Arial"/>
          <w:b/>
          <w:bCs/>
          <w:lang w:val="en-US"/>
        </w:rPr>
      </w:pPr>
    </w:p>
    <w:p w14:paraId="03CF2097" w14:textId="77777777" w:rsidR="00D81C52" w:rsidRDefault="00D81C52" w:rsidP="009F69CF">
      <w:pPr>
        <w:spacing w:line="360" w:lineRule="auto"/>
        <w:jc w:val="center"/>
        <w:rPr>
          <w:rFonts w:ascii="Arial" w:eastAsia="Arial" w:hAnsi="Arial" w:cs="Arial"/>
          <w:b/>
          <w:bCs/>
          <w:lang w:val="en-US"/>
        </w:rPr>
      </w:pPr>
    </w:p>
    <w:p w14:paraId="7FCC39D9" w14:textId="77777777" w:rsidR="00D81C52" w:rsidRDefault="00D81C52" w:rsidP="009F69CF">
      <w:pPr>
        <w:spacing w:line="360" w:lineRule="auto"/>
        <w:jc w:val="center"/>
        <w:rPr>
          <w:rFonts w:ascii="Arial" w:eastAsia="Arial" w:hAnsi="Arial" w:cs="Arial"/>
          <w:b/>
          <w:bCs/>
          <w:lang w:val="en-US"/>
        </w:rPr>
      </w:pPr>
    </w:p>
    <w:p w14:paraId="3C5A275C" w14:textId="173B6F98" w:rsidR="00D81C52" w:rsidRPr="00ED62B2" w:rsidRDefault="00D81C52" w:rsidP="00D81C52">
      <w:pPr>
        <w:spacing w:line="360" w:lineRule="auto"/>
        <w:rPr>
          <w:rFonts w:ascii="Arial" w:hAnsi="Arial" w:cs="Arial"/>
        </w:rPr>
      </w:pPr>
    </w:p>
    <w:sdt>
      <w:sdtPr>
        <w:rPr>
          <w:rFonts w:asciiTheme="minorHAnsi" w:eastAsiaTheme="minorHAnsi" w:hAnsiTheme="minorHAnsi" w:cstheme="minorBidi"/>
          <w:color w:val="auto"/>
          <w:kern w:val="2"/>
          <w:sz w:val="24"/>
          <w:szCs w:val="24"/>
          <w:lang w:val="en-IN"/>
          <w14:ligatures w14:val="standardContextual"/>
        </w:rPr>
        <w:id w:val="31307447"/>
        <w:docPartObj>
          <w:docPartGallery w:val="Table of Contents"/>
          <w:docPartUnique/>
        </w:docPartObj>
      </w:sdtPr>
      <w:sdtEndPr>
        <w:rPr>
          <w:b/>
          <w:bCs/>
          <w:noProof/>
        </w:rPr>
      </w:sdtEndPr>
      <w:sdtContent>
        <w:p w14:paraId="69A4B71B" w14:textId="77777777" w:rsidR="00D81C52" w:rsidRDefault="00D81C52" w:rsidP="00D81C52">
          <w:pPr>
            <w:pStyle w:val="TOCHeading"/>
          </w:pPr>
          <w:r>
            <w:t>Contents</w:t>
          </w:r>
        </w:p>
        <w:p w14:paraId="68056248" w14:textId="75C4C72B" w:rsidR="00C12EE6" w:rsidRDefault="00D81C52">
          <w:pPr>
            <w:pStyle w:val="TOC1"/>
            <w:tabs>
              <w:tab w:val="right" w:leader="dot" w:pos="10456"/>
            </w:tabs>
            <w:rPr>
              <w:rFonts w:eastAsiaTheme="minorEastAsia"/>
              <w:noProof/>
              <w:lang w:val="en-CA" w:eastAsia="en-CA"/>
            </w:rPr>
          </w:pPr>
          <w:r>
            <w:fldChar w:fldCharType="begin"/>
          </w:r>
          <w:r>
            <w:instrText xml:space="preserve"> TOC \o "1-3" \h \z \u </w:instrText>
          </w:r>
          <w:r>
            <w:fldChar w:fldCharType="separate"/>
          </w:r>
          <w:hyperlink w:anchor="_Toc227771622" w:history="1">
            <w:r w:rsidR="00C12EE6" w:rsidRPr="004B38A6">
              <w:rPr>
                <w:rStyle w:val="Hyperlink"/>
                <w:rFonts w:ascii="Arial" w:hAnsi="Arial" w:cs="Arial"/>
                <w:noProof/>
              </w:rPr>
              <w:t>Introduction</w:t>
            </w:r>
            <w:r w:rsidR="00C12EE6">
              <w:rPr>
                <w:noProof/>
                <w:webHidden/>
              </w:rPr>
              <w:tab/>
            </w:r>
            <w:r w:rsidR="00C12EE6">
              <w:rPr>
                <w:noProof/>
                <w:webHidden/>
              </w:rPr>
              <w:fldChar w:fldCharType="begin"/>
            </w:r>
            <w:r w:rsidR="00C12EE6">
              <w:rPr>
                <w:noProof/>
                <w:webHidden/>
              </w:rPr>
              <w:instrText xml:space="preserve"> PAGEREF _Toc227771622 \h </w:instrText>
            </w:r>
            <w:r w:rsidR="00C12EE6">
              <w:rPr>
                <w:noProof/>
                <w:webHidden/>
              </w:rPr>
            </w:r>
            <w:r w:rsidR="00C12EE6">
              <w:rPr>
                <w:noProof/>
                <w:webHidden/>
              </w:rPr>
              <w:fldChar w:fldCharType="separate"/>
            </w:r>
            <w:r w:rsidR="001A6DBA">
              <w:rPr>
                <w:noProof/>
                <w:webHidden/>
              </w:rPr>
              <w:t>3</w:t>
            </w:r>
            <w:r w:rsidR="00C12EE6">
              <w:rPr>
                <w:noProof/>
                <w:webHidden/>
              </w:rPr>
              <w:fldChar w:fldCharType="end"/>
            </w:r>
          </w:hyperlink>
        </w:p>
        <w:p w14:paraId="31985EF7" w14:textId="63669855" w:rsidR="00C12EE6" w:rsidRDefault="001A6DBA">
          <w:pPr>
            <w:pStyle w:val="TOC1"/>
            <w:tabs>
              <w:tab w:val="right" w:leader="dot" w:pos="10456"/>
            </w:tabs>
            <w:rPr>
              <w:rFonts w:eastAsiaTheme="minorEastAsia"/>
              <w:noProof/>
              <w:lang w:val="en-CA" w:eastAsia="en-CA"/>
            </w:rPr>
          </w:pPr>
          <w:hyperlink w:anchor="_Toc227771623" w:history="1">
            <w:r w:rsidR="00C12EE6" w:rsidRPr="004B38A6">
              <w:rPr>
                <w:rStyle w:val="Hyperlink"/>
                <w:rFonts w:ascii="Arial" w:hAnsi="Arial" w:cs="Arial"/>
                <w:noProof/>
              </w:rPr>
              <w:t>1. Financial Health Check</w:t>
            </w:r>
            <w:r w:rsidR="00C12EE6">
              <w:rPr>
                <w:noProof/>
                <w:webHidden/>
              </w:rPr>
              <w:tab/>
            </w:r>
            <w:r w:rsidR="00C12EE6">
              <w:rPr>
                <w:noProof/>
                <w:webHidden/>
              </w:rPr>
              <w:fldChar w:fldCharType="begin"/>
            </w:r>
            <w:r w:rsidR="00C12EE6">
              <w:rPr>
                <w:noProof/>
                <w:webHidden/>
              </w:rPr>
              <w:instrText xml:space="preserve"> PAGEREF _Toc227771623 \h </w:instrText>
            </w:r>
            <w:r w:rsidR="00C12EE6">
              <w:rPr>
                <w:noProof/>
                <w:webHidden/>
              </w:rPr>
            </w:r>
            <w:r w:rsidR="00C12EE6">
              <w:rPr>
                <w:noProof/>
                <w:webHidden/>
              </w:rPr>
              <w:fldChar w:fldCharType="separate"/>
            </w:r>
            <w:r>
              <w:rPr>
                <w:noProof/>
                <w:webHidden/>
              </w:rPr>
              <w:t>3</w:t>
            </w:r>
            <w:r w:rsidR="00C12EE6">
              <w:rPr>
                <w:noProof/>
                <w:webHidden/>
              </w:rPr>
              <w:fldChar w:fldCharType="end"/>
            </w:r>
          </w:hyperlink>
        </w:p>
        <w:p w14:paraId="3D7FF868" w14:textId="5B133896" w:rsidR="00C12EE6" w:rsidRDefault="001A6DBA">
          <w:pPr>
            <w:pStyle w:val="TOC2"/>
            <w:tabs>
              <w:tab w:val="right" w:leader="dot" w:pos="10456"/>
            </w:tabs>
            <w:rPr>
              <w:rFonts w:eastAsiaTheme="minorEastAsia"/>
              <w:noProof/>
              <w:lang w:val="en-CA" w:eastAsia="en-CA"/>
            </w:rPr>
          </w:pPr>
          <w:hyperlink w:anchor="_Toc227771624" w:history="1">
            <w:r w:rsidR="00C12EE6" w:rsidRPr="004B38A6">
              <w:rPr>
                <w:rStyle w:val="Hyperlink"/>
                <w:rFonts w:ascii="Arial" w:hAnsi="Arial" w:cs="Arial"/>
                <w:noProof/>
              </w:rPr>
              <w:t>1.1 Profitability Analysis</w:t>
            </w:r>
            <w:r w:rsidR="00C12EE6">
              <w:rPr>
                <w:noProof/>
                <w:webHidden/>
              </w:rPr>
              <w:tab/>
            </w:r>
            <w:r w:rsidR="00C12EE6">
              <w:rPr>
                <w:noProof/>
                <w:webHidden/>
              </w:rPr>
              <w:fldChar w:fldCharType="begin"/>
            </w:r>
            <w:r w:rsidR="00C12EE6">
              <w:rPr>
                <w:noProof/>
                <w:webHidden/>
              </w:rPr>
              <w:instrText xml:space="preserve"> PAGEREF _Toc227771624 \h </w:instrText>
            </w:r>
            <w:r w:rsidR="00C12EE6">
              <w:rPr>
                <w:noProof/>
                <w:webHidden/>
              </w:rPr>
            </w:r>
            <w:r w:rsidR="00C12EE6">
              <w:rPr>
                <w:noProof/>
                <w:webHidden/>
              </w:rPr>
              <w:fldChar w:fldCharType="separate"/>
            </w:r>
            <w:r>
              <w:rPr>
                <w:noProof/>
                <w:webHidden/>
              </w:rPr>
              <w:t>3</w:t>
            </w:r>
            <w:r w:rsidR="00C12EE6">
              <w:rPr>
                <w:noProof/>
                <w:webHidden/>
              </w:rPr>
              <w:fldChar w:fldCharType="end"/>
            </w:r>
          </w:hyperlink>
        </w:p>
        <w:p w14:paraId="71697CFA" w14:textId="03638079" w:rsidR="00C12EE6" w:rsidRDefault="001A6DBA">
          <w:pPr>
            <w:pStyle w:val="TOC2"/>
            <w:tabs>
              <w:tab w:val="right" w:leader="dot" w:pos="10456"/>
            </w:tabs>
            <w:rPr>
              <w:rFonts w:eastAsiaTheme="minorEastAsia"/>
              <w:noProof/>
              <w:lang w:val="en-CA" w:eastAsia="en-CA"/>
            </w:rPr>
          </w:pPr>
          <w:hyperlink w:anchor="_Toc227771625" w:history="1">
            <w:r w:rsidR="00C12EE6" w:rsidRPr="004B38A6">
              <w:rPr>
                <w:rStyle w:val="Hyperlink"/>
                <w:rFonts w:ascii="Arial" w:hAnsi="Arial" w:cs="Arial"/>
                <w:noProof/>
              </w:rPr>
              <w:t>1.2 Liquidity Analysis</w:t>
            </w:r>
            <w:r w:rsidR="00C12EE6">
              <w:rPr>
                <w:noProof/>
                <w:webHidden/>
              </w:rPr>
              <w:tab/>
            </w:r>
            <w:r w:rsidR="00C12EE6">
              <w:rPr>
                <w:noProof/>
                <w:webHidden/>
              </w:rPr>
              <w:fldChar w:fldCharType="begin"/>
            </w:r>
            <w:r w:rsidR="00C12EE6">
              <w:rPr>
                <w:noProof/>
                <w:webHidden/>
              </w:rPr>
              <w:instrText xml:space="preserve"> PAGEREF _Toc227771625 \h </w:instrText>
            </w:r>
            <w:r w:rsidR="00C12EE6">
              <w:rPr>
                <w:noProof/>
                <w:webHidden/>
              </w:rPr>
            </w:r>
            <w:r w:rsidR="00C12EE6">
              <w:rPr>
                <w:noProof/>
                <w:webHidden/>
              </w:rPr>
              <w:fldChar w:fldCharType="separate"/>
            </w:r>
            <w:r>
              <w:rPr>
                <w:noProof/>
                <w:webHidden/>
              </w:rPr>
              <w:t>4</w:t>
            </w:r>
            <w:r w:rsidR="00C12EE6">
              <w:rPr>
                <w:noProof/>
                <w:webHidden/>
              </w:rPr>
              <w:fldChar w:fldCharType="end"/>
            </w:r>
          </w:hyperlink>
        </w:p>
        <w:p w14:paraId="76EC82CB" w14:textId="364A349D" w:rsidR="00C12EE6" w:rsidRDefault="001A6DBA">
          <w:pPr>
            <w:pStyle w:val="TOC2"/>
            <w:tabs>
              <w:tab w:val="right" w:leader="dot" w:pos="10456"/>
            </w:tabs>
            <w:rPr>
              <w:rFonts w:eastAsiaTheme="minorEastAsia"/>
              <w:noProof/>
              <w:lang w:val="en-CA" w:eastAsia="en-CA"/>
            </w:rPr>
          </w:pPr>
          <w:hyperlink w:anchor="_Toc227771626" w:history="1">
            <w:r w:rsidR="00C12EE6" w:rsidRPr="004B38A6">
              <w:rPr>
                <w:rStyle w:val="Hyperlink"/>
                <w:rFonts w:ascii="Arial" w:hAnsi="Arial" w:cs="Arial"/>
                <w:noProof/>
              </w:rPr>
              <w:t>1.3 Efficiency (Working Capital) Analysis</w:t>
            </w:r>
            <w:r w:rsidR="00C12EE6">
              <w:rPr>
                <w:noProof/>
                <w:webHidden/>
              </w:rPr>
              <w:tab/>
            </w:r>
            <w:r w:rsidR="00C12EE6">
              <w:rPr>
                <w:noProof/>
                <w:webHidden/>
              </w:rPr>
              <w:fldChar w:fldCharType="begin"/>
            </w:r>
            <w:r w:rsidR="00C12EE6">
              <w:rPr>
                <w:noProof/>
                <w:webHidden/>
              </w:rPr>
              <w:instrText xml:space="preserve"> PAGEREF _Toc227771626 \h </w:instrText>
            </w:r>
            <w:r w:rsidR="00C12EE6">
              <w:rPr>
                <w:noProof/>
                <w:webHidden/>
              </w:rPr>
            </w:r>
            <w:r w:rsidR="00C12EE6">
              <w:rPr>
                <w:noProof/>
                <w:webHidden/>
              </w:rPr>
              <w:fldChar w:fldCharType="separate"/>
            </w:r>
            <w:r>
              <w:rPr>
                <w:noProof/>
                <w:webHidden/>
              </w:rPr>
              <w:t>5</w:t>
            </w:r>
            <w:r w:rsidR="00C12EE6">
              <w:rPr>
                <w:noProof/>
                <w:webHidden/>
              </w:rPr>
              <w:fldChar w:fldCharType="end"/>
            </w:r>
          </w:hyperlink>
        </w:p>
        <w:p w14:paraId="6A62AF3D" w14:textId="58824D6E" w:rsidR="00C12EE6" w:rsidRDefault="001A6DBA">
          <w:pPr>
            <w:pStyle w:val="TOC2"/>
            <w:tabs>
              <w:tab w:val="right" w:leader="dot" w:pos="10456"/>
            </w:tabs>
            <w:rPr>
              <w:rFonts w:eastAsiaTheme="minorEastAsia"/>
              <w:noProof/>
              <w:lang w:val="en-CA" w:eastAsia="en-CA"/>
            </w:rPr>
          </w:pPr>
          <w:hyperlink w:anchor="_Toc227771627" w:history="1">
            <w:r w:rsidR="00C12EE6" w:rsidRPr="004B38A6">
              <w:rPr>
                <w:rStyle w:val="Hyperlink"/>
                <w:rFonts w:ascii="Arial" w:hAnsi="Arial" w:cs="Arial"/>
                <w:noProof/>
              </w:rPr>
              <w:t>1.4 Gearing (Leverage) Analysis</w:t>
            </w:r>
            <w:r w:rsidR="00C12EE6">
              <w:rPr>
                <w:noProof/>
                <w:webHidden/>
              </w:rPr>
              <w:tab/>
            </w:r>
            <w:r w:rsidR="00C12EE6">
              <w:rPr>
                <w:noProof/>
                <w:webHidden/>
              </w:rPr>
              <w:fldChar w:fldCharType="begin"/>
            </w:r>
            <w:r w:rsidR="00C12EE6">
              <w:rPr>
                <w:noProof/>
                <w:webHidden/>
              </w:rPr>
              <w:instrText xml:space="preserve"> PAGEREF _Toc227771627 \h </w:instrText>
            </w:r>
            <w:r w:rsidR="00C12EE6">
              <w:rPr>
                <w:noProof/>
                <w:webHidden/>
              </w:rPr>
            </w:r>
            <w:r w:rsidR="00C12EE6">
              <w:rPr>
                <w:noProof/>
                <w:webHidden/>
              </w:rPr>
              <w:fldChar w:fldCharType="separate"/>
            </w:r>
            <w:r>
              <w:rPr>
                <w:noProof/>
                <w:webHidden/>
              </w:rPr>
              <w:t>5</w:t>
            </w:r>
            <w:r w:rsidR="00C12EE6">
              <w:rPr>
                <w:noProof/>
                <w:webHidden/>
              </w:rPr>
              <w:fldChar w:fldCharType="end"/>
            </w:r>
          </w:hyperlink>
        </w:p>
        <w:p w14:paraId="66E99CFC" w14:textId="12E33F78" w:rsidR="00C12EE6" w:rsidRDefault="001A6DBA">
          <w:pPr>
            <w:pStyle w:val="TOC2"/>
            <w:tabs>
              <w:tab w:val="right" w:leader="dot" w:pos="10456"/>
            </w:tabs>
            <w:rPr>
              <w:rFonts w:eastAsiaTheme="minorEastAsia"/>
              <w:noProof/>
              <w:lang w:val="en-CA" w:eastAsia="en-CA"/>
            </w:rPr>
          </w:pPr>
          <w:hyperlink w:anchor="_Toc227771628" w:history="1">
            <w:r w:rsidR="00C12EE6" w:rsidRPr="004B38A6">
              <w:rPr>
                <w:rStyle w:val="Hyperlink"/>
                <w:rFonts w:ascii="Arial" w:hAnsi="Arial" w:cs="Arial"/>
                <w:noProof/>
              </w:rPr>
              <w:t>1.5 Investment Ratios Analysis</w:t>
            </w:r>
            <w:r w:rsidR="00C12EE6">
              <w:rPr>
                <w:noProof/>
                <w:webHidden/>
              </w:rPr>
              <w:tab/>
            </w:r>
            <w:r w:rsidR="00C12EE6">
              <w:rPr>
                <w:noProof/>
                <w:webHidden/>
              </w:rPr>
              <w:fldChar w:fldCharType="begin"/>
            </w:r>
            <w:r w:rsidR="00C12EE6">
              <w:rPr>
                <w:noProof/>
                <w:webHidden/>
              </w:rPr>
              <w:instrText xml:space="preserve"> PAGEREF _Toc227771628 \h </w:instrText>
            </w:r>
            <w:r w:rsidR="00C12EE6">
              <w:rPr>
                <w:noProof/>
                <w:webHidden/>
              </w:rPr>
            </w:r>
            <w:r w:rsidR="00C12EE6">
              <w:rPr>
                <w:noProof/>
                <w:webHidden/>
              </w:rPr>
              <w:fldChar w:fldCharType="separate"/>
            </w:r>
            <w:r>
              <w:rPr>
                <w:noProof/>
                <w:webHidden/>
              </w:rPr>
              <w:t>6</w:t>
            </w:r>
            <w:r w:rsidR="00C12EE6">
              <w:rPr>
                <w:noProof/>
                <w:webHidden/>
              </w:rPr>
              <w:fldChar w:fldCharType="end"/>
            </w:r>
          </w:hyperlink>
        </w:p>
        <w:p w14:paraId="2B3869FB" w14:textId="3376B562" w:rsidR="00C12EE6" w:rsidRDefault="001A6DBA">
          <w:pPr>
            <w:pStyle w:val="TOC2"/>
            <w:tabs>
              <w:tab w:val="right" w:leader="dot" w:pos="10456"/>
            </w:tabs>
            <w:rPr>
              <w:rFonts w:eastAsiaTheme="minorEastAsia"/>
              <w:noProof/>
              <w:lang w:val="en-CA" w:eastAsia="en-CA"/>
            </w:rPr>
          </w:pPr>
          <w:hyperlink w:anchor="_Toc227771629" w:history="1">
            <w:r w:rsidR="00C12EE6" w:rsidRPr="004B38A6">
              <w:rPr>
                <w:rStyle w:val="Hyperlink"/>
                <w:rFonts w:ascii="Arial" w:hAnsi="Arial" w:cs="Arial"/>
                <w:noProof/>
              </w:rPr>
              <w:t>1.6 Cash Flow Analysis</w:t>
            </w:r>
            <w:r w:rsidR="00C12EE6">
              <w:rPr>
                <w:noProof/>
                <w:webHidden/>
              </w:rPr>
              <w:tab/>
            </w:r>
            <w:r w:rsidR="00C12EE6">
              <w:rPr>
                <w:noProof/>
                <w:webHidden/>
              </w:rPr>
              <w:fldChar w:fldCharType="begin"/>
            </w:r>
            <w:r w:rsidR="00C12EE6">
              <w:rPr>
                <w:noProof/>
                <w:webHidden/>
              </w:rPr>
              <w:instrText xml:space="preserve"> PAGEREF _Toc227771629 \h </w:instrText>
            </w:r>
            <w:r w:rsidR="00C12EE6">
              <w:rPr>
                <w:noProof/>
                <w:webHidden/>
              </w:rPr>
            </w:r>
            <w:r w:rsidR="00C12EE6">
              <w:rPr>
                <w:noProof/>
                <w:webHidden/>
              </w:rPr>
              <w:fldChar w:fldCharType="separate"/>
            </w:r>
            <w:r>
              <w:rPr>
                <w:noProof/>
                <w:webHidden/>
              </w:rPr>
              <w:t>6</w:t>
            </w:r>
            <w:r w:rsidR="00C12EE6">
              <w:rPr>
                <w:noProof/>
                <w:webHidden/>
              </w:rPr>
              <w:fldChar w:fldCharType="end"/>
            </w:r>
          </w:hyperlink>
        </w:p>
        <w:p w14:paraId="2E469462" w14:textId="6E0E49D5" w:rsidR="00C12EE6" w:rsidRDefault="001A6DBA">
          <w:pPr>
            <w:pStyle w:val="TOC2"/>
            <w:tabs>
              <w:tab w:val="right" w:leader="dot" w:pos="10456"/>
            </w:tabs>
            <w:rPr>
              <w:rFonts w:eastAsiaTheme="minorEastAsia"/>
              <w:noProof/>
              <w:lang w:val="en-CA" w:eastAsia="en-CA"/>
            </w:rPr>
          </w:pPr>
          <w:hyperlink w:anchor="_Toc227771630" w:history="1">
            <w:r w:rsidR="00C12EE6" w:rsidRPr="004B38A6">
              <w:rPr>
                <w:rStyle w:val="Hyperlink"/>
                <w:rFonts w:ascii="Arial" w:hAnsi="Arial" w:cs="Arial"/>
                <w:noProof/>
              </w:rPr>
              <w:t>1.7 Overall Assessment: Strengths and Weaknesses</w:t>
            </w:r>
            <w:r w:rsidR="00C12EE6">
              <w:rPr>
                <w:noProof/>
                <w:webHidden/>
              </w:rPr>
              <w:tab/>
            </w:r>
            <w:r w:rsidR="00C12EE6">
              <w:rPr>
                <w:noProof/>
                <w:webHidden/>
              </w:rPr>
              <w:fldChar w:fldCharType="begin"/>
            </w:r>
            <w:r w:rsidR="00C12EE6">
              <w:rPr>
                <w:noProof/>
                <w:webHidden/>
              </w:rPr>
              <w:instrText xml:space="preserve"> PAGEREF _Toc227771630 \h </w:instrText>
            </w:r>
            <w:r w:rsidR="00C12EE6">
              <w:rPr>
                <w:noProof/>
                <w:webHidden/>
              </w:rPr>
            </w:r>
            <w:r w:rsidR="00C12EE6">
              <w:rPr>
                <w:noProof/>
                <w:webHidden/>
              </w:rPr>
              <w:fldChar w:fldCharType="separate"/>
            </w:r>
            <w:r>
              <w:rPr>
                <w:noProof/>
                <w:webHidden/>
              </w:rPr>
              <w:t>7</w:t>
            </w:r>
            <w:r w:rsidR="00C12EE6">
              <w:rPr>
                <w:noProof/>
                <w:webHidden/>
              </w:rPr>
              <w:fldChar w:fldCharType="end"/>
            </w:r>
          </w:hyperlink>
        </w:p>
        <w:p w14:paraId="64B7310A" w14:textId="207BCEEE" w:rsidR="00C12EE6" w:rsidRDefault="001A6DBA">
          <w:pPr>
            <w:pStyle w:val="TOC1"/>
            <w:tabs>
              <w:tab w:val="right" w:leader="dot" w:pos="10456"/>
            </w:tabs>
            <w:rPr>
              <w:rFonts w:eastAsiaTheme="minorEastAsia"/>
              <w:noProof/>
              <w:lang w:val="en-CA" w:eastAsia="en-CA"/>
            </w:rPr>
          </w:pPr>
          <w:hyperlink w:anchor="_Toc227771631" w:history="1">
            <w:r w:rsidR="00C12EE6" w:rsidRPr="004B38A6">
              <w:rPr>
                <w:rStyle w:val="Hyperlink"/>
                <w:rFonts w:ascii="Arial" w:hAnsi="Arial" w:cs="Arial"/>
                <w:noProof/>
              </w:rPr>
              <w:t>2. Working Capital Management Analysis</w:t>
            </w:r>
            <w:r w:rsidR="00C12EE6">
              <w:rPr>
                <w:noProof/>
                <w:webHidden/>
              </w:rPr>
              <w:tab/>
            </w:r>
            <w:r w:rsidR="00C12EE6">
              <w:rPr>
                <w:noProof/>
                <w:webHidden/>
              </w:rPr>
              <w:fldChar w:fldCharType="begin"/>
            </w:r>
            <w:r w:rsidR="00C12EE6">
              <w:rPr>
                <w:noProof/>
                <w:webHidden/>
              </w:rPr>
              <w:instrText xml:space="preserve"> PAGEREF _Toc227771631 \h </w:instrText>
            </w:r>
            <w:r w:rsidR="00C12EE6">
              <w:rPr>
                <w:noProof/>
                <w:webHidden/>
              </w:rPr>
            </w:r>
            <w:r w:rsidR="00C12EE6">
              <w:rPr>
                <w:noProof/>
                <w:webHidden/>
              </w:rPr>
              <w:fldChar w:fldCharType="separate"/>
            </w:r>
            <w:r>
              <w:rPr>
                <w:noProof/>
                <w:webHidden/>
              </w:rPr>
              <w:t>7</w:t>
            </w:r>
            <w:r w:rsidR="00C12EE6">
              <w:rPr>
                <w:noProof/>
                <w:webHidden/>
              </w:rPr>
              <w:fldChar w:fldCharType="end"/>
            </w:r>
          </w:hyperlink>
        </w:p>
        <w:p w14:paraId="62E14ABC" w14:textId="2E8A538C" w:rsidR="00C12EE6" w:rsidRDefault="001A6DBA">
          <w:pPr>
            <w:pStyle w:val="TOC2"/>
            <w:tabs>
              <w:tab w:val="right" w:leader="dot" w:pos="10456"/>
            </w:tabs>
            <w:rPr>
              <w:rFonts w:eastAsiaTheme="minorEastAsia"/>
              <w:noProof/>
              <w:lang w:val="en-CA" w:eastAsia="en-CA"/>
            </w:rPr>
          </w:pPr>
          <w:hyperlink w:anchor="_Toc227771632" w:history="1">
            <w:r w:rsidR="00C12EE6" w:rsidRPr="004B38A6">
              <w:rPr>
                <w:rStyle w:val="Hyperlink"/>
                <w:rFonts w:ascii="Arial" w:hAnsi="Arial" w:cs="Arial"/>
                <w:noProof/>
              </w:rPr>
              <w:t>2.1 Cash Operating Cycle Analysis</w:t>
            </w:r>
            <w:r w:rsidR="00C12EE6">
              <w:rPr>
                <w:noProof/>
                <w:webHidden/>
              </w:rPr>
              <w:tab/>
            </w:r>
            <w:r w:rsidR="00C12EE6">
              <w:rPr>
                <w:noProof/>
                <w:webHidden/>
              </w:rPr>
              <w:fldChar w:fldCharType="begin"/>
            </w:r>
            <w:r w:rsidR="00C12EE6">
              <w:rPr>
                <w:noProof/>
                <w:webHidden/>
              </w:rPr>
              <w:instrText xml:space="preserve"> PAGEREF _Toc227771632 \h </w:instrText>
            </w:r>
            <w:r w:rsidR="00C12EE6">
              <w:rPr>
                <w:noProof/>
                <w:webHidden/>
              </w:rPr>
            </w:r>
            <w:r w:rsidR="00C12EE6">
              <w:rPr>
                <w:noProof/>
                <w:webHidden/>
              </w:rPr>
              <w:fldChar w:fldCharType="separate"/>
            </w:r>
            <w:r>
              <w:rPr>
                <w:noProof/>
                <w:webHidden/>
              </w:rPr>
              <w:t>8</w:t>
            </w:r>
            <w:r w:rsidR="00C12EE6">
              <w:rPr>
                <w:noProof/>
                <w:webHidden/>
              </w:rPr>
              <w:fldChar w:fldCharType="end"/>
            </w:r>
          </w:hyperlink>
        </w:p>
        <w:p w14:paraId="77FD0308" w14:textId="13DAAF7B" w:rsidR="00C12EE6" w:rsidRDefault="001A6DBA">
          <w:pPr>
            <w:pStyle w:val="TOC2"/>
            <w:tabs>
              <w:tab w:val="right" w:leader="dot" w:pos="10456"/>
            </w:tabs>
            <w:rPr>
              <w:rFonts w:eastAsiaTheme="minorEastAsia"/>
              <w:noProof/>
              <w:lang w:val="en-CA" w:eastAsia="en-CA"/>
            </w:rPr>
          </w:pPr>
          <w:hyperlink w:anchor="_Toc227771633" w:history="1">
            <w:r w:rsidR="00C12EE6" w:rsidRPr="004B38A6">
              <w:rPr>
                <w:rStyle w:val="Hyperlink"/>
                <w:rFonts w:ascii="Arial" w:hAnsi="Arial" w:cs="Arial"/>
                <w:noProof/>
              </w:rPr>
              <w:t>2.2 Strategies to Improve Liquidity</w:t>
            </w:r>
            <w:r w:rsidR="00C12EE6">
              <w:rPr>
                <w:noProof/>
                <w:webHidden/>
              </w:rPr>
              <w:tab/>
            </w:r>
            <w:r w:rsidR="00C12EE6">
              <w:rPr>
                <w:noProof/>
                <w:webHidden/>
              </w:rPr>
              <w:fldChar w:fldCharType="begin"/>
            </w:r>
            <w:r w:rsidR="00C12EE6">
              <w:rPr>
                <w:noProof/>
                <w:webHidden/>
              </w:rPr>
              <w:instrText xml:space="preserve"> PAGEREF _Toc227771633 \h </w:instrText>
            </w:r>
            <w:r w:rsidR="00C12EE6">
              <w:rPr>
                <w:noProof/>
                <w:webHidden/>
              </w:rPr>
            </w:r>
            <w:r w:rsidR="00C12EE6">
              <w:rPr>
                <w:noProof/>
                <w:webHidden/>
              </w:rPr>
              <w:fldChar w:fldCharType="separate"/>
            </w:r>
            <w:r>
              <w:rPr>
                <w:noProof/>
                <w:webHidden/>
              </w:rPr>
              <w:t>8</w:t>
            </w:r>
            <w:r w:rsidR="00C12EE6">
              <w:rPr>
                <w:noProof/>
                <w:webHidden/>
              </w:rPr>
              <w:fldChar w:fldCharType="end"/>
            </w:r>
          </w:hyperlink>
        </w:p>
        <w:p w14:paraId="406A49F6" w14:textId="18A110B4" w:rsidR="00C12EE6" w:rsidRDefault="001A6DBA">
          <w:pPr>
            <w:pStyle w:val="TOC2"/>
            <w:tabs>
              <w:tab w:val="right" w:leader="dot" w:pos="10456"/>
            </w:tabs>
            <w:rPr>
              <w:rFonts w:eastAsiaTheme="minorEastAsia"/>
              <w:noProof/>
              <w:lang w:val="en-CA" w:eastAsia="en-CA"/>
            </w:rPr>
          </w:pPr>
          <w:hyperlink w:anchor="_Toc227771634" w:history="1">
            <w:r w:rsidR="00C12EE6" w:rsidRPr="004B38A6">
              <w:rPr>
                <w:rStyle w:val="Hyperlink"/>
                <w:rFonts w:ascii="Arial" w:hAnsi="Arial" w:cs="Arial"/>
                <w:noProof/>
              </w:rPr>
              <w:t>2.3 Short-Term vs Long-Term Financing Options</w:t>
            </w:r>
            <w:r w:rsidR="00C12EE6">
              <w:rPr>
                <w:noProof/>
                <w:webHidden/>
              </w:rPr>
              <w:tab/>
            </w:r>
            <w:r w:rsidR="00C12EE6">
              <w:rPr>
                <w:noProof/>
                <w:webHidden/>
              </w:rPr>
              <w:fldChar w:fldCharType="begin"/>
            </w:r>
            <w:r w:rsidR="00C12EE6">
              <w:rPr>
                <w:noProof/>
                <w:webHidden/>
              </w:rPr>
              <w:instrText xml:space="preserve"> PAGEREF _Toc227771634 \h </w:instrText>
            </w:r>
            <w:r w:rsidR="00C12EE6">
              <w:rPr>
                <w:noProof/>
                <w:webHidden/>
              </w:rPr>
            </w:r>
            <w:r w:rsidR="00C12EE6">
              <w:rPr>
                <w:noProof/>
                <w:webHidden/>
              </w:rPr>
              <w:fldChar w:fldCharType="separate"/>
            </w:r>
            <w:r>
              <w:rPr>
                <w:noProof/>
                <w:webHidden/>
              </w:rPr>
              <w:t>9</w:t>
            </w:r>
            <w:r w:rsidR="00C12EE6">
              <w:rPr>
                <w:noProof/>
                <w:webHidden/>
              </w:rPr>
              <w:fldChar w:fldCharType="end"/>
            </w:r>
          </w:hyperlink>
        </w:p>
        <w:p w14:paraId="48A4262D" w14:textId="5A39762F" w:rsidR="00C12EE6" w:rsidRDefault="001A6DBA">
          <w:pPr>
            <w:pStyle w:val="TOC1"/>
            <w:tabs>
              <w:tab w:val="right" w:leader="dot" w:pos="10456"/>
            </w:tabs>
            <w:rPr>
              <w:rFonts w:eastAsiaTheme="minorEastAsia"/>
              <w:noProof/>
              <w:lang w:val="en-CA" w:eastAsia="en-CA"/>
            </w:rPr>
          </w:pPr>
          <w:hyperlink w:anchor="_Toc227771635" w:history="1">
            <w:r w:rsidR="00C12EE6" w:rsidRPr="004B38A6">
              <w:rPr>
                <w:rStyle w:val="Hyperlink"/>
                <w:rFonts w:ascii="Arial" w:hAnsi="Arial" w:cs="Arial"/>
                <w:noProof/>
              </w:rPr>
              <w:t>3. Strategic Financial Restructuring Plan</w:t>
            </w:r>
            <w:r w:rsidR="00C12EE6">
              <w:rPr>
                <w:noProof/>
                <w:webHidden/>
              </w:rPr>
              <w:tab/>
            </w:r>
            <w:r w:rsidR="00C12EE6">
              <w:rPr>
                <w:noProof/>
                <w:webHidden/>
              </w:rPr>
              <w:fldChar w:fldCharType="begin"/>
            </w:r>
            <w:r w:rsidR="00C12EE6">
              <w:rPr>
                <w:noProof/>
                <w:webHidden/>
              </w:rPr>
              <w:instrText xml:space="preserve"> PAGEREF _Toc227771635 \h </w:instrText>
            </w:r>
            <w:r w:rsidR="00C12EE6">
              <w:rPr>
                <w:noProof/>
                <w:webHidden/>
              </w:rPr>
            </w:r>
            <w:r w:rsidR="00C12EE6">
              <w:rPr>
                <w:noProof/>
                <w:webHidden/>
              </w:rPr>
              <w:fldChar w:fldCharType="separate"/>
            </w:r>
            <w:r>
              <w:rPr>
                <w:noProof/>
                <w:webHidden/>
              </w:rPr>
              <w:t>10</w:t>
            </w:r>
            <w:r w:rsidR="00C12EE6">
              <w:rPr>
                <w:noProof/>
                <w:webHidden/>
              </w:rPr>
              <w:fldChar w:fldCharType="end"/>
            </w:r>
          </w:hyperlink>
        </w:p>
        <w:p w14:paraId="5C5974F2" w14:textId="52875D73" w:rsidR="00C12EE6" w:rsidRDefault="001A6DBA">
          <w:pPr>
            <w:pStyle w:val="TOC2"/>
            <w:tabs>
              <w:tab w:val="right" w:leader="dot" w:pos="10456"/>
            </w:tabs>
            <w:rPr>
              <w:rFonts w:eastAsiaTheme="minorEastAsia"/>
              <w:noProof/>
              <w:lang w:val="en-CA" w:eastAsia="en-CA"/>
            </w:rPr>
          </w:pPr>
          <w:hyperlink w:anchor="_Toc227771636" w:history="1">
            <w:r w:rsidR="00C12EE6" w:rsidRPr="004B38A6">
              <w:rPr>
                <w:rStyle w:val="Hyperlink"/>
                <w:rFonts w:ascii="Arial" w:hAnsi="Arial" w:cs="Arial"/>
                <w:noProof/>
              </w:rPr>
              <w:t>3.1 Need for Financial Restructuring</w:t>
            </w:r>
            <w:r w:rsidR="00C12EE6">
              <w:rPr>
                <w:noProof/>
                <w:webHidden/>
              </w:rPr>
              <w:tab/>
            </w:r>
            <w:r w:rsidR="00C12EE6">
              <w:rPr>
                <w:noProof/>
                <w:webHidden/>
              </w:rPr>
              <w:fldChar w:fldCharType="begin"/>
            </w:r>
            <w:r w:rsidR="00C12EE6">
              <w:rPr>
                <w:noProof/>
                <w:webHidden/>
              </w:rPr>
              <w:instrText xml:space="preserve"> PAGEREF _Toc227771636 \h </w:instrText>
            </w:r>
            <w:r w:rsidR="00C12EE6">
              <w:rPr>
                <w:noProof/>
                <w:webHidden/>
              </w:rPr>
            </w:r>
            <w:r w:rsidR="00C12EE6">
              <w:rPr>
                <w:noProof/>
                <w:webHidden/>
              </w:rPr>
              <w:fldChar w:fldCharType="separate"/>
            </w:r>
            <w:r>
              <w:rPr>
                <w:noProof/>
                <w:webHidden/>
              </w:rPr>
              <w:t>11</w:t>
            </w:r>
            <w:r w:rsidR="00C12EE6">
              <w:rPr>
                <w:noProof/>
                <w:webHidden/>
              </w:rPr>
              <w:fldChar w:fldCharType="end"/>
            </w:r>
          </w:hyperlink>
        </w:p>
        <w:p w14:paraId="6EE857A1" w14:textId="2801E5A8" w:rsidR="00C12EE6" w:rsidRDefault="001A6DBA">
          <w:pPr>
            <w:pStyle w:val="TOC2"/>
            <w:tabs>
              <w:tab w:val="right" w:leader="dot" w:pos="10456"/>
            </w:tabs>
            <w:rPr>
              <w:rFonts w:eastAsiaTheme="minorEastAsia"/>
              <w:noProof/>
              <w:lang w:val="en-CA" w:eastAsia="en-CA"/>
            </w:rPr>
          </w:pPr>
          <w:hyperlink w:anchor="_Toc227771637" w:history="1">
            <w:r w:rsidR="00C12EE6" w:rsidRPr="004B38A6">
              <w:rPr>
                <w:rStyle w:val="Hyperlink"/>
                <w:rFonts w:ascii="Arial" w:hAnsi="Arial" w:cs="Arial"/>
                <w:noProof/>
              </w:rPr>
              <w:t>3.2 Financial Restructuring Options</w:t>
            </w:r>
            <w:r w:rsidR="00C12EE6">
              <w:rPr>
                <w:noProof/>
                <w:webHidden/>
              </w:rPr>
              <w:tab/>
            </w:r>
            <w:r w:rsidR="00C12EE6">
              <w:rPr>
                <w:noProof/>
                <w:webHidden/>
              </w:rPr>
              <w:fldChar w:fldCharType="begin"/>
            </w:r>
            <w:r w:rsidR="00C12EE6">
              <w:rPr>
                <w:noProof/>
                <w:webHidden/>
              </w:rPr>
              <w:instrText xml:space="preserve"> PAGEREF _Toc227771637 \h </w:instrText>
            </w:r>
            <w:r w:rsidR="00C12EE6">
              <w:rPr>
                <w:noProof/>
                <w:webHidden/>
              </w:rPr>
            </w:r>
            <w:r w:rsidR="00C12EE6">
              <w:rPr>
                <w:noProof/>
                <w:webHidden/>
              </w:rPr>
              <w:fldChar w:fldCharType="separate"/>
            </w:r>
            <w:r>
              <w:rPr>
                <w:noProof/>
                <w:webHidden/>
              </w:rPr>
              <w:t>11</w:t>
            </w:r>
            <w:r w:rsidR="00C12EE6">
              <w:rPr>
                <w:noProof/>
                <w:webHidden/>
              </w:rPr>
              <w:fldChar w:fldCharType="end"/>
            </w:r>
          </w:hyperlink>
        </w:p>
        <w:p w14:paraId="6276B505" w14:textId="2044D1AB" w:rsidR="00C12EE6" w:rsidRDefault="001A6DBA">
          <w:pPr>
            <w:pStyle w:val="TOC2"/>
            <w:tabs>
              <w:tab w:val="right" w:leader="dot" w:pos="10456"/>
            </w:tabs>
            <w:rPr>
              <w:rFonts w:eastAsiaTheme="minorEastAsia"/>
              <w:noProof/>
              <w:lang w:val="en-CA" w:eastAsia="en-CA"/>
            </w:rPr>
          </w:pPr>
          <w:hyperlink w:anchor="_Toc227771638" w:history="1">
            <w:r w:rsidR="00C12EE6" w:rsidRPr="004B38A6">
              <w:rPr>
                <w:rStyle w:val="Hyperlink"/>
                <w:rFonts w:ascii="Arial" w:hAnsi="Arial" w:cs="Arial"/>
                <w:noProof/>
              </w:rPr>
              <w:t>3.3 Impact on Shareholder Value</w:t>
            </w:r>
            <w:r w:rsidR="00C12EE6">
              <w:rPr>
                <w:noProof/>
                <w:webHidden/>
              </w:rPr>
              <w:tab/>
            </w:r>
            <w:r w:rsidR="00C12EE6">
              <w:rPr>
                <w:noProof/>
                <w:webHidden/>
              </w:rPr>
              <w:fldChar w:fldCharType="begin"/>
            </w:r>
            <w:r w:rsidR="00C12EE6">
              <w:rPr>
                <w:noProof/>
                <w:webHidden/>
              </w:rPr>
              <w:instrText xml:space="preserve"> PAGEREF _Toc227771638 \h </w:instrText>
            </w:r>
            <w:r w:rsidR="00C12EE6">
              <w:rPr>
                <w:noProof/>
                <w:webHidden/>
              </w:rPr>
            </w:r>
            <w:r w:rsidR="00C12EE6">
              <w:rPr>
                <w:noProof/>
                <w:webHidden/>
              </w:rPr>
              <w:fldChar w:fldCharType="separate"/>
            </w:r>
            <w:r>
              <w:rPr>
                <w:noProof/>
                <w:webHidden/>
              </w:rPr>
              <w:t>12</w:t>
            </w:r>
            <w:r w:rsidR="00C12EE6">
              <w:rPr>
                <w:noProof/>
                <w:webHidden/>
              </w:rPr>
              <w:fldChar w:fldCharType="end"/>
            </w:r>
          </w:hyperlink>
        </w:p>
        <w:p w14:paraId="7F0B72A1" w14:textId="190EB738" w:rsidR="00C12EE6" w:rsidRDefault="001A6DBA">
          <w:pPr>
            <w:pStyle w:val="TOC2"/>
            <w:tabs>
              <w:tab w:val="right" w:leader="dot" w:pos="10456"/>
            </w:tabs>
            <w:rPr>
              <w:rFonts w:eastAsiaTheme="minorEastAsia"/>
              <w:noProof/>
              <w:lang w:val="en-CA" w:eastAsia="en-CA"/>
            </w:rPr>
          </w:pPr>
          <w:hyperlink w:anchor="_Toc227771639" w:history="1">
            <w:r w:rsidR="00C12EE6" w:rsidRPr="004B38A6">
              <w:rPr>
                <w:rStyle w:val="Hyperlink"/>
                <w:rFonts w:ascii="Arial" w:hAnsi="Arial" w:cs="Arial"/>
                <w:noProof/>
              </w:rPr>
              <w:t>3.4 Impact on Debt Structure and Financial Flexibility</w:t>
            </w:r>
            <w:r w:rsidR="00C12EE6">
              <w:rPr>
                <w:noProof/>
                <w:webHidden/>
              </w:rPr>
              <w:tab/>
            </w:r>
            <w:r w:rsidR="00C12EE6">
              <w:rPr>
                <w:noProof/>
                <w:webHidden/>
              </w:rPr>
              <w:fldChar w:fldCharType="begin"/>
            </w:r>
            <w:r w:rsidR="00C12EE6">
              <w:rPr>
                <w:noProof/>
                <w:webHidden/>
              </w:rPr>
              <w:instrText xml:space="preserve"> PAGEREF _Toc227771639 \h </w:instrText>
            </w:r>
            <w:r w:rsidR="00C12EE6">
              <w:rPr>
                <w:noProof/>
                <w:webHidden/>
              </w:rPr>
            </w:r>
            <w:r w:rsidR="00C12EE6">
              <w:rPr>
                <w:noProof/>
                <w:webHidden/>
              </w:rPr>
              <w:fldChar w:fldCharType="separate"/>
            </w:r>
            <w:r>
              <w:rPr>
                <w:noProof/>
                <w:webHidden/>
              </w:rPr>
              <w:t>13</w:t>
            </w:r>
            <w:r w:rsidR="00C12EE6">
              <w:rPr>
                <w:noProof/>
                <w:webHidden/>
              </w:rPr>
              <w:fldChar w:fldCharType="end"/>
            </w:r>
          </w:hyperlink>
        </w:p>
        <w:p w14:paraId="75398751" w14:textId="450614A7" w:rsidR="00C12EE6" w:rsidRDefault="001A6DBA">
          <w:pPr>
            <w:pStyle w:val="TOC2"/>
            <w:tabs>
              <w:tab w:val="right" w:leader="dot" w:pos="10456"/>
            </w:tabs>
            <w:rPr>
              <w:rFonts w:eastAsiaTheme="minorEastAsia"/>
              <w:noProof/>
              <w:lang w:val="en-CA" w:eastAsia="en-CA"/>
            </w:rPr>
          </w:pPr>
          <w:hyperlink w:anchor="_Toc227771640" w:history="1">
            <w:r w:rsidR="00C12EE6" w:rsidRPr="004B38A6">
              <w:rPr>
                <w:rStyle w:val="Hyperlink"/>
                <w:rFonts w:ascii="Arial" w:hAnsi="Arial" w:cs="Arial"/>
                <w:noProof/>
              </w:rPr>
              <w:t>3.5 International and Ethical Considerations</w:t>
            </w:r>
            <w:r w:rsidR="00C12EE6">
              <w:rPr>
                <w:noProof/>
                <w:webHidden/>
              </w:rPr>
              <w:tab/>
            </w:r>
            <w:r w:rsidR="00C12EE6">
              <w:rPr>
                <w:noProof/>
                <w:webHidden/>
              </w:rPr>
              <w:fldChar w:fldCharType="begin"/>
            </w:r>
            <w:r w:rsidR="00C12EE6">
              <w:rPr>
                <w:noProof/>
                <w:webHidden/>
              </w:rPr>
              <w:instrText xml:space="preserve"> PAGEREF _Toc227771640 \h </w:instrText>
            </w:r>
            <w:r w:rsidR="00C12EE6">
              <w:rPr>
                <w:noProof/>
                <w:webHidden/>
              </w:rPr>
            </w:r>
            <w:r w:rsidR="00C12EE6">
              <w:rPr>
                <w:noProof/>
                <w:webHidden/>
              </w:rPr>
              <w:fldChar w:fldCharType="separate"/>
            </w:r>
            <w:r>
              <w:rPr>
                <w:noProof/>
                <w:webHidden/>
              </w:rPr>
              <w:t>13</w:t>
            </w:r>
            <w:r w:rsidR="00C12EE6">
              <w:rPr>
                <w:noProof/>
                <w:webHidden/>
              </w:rPr>
              <w:fldChar w:fldCharType="end"/>
            </w:r>
          </w:hyperlink>
        </w:p>
        <w:p w14:paraId="3B091FF1" w14:textId="40FC807B" w:rsidR="00C12EE6" w:rsidRDefault="001A6DBA">
          <w:pPr>
            <w:pStyle w:val="TOC2"/>
            <w:tabs>
              <w:tab w:val="right" w:leader="dot" w:pos="10456"/>
            </w:tabs>
            <w:rPr>
              <w:rFonts w:eastAsiaTheme="minorEastAsia"/>
              <w:noProof/>
              <w:lang w:val="en-CA" w:eastAsia="en-CA"/>
            </w:rPr>
          </w:pPr>
          <w:hyperlink w:anchor="_Toc227771641" w:history="1">
            <w:r w:rsidR="00C12EE6" w:rsidRPr="004B38A6">
              <w:rPr>
                <w:rStyle w:val="Hyperlink"/>
                <w:rFonts w:ascii="Arial" w:hAnsi="Arial" w:cs="Arial"/>
                <w:noProof/>
              </w:rPr>
              <w:t>3.6 Overall Recommendation</w:t>
            </w:r>
            <w:r w:rsidR="00C12EE6">
              <w:rPr>
                <w:noProof/>
                <w:webHidden/>
              </w:rPr>
              <w:tab/>
            </w:r>
            <w:r w:rsidR="00C12EE6">
              <w:rPr>
                <w:noProof/>
                <w:webHidden/>
              </w:rPr>
              <w:fldChar w:fldCharType="begin"/>
            </w:r>
            <w:r w:rsidR="00C12EE6">
              <w:rPr>
                <w:noProof/>
                <w:webHidden/>
              </w:rPr>
              <w:instrText xml:space="preserve"> PAGEREF _Toc227771641 \h </w:instrText>
            </w:r>
            <w:r w:rsidR="00C12EE6">
              <w:rPr>
                <w:noProof/>
                <w:webHidden/>
              </w:rPr>
            </w:r>
            <w:r w:rsidR="00C12EE6">
              <w:rPr>
                <w:noProof/>
                <w:webHidden/>
              </w:rPr>
              <w:fldChar w:fldCharType="separate"/>
            </w:r>
            <w:r>
              <w:rPr>
                <w:noProof/>
                <w:webHidden/>
              </w:rPr>
              <w:t>14</w:t>
            </w:r>
            <w:r w:rsidR="00C12EE6">
              <w:rPr>
                <w:noProof/>
                <w:webHidden/>
              </w:rPr>
              <w:fldChar w:fldCharType="end"/>
            </w:r>
          </w:hyperlink>
        </w:p>
        <w:p w14:paraId="681B4195" w14:textId="28DC28D6" w:rsidR="00C12EE6" w:rsidRDefault="001A6DBA">
          <w:pPr>
            <w:pStyle w:val="TOC1"/>
            <w:tabs>
              <w:tab w:val="right" w:leader="dot" w:pos="10456"/>
            </w:tabs>
            <w:rPr>
              <w:rFonts w:eastAsiaTheme="minorEastAsia"/>
              <w:noProof/>
              <w:lang w:val="en-CA" w:eastAsia="en-CA"/>
            </w:rPr>
          </w:pPr>
          <w:hyperlink w:anchor="_Toc227771642" w:history="1">
            <w:r w:rsidR="00C12EE6" w:rsidRPr="004B38A6">
              <w:rPr>
                <w:rStyle w:val="Hyperlink"/>
                <w:rFonts w:ascii="Arial" w:hAnsi="Arial" w:cs="Arial"/>
                <w:noProof/>
              </w:rPr>
              <w:t>4. Investment Appraisal and Capital Budgeting</w:t>
            </w:r>
            <w:r w:rsidR="00C12EE6">
              <w:rPr>
                <w:noProof/>
                <w:webHidden/>
              </w:rPr>
              <w:tab/>
            </w:r>
            <w:r w:rsidR="00C12EE6">
              <w:rPr>
                <w:noProof/>
                <w:webHidden/>
              </w:rPr>
              <w:fldChar w:fldCharType="begin"/>
            </w:r>
            <w:r w:rsidR="00C12EE6">
              <w:rPr>
                <w:noProof/>
                <w:webHidden/>
              </w:rPr>
              <w:instrText xml:space="preserve"> PAGEREF _Toc227771642 \h </w:instrText>
            </w:r>
            <w:r w:rsidR="00C12EE6">
              <w:rPr>
                <w:noProof/>
                <w:webHidden/>
              </w:rPr>
            </w:r>
            <w:r w:rsidR="00C12EE6">
              <w:rPr>
                <w:noProof/>
                <w:webHidden/>
              </w:rPr>
              <w:fldChar w:fldCharType="separate"/>
            </w:r>
            <w:r>
              <w:rPr>
                <w:noProof/>
                <w:webHidden/>
              </w:rPr>
              <w:t>15</w:t>
            </w:r>
            <w:r w:rsidR="00C12EE6">
              <w:rPr>
                <w:noProof/>
                <w:webHidden/>
              </w:rPr>
              <w:fldChar w:fldCharType="end"/>
            </w:r>
          </w:hyperlink>
        </w:p>
        <w:p w14:paraId="78AFD395" w14:textId="04A4657A" w:rsidR="00C12EE6" w:rsidRDefault="001A6DBA">
          <w:pPr>
            <w:pStyle w:val="TOC2"/>
            <w:tabs>
              <w:tab w:val="right" w:leader="dot" w:pos="10456"/>
            </w:tabs>
            <w:rPr>
              <w:rFonts w:eastAsiaTheme="minorEastAsia"/>
              <w:noProof/>
              <w:lang w:val="en-CA" w:eastAsia="en-CA"/>
            </w:rPr>
          </w:pPr>
          <w:hyperlink w:anchor="_Toc227771643" w:history="1">
            <w:r w:rsidR="00C12EE6" w:rsidRPr="004B38A6">
              <w:rPr>
                <w:rStyle w:val="Hyperlink"/>
                <w:rFonts w:ascii="Arial" w:hAnsi="Arial" w:cs="Arial"/>
                <w:noProof/>
              </w:rPr>
              <w:t>4.1 Evaluation of Project A</w:t>
            </w:r>
            <w:r w:rsidR="00C12EE6">
              <w:rPr>
                <w:noProof/>
                <w:webHidden/>
              </w:rPr>
              <w:tab/>
            </w:r>
            <w:r w:rsidR="00C12EE6">
              <w:rPr>
                <w:noProof/>
                <w:webHidden/>
              </w:rPr>
              <w:fldChar w:fldCharType="begin"/>
            </w:r>
            <w:r w:rsidR="00C12EE6">
              <w:rPr>
                <w:noProof/>
                <w:webHidden/>
              </w:rPr>
              <w:instrText xml:space="preserve"> PAGEREF _Toc227771643 \h </w:instrText>
            </w:r>
            <w:r w:rsidR="00C12EE6">
              <w:rPr>
                <w:noProof/>
                <w:webHidden/>
              </w:rPr>
            </w:r>
            <w:r w:rsidR="00C12EE6">
              <w:rPr>
                <w:noProof/>
                <w:webHidden/>
              </w:rPr>
              <w:fldChar w:fldCharType="separate"/>
            </w:r>
            <w:r>
              <w:rPr>
                <w:noProof/>
                <w:webHidden/>
              </w:rPr>
              <w:t>15</w:t>
            </w:r>
            <w:r w:rsidR="00C12EE6">
              <w:rPr>
                <w:noProof/>
                <w:webHidden/>
              </w:rPr>
              <w:fldChar w:fldCharType="end"/>
            </w:r>
          </w:hyperlink>
        </w:p>
        <w:p w14:paraId="0C54EEE6" w14:textId="215AE9DB" w:rsidR="00C12EE6" w:rsidRDefault="001A6DBA">
          <w:pPr>
            <w:pStyle w:val="TOC2"/>
            <w:tabs>
              <w:tab w:val="right" w:leader="dot" w:pos="10456"/>
            </w:tabs>
            <w:rPr>
              <w:rFonts w:eastAsiaTheme="minorEastAsia"/>
              <w:noProof/>
              <w:lang w:val="en-CA" w:eastAsia="en-CA"/>
            </w:rPr>
          </w:pPr>
          <w:hyperlink w:anchor="_Toc227771644" w:history="1">
            <w:r w:rsidR="00C12EE6" w:rsidRPr="004B38A6">
              <w:rPr>
                <w:rStyle w:val="Hyperlink"/>
                <w:rFonts w:ascii="Arial" w:hAnsi="Arial" w:cs="Arial"/>
                <w:noProof/>
              </w:rPr>
              <w:t>4.2 Evaluation of Project B</w:t>
            </w:r>
            <w:r w:rsidR="00C12EE6">
              <w:rPr>
                <w:noProof/>
                <w:webHidden/>
              </w:rPr>
              <w:tab/>
            </w:r>
            <w:r w:rsidR="00C12EE6">
              <w:rPr>
                <w:noProof/>
                <w:webHidden/>
              </w:rPr>
              <w:fldChar w:fldCharType="begin"/>
            </w:r>
            <w:r w:rsidR="00C12EE6">
              <w:rPr>
                <w:noProof/>
                <w:webHidden/>
              </w:rPr>
              <w:instrText xml:space="preserve"> PAGEREF _Toc227771644 \h </w:instrText>
            </w:r>
            <w:r w:rsidR="00C12EE6">
              <w:rPr>
                <w:noProof/>
                <w:webHidden/>
              </w:rPr>
            </w:r>
            <w:r w:rsidR="00C12EE6">
              <w:rPr>
                <w:noProof/>
                <w:webHidden/>
              </w:rPr>
              <w:fldChar w:fldCharType="separate"/>
            </w:r>
            <w:r>
              <w:rPr>
                <w:noProof/>
                <w:webHidden/>
              </w:rPr>
              <w:t>15</w:t>
            </w:r>
            <w:r w:rsidR="00C12EE6">
              <w:rPr>
                <w:noProof/>
                <w:webHidden/>
              </w:rPr>
              <w:fldChar w:fldCharType="end"/>
            </w:r>
          </w:hyperlink>
        </w:p>
        <w:p w14:paraId="315D9318" w14:textId="7FB46E1F" w:rsidR="00C12EE6" w:rsidRDefault="001A6DBA">
          <w:pPr>
            <w:pStyle w:val="TOC2"/>
            <w:tabs>
              <w:tab w:val="right" w:leader="dot" w:pos="10456"/>
            </w:tabs>
            <w:rPr>
              <w:rFonts w:eastAsiaTheme="minorEastAsia"/>
              <w:noProof/>
              <w:lang w:val="en-CA" w:eastAsia="en-CA"/>
            </w:rPr>
          </w:pPr>
          <w:hyperlink w:anchor="_Toc227771645" w:history="1">
            <w:r w:rsidR="00C12EE6" w:rsidRPr="004B38A6">
              <w:rPr>
                <w:rStyle w:val="Hyperlink"/>
                <w:rFonts w:ascii="Arial" w:hAnsi="Arial" w:cs="Arial"/>
                <w:noProof/>
              </w:rPr>
              <w:t>4.3 Evaluation of Project C</w:t>
            </w:r>
            <w:r w:rsidR="00C12EE6">
              <w:rPr>
                <w:noProof/>
                <w:webHidden/>
              </w:rPr>
              <w:tab/>
            </w:r>
            <w:r w:rsidR="00C12EE6">
              <w:rPr>
                <w:noProof/>
                <w:webHidden/>
              </w:rPr>
              <w:fldChar w:fldCharType="begin"/>
            </w:r>
            <w:r w:rsidR="00C12EE6">
              <w:rPr>
                <w:noProof/>
                <w:webHidden/>
              </w:rPr>
              <w:instrText xml:space="preserve"> PAGEREF _Toc227771645 \h </w:instrText>
            </w:r>
            <w:r w:rsidR="00C12EE6">
              <w:rPr>
                <w:noProof/>
                <w:webHidden/>
              </w:rPr>
            </w:r>
            <w:r w:rsidR="00C12EE6">
              <w:rPr>
                <w:noProof/>
                <w:webHidden/>
              </w:rPr>
              <w:fldChar w:fldCharType="separate"/>
            </w:r>
            <w:r>
              <w:rPr>
                <w:noProof/>
                <w:webHidden/>
              </w:rPr>
              <w:t>16</w:t>
            </w:r>
            <w:r w:rsidR="00C12EE6">
              <w:rPr>
                <w:noProof/>
                <w:webHidden/>
              </w:rPr>
              <w:fldChar w:fldCharType="end"/>
            </w:r>
          </w:hyperlink>
        </w:p>
        <w:p w14:paraId="6DE0D9A1" w14:textId="7BBAA69F" w:rsidR="00C12EE6" w:rsidRDefault="001A6DBA">
          <w:pPr>
            <w:pStyle w:val="TOC2"/>
            <w:tabs>
              <w:tab w:val="right" w:leader="dot" w:pos="10456"/>
            </w:tabs>
            <w:rPr>
              <w:rFonts w:eastAsiaTheme="minorEastAsia"/>
              <w:noProof/>
              <w:lang w:val="en-CA" w:eastAsia="en-CA"/>
            </w:rPr>
          </w:pPr>
          <w:hyperlink w:anchor="_Toc227771646" w:history="1">
            <w:r w:rsidR="00C12EE6" w:rsidRPr="004B38A6">
              <w:rPr>
                <w:rStyle w:val="Hyperlink"/>
                <w:rFonts w:ascii="Arial" w:hAnsi="Arial" w:cs="Arial"/>
                <w:noProof/>
              </w:rPr>
              <w:t>4.4 Project Comparison and Recommendation</w:t>
            </w:r>
            <w:r w:rsidR="00C12EE6">
              <w:rPr>
                <w:noProof/>
                <w:webHidden/>
              </w:rPr>
              <w:tab/>
            </w:r>
            <w:r w:rsidR="00C12EE6">
              <w:rPr>
                <w:noProof/>
                <w:webHidden/>
              </w:rPr>
              <w:fldChar w:fldCharType="begin"/>
            </w:r>
            <w:r w:rsidR="00C12EE6">
              <w:rPr>
                <w:noProof/>
                <w:webHidden/>
              </w:rPr>
              <w:instrText xml:space="preserve"> PAGEREF _Toc227771646 \h </w:instrText>
            </w:r>
            <w:r w:rsidR="00C12EE6">
              <w:rPr>
                <w:noProof/>
                <w:webHidden/>
              </w:rPr>
            </w:r>
            <w:r w:rsidR="00C12EE6">
              <w:rPr>
                <w:noProof/>
                <w:webHidden/>
              </w:rPr>
              <w:fldChar w:fldCharType="separate"/>
            </w:r>
            <w:r>
              <w:rPr>
                <w:noProof/>
                <w:webHidden/>
              </w:rPr>
              <w:t>16</w:t>
            </w:r>
            <w:r w:rsidR="00C12EE6">
              <w:rPr>
                <w:noProof/>
                <w:webHidden/>
              </w:rPr>
              <w:fldChar w:fldCharType="end"/>
            </w:r>
          </w:hyperlink>
        </w:p>
        <w:p w14:paraId="6609F47D" w14:textId="64D87818" w:rsidR="00C12EE6" w:rsidRDefault="001A6DBA">
          <w:pPr>
            <w:pStyle w:val="TOC2"/>
            <w:tabs>
              <w:tab w:val="right" w:leader="dot" w:pos="10456"/>
            </w:tabs>
            <w:rPr>
              <w:rFonts w:eastAsiaTheme="minorEastAsia"/>
              <w:noProof/>
              <w:lang w:val="en-CA" w:eastAsia="en-CA"/>
            </w:rPr>
          </w:pPr>
          <w:hyperlink w:anchor="_Toc227771647" w:history="1">
            <w:r w:rsidR="00C12EE6" w:rsidRPr="004B38A6">
              <w:rPr>
                <w:rStyle w:val="Hyperlink"/>
                <w:rFonts w:ascii="Arial" w:hAnsi="Arial" w:cs="Arial"/>
                <w:noProof/>
              </w:rPr>
              <w:t>4.5 Capital Rationing Decision (Maximum £100 million)</w:t>
            </w:r>
            <w:r w:rsidR="00C12EE6">
              <w:rPr>
                <w:noProof/>
                <w:webHidden/>
              </w:rPr>
              <w:tab/>
            </w:r>
            <w:r w:rsidR="00C12EE6">
              <w:rPr>
                <w:noProof/>
                <w:webHidden/>
              </w:rPr>
              <w:fldChar w:fldCharType="begin"/>
            </w:r>
            <w:r w:rsidR="00C12EE6">
              <w:rPr>
                <w:noProof/>
                <w:webHidden/>
              </w:rPr>
              <w:instrText xml:space="preserve"> PAGEREF _Toc227771647 \h </w:instrText>
            </w:r>
            <w:r w:rsidR="00C12EE6">
              <w:rPr>
                <w:noProof/>
                <w:webHidden/>
              </w:rPr>
            </w:r>
            <w:r w:rsidR="00C12EE6">
              <w:rPr>
                <w:noProof/>
                <w:webHidden/>
              </w:rPr>
              <w:fldChar w:fldCharType="separate"/>
            </w:r>
            <w:r>
              <w:rPr>
                <w:noProof/>
                <w:webHidden/>
              </w:rPr>
              <w:t>16</w:t>
            </w:r>
            <w:r w:rsidR="00C12EE6">
              <w:rPr>
                <w:noProof/>
                <w:webHidden/>
              </w:rPr>
              <w:fldChar w:fldCharType="end"/>
            </w:r>
          </w:hyperlink>
        </w:p>
        <w:p w14:paraId="26F55B1E" w14:textId="6136890A" w:rsidR="00C12EE6" w:rsidRDefault="001A6DBA">
          <w:pPr>
            <w:pStyle w:val="TOC2"/>
            <w:tabs>
              <w:tab w:val="right" w:leader="dot" w:pos="10456"/>
            </w:tabs>
            <w:rPr>
              <w:rFonts w:eastAsiaTheme="minorEastAsia"/>
              <w:noProof/>
              <w:lang w:val="en-CA" w:eastAsia="en-CA"/>
            </w:rPr>
          </w:pPr>
          <w:hyperlink w:anchor="_Toc227771648" w:history="1">
            <w:r w:rsidR="00C12EE6" w:rsidRPr="004B38A6">
              <w:rPr>
                <w:rStyle w:val="Hyperlink"/>
                <w:rFonts w:ascii="Arial" w:hAnsi="Arial" w:cs="Arial"/>
                <w:noProof/>
              </w:rPr>
              <w:t>4.6 Consideration of Non-Financial Factors</w:t>
            </w:r>
            <w:r w:rsidR="00C12EE6">
              <w:rPr>
                <w:noProof/>
                <w:webHidden/>
              </w:rPr>
              <w:tab/>
            </w:r>
            <w:r w:rsidR="00C12EE6">
              <w:rPr>
                <w:noProof/>
                <w:webHidden/>
              </w:rPr>
              <w:fldChar w:fldCharType="begin"/>
            </w:r>
            <w:r w:rsidR="00C12EE6">
              <w:rPr>
                <w:noProof/>
                <w:webHidden/>
              </w:rPr>
              <w:instrText xml:space="preserve"> PAGEREF _Toc227771648 \h </w:instrText>
            </w:r>
            <w:r w:rsidR="00C12EE6">
              <w:rPr>
                <w:noProof/>
                <w:webHidden/>
              </w:rPr>
            </w:r>
            <w:r w:rsidR="00C12EE6">
              <w:rPr>
                <w:noProof/>
                <w:webHidden/>
              </w:rPr>
              <w:fldChar w:fldCharType="separate"/>
            </w:r>
            <w:r>
              <w:rPr>
                <w:noProof/>
                <w:webHidden/>
              </w:rPr>
              <w:t>17</w:t>
            </w:r>
            <w:r w:rsidR="00C12EE6">
              <w:rPr>
                <w:noProof/>
                <w:webHidden/>
              </w:rPr>
              <w:fldChar w:fldCharType="end"/>
            </w:r>
          </w:hyperlink>
        </w:p>
        <w:p w14:paraId="2DB56378" w14:textId="1564558D" w:rsidR="00C12EE6" w:rsidRDefault="001A6DBA">
          <w:pPr>
            <w:pStyle w:val="TOC1"/>
            <w:tabs>
              <w:tab w:val="right" w:leader="dot" w:pos="10456"/>
            </w:tabs>
            <w:rPr>
              <w:rFonts w:eastAsiaTheme="minorEastAsia"/>
              <w:noProof/>
              <w:lang w:val="en-CA" w:eastAsia="en-CA"/>
            </w:rPr>
          </w:pPr>
          <w:hyperlink w:anchor="_Toc227771649" w:history="1">
            <w:r w:rsidR="00C12EE6" w:rsidRPr="004B38A6">
              <w:rPr>
                <w:rStyle w:val="Hyperlink"/>
                <w:rFonts w:ascii="Arial" w:hAnsi="Arial" w:cs="Arial"/>
                <w:noProof/>
              </w:rPr>
              <w:t>Conclusion</w:t>
            </w:r>
            <w:r w:rsidR="00C12EE6">
              <w:rPr>
                <w:noProof/>
                <w:webHidden/>
              </w:rPr>
              <w:tab/>
            </w:r>
            <w:r w:rsidR="00C12EE6">
              <w:rPr>
                <w:noProof/>
                <w:webHidden/>
              </w:rPr>
              <w:fldChar w:fldCharType="begin"/>
            </w:r>
            <w:r w:rsidR="00C12EE6">
              <w:rPr>
                <w:noProof/>
                <w:webHidden/>
              </w:rPr>
              <w:instrText xml:space="preserve"> PAGEREF _Toc227771649 \h </w:instrText>
            </w:r>
            <w:r w:rsidR="00C12EE6">
              <w:rPr>
                <w:noProof/>
                <w:webHidden/>
              </w:rPr>
            </w:r>
            <w:r w:rsidR="00C12EE6">
              <w:rPr>
                <w:noProof/>
                <w:webHidden/>
              </w:rPr>
              <w:fldChar w:fldCharType="separate"/>
            </w:r>
            <w:r>
              <w:rPr>
                <w:noProof/>
                <w:webHidden/>
              </w:rPr>
              <w:t>18</w:t>
            </w:r>
            <w:r w:rsidR="00C12EE6">
              <w:rPr>
                <w:noProof/>
                <w:webHidden/>
              </w:rPr>
              <w:fldChar w:fldCharType="end"/>
            </w:r>
          </w:hyperlink>
        </w:p>
        <w:p w14:paraId="22B5B6B5" w14:textId="2A81DA7F" w:rsidR="00C12EE6" w:rsidRDefault="001A6DBA">
          <w:pPr>
            <w:pStyle w:val="TOC1"/>
            <w:tabs>
              <w:tab w:val="right" w:leader="dot" w:pos="10456"/>
            </w:tabs>
            <w:rPr>
              <w:rFonts w:eastAsiaTheme="minorEastAsia"/>
              <w:noProof/>
              <w:lang w:val="en-CA" w:eastAsia="en-CA"/>
            </w:rPr>
          </w:pPr>
          <w:hyperlink w:anchor="_Toc227771650" w:history="1">
            <w:r w:rsidR="00C12EE6" w:rsidRPr="004B38A6">
              <w:rPr>
                <w:rStyle w:val="Hyperlink"/>
                <w:rFonts w:ascii="Arial" w:hAnsi="Arial" w:cs="Arial"/>
                <w:noProof/>
              </w:rPr>
              <w:t>Appendix:</w:t>
            </w:r>
            <w:r w:rsidR="00C12EE6">
              <w:rPr>
                <w:noProof/>
                <w:webHidden/>
              </w:rPr>
              <w:tab/>
            </w:r>
            <w:r w:rsidR="00C12EE6">
              <w:rPr>
                <w:noProof/>
                <w:webHidden/>
              </w:rPr>
              <w:fldChar w:fldCharType="begin"/>
            </w:r>
            <w:r w:rsidR="00C12EE6">
              <w:rPr>
                <w:noProof/>
                <w:webHidden/>
              </w:rPr>
              <w:instrText xml:space="preserve"> PAGEREF _Toc227771650 \h </w:instrText>
            </w:r>
            <w:r w:rsidR="00C12EE6">
              <w:rPr>
                <w:noProof/>
                <w:webHidden/>
              </w:rPr>
            </w:r>
            <w:r w:rsidR="00C12EE6">
              <w:rPr>
                <w:noProof/>
                <w:webHidden/>
              </w:rPr>
              <w:fldChar w:fldCharType="separate"/>
            </w:r>
            <w:r>
              <w:rPr>
                <w:noProof/>
                <w:webHidden/>
              </w:rPr>
              <w:t>19</w:t>
            </w:r>
            <w:r w:rsidR="00C12EE6">
              <w:rPr>
                <w:noProof/>
                <w:webHidden/>
              </w:rPr>
              <w:fldChar w:fldCharType="end"/>
            </w:r>
          </w:hyperlink>
        </w:p>
        <w:p w14:paraId="302EF580" w14:textId="234DDBF2" w:rsidR="00C12EE6" w:rsidRDefault="001A6DBA">
          <w:pPr>
            <w:pStyle w:val="TOC1"/>
            <w:tabs>
              <w:tab w:val="right" w:leader="dot" w:pos="10456"/>
            </w:tabs>
            <w:rPr>
              <w:rFonts w:eastAsiaTheme="minorEastAsia"/>
              <w:noProof/>
              <w:lang w:val="en-CA" w:eastAsia="en-CA"/>
            </w:rPr>
          </w:pPr>
          <w:hyperlink w:anchor="_Toc227771651" w:history="1">
            <w:r w:rsidR="00C12EE6" w:rsidRPr="004B38A6">
              <w:rPr>
                <w:rStyle w:val="Hyperlink"/>
                <w:rFonts w:ascii="Arial" w:hAnsi="Arial" w:cs="Arial"/>
                <w:noProof/>
              </w:rPr>
              <w:t>References:</w:t>
            </w:r>
            <w:r w:rsidR="00C12EE6">
              <w:rPr>
                <w:noProof/>
                <w:webHidden/>
              </w:rPr>
              <w:tab/>
            </w:r>
            <w:r w:rsidR="00C12EE6">
              <w:rPr>
                <w:noProof/>
                <w:webHidden/>
              </w:rPr>
              <w:fldChar w:fldCharType="begin"/>
            </w:r>
            <w:r w:rsidR="00C12EE6">
              <w:rPr>
                <w:noProof/>
                <w:webHidden/>
              </w:rPr>
              <w:instrText xml:space="preserve"> PAGEREF _Toc227771651 \h </w:instrText>
            </w:r>
            <w:r w:rsidR="00C12EE6">
              <w:rPr>
                <w:noProof/>
                <w:webHidden/>
              </w:rPr>
            </w:r>
            <w:r w:rsidR="00C12EE6">
              <w:rPr>
                <w:noProof/>
                <w:webHidden/>
              </w:rPr>
              <w:fldChar w:fldCharType="separate"/>
            </w:r>
            <w:r>
              <w:rPr>
                <w:noProof/>
                <w:webHidden/>
              </w:rPr>
              <w:t>27</w:t>
            </w:r>
            <w:r w:rsidR="00C12EE6">
              <w:rPr>
                <w:noProof/>
                <w:webHidden/>
              </w:rPr>
              <w:fldChar w:fldCharType="end"/>
            </w:r>
          </w:hyperlink>
        </w:p>
        <w:p w14:paraId="09168202" w14:textId="148D0EBD" w:rsidR="009F69CF" w:rsidRDefault="00D81C52" w:rsidP="00D81C52">
          <w:pPr>
            <w:rPr>
              <w:rFonts w:ascii="Arial" w:hAnsi="Arial" w:cs="Arial"/>
              <w:b/>
              <w:bCs/>
            </w:rPr>
          </w:pPr>
          <w:r>
            <w:rPr>
              <w:b/>
              <w:bCs/>
              <w:noProof/>
            </w:rPr>
            <w:fldChar w:fldCharType="end"/>
          </w:r>
        </w:p>
      </w:sdtContent>
    </w:sdt>
    <w:p w14:paraId="447CFC5B" w14:textId="1FB1F526" w:rsidR="00CE10F7" w:rsidRPr="001C3E46" w:rsidRDefault="00CE10F7" w:rsidP="007C4ADB">
      <w:pPr>
        <w:pStyle w:val="Heading1"/>
        <w:rPr>
          <w:rFonts w:ascii="Arial" w:hAnsi="Arial" w:cs="Arial"/>
          <w:sz w:val="24"/>
          <w:szCs w:val="24"/>
        </w:rPr>
      </w:pPr>
      <w:bookmarkStart w:id="0" w:name="_Toc227771622"/>
      <w:r w:rsidRPr="001C3E46">
        <w:rPr>
          <w:rFonts w:ascii="Arial" w:hAnsi="Arial" w:cs="Arial"/>
          <w:sz w:val="24"/>
          <w:szCs w:val="24"/>
        </w:rPr>
        <w:lastRenderedPageBreak/>
        <w:t>Introduction</w:t>
      </w:r>
      <w:bookmarkEnd w:id="0"/>
    </w:p>
    <w:p w14:paraId="09EA0348" w14:textId="07B15A11" w:rsidR="00CE10F7" w:rsidRPr="00CE10F7" w:rsidRDefault="00CE10F7" w:rsidP="00BD065A">
      <w:pPr>
        <w:spacing w:line="360" w:lineRule="auto"/>
        <w:rPr>
          <w:rFonts w:ascii="Arial" w:hAnsi="Arial" w:cs="Arial"/>
        </w:rPr>
      </w:pPr>
      <w:r w:rsidRPr="00CE10F7">
        <w:rPr>
          <w:rFonts w:ascii="Arial" w:hAnsi="Arial" w:cs="Arial"/>
        </w:rPr>
        <w:t xml:space="preserve">The automotive industry is going through a major period of change due to rapid technological development, growing environmental concerns, and the global shift towards electric </w:t>
      </w:r>
      <w:r w:rsidR="009016DA" w:rsidRPr="00CE10F7">
        <w:rPr>
          <w:rFonts w:ascii="Arial" w:hAnsi="Arial" w:cs="Arial"/>
        </w:rPr>
        <w:t>vehicles</w:t>
      </w:r>
      <w:r w:rsidR="009016DA" w:rsidRPr="00656F25">
        <w:rPr>
          <w:rFonts w:ascii="Arial" w:hAnsi="Arial" w:cs="Arial"/>
        </w:rPr>
        <w:t xml:space="preserve"> (</w:t>
      </w:r>
      <w:r w:rsidR="00656F25" w:rsidRPr="00656F25">
        <w:rPr>
          <w:rFonts w:ascii="Arial" w:hAnsi="Arial" w:cs="Arial"/>
        </w:rPr>
        <w:t>International Energy Agency, 2023).</w:t>
      </w:r>
      <w:r w:rsidRPr="00CE10F7">
        <w:rPr>
          <w:rFonts w:ascii="Arial" w:hAnsi="Arial" w:cs="Arial"/>
        </w:rPr>
        <w:t xml:space="preserve"> In this environment, financial decision-making has become increasingly important, as firms must maintain strong financial performance while also investing in future growth. This report evaluates the financial position of </w:t>
      </w:r>
      <w:r w:rsidR="00751EA2">
        <w:rPr>
          <w:rFonts w:ascii="Arial" w:hAnsi="Arial" w:cs="Arial"/>
        </w:rPr>
        <w:t>Volvo Cars</w:t>
      </w:r>
      <w:r w:rsidRPr="00CE10F7">
        <w:rPr>
          <w:rFonts w:ascii="Arial" w:hAnsi="Arial" w:cs="Arial"/>
        </w:rPr>
        <w:t xml:space="preserve"> over the five-year period from 2020 to 2024 and considers the company’s ability to respond to current and future challenges.</w:t>
      </w:r>
    </w:p>
    <w:p w14:paraId="6B5CBBF7" w14:textId="35826B2B" w:rsidR="00CE10F7" w:rsidRPr="00E900AD" w:rsidRDefault="00CE10F7" w:rsidP="00BD065A">
      <w:pPr>
        <w:spacing w:line="360" w:lineRule="auto"/>
        <w:rPr>
          <w:rFonts w:ascii="Arial" w:hAnsi="Arial" w:cs="Arial"/>
        </w:rPr>
      </w:pPr>
      <w:r w:rsidRPr="00CE10F7">
        <w:rPr>
          <w:rFonts w:ascii="Arial" w:hAnsi="Arial" w:cs="Arial"/>
        </w:rPr>
        <w:t xml:space="preserve">The analysis begins with a financial health check based on ratio analysis, covering profitability, liquidity, efficiency, gearing, investment, and cash flow performance. It then examines </w:t>
      </w:r>
      <w:r w:rsidR="00751EA2">
        <w:rPr>
          <w:rFonts w:ascii="Arial" w:hAnsi="Arial" w:cs="Arial"/>
        </w:rPr>
        <w:t xml:space="preserve">Volvo </w:t>
      </w:r>
      <w:r w:rsidR="00DB4661">
        <w:rPr>
          <w:rFonts w:ascii="Arial" w:hAnsi="Arial" w:cs="Arial"/>
        </w:rPr>
        <w:t>Car’s</w:t>
      </w:r>
      <w:r w:rsidRPr="00CE10F7">
        <w:rPr>
          <w:rFonts w:ascii="Arial" w:hAnsi="Arial" w:cs="Arial"/>
        </w:rPr>
        <w:t xml:space="preserve"> working capital management, with particular attention to the cash operating cycle and liquidity improvement strategies. The report also proposes a strategic financial restructuring plan by considering options such as asset divestiture, equity support, debt restructuring, and cost optimisation. Finally, the report assesses three investment projects using key capital budgeting techniques and recommends the most suitable option in light of both financial and non-financial considerations. The overall aim is to identify practical and financially sound strategies that can support </w:t>
      </w:r>
      <w:r w:rsidR="00751EA2">
        <w:rPr>
          <w:rFonts w:ascii="Arial" w:hAnsi="Arial" w:cs="Arial"/>
        </w:rPr>
        <w:t xml:space="preserve">Volvo </w:t>
      </w:r>
      <w:r w:rsidR="009902F6">
        <w:rPr>
          <w:rFonts w:ascii="Arial" w:hAnsi="Arial" w:cs="Arial"/>
        </w:rPr>
        <w:t>Cars’</w:t>
      </w:r>
      <w:r w:rsidRPr="00CE10F7">
        <w:rPr>
          <w:rFonts w:ascii="Arial" w:hAnsi="Arial" w:cs="Arial"/>
        </w:rPr>
        <w:t xml:space="preserve"> long-term stability and growth.</w:t>
      </w:r>
    </w:p>
    <w:p w14:paraId="16BAE173" w14:textId="516A055E" w:rsidR="00A55E6F" w:rsidRPr="007C4ADB" w:rsidRDefault="00A55E6F" w:rsidP="007C4ADB">
      <w:pPr>
        <w:pStyle w:val="Heading1"/>
        <w:rPr>
          <w:rFonts w:ascii="Arial" w:hAnsi="Arial" w:cs="Arial"/>
          <w:sz w:val="24"/>
          <w:szCs w:val="24"/>
        </w:rPr>
      </w:pPr>
      <w:bookmarkStart w:id="1" w:name="_Toc227771623"/>
      <w:r w:rsidRPr="007C4ADB">
        <w:rPr>
          <w:rFonts w:ascii="Arial" w:hAnsi="Arial" w:cs="Arial"/>
          <w:sz w:val="24"/>
          <w:szCs w:val="24"/>
        </w:rPr>
        <w:t>1. Financial Health Check</w:t>
      </w:r>
      <w:bookmarkEnd w:id="1"/>
    </w:p>
    <w:p w14:paraId="1A67BBD7" w14:textId="5CCE78E4" w:rsidR="00A55E6F" w:rsidRPr="00ED62B2" w:rsidRDefault="00A55E6F" w:rsidP="00BD065A">
      <w:pPr>
        <w:spacing w:line="360" w:lineRule="auto"/>
        <w:rPr>
          <w:rFonts w:ascii="Arial" w:hAnsi="Arial" w:cs="Arial"/>
        </w:rPr>
      </w:pPr>
      <w:r w:rsidRPr="00ED62B2">
        <w:rPr>
          <w:rFonts w:ascii="Arial" w:hAnsi="Arial" w:cs="Arial"/>
        </w:rPr>
        <w:t xml:space="preserve">This section analyses the financial performance of </w:t>
      </w:r>
      <w:r w:rsidR="00751EA2">
        <w:rPr>
          <w:rFonts w:ascii="Arial" w:hAnsi="Arial" w:cs="Arial"/>
        </w:rPr>
        <w:t>Volvo Cars</w:t>
      </w:r>
      <w:r w:rsidR="0094572E" w:rsidRPr="00ED62B2">
        <w:rPr>
          <w:rFonts w:ascii="Arial" w:hAnsi="Arial" w:cs="Arial"/>
        </w:rPr>
        <w:t xml:space="preserve"> </w:t>
      </w:r>
      <w:r w:rsidRPr="00ED62B2">
        <w:rPr>
          <w:rFonts w:ascii="Arial" w:hAnsi="Arial" w:cs="Arial"/>
        </w:rPr>
        <w:t xml:space="preserve">over the five-year period from 2020 to 2024. The evaluation is based on key financial ratios derived from the company’s income statement, balance sheet, and cash flow statement. Ratio analysis is widely used to assess financial health, as it helps in understanding trends, strengths, and potential risks over time </w:t>
      </w:r>
      <w:r w:rsidR="00D3306F" w:rsidRPr="00D3306F">
        <w:rPr>
          <w:rFonts w:ascii="Arial" w:hAnsi="Arial" w:cs="Arial"/>
        </w:rPr>
        <w:t>(</w:t>
      </w:r>
      <w:proofErr w:type="spellStart"/>
      <w:r w:rsidR="00D3306F" w:rsidRPr="00D3306F">
        <w:rPr>
          <w:rFonts w:ascii="Arial" w:hAnsi="Arial" w:cs="Arial"/>
        </w:rPr>
        <w:t>Atrill</w:t>
      </w:r>
      <w:proofErr w:type="spellEnd"/>
      <w:r w:rsidR="00D3306F" w:rsidRPr="00D3306F">
        <w:rPr>
          <w:rFonts w:ascii="Arial" w:hAnsi="Arial" w:cs="Arial"/>
        </w:rPr>
        <w:t xml:space="preserve"> and McLaney, 2019; Wild, Subramanyam and Halsey, 2007)</w:t>
      </w:r>
      <w:r w:rsidR="00D3306F">
        <w:rPr>
          <w:rFonts w:ascii="Arial" w:hAnsi="Arial" w:cs="Arial"/>
        </w:rPr>
        <w:t>.</w:t>
      </w:r>
    </w:p>
    <w:p w14:paraId="379DCC5A" w14:textId="77777777" w:rsidR="00A55E6F" w:rsidRPr="007C4ADB" w:rsidRDefault="00A55E6F" w:rsidP="007C4ADB">
      <w:pPr>
        <w:pStyle w:val="Heading2"/>
        <w:rPr>
          <w:rFonts w:ascii="Arial" w:hAnsi="Arial" w:cs="Arial"/>
          <w:sz w:val="24"/>
          <w:szCs w:val="24"/>
        </w:rPr>
      </w:pPr>
      <w:bookmarkStart w:id="2" w:name="_Toc227771624"/>
      <w:r w:rsidRPr="007C4ADB">
        <w:rPr>
          <w:rFonts w:ascii="Arial" w:hAnsi="Arial" w:cs="Arial"/>
          <w:sz w:val="24"/>
          <w:szCs w:val="24"/>
        </w:rPr>
        <w:t>1.1 Profitability Analysis</w:t>
      </w:r>
      <w:bookmarkEnd w:id="2"/>
    </w:p>
    <w:p w14:paraId="7A744617" w14:textId="0FB65C6F" w:rsidR="0094572E" w:rsidRPr="00ED62B2" w:rsidRDefault="00A55E6F" w:rsidP="00BD065A">
      <w:pPr>
        <w:spacing w:line="360" w:lineRule="auto"/>
        <w:rPr>
          <w:rFonts w:ascii="Arial" w:hAnsi="Arial" w:cs="Arial"/>
        </w:rPr>
      </w:pPr>
      <w:r w:rsidRPr="00ED62B2">
        <w:rPr>
          <w:rFonts w:ascii="Arial" w:hAnsi="Arial" w:cs="Arial"/>
        </w:rPr>
        <w:t>Profitability ratios indicate how effectively the company is able to generate profit from its operations.</w:t>
      </w:r>
      <w:r w:rsidR="0094572E" w:rsidRPr="00ED62B2">
        <w:rPr>
          <w:rFonts w:ascii="Arial" w:hAnsi="Arial" w:cs="Arial"/>
        </w:rPr>
        <w:t xml:space="preserve"> </w:t>
      </w:r>
      <w:r w:rsidRPr="00ED62B2">
        <w:rPr>
          <w:rFonts w:ascii="Arial" w:hAnsi="Arial" w:cs="Arial"/>
        </w:rPr>
        <w:t>Over the period, the company shows a mixed trend in profitability</w:t>
      </w:r>
      <w:r w:rsidR="0094572E" w:rsidRPr="00ED62B2">
        <w:rPr>
          <w:rFonts w:ascii="Arial" w:hAnsi="Arial" w:cs="Arial"/>
        </w:rPr>
        <w:t>, as shown in the Appendix</w:t>
      </w:r>
      <w:r w:rsidRPr="00ED62B2">
        <w:rPr>
          <w:rFonts w:ascii="Arial" w:hAnsi="Arial" w:cs="Arial"/>
        </w:rPr>
        <w:t xml:space="preserve">. </w:t>
      </w:r>
    </w:p>
    <w:p w14:paraId="38F81A76" w14:textId="1B285E4A" w:rsidR="00A55E6F" w:rsidRPr="00ED62B2" w:rsidRDefault="00A55E6F" w:rsidP="00BD065A">
      <w:pPr>
        <w:spacing w:line="360" w:lineRule="auto"/>
        <w:rPr>
          <w:rFonts w:ascii="Arial" w:hAnsi="Arial" w:cs="Arial"/>
        </w:rPr>
      </w:pPr>
      <w:r w:rsidRPr="00ED62B2">
        <w:rPr>
          <w:rFonts w:ascii="Arial" w:hAnsi="Arial" w:cs="Arial"/>
        </w:rPr>
        <w:t>The gross profit margin</w:t>
      </w:r>
      <w:r w:rsidR="0094572E" w:rsidRPr="00ED62B2">
        <w:rPr>
          <w:rFonts w:ascii="Arial" w:hAnsi="Arial" w:cs="Arial"/>
        </w:rPr>
        <w:t xml:space="preserve"> has</w:t>
      </w:r>
      <w:r w:rsidRPr="00ED62B2">
        <w:rPr>
          <w:rFonts w:ascii="Arial" w:hAnsi="Arial" w:cs="Arial"/>
        </w:rPr>
        <w:t xml:space="preserve"> increased from 17.5% in 2020 to 21.4% in 2021, </w:t>
      </w:r>
      <w:r w:rsidR="002A3232" w:rsidRPr="00ED62B2">
        <w:rPr>
          <w:rFonts w:ascii="Arial" w:hAnsi="Arial" w:cs="Arial"/>
        </w:rPr>
        <w:t xml:space="preserve">which suggest </w:t>
      </w:r>
      <w:r w:rsidRPr="00ED62B2">
        <w:rPr>
          <w:rFonts w:ascii="Arial" w:hAnsi="Arial" w:cs="Arial"/>
        </w:rPr>
        <w:t>improved cost control or better pricing strategies. However, this improvement was not sustained, as the margin declined in 2022 and remained relatively stable around 18–20% in the following years. This may indicate rising production costs or increased competition within the industry.</w:t>
      </w:r>
    </w:p>
    <w:p w14:paraId="211BFEE8" w14:textId="72367FDD" w:rsidR="00A55E6F" w:rsidRPr="00ED62B2" w:rsidRDefault="00A55E6F" w:rsidP="00BD065A">
      <w:pPr>
        <w:spacing w:line="360" w:lineRule="auto"/>
        <w:rPr>
          <w:rFonts w:ascii="Arial" w:hAnsi="Arial" w:cs="Arial"/>
        </w:rPr>
      </w:pPr>
      <w:r w:rsidRPr="00ED62B2">
        <w:rPr>
          <w:rFonts w:ascii="Arial" w:hAnsi="Arial" w:cs="Arial"/>
        </w:rPr>
        <w:t>A similar pattern can be observed in operating margin</w:t>
      </w:r>
      <w:r w:rsidR="0094572E" w:rsidRPr="00ED62B2">
        <w:rPr>
          <w:rFonts w:ascii="Arial" w:hAnsi="Arial" w:cs="Arial"/>
        </w:rPr>
        <w:t xml:space="preserve"> as well</w:t>
      </w:r>
      <w:r w:rsidRPr="00ED62B2">
        <w:rPr>
          <w:rFonts w:ascii="Arial" w:hAnsi="Arial" w:cs="Arial"/>
        </w:rPr>
        <w:t xml:space="preserve">, which rose significantly from 3.24% in 2020 to 7.20% in 2021, reflecting improved operational efficiency. However, it declined in later </w:t>
      </w:r>
      <w:r w:rsidRPr="00ED62B2">
        <w:rPr>
          <w:rFonts w:ascii="Arial" w:hAnsi="Arial" w:cs="Arial"/>
        </w:rPr>
        <w:lastRenderedPageBreak/>
        <w:t>years, reaching 5.00% in 2023 before slightly recovering to 5.60% in 2024. This suggests that while the firm was able to improve efficiency initially, maintaining this level has been challenging.</w:t>
      </w:r>
    </w:p>
    <w:p w14:paraId="4A0EBC2F" w14:textId="6430BF66" w:rsidR="00A55E6F" w:rsidRPr="00ED62B2" w:rsidRDefault="00A55E6F" w:rsidP="00BD065A">
      <w:pPr>
        <w:spacing w:line="360" w:lineRule="auto"/>
        <w:rPr>
          <w:rFonts w:ascii="Arial" w:hAnsi="Arial" w:cs="Arial"/>
        </w:rPr>
      </w:pPr>
      <w:r w:rsidRPr="00ED62B2">
        <w:rPr>
          <w:rFonts w:ascii="Arial" w:hAnsi="Arial" w:cs="Arial"/>
        </w:rPr>
        <w:t xml:space="preserve">Net profit margin also shows some volatility. It increased to 5.15% in 2022, but declined to 3.52% in 2023, before recovering slightly in 2024. This fluctuation could be due to changes in operating costs, interest expenses, or </w:t>
      </w:r>
      <w:r w:rsidR="0094572E" w:rsidRPr="00ED62B2">
        <w:rPr>
          <w:rFonts w:ascii="Arial" w:hAnsi="Arial" w:cs="Arial"/>
        </w:rPr>
        <w:t xml:space="preserve">the </w:t>
      </w:r>
      <w:r w:rsidRPr="00ED62B2">
        <w:rPr>
          <w:rFonts w:ascii="Arial" w:hAnsi="Arial" w:cs="Arial"/>
        </w:rPr>
        <w:t>external economic conditions affecting the company’s performance.</w:t>
      </w:r>
    </w:p>
    <w:p w14:paraId="32562FDE" w14:textId="139428FC" w:rsidR="00A55E6F" w:rsidRPr="00ED62B2" w:rsidRDefault="00A55E6F" w:rsidP="00BD065A">
      <w:pPr>
        <w:spacing w:line="360" w:lineRule="auto"/>
        <w:rPr>
          <w:rFonts w:ascii="Arial" w:hAnsi="Arial" w:cs="Arial"/>
        </w:rPr>
      </w:pPr>
      <w:r w:rsidRPr="00ED62B2">
        <w:rPr>
          <w:rFonts w:ascii="Arial" w:hAnsi="Arial" w:cs="Arial"/>
        </w:rPr>
        <w:t>Return on Assets (ROA) follows similar trend</w:t>
      </w:r>
      <w:r w:rsidR="0094572E" w:rsidRPr="00ED62B2">
        <w:rPr>
          <w:rFonts w:ascii="Arial" w:hAnsi="Arial" w:cs="Arial"/>
        </w:rPr>
        <w:t xml:space="preserve"> as well</w:t>
      </w:r>
      <w:r w:rsidRPr="00ED62B2">
        <w:rPr>
          <w:rFonts w:ascii="Arial" w:hAnsi="Arial" w:cs="Arial"/>
        </w:rPr>
        <w:t xml:space="preserve">, increasing from 2.97% in 2020 to 5.14% in 2022, and then declining to around 4% in later years. This </w:t>
      </w:r>
      <w:r w:rsidR="0094572E" w:rsidRPr="00ED62B2">
        <w:rPr>
          <w:rFonts w:ascii="Arial" w:hAnsi="Arial" w:cs="Arial"/>
        </w:rPr>
        <w:t xml:space="preserve">shows </w:t>
      </w:r>
      <w:r w:rsidRPr="00ED62B2">
        <w:rPr>
          <w:rFonts w:ascii="Arial" w:hAnsi="Arial" w:cs="Arial"/>
        </w:rPr>
        <w:t>that the company’s efficiency in using its assets to generate profit improved initially but weakened afterward (Brigham and Ehrhardt, 2020).</w:t>
      </w:r>
    </w:p>
    <w:p w14:paraId="14FCF09B" w14:textId="04508ADE" w:rsidR="00A55E6F" w:rsidRPr="00ED62B2" w:rsidRDefault="00A55E6F" w:rsidP="00BD065A">
      <w:pPr>
        <w:spacing w:line="360" w:lineRule="auto"/>
        <w:rPr>
          <w:rFonts w:ascii="Arial" w:hAnsi="Arial" w:cs="Arial"/>
        </w:rPr>
      </w:pPr>
      <w:r w:rsidRPr="00ED62B2">
        <w:rPr>
          <w:rFonts w:ascii="Arial" w:hAnsi="Arial" w:cs="Arial"/>
        </w:rPr>
        <w:t>Overall, profitability shows initial improvement followed by instability, suggesting that the company faces challenges in maintaining consistent profit growth.</w:t>
      </w:r>
    </w:p>
    <w:p w14:paraId="42C49D55" w14:textId="77777777" w:rsidR="00A55E6F" w:rsidRPr="007C4ADB" w:rsidRDefault="00A55E6F" w:rsidP="007C4ADB">
      <w:pPr>
        <w:pStyle w:val="Heading2"/>
        <w:rPr>
          <w:rFonts w:ascii="Arial" w:hAnsi="Arial" w:cs="Arial"/>
          <w:sz w:val="24"/>
          <w:szCs w:val="24"/>
        </w:rPr>
      </w:pPr>
      <w:bookmarkStart w:id="3" w:name="_Toc227771625"/>
      <w:r w:rsidRPr="007C4ADB">
        <w:rPr>
          <w:rFonts w:ascii="Arial" w:hAnsi="Arial" w:cs="Arial"/>
          <w:sz w:val="24"/>
          <w:szCs w:val="24"/>
        </w:rPr>
        <w:t>1.2 Liquidity Analysis</w:t>
      </w:r>
      <w:bookmarkEnd w:id="3"/>
    </w:p>
    <w:p w14:paraId="0BD49C93" w14:textId="517790ED" w:rsidR="00A55E6F" w:rsidRPr="00ED62B2" w:rsidRDefault="00A55E6F" w:rsidP="00BD065A">
      <w:pPr>
        <w:spacing w:line="360" w:lineRule="auto"/>
        <w:rPr>
          <w:rFonts w:ascii="Arial" w:hAnsi="Arial" w:cs="Arial"/>
        </w:rPr>
      </w:pPr>
      <w:r w:rsidRPr="00ED62B2">
        <w:rPr>
          <w:rFonts w:ascii="Arial" w:hAnsi="Arial" w:cs="Arial"/>
        </w:rPr>
        <w:t>Liquidity ratios measure the company’s ability to meet its short-term obligations.</w:t>
      </w:r>
      <w:r w:rsidR="0094572E" w:rsidRPr="00ED62B2">
        <w:rPr>
          <w:rFonts w:ascii="Arial" w:hAnsi="Arial" w:cs="Arial"/>
        </w:rPr>
        <w:t xml:space="preserve"> The calculations of liquidity ratios </w:t>
      </w:r>
      <w:r w:rsidR="00504214" w:rsidRPr="00ED62B2">
        <w:rPr>
          <w:rFonts w:ascii="Arial" w:hAnsi="Arial" w:cs="Arial"/>
        </w:rPr>
        <w:t>are</w:t>
      </w:r>
      <w:r w:rsidR="0094572E" w:rsidRPr="00ED62B2">
        <w:rPr>
          <w:rFonts w:ascii="Arial" w:hAnsi="Arial" w:cs="Arial"/>
        </w:rPr>
        <w:t xml:space="preserve"> shown in the Appendix B.</w:t>
      </w:r>
    </w:p>
    <w:p w14:paraId="76876CF2" w14:textId="22D940B3" w:rsidR="00A55E6F" w:rsidRPr="00ED62B2" w:rsidRDefault="00A55E6F" w:rsidP="00BD065A">
      <w:pPr>
        <w:spacing w:line="360" w:lineRule="auto"/>
        <w:rPr>
          <w:rFonts w:ascii="Arial" w:hAnsi="Arial" w:cs="Arial"/>
        </w:rPr>
      </w:pPr>
      <w:r w:rsidRPr="00ED62B2">
        <w:rPr>
          <w:rFonts w:ascii="Arial" w:hAnsi="Arial" w:cs="Arial"/>
        </w:rPr>
        <w:t>The current ratio remained close to 1 throughout the period, starting at 1.06 in 2020 and declining to 0.94 in 2024. A ratio below 1 may indicate that the company does not have sufficient current assets to cover its short-term liabilities, which could lead to financial pressure (</w:t>
      </w:r>
      <w:proofErr w:type="spellStart"/>
      <w:r w:rsidR="00221945" w:rsidRPr="00221945">
        <w:rPr>
          <w:rFonts w:ascii="Arial" w:hAnsi="Arial" w:cs="Arial"/>
        </w:rPr>
        <w:t>Atrill</w:t>
      </w:r>
      <w:proofErr w:type="spellEnd"/>
      <w:r w:rsidR="00221945" w:rsidRPr="00221945">
        <w:rPr>
          <w:rFonts w:ascii="Arial" w:hAnsi="Arial" w:cs="Arial"/>
        </w:rPr>
        <w:t xml:space="preserve"> and McLaney, 2019; Wild et al., 2007</w:t>
      </w:r>
      <w:r w:rsidRPr="00ED62B2">
        <w:rPr>
          <w:rFonts w:ascii="Arial" w:hAnsi="Arial" w:cs="Arial"/>
        </w:rPr>
        <w:t>).</w:t>
      </w:r>
    </w:p>
    <w:p w14:paraId="446B6CEF" w14:textId="0B609DF9" w:rsidR="00A55E6F" w:rsidRPr="00ED62B2" w:rsidRDefault="00A55E6F" w:rsidP="00BD065A">
      <w:pPr>
        <w:spacing w:line="360" w:lineRule="auto"/>
        <w:rPr>
          <w:rFonts w:ascii="Arial" w:hAnsi="Arial" w:cs="Arial"/>
        </w:rPr>
      </w:pPr>
      <w:r w:rsidRPr="00ED62B2">
        <w:rPr>
          <w:rFonts w:ascii="Arial" w:hAnsi="Arial" w:cs="Arial"/>
        </w:rPr>
        <w:t xml:space="preserve">The quick ratio shows a downward trend, falling from 0.79 in 2020 to 0.57 in 2024. This suggests that even after excluding inventory, </w:t>
      </w:r>
      <w:r w:rsidR="00751EA2">
        <w:rPr>
          <w:rFonts w:ascii="Arial" w:hAnsi="Arial" w:cs="Arial"/>
        </w:rPr>
        <w:t>Volvo Cars</w:t>
      </w:r>
      <w:r w:rsidR="0094572E" w:rsidRPr="00ED62B2">
        <w:rPr>
          <w:rFonts w:ascii="Arial" w:hAnsi="Arial" w:cs="Arial"/>
        </w:rPr>
        <w:t xml:space="preserve"> </w:t>
      </w:r>
      <w:r w:rsidRPr="00ED62B2">
        <w:rPr>
          <w:rFonts w:ascii="Arial" w:hAnsi="Arial" w:cs="Arial"/>
        </w:rPr>
        <w:t>may struggle to meet its short-term obligations using its most liquid assets.</w:t>
      </w:r>
    </w:p>
    <w:p w14:paraId="683EF1C0" w14:textId="77777777" w:rsidR="00A55E6F" w:rsidRPr="00ED62B2" w:rsidRDefault="00A55E6F" w:rsidP="00BD065A">
      <w:pPr>
        <w:spacing w:line="360" w:lineRule="auto"/>
        <w:rPr>
          <w:rFonts w:ascii="Arial" w:hAnsi="Arial" w:cs="Arial"/>
        </w:rPr>
      </w:pPr>
      <w:r w:rsidRPr="00ED62B2">
        <w:rPr>
          <w:rFonts w:ascii="Arial" w:hAnsi="Arial" w:cs="Arial"/>
        </w:rPr>
        <w:t>The cash ratio remains relatively low, ranging between 0.26 and 0.49, indicating that the company holds limited cash reserves. While holding excessive cash is not always efficient, very low cash levels can expose the firm to liquidity risk, especially during periods of economic uncertainty.</w:t>
      </w:r>
    </w:p>
    <w:p w14:paraId="410FC293" w14:textId="039DF91A" w:rsidR="001E5D80" w:rsidRDefault="00F25DE3" w:rsidP="00BD065A">
      <w:pPr>
        <w:spacing w:line="360" w:lineRule="auto"/>
        <w:rPr>
          <w:rFonts w:ascii="Arial" w:hAnsi="Arial" w:cs="Arial"/>
        </w:rPr>
      </w:pPr>
      <w:r w:rsidRPr="00F25DE3">
        <w:rPr>
          <w:rFonts w:ascii="Arial" w:hAnsi="Arial" w:cs="Arial"/>
        </w:rPr>
        <w:t xml:space="preserve">Overall, liquidity appears to be gradually weakening, which could become a concern if not managed carefully </w:t>
      </w:r>
      <w:r w:rsidRPr="000B1577">
        <w:rPr>
          <w:rFonts w:ascii="Arial" w:hAnsi="Arial" w:cs="Arial"/>
        </w:rPr>
        <w:t>(</w:t>
      </w:r>
      <w:proofErr w:type="spellStart"/>
      <w:r w:rsidRPr="000B1577">
        <w:rPr>
          <w:rFonts w:ascii="Arial" w:hAnsi="Arial" w:cs="Arial"/>
        </w:rPr>
        <w:t>Atrill</w:t>
      </w:r>
      <w:proofErr w:type="spellEnd"/>
      <w:r w:rsidRPr="000B1577">
        <w:rPr>
          <w:rFonts w:ascii="Arial" w:hAnsi="Arial" w:cs="Arial"/>
        </w:rPr>
        <w:t xml:space="preserve"> and McLaney, 2019).</w:t>
      </w:r>
    </w:p>
    <w:p w14:paraId="17C741F6" w14:textId="77777777" w:rsidR="001E5D80" w:rsidRDefault="001E5D80" w:rsidP="00BD065A">
      <w:pPr>
        <w:spacing w:line="360" w:lineRule="auto"/>
        <w:rPr>
          <w:rFonts w:ascii="Arial" w:hAnsi="Arial" w:cs="Arial"/>
        </w:rPr>
      </w:pPr>
    </w:p>
    <w:p w14:paraId="1C625020" w14:textId="77777777" w:rsidR="001E5D80" w:rsidRDefault="001E5D80" w:rsidP="00BD065A">
      <w:pPr>
        <w:spacing w:line="360" w:lineRule="auto"/>
        <w:rPr>
          <w:rFonts w:ascii="Arial" w:hAnsi="Arial" w:cs="Arial"/>
        </w:rPr>
      </w:pPr>
    </w:p>
    <w:p w14:paraId="1C0FF5DF" w14:textId="77777777" w:rsidR="001E5D80" w:rsidRDefault="001E5D80" w:rsidP="00BD065A">
      <w:pPr>
        <w:spacing w:line="360" w:lineRule="auto"/>
        <w:rPr>
          <w:rFonts w:ascii="Arial" w:hAnsi="Arial" w:cs="Arial"/>
        </w:rPr>
      </w:pPr>
    </w:p>
    <w:p w14:paraId="72210007" w14:textId="77777777" w:rsidR="001E5D80" w:rsidRPr="00ED62B2" w:rsidRDefault="001E5D80" w:rsidP="00BD065A">
      <w:pPr>
        <w:spacing w:line="360" w:lineRule="auto"/>
        <w:rPr>
          <w:rFonts w:ascii="Arial" w:hAnsi="Arial" w:cs="Arial"/>
        </w:rPr>
      </w:pPr>
    </w:p>
    <w:p w14:paraId="01D8EAEF" w14:textId="77777777" w:rsidR="00A55E6F" w:rsidRPr="007C4ADB" w:rsidRDefault="00A55E6F" w:rsidP="007C4ADB">
      <w:pPr>
        <w:pStyle w:val="Heading2"/>
        <w:rPr>
          <w:rFonts w:ascii="Arial" w:hAnsi="Arial" w:cs="Arial"/>
          <w:sz w:val="24"/>
          <w:szCs w:val="24"/>
        </w:rPr>
      </w:pPr>
      <w:bookmarkStart w:id="4" w:name="_Toc227771626"/>
      <w:r w:rsidRPr="007C4ADB">
        <w:rPr>
          <w:rFonts w:ascii="Arial" w:hAnsi="Arial" w:cs="Arial"/>
          <w:sz w:val="24"/>
          <w:szCs w:val="24"/>
        </w:rPr>
        <w:lastRenderedPageBreak/>
        <w:t>1.3 Efficiency (Working Capital) Analysis</w:t>
      </w:r>
      <w:bookmarkEnd w:id="4"/>
    </w:p>
    <w:p w14:paraId="79B98818" w14:textId="50246C64" w:rsidR="00A55E6F" w:rsidRPr="00ED62B2" w:rsidRDefault="00A55E6F" w:rsidP="00BD065A">
      <w:pPr>
        <w:spacing w:line="360" w:lineRule="auto"/>
        <w:rPr>
          <w:rFonts w:ascii="Arial" w:hAnsi="Arial" w:cs="Arial"/>
        </w:rPr>
      </w:pPr>
      <w:r w:rsidRPr="00ED62B2">
        <w:rPr>
          <w:rFonts w:ascii="Arial" w:hAnsi="Arial" w:cs="Arial"/>
        </w:rPr>
        <w:t xml:space="preserve">Efficiency ratios assess how well </w:t>
      </w:r>
      <w:r w:rsidR="00751EA2">
        <w:rPr>
          <w:rFonts w:ascii="Arial" w:hAnsi="Arial" w:cs="Arial"/>
        </w:rPr>
        <w:t>Volvo Cars</w:t>
      </w:r>
      <w:r w:rsidR="0094572E" w:rsidRPr="00ED62B2">
        <w:rPr>
          <w:rFonts w:ascii="Arial" w:hAnsi="Arial" w:cs="Arial"/>
        </w:rPr>
        <w:t xml:space="preserve"> </w:t>
      </w:r>
      <w:r w:rsidRPr="00ED62B2">
        <w:rPr>
          <w:rFonts w:ascii="Arial" w:hAnsi="Arial" w:cs="Arial"/>
        </w:rPr>
        <w:t>manages its working capital components.</w:t>
      </w:r>
      <w:r w:rsidR="00504214" w:rsidRPr="00ED62B2">
        <w:rPr>
          <w:rFonts w:ascii="Arial" w:hAnsi="Arial" w:cs="Arial"/>
        </w:rPr>
        <w:t xml:space="preserve"> Calculations shown in Appendix C.</w:t>
      </w:r>
    </w:p>
    <w:p w14:paraId="5DA7068B" w14:textId="77777777" w:rsidR="00A55E6F" w:rsidRPr="00ED62B2" w:rsidRDefault="00A55E6F" w:rsidP="00BD065A">
      <w:pPr>
        <w:spacing w:line="360" w:lineRule="auto"/>
        <w:rPr>
          <w:rFonts w:ascii="Arial" w:hAnsi="Arial" w:cs="Arial"/>
        </w:rPr>
      </w:pPr>
      <w:r w:rsidRPr="00ED62B2">
        <w:rPr>
          <w:rFonts w:ascii="Arial" w:hAnsi="Arial" w:cs="Arial"/>
        </w:rPr>
        <w:t>Inventory days increased from 59.7 days in 2020 to 71 days in 2024, indicating that inventory is being held for longer periods. This may suggest slower inventory turnover or inefficiencies in inventory management, which can tie up cash unnecessarily.</w:t>
      </w:r>
    </w:p>
    <w:p w14:paraId="6BB2DCC8" w14:textId="77777777" w:rsidR="00A55E6F" w:rsidRPr="00ED62B2" w:rsidRDefault="00A55E6F" w:rsidP="00BD065A">
      <w:pPr>
        <w:spacing w:line="360" w:lineRule="auto"/>
        <w:rPr>
          <w:rFonts w:ascii="Arial" w:hAnsi="Arial" w:cs="Arial"/>
        </w:rPr>
      </w:pPr>
      <w:r w:rsidRPr="00ED62B2">
        <w:rPr>
          <w:rFonts w:ascii="Arial" w:hAnsi="Arial" w:cs="Arial"/>
        </w:rPr>
        <w:t>Receivable days show some fluctuation but remain relatively controlled. The decrease to 17.6 days in 2023 suggests improved collection efficiency, although the increase to 20.8 days in 2024 indicates some inconsistency.</w:t>
      </w:r>
    </w:p>
    <w:p w14:paraId="47CCE023" w14:textId="79FE10A7" w:rsidR="00A55E6F" w:rsidRPr="00ED62B2" w:rsidRDefault="00A55E6F" w:rsidP="00BD065A">
      <w:pPr>
        <w:spacing w:line="360" w:lineRule="auto"/>
        <w:rPr>
          <w:rFonts w:ascii="Arial" w:hAnsi="Arial" w:cs="Arial"/>
        </w:rPr>
      </w:pPr>
      <w:r w:rsidRPr="00ED62B2">
        <w:rPr>
          <w:rFonts w:ascii="Arial" w:hAnsi="Arial" w:cs="Arial"/>
        </w:rPr>
        <w:t xml:space="preserve">Payable days increased significantly from 62 days in 2020 to 93.2 days in 2022, before declining again. </w:t>
      </w:r>
      <w:r w:rsidR="008229C2" w:rsidRPr="00ED62B2">
        <w:rPr>
          <w:rFonts w:ascii="Arial" w:hAnsi="Arial" w:cs="Arial"/>
        </w:rPr>
        <w:t xml:space="preserve">This suggests that </w:t>
      </w:r>
      <w:r w:rsidR="00751EA2">
        <w:rPr>
          <w:rFonts w:ascii="Arial" w:hAnsi="Arial" w:cs="Arial"/>
        </w:rPr>
        <w:t>Volvo Cars</w:t>
      </w:r>
      <w:r w:rsidR="008229C2" w:rsidRPr="00ED62B2">
        <w:rPr>
          <w:rFonts w:ascii="Arial" w:hAnsi="Arial" w:cs="Arial"/>
        </w:rPr>
        <w:t xml:space="preserve"> may have delayed payments to suppliers to manage cash flow, although this strategy may not be sustainable in the long term.</w:t>
      </w:r>
    </w:p>
    <w:p w14:paraId="19BF85BE" w14:textId="65EB093E" w:rsidR="00A55E6F" w:rsidRDefault="00A55E6F" w:rsidP="00BD065A">
      <w:pPr>
        <w:spacing w:line="360" w:lineRule="auto"/>
        <w:rPr>
          <w:rFonts w:ascii="Arial" w:hAnsi="Arial" w:cs="Arial"/>
        </w:rPr>
      </w:pPr>
      <w:r w:rsidRPr="00ED62B2">
        <w:rPr>
          <w:rFonts w:ascii="Arial" w:hAnsi="Arial" w:cs="Arial"/>
        </w:rPr>
        <w:t xml:space="preserve">Asset turnover remained relatively stable around 1, with a slight improvement to 1.12 in 2023. This indicates that </w:t>
      </w:r>
      <w:r w:rsidR="00751EA2">
        <w:rPr>
          <w:rFonts w:ascii="Arial" w:hAnsi="Arial" w:cs="Arial"/>
        </w:rPr>
        <w:t>Volvo Cars</w:t>
      </w:r>
      <w:r w:rsidR="0094572E" w:rsidRPr="00ED62B2">
        <w:rPr>
          <w:rFonts w:ascii="Arial" w:hAnsi="Arial" w:cs="Arial"/>
        </w:rPr>
        <w:t xml:space="preserve"> </w:t>
      </w:r>
      <w:r w:rsidRPr="00ED62B2">
        <w:rPr>
          <w:rFonts w:ascii="Arial" w:hAnsi="Arial" w:cs="Arial"/>
        </w:rPr>
        <w:t>is reasonably efficient in using its assets to generate revenue (Brigham and Ehrhardt, 2020).</w:t>
      </w:r>
    </w:p>
    <w:p w14:paraId="68EC2480" w14:textId="6F8854A5" w:rsidR="00D93238" w:rsidRPr="00ED62B2" w:rsidRDefault="00D93238" w:rsidP="00BD065A">
      <w:pPr>
        <w:spacing w:line="360" w:lineRule="auto"/>
        <w:rPr>
          <w:rFonts w:ascii="Arial" w:hAnsi="Arial" w:cs="Arial"/>
        </w:rPr>
      </w:pPr>
      <w:r w:rsidRPr="00D93238">
        <w:rPr>
          <w:rFonts w:ascii="Arial" w:hAnsi="Arial" w:cs="Arial"/>
        </w:rPr>
        <w:t xml:space="preserve">The </w:t>
      </w:r>
      <w:r>
        <w:rPr>
          <w:rFonts w:ascii="Arial" w:hAnsi="Arial" w:cs="Arial"/>
        </w:rPr>
        <w:t xml:space="preserve">CCC as shown in </w:t>
      </w:r>
      <w:r w:rsidR="00BC5376">
        <w:rPr>
          <w:rFonts w:ascii="Arial" w:hAnsi="Arial" w:cs="Arial"/>
        </w:rPr>
        <w:t>Appendix C</w:t>
      </w:r>
      <w:r w:rsidRPr="00D93238">
        <w:rPr>
          <w:rFonts w:ascii="Arial" w:hAnsi="Arial" w:cs="Arial"/>
        </w:rPr>
        <w:t xml:space="preserve"> f</w:t>
      </w:r>
      <w:r w:rsidR="00BC5376">
        <w:rPr>
          <w:rFonts w:ascii="Arial" w:hAnsi="Arial" w:cs="Arial"/>
        </w:rPr>
        <w:t>all</w:t>
      </w:r>
      <w:r w:rsidRPr="00D93238">
        <w:rPr>
          <w:rFonts w:ascii="Arial" w:hAnsi="Arial" w:cs="Arial"/>
        </w:rPr>
        <w:t xml:space="preserve"> from 22.2 days in</w:t>
      </w:r>
      <w:r w:rsidR="00BC5376">
        <w:rPr>
          <w:rFonts w:ascii="Arial" w:hAnsi="Arial" w:cs="Arial"/>
        </w:rPr>
        <w:t xml:space="preserve"> the year</w:t>
      </w:r>
      <w:r w:rsidRPr="00D93238">
        <w:rPr>
          <w:rFonts w:ascii="Arial" w:hAnsi="Arial" w:cs="Arial"/>
        </w:rPr>
        <w:t xml:space="preserve"> 2020 to −1.8 days in 2022,</w:t>
      </w:r>
      <w:r w:rsidR="00BC5376">
        <w:rPr>
          <w:rFonts w:ascii="Arial" w:hAnsi="Arial" w:cs="Arial"/>
        </w:rPr>
        <w:t xml:space="preserve"> </w:t>
      </w:r>
      <w:r w:rsidR="000B1577" w:rsidRPr="000B1577">
        <w:rPr>
          <w:rFonts w:ascii="Arial" w:hAnsi="Arial" w:cs="Arial"/>
        </w:rPr>
        <w:t>which means that Volvo Cars was receiving cash from customers before paying suppliers, improving liquidity (Richards and Laughlin, 1980).</w:t>
      </w:r>
      <w:r w:rsidRPr="00D93238">
        <w:rPr>
          <w:rFonts w:ascii="Arial" w:hAnsi="Arial" w:cs="Arial"/>
        </w:rPr>
        <w:t xml:space="preserve"> which is a good sign. </w:t>
      </w:r>
      <w:r w:rsidR="007C4ADB">
        <w:rPr>
          <w:rFonts w:ascii="Arial" w:hAnsi="Arial" w:cs="Arial"/>
        </w:rPr>
        <w:t>However</w:t>
      </w:r>
      <w:r w:rsidRPr="00D93238">
        <w:rPr>
          <w:rFonts w:ascii="Arial" w:hAnsi="Arial" w:cs="Arial"/>
        </w:rPr>
        <w:t>, it rose again to 27.6 days in 2024,</w:t>
      </w:r>
      <w:r w:rsidR="00A247BE">
        <w:rPr>
          <w:rFonts w:ascii="Arial" w:hAnsi="Arial" w:cs="Arial"/>
        </w:rPr>
        <w:t xml:space="preserve"> this is</w:t>
      </w:r>
      <w:r w:rsidRPr="00D93238">
        <w:rPr>
          <w:rFonts w:ascii="Arial" w:hAnsi="Arial" w:cs="Arial"/>
        </w:rPr>
        <w:t xml:space="preserve"> mainly because</w:t>
      </w:r>
      <w:r w:rsidR="00A247BE">
        <w:rPr>
          <w:rFonts w:ascii="Arial" w:hAnsi="Arial" w:cs="Arial"/>
        </w:rPr>
        <w:t xml:space="preserve"> of the</w:t>
      </w:r>
      <w:r w:rsidRPr="00D93238">
        <w:rPr>
          <w:rFonts w:ascii="Arial" w:hAnsi="Arial" w:cs="Arial"/>
        </w:rPr>
        <w:t xml:space="preserve"> inventory increased, </w:t>
      </w:r>
      <w:r w:rsidR="00A247BE">
        <w:rPr>
          <w:rFonts w:ascii="Arial" w:hAnsi="Arial" w:cs="Arial"/>
        </w:rPr>
        <w:t>which mainly indicates</w:t>
      </w:r>
      <w:r w:rsidRPr="00D93238">
        <w:rPr>
          <w:rFonts w:ascii="Arial" w:hAnsi="Arial" w:cs="Arial"/>
        </w:rPr>
        <w:t xml:space="preserve"> that cash is</w:t>
      </w:r>
      <w:r w:rsidR="00A247BE">
        <w:rPr>
          <w:rFonts w:ascii="Arial" w:hAnsi="Arial" w:cs="Arial"/>
        </w:rPr>
        <w:t xml:space="preserve"> </w:t>
      </w:r>
      <w:r w:rsidR="00A247BE" w:rsidRPr="00D93238">
        <w:rPr>
          <w:rFonts w:ascii="Arial" w:hAnsi="Arial" w:cs="Arial"/>
        </w:rPr>
        <w:t>more</w:t>
      </w:r>
      <w:r w:rsidRPr="00D93238">
        <w:rPr>
          <w:rFonts w:ascii="Arial" w:hAnsi="Arial" w:cs="Arial"/>
        </w:rPr>
        <w:t xml:space="preserve"> locked in the business.</w:t>
      </w:r>
    </w:p>
    <w:p w14:paraId="7185D71F" w14:textId="060DEE1A" w:rsidR="00A55E6F" w:rsidRPr="00ED62B2" w:rsidRDefault="00A55E6F" w:rsidP="00BD065A">
      <w:pPr>
        <w:spacing w:line="360" w:lineRule="auto"/>
        <w:rPr>
          <w:rFonts w:ascii="Arial" w:hAnsi="Arial" w:cs="Arial"/>
        </w:rPr>
      </w:pPr>
      <w:r w:rsidRPr="00ED62B2">
        <w:rPr>
          <w:rFonts w:ascii="Arial" w:hAnsi="Arial" w:cs="Arial"/>
        </w:rPr>
        <w:t>Overall, efficiency performance is mixed, with some strengths in receivables management but concerns regarding increasing inventory levels.</w:t>
      </w:r>
    </w:p>
    <w:p w14:paraId="369AAA10" w14:textId="77777777" w:rsidR="00A55E6F" w:rsidRPr="007C4ADB" w:rsidRDefault="00A55E6F" w:rsidP="007C4ADB">
      <w:pPr>
        <w:pStyle w:val="Heading2"/>
        <w:rPr>
          <w:rFonts w:ascii="Arial" w:hAnsi="Arial" w:cs="Arial"/>
          <w:sz w:val="24"/>
          <w:szCs w:val="24"/>
        </w:rPr>
      </w:pPr>
      <w:bookmarkStart w:id="5" w:name="_Toc227771627"/>
      <w:r w:rsidRPr="007C4ADB">
        <w:rPr>
          <w:rFonts w:ascii="Arial" w:hAnsi="Arial" w:cs="Arial"/>
          <w:sz w:val="24"/>
          <w:szCs w:val="24"/>
        </w:rPr>
        <w:t>1.4 Gearing (Leverage) Analysis</w:t>
      </w:r>
      <w:bookmarkEnd w:id="5"/>
    </w:p>
    <w:p w14:paraId="667AED92" w14:textId="77777777" w:rsidR="00A55E6F" w:rsidRPr="00ED62B2" w:rsidRDefault="00A55E6F" w:rsidP="00BD065A">
      <w:pPr>
        <w:spacing w:line="360" w:lineRule="auto"/>
        <w:rPr>
          <w:rFonts w:ascii="Arial" w:hAnsi="Arial" w:cs="Arial"/>
        </w:rPr>
      </w:pPr>
      <w:r w:rsidRPr="00ED62B2">
        <w:rPr>
          <w:rFonts w:ascii="Arial" w:hAnsi="Arial" w:cs="Arial"/>
        </w:rPr>
        <w:t>Gearing ratios help to assess the company’s financial risk and capital structure.</w:t>
      </w:r>
    </w:p>
    <w:p w14:paraId="14F8D801" w14:textId="7ED4F922" w:rsidR="00A55E6F" w:rsidRPr="00ED62B2" w:rsidRDefault="00504214" w:rsidP="00BD065A">
      <w:pPr>
        <w:spacing w:line="360" w:lineRule="auto"/>
        <w:rPr>
          <w:rFonts w:ascii="Arial" w:hAnsi="Arial" w:cs="Arial"/>
        </w:rPr>
      </w:pPr>
      <w:r w:rsidRPr="00ED62B2">
        <w:rPr>
          <w:rFonts w:ascii="Arial" w:hAnsi="Arial" w:cs="Arial"/>
        </w:rPr>
        <w:t>As per Appendix D, t</w:t>
      </w:r>
      <w:r w:rsidR="00A55E6F" w:rsidRPr="00ED62B2">
        <w:rPr>
          <w:rFonts w:ascii="Arial" w:hAnsi="Arial" w:cs="Arial"/>
        </w:rPr>
        <w:t xml:space="preserve">he debt-to-equity ratio decreased steadily from 0.50 in 2020 to 0.28 in 2024, indicating that </w:t>
      </w:r>
      <w:r w:rsidR="00751EA2">
        <w:rPr>
          <w:rFonts w:ascii="Arial" w:hAnsi="Arial" w:cs="Arial"/>
        </w:rPr>
        <w:t>Volvo Cars</w:t>
      </w:r>
      <w:r w:rsidRPr="00ED62B2">
        <w:rPr>
          <w:rFonts w:ascii="Arial" w:hAnsi="Arial" w:cs="Arial"/>
        </w:rPr>
        <w:t xml:space="preserve"> </w:t>
      </w:r>
      <w:r w:rsidR="00A55E6F" w:rsidRPr="00ED62B2">
        <w:rPr>
          <w:rFonts w:ascii="Arial" w:hAnsi="Arial" w:cs="Arial"/>
        </w:rPr>
        <w:t>is reducing its reliance on debt financing. Similarly, the debt-to-capital ratio declined from 0.33 to 0.22, which reflects a more conservative capital structure.</w:t>
      </w:r>
    </w:p>
    <w:p w14:paraId="2983494D" w14:textId="77777777" w:rsidR="00A55E6F" w:rsidRPr="00ED62B2" w:rsidRDefault="00A55E6F" w:rsidP="00BD065A">
      <w:pPr>
        <w:spacing w:line="360" w:lineRule="auto"/>
        <w:rPr>
          <w:rFonts w:ascii="Arial" w:hAnsi="Arial" w:cs="Arial"/>
        </w:rPr>
      </w:pPr>
      <w:r w:rsidRPr="00ED62B2">
        <w:rPr>
          <w:rFonts w:ascii="Arial" w:hAnsi="Arial" w:cs="Arial"/>
        </w:rPr>
        <w:t>Interest coverage improved significantly, increasing from 5.36 in 2020 to above 25 in 2022 and 2023, before slightly declining to 19.18 in 2024. This indicates that the company has a strong ability to meet its interest obligations, reducing the risk of financial distress (Arnold, 2019).</w:t>
      </w:r>
    </w:p>
    <w:p w14:paraId="41DD32AD" w14:textId="1B0A7A78" w:rsidR="001E5D80" w:rsidRPr="00ED62B2" w:rsidRDefault="00A55E6F" w:rsidP="00BD065A">
      <w:pPr>
        <w:spacing w:line="360" w:lineRule="auto"/>
        <w:rPr>
          <w:rFonts w:ascii="Arial" w:hAnsi="Arial" w:cs="Arial"/>
        </w:rPr>
      </w:pPr>
      <w:r w:rsidRPr="00ED62B2">
        <w:rPr>
          <w:rFonts w:ascii="Arial" w:hAnsi="Arial" w:cs="Arial"/>
        </w:rPr>
        <w:t>Overall, the company’s leverage position has improved considerably, which is a positive sign for long-term financial stability.</w:t>
      </w:r>
    </w:p>
    <w:p w14:paraId="4DE715AF" w14:textId="77777777" w:rsidR="00A55E6F" w:rsidRPr="007C4ADB" w:rsidRDefault="00A55E6F" w:rsidP="007C4ADB">
      <w:pPr>
        <w:pStyle w:val="Heading2"/>
        <w:rPr>
          <w:rFonts w:ascii="Arial" w:hAnsi="Arial" w:cs="Arial"/>
          <w:sz w:val="24"/>
          <w:szCs w:val="24"/>
        </w:rPr>
      </w:pPr>
      <w:bookmarkStart w:id="6" w:name="_Toc227771628"/>
      <w:r w:rsidRPr="007C4ADB">
        <w:rPr>
          <w:rFonts w:ascii="Arial" w:hAnsi="Arial" w:cs="Arial"/>
          <w:sz w:val="24"/>
          <w:szCs w:val="24"/>
        </w:rPr>
        <w:lastRenderedPageBreak/>
        <w:t>1.5 Investment Ratios Analysis</w:t>
      </w:r>
      <w:bookmarkEnd w:id="6"/>
    </w:p>
    <w:p w14:paraId="3537B829" w14:textId="5B9919A7" w:rsidR="00A55E6F" w:rsidRPr="00ED62B2" w:rsidRDefault="00A55E6F" w:rsidP="00BD065A">
      <w:pPr>
        <w:spacing w:line="360" w:lineRule="auto"/>
        <w:rPr>
          <w:rFonts w:ascii="Arial" w:hAnsi="Arial" w:cs="Arial"/>
        </w:rPr>
      </w:pPr>
      <w:r w:rsidRPr="00ED62B2">
        <w:rPr>
          <w:rFonts w:ascii="Arial" w:hAnsi="Arial" w:cs="Arial"/>
        </w:rPr>
        <w:t>Investment ratios provide insight into the returns generated for shareholders.</w:t>
      </w:r>
      <w:r w:rsidR="00504214" w:rsidRPr="00ED62B2">
        <w:rPr>
          <w:rFonts w:ascii="Arial" w:hAnsi="Arial" w:cs="Arial"/>
        </w:rPr>
        <w:t xml:space="preserve"> The calculations for investment ratios are shown in </w:t>
      </w:r>
      <w:r w:rsidR="003D2527">
        <w:rPr>
          <w:rFonts w:ascii="Arial" w:hAnsi="Arial" w:cs="Arial"/>
        </w:rPr>
        <w:t>Appendix</w:t>
      </w:r>
      <w:r w:rsidR="00504214" w:rsidRPr="00ED62B2">
        <w:rPr>
          <w:rFonts w:ascii="Arial" w:hAnsi="Arial" w:cs="Arial"/>
        </w:rPr>
        <w:t xml:space="preserve"> E.</w:t>
      </w:r>
    </w:p>
    <w:p w14:paraId="35A0D1B7" w14:textId="73CFCE11" w:rsidR="00A55E6F" w:rsidRPr="00ED62B2" w:rsidRDefault="00A55E6F" w:rsidP="00BD065A">
      <w:pPr>
        <w:spacing w:line="360" w:lineRule="auto"/>
        <w:rPr>
          <w:rFonts w:ascii="Arial" w:hAnsi="Arial" w:cs="Arial"/>
        </w:rPr>
      </w:pPr>
      <w:r w:rsidRPr="00ED62B2">
        <w:rPr>
          <w:rFonts w:ascii="Arial" w:hAnsi="Arial" w:cs="Arial"/>
        </w:rPr>
        <w:t xml:space="preserve">Earnings per share (EPS) increased from 2.28 in 2020 to 5.23 in 2022, indicating strong growth in earnings. However, the decline in 2023 followed by </w:t>
      </w:r>
      <w:r w:rsidR="003D2527">
        <w:rPr>
          <w:rFonts w:ascii="Arial" w:hAnsi="Arial" w:cs="Arial"/>
        </w:rPr>
        <w:t xml:space="preserve">a </w:t>
      </w:r>
      <w:r w:rsidRPr="00ED62B2">
        <w:rPr>
          <w:rFonts w:ascii="Arial" w:hAnsi="Arial" w:cs="Arial"/>
        </w:rPr>
        <w:t>recovery in 2024 suggests some volatility in performance.</w:t>
      </w:r>
    </w:p>
    <w:p w14:paraId="759A24A1" w14:textId="28A925A4" w:rsidR="00A55E6F" w:rsidRPr="00ED62B2" w:rsidRDefault="00A55E6F" w:rsidP="00BD065A">
      <w:pPr>
        <w:spacing w:line="360" w:lineRule="auto"/>
        <w:rPr>
          <w:rFonts w:ascii="Arial" w:hAnsi="Arial" w:cs="Arial"/>
        </w:rPr>
      </w:pPr>
      <w:r w:rsidRPr="00ED62B2">
        <w:rPr>
          <w:rFonts w:ascii="Arial" w:hAnsi="Arial" w:cs="Arial"/>
        </w:rPr>
        <w:t xml:space="preserve">Return on Equity (ROE) peaked at 14.93% in 2021 and then </w:t>
      </w:r>
      <w:r w:rsidR="003D2527">
        <w:rPr>
          <w:rFonts w:ascii="Arial" w:hAnsi="Arial" w:cs="Arial"/>
        </w:rPr>
        <w:t>stabilised</w:t>
      </w:r>
      <w:r w:rsidRPr="00ED62B2">
        <w:rPr>
          <w:rFonts w:ascii="Arial" w:hAnsi="Arial" w:cs="Arial"/>
        </w:rPr>
        <w:t xml:space="preserve"> between 11% and 14%, indicating that </w:t>
      </w:r>
      <w:r w:rsidR="00751EA2">
        <w:rPr>
          <w:rFonts w:ascii="Arial" w:hAnsi="Arial" w:cs="Arial"/>
        </w:rPr>
        <w:t>Volvo Cars</w:t>
      </w:r>
      <w:r w:rsidR="00504214" w:rsidRPr="00ED62B2">
        <w:rPr>
          <w:rFonts w:ascii="Arial" w:hAnsi="Arial" w:cs="Arial"/>
        </w:rPr>
        <w:t xml:space="preserve"> </w:t>
      </w:r>
      <w:r w:rsidRPr="00ED62B2">
        <w:rPr>
          <w:rFonts w:ascii="Arial" w:hAnsi="Arial" w:cs="Arial"/>
        </w:rPr>
        <w:t>continues to generate reasonable returns for shareholders.</w:t>
      </w:r>
    </w:p>
    <w:p w14:paraId="357C3BCF" w14:textId="77777777" w:rsidR="00A55E6F" w:rsidRPr="00ED62B2" w:rsidRDefault="00A55E6F" w:rsidP="00BD065A">
      <w:pPr>
        <w:spacing w:line="360" w:lineRule="auto"/>
        <w:rPr>
          <w:rFonts w:ascii="Arial" w:hAnsi="Arial" w:cs="Arial"/>
        </w:rPr>
      </w:pPr>
      <w:r w:rsidRPr="00ED62B2">
        <w:rPr>
          <w:rFonts w:ascii="Arial" w:hAnsi="Arial" w:cs="Arial"/>
        </w:rPr>
        <w:t>Dividend payout remained zero throughout the period, meaning that profits are being retained within the company rather than distributed to shareholders. This may indicate a growth strategy where earnings are reinvested to support expansion, which is common in capital-intensive industries such as electric vehicles (Brealey, Myers and Allen, 2020).</w:t>
      </w:r>
    </w:p>
    <w:p w14:paraId="3876A434" w14:textId="2BDFC017" w:rsidR="00A55E6F" w:rsidRPr="00ED62B2" w:rsidRDefault="00A55E6F" w:rsidP="00BD065A">
      <w:pPr>
        <w:spacing w:line="360" w:lineRule="auto"/>
        <w:rPr>
          <w:rFonts w:ascii="Arial" w:hAnsi="Arial" w:cs="Arial"/>
        </w:rPr>
      </w:pPr>
      <w:r w:rsidRPr="00ED62B2">
        <w:rPr>
          <w:rFonts w:ascii="Arial" w:hAnsi="Arial" w:cs="Arial"/>
        </w:rPr>
        <w:t>However, the absence of dividends may reduce attractiveness for investors seeking regular income.</w:t>
      </w:r>
    </w:p>
    <w:p w14:paraId="3A862240" w14:textId="77777777" w:rsidR="00A55E6F" w:rsidRPr="007C4ADB" w:rsidRDefault="00A55E6F" w:rsidP="007C4ADB">
      <w:pPr>
        <w:pStyle w:val="Heading2"/>
        <w:rPr>
          <w:rFonts w:ascii="Arial" w:hAnsi="Arial" w:cs="Arial"/>
          <w:sz w:val="24"/>
          <w:szCs w:val="24"/>
        </w:rPr>
      </w:pPr>
      <w:bookmarkStart w:id="7" w:name="_Toc227771629"/>
      <w:r w:rsidRPr="007C4ADB">
        <w:rPr>
          <w:rFonts w:ascii="Arial" w:hAnsi="Arial" w:cs="Arial"/>
          <w:sz w:val="24"/>
          <w:szCs w:val="24"/>
        </w:rPr>
        <w:t>1.6 Cash Flow Analysis</w:t>
      </w:r>
      <w:bookmarkEnd w:id="7"/>
    </w:p>
    <w:p w14:paraId="46DCD667" w14:textId="77777777" w:rsidR="00A55E6F" w:rsidRPr="00ED62B2" w:rsidRDefault="00A55E6F" w:rsidP="00BD065A">
      <w:pPr>
        <w:spacing w:line="360" w:lineRule="auto"/>
        <w:rPr>
          <w:rFonts w:ascii="Arial" w:hAnsi="Arial" w:cs="Arial"/>
        </w:rPr>
      </w:pPr>
      <w:r w:rsidRPr="00ED62B2">
        <w:rPr>
          <w:rFonts w:ascii="Arial" w:hAnsi="Arial" w:cs="Arial"/>
        </w:rPr>
        <w:t>Cash flow analysis is essential as it reflects the company’s actual ability to generate cash.</w:t>
      </w:r>
    </w:p>
    <w:p w14:paraId="211A0F80" w14:textId="6038AA05" w:rsidR="00A55E6F" w:rsidRPr="00ED62B2" w:rsidRDefault="00504214" w:rsidP="00BD065A">
      <w:pPr>
        <w:spacing w:line="360" w:lineRule="auto"/>
        <w:rPr>
          <w:rFonts w:ascii="Arial" w:hAnsi="Arial" w:cs="Arial"/>
        </w:rPr>
      </w:pPr>
      <w:r w:rsidRPr="00ED62B2">
        <w:rPr>
          <w:rFonts w:ascii="Arial" w:hAnsi="Arial" w:cs="Arial"/>
        </w:rPr>
        <w:t xml:space="preserve">As per Appendix F, </w:t>
      </w:r>
      <w:r w:rsidR="009E69F8" w:rsidRPr="00ED62B2">
        <w:rPr>
          <w:rFonts w:ascii="Arial" w:hAnsi="Arial" w:cs="Arial"/>
        </w:rPr>
        <w:t>t</w:t>
      </w:r>
      <w:r w:rsidR="00A55E6F" w:rsidRPr="00ED62B2">
        <w:rPr>
          <w:rFonts w:ascii="Arial" w:hAnsi="Arial" w:cs="Arial"/>
        </w:rPr>
        <w:t>he operating cash flow ratio remained relatively stable between 0.22 and 0.28, indicating that operating cash flows are consistent but not particularly strong relative to liabilities.</w:t>
      </w:r>
    </w:p>
    <w:p w14:paraId="7FD1726B" w14:textId="77777777" w:rsidR="00A55E6F" w:rsidRPr="00ED62B2" w:rsidRDefault="00A55E6F" w:rsidP="00BD065A">
      <w:pPr>
        <w:spacing w:line="360" w:lineRule="auto"/>
        <w:rPr>
          <w:rFonts w:ascii="Arial" w:hAnsi="Arial" w:cs="Arial"/>
        </w:rPr>
      </w:pPr>
      <w:r w:rsidRPr="00ED62B2">
        <w:rPr>
          <w:rFonts w:ascii="Arial" w:hAnsi="Arial" w:cs="Arial"/>
        </w:rPr>
        <w:t>Free cash flow shows a declining trend overall, from 15,392 million in 2020 to 2,339 million in 2024, although fluctuations are present. This decline may be due to increased capital expenditure or reduced operating cash inflows.</w:t>
      </w:r>
    </w:p>
    <w:p w14:paraId="211F79AB" w14:textId="412EB777" w:rsidR="00A55E6F" w:rsidRPr="00ED62B2" w:rsidRDefault="00A55E6F" w:rsidP="00BD065A">
      <w:pPr>
        <w:spacing w:line="360" w:lineRule="auto"/>
        <w:rPr>
          <w:rFonts w:ascii="Arial" w:hAnsi="Arial" w:cs="Arial"/>
        </w:rPr>
      </w:pPr>
      <w:r w:rsidRPr="00ED62B2">
        <w:rPr>
          <w:rFonts w:ascii="Arial" w:hAnsi="Arial" w:cs="Arial"/>
        </w:rPr>
        <w:t xml:space="preserve">Cash flow margin remains stable around 10–12%, suggesting that </w:t>
      </w:r>
      <w:r w:rsidR="00751EA2">
        <w:rPr>
          <w:rFonts w:ascii="Arial" w:hAnsi="Arial" w:cs="Arial"/>
        </w:rPr>
        <w:t>Volvo Cars</w:t>
      </w:r>
      <w:r w:rsidR="00504214" w:rsidRPr="00ED62B2">
        <w:rPr>
          <w:rFonts w:ascii="Arial" w:hAnsi="Arial" w:cs="Arial"/>
        </w:rPr>
        <w:t xml:space="preserve"> </w:t>
      </w:r>
      <w:r w:rsidRPr="00ED62B2">
        <w:rPr>
          <w:rFonts w:ascii="Arial" w:hAnsi="Arial" w:cs="Arial"/>
        </w:rPr>
        <w:t>is able to convert a portion of its revenue into cash efficiently.</w:t>
      </w:r>
    </w:p>
    <w:p w14:paraId="4F8B6645" w14:textId="77777777" w:rsidR="00A55E6F" w:rsidRPr="00ED62B2" w:rsidRDefault="00A55E6F" w:rsidP="00BD065A">
      <w:pPr>
        <w:spacing w:line="360" w:lineRule="auto"/>
        <w:rPr>
          <w:rFonts w:ascii="Arial" w:hAnsi="Arial" w:cs="Arial"/>
        </w:rPr>
      </w:pPr>
      <w:r w:rsidRPr="00ED62B2">
        <w:rPr>
          <w:rFonts w:ascii="Arial" w:hAnsi="Arial" w:cs="Arial"/>
        </w:rPr>
        <w:t>Cash flow to debt improved from 0.84 in 2020 to 1.19 in 2024, indicating that the company’s ability to cover its debt using operating cash flows has strengthened.</w:t>
      </w:r>
    </w:p>
    <w:p w14:paraId="33EFA2D4" w14:textId="608FE6EE" w:rsidR="00113508" w:rsidRDefault="00A55E6F" w:rsidP="00BD065A">
      <w:pPr>
        <w:spacing w:line="360" w:lineRule="auto"/>
        <w:rPr>
          <w:rFonts w:ascii="Arial" w:hAnsi="Arial" w:cs="Arial"/>
        </w:rPr>
      </w:pPr>
      <w:r w:rsidRPr="00ED62B2">
        <w:rPr>
          <w:rFonts w:ascii="Arial" w:hAnsi="Arial" w:cs="Arial"/>
        </w:rPr>
        <w:t>Overall, cash flow performance is moderate, with improvements in debt coverage but concerns regarding declining free cash flow levels (Penman, 2013).</w:t>
      </w:r>
    </w:p>
    <w:p w14:paraId="2E93F7CE" w14:textId="77777777" w:rsidR="007C4ADB" w:rsidRDefault="007C4ADB" w:rsidP="00BD065A">
      <w:pPr>
        <w:spacing w:line="360" w:lineRule="auto"/>
        <w:rPr>
          <w:rFonts w:ascii="Arial" w:hAnsi="Arial" w:cs="Arial"/>
        </w:rPr>
      </w:pPr>
    </w:p>
    <w:p w14:paraId="3E365A30" w14:textId="77777777" w:rsidR="0097038A" w:rsidRDefault="0097038A" w:rsidP="00BD065A">
      <w:pPr>
        <w:spacing w:line="360" w:lineRule="auto"/>
        <w:rPr>
          <w:rFonts w:ascii="Arial" w:hAnsi="Arial" w:cs="Arial"/>
        </w:rPr>
      </w:pPr>
    </w:p>
    <w:p w14:paraId="7EFF20D6" w14:textId="77777777" w:rsidR="001E5D80" w:rsidRPr="00ED62B2" w:rsidRDefault="001E5D80" w:rsidP="00BD065A">
      <w:pPr>
        <w:spacing w:line="360" w:lineRule="auto"/>
        <w:rPr>
          <w:rFonts w:ascii="Arial" w:hAnsi="Arial" w:cs="Arial"/>
        </w:rPr>
      </w:pPr>
    </w:p>
    <w:p w14:paraId="491012F8" w14:textId="77777777" w:rsidR="00612122" w:rsidRPr="007C4ADB" w:rsidRDefault="00A55E6F" w:rsidP="007C4ADB">
      <w:pPr>
        <w:pStyle w:val="Heading2"/>
        <w:rPr>
          <w:rFonts w:ascii="Arial" w:hAnsi="Arial" w:cs="Arial"/>
          <w:sz w:val="24"/>
          <w:szCs w:val="24"/>
        </w:rPr>
      </w:pPr>
      <w:bookmarkStart w:id="8" w:name="_Toc227771630"/>
      <w:r w:rsidRPr="007C4ADB">
        <w:rPr>
          <w:rFonts w:ascii="Arial" w:hAnsi="Arial" w:cs="Arial"/>
          <w:sz w:val="24"/>
          <w:szCs w:val="24"/>
        </w:rPr>
        <w:lastRenderedPageBreak/>
        <w:t>1.7 Overall Assessment: Strengths and Weaknesses</w:t>
      </w:r>
      <w:bookmarkEnd w:id="8"/>
    </w:p>
    <w:p w14:paraId="13AD48BC" w14:textId="43FC81E5" w:rsidR="00A55E6F" w:rsidRPr="00ED62B2" w:rsidRDefault="00A55E6F" w:rsidP="00BD065A">
      <w:pPr>
        <w:spacing w:line="360" w:lineRule="auto"/>
        <w:rPr>
          <w:rFonts w:ascii="Arial" w:hAnsi="Arial" w:cs="Arial"/>
          <w:b/>
          <w:bCs/>
        </w:rPr>
      </w:pPr>
      <w:r w:rsidRPr="00ED62B2">
        <w:rPr>
          <w:rFonts w:ascii="Arial" w:hAnsi="Arial" w:cs="Arial"/>
          <w:b/>
          <w:bCs/>
        </w:rPr>
        <w:t>Strengths</w:t>
      </w:r>
    </w:p>
    <w:p w14:paraId="79CC0599"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Decreasing leverage and improved financial stability </w:t>
      </w:r>
    </w:p>
    <w:p w14:paraId="22FFAC5B"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Strong interest coverage ratio </w:t>
      </w:r>
    </w:p>
    <w:p w14:paraId="4583D695" w14:textId="52426103"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Stable asset </w:t>
      </w:r>
      <w:r w:rsidR="00113508">
        <w:rPr>
          <w:rFonts w:ascii="Arial" w:hAnsi="Arial" w:cs="Arial"/>
        </w:rPr>
        <w:t>utili</w:t>
      </w:r>
      <w:r w:rsidR="00A51478">
        <w:rPr>
          <w:rFonts w:ascii="Arial" w:hAnsi="Arial" w:cs="Arial"/>
        </w:rPr>
        <w:t>z</w:t>
      </w:r>
      <w:r w:rsidR="00113508">
        <w:rPr>
          <w:rFonts w:ascii="Arial" w:hAnsi="Arial" w:cs="Arial"/>
        </w:rPr>
        <w:t>ation</w:t>
      </w:r>
      <w:r w:rsidRPr="00ED62B2">
        <w:rPr>
          <w:rFonts w:ascii="Arial" w:hAnsi="Arial" w:cs="Arial"/>
        </w:rPr>
        <w:t xml:space="preserve"> </w:t>
      </w:r>
    </w:p>
    <w:p w14:paraId="6DCBDC75"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Consistent cash flow margins </w:t>
      </w:r>
    </w:p>
    <w:p w14:paraId="40D55589"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Reinvestment strategy supporting long-term growth </w:t>
      </w:r>
    </w:p>
    <w:p w14:paraId="533F4B4D" w14:textId="77777777" w:rsidR="00A55E6F" w:rsidRPr="00ED62B2" w:rsidRDefault="00A55E6F" w:rsidP="00BD065A">
      <w:pPr>
        <w:spacing w:line="360" w:lineRule="auto"/>
        <w:rPr>
          <w:rFonts w:ascii="Arial" w:hAnsi="Arial" w:cs="Arial"/>
          <w:b/>
          <w:bCs/>
        </w:rPr>
      </w:pPr>
      <w:r w:rsidRPr="00ED62B2">
        <w:rPr>
          <w:rFonts w:ascii="Arial" w:hAnsi="Arial" w:cs="Arial"/>
          <w:b/>
          <w:bCs/>
        </w:rPr>
        <w:t>Weaknesses</w:t>
      </w:r>
    </w:p>
    <w:p w14:paraId="3E389D58" w14:textId="77777777" w:rsidR="00A55E6F" w:rsidRPr="00ED62B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Declining liquidity ratios </w:t>
      </w:r>
    </w:p>
    <w:p w14:paraId="1CF900AD" w14:textId="77777777" w:rsidR="00A55E6F" w:rsidRPr="00ED62B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Increasing inventory holding period </w:t>
      </w:r>
    </w:p>
    <w:p w14:paraId="179BC02C" w14:textId="77777777" w:rsidR="00A55E6F" w:rsidRPr="00ED62B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Volatility in profitability </w:t>
      </w:r>
    </w:p>
    <w:p w14:paraId="7AD0F4E6" w14:textId="77777777" w:rsidR="0061212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Declining free cash flow </w:t>
      </w:r>
    </w:p>
    <w:p w14:paraId="63925B65" w14:textId="7DE3C23A" w:rsidR="00A55E6F" w:rsidRPr="00612122" w:rsidRDefault="00A55E6F" w:rsidP="00BD065A">
      <w:pPr>
        <w:numPr>
          <w:ilvl w:val="0"/>
          <w:numId w:val="2"/>
        </w:numPr>
        <w:tabs>
          <w:tab w:val="clear" w:pos="360"/>
          <w:tab w:val="num" w:pos="720"/>
        </w:tabs>
        <w:spacing w:line="360" w:lineRule="auto"/>
        <w:rPr>
          <w:rFonts w:ascii="Arial" w:hAnsi="Arial" w:cs="Arial"/>
        </w:rPr>
      </w:pPr>
      <w:r w:rsidRPr="00612122">
        <w:rPr>
          <w:rFonts w:ascii="Arial" w:hAnsi="Arial" w:cs="Arial"/>
        </w:rPr>
        <w:t xml:space="preserve">No dividend payments </w:t>
      </w:r>
    </w:p>
    <w:p w14:paraId="00C92349" w14:textId="77777777" w:rsidR="00A55E6F" w:rsidRPr="00ED62B2" w:rsidRDefault="00A55E6F" w:rsidP="00BD065A">
      <w:pPr>
        <w:spacing w:line="360" w:lineRule="auto"/>
        <w:rPr>
          <w:rFonts w:ascii="Arial" w:hAnsi="Arial" w:cs="Arial"/>
          <w:b/>
          <w:bCs/>
        </w:rPr>
      </w:pPr>
      <w:r w:rsidRPr="00ED62B2">
        <w:rPr>
          <w:rFonts w:ascii="Arial" w:hAnsi="Arial" w:cs="Arial"/>
          <w:b/>
          <w:bCs/>
        </w:rPr>
        <w:t>Conclusion of Financial Health</w:t>
      </w:r>
    </w:p>
    <w:p w14:paraId="3F5B6915" w14:textId="3831181D" w:rsidR="00A55E6F" w:rsidRPr="00ED62B2" w:rsidRDefault="00A55E6F" w:rsidP="00BD065A">
      <w:pPr>
        <w:spacing w:line="360" w:lineRule="auto"/>
        <w:rPr>
          <w:rFonts w:ascii="Arial" w:hAnsi="Arial" w:cs="Arial"/>
        </w:rPr>
      </w:pPr>
      <w:r w:rsidRPr="00ED62B2">
        <w:rPr>
          <w:rFonts w:ascii="Arial" w:hAnsi="Arial" w:cs="Arial"/>
        </w:rPr>
        <w:t xml:space="preserve">In conclusion, </w:t>
      </w:r>
      <w:r w:rsidR="00751EA2">
        <w:rPr>
          <w:rFonts w:ascii="Arial" w:hAnsi="Arial" w:cs="Arial"/>
        </w:rPr>
        <w:t>Volvo Cars</w:t>
      </w:r>
      <w:r w:rsidR="00504214" w:rsidRPr="00ED62B2">
        <w:rPr>
          <w:rFonts w:ascii="Arial" w:hAnsi="Arial" w:cs="Arial"/>
        </w:rPr>
        <w:t xml:space="preserve"> </w:t>
      </w:r>
      <w:r w:rsidRPr="00ED62B2">
        <w:rPr>
          <w:rFonts w:ascii="Arial" w:hAnsi="Arial" w:cs="Arial"/>
        </w:rPr>
        <w:t>demonstrates a relatively stable financial position, supported by strong improvements in its capital structure and debt management. However, declining liquidity and fluctuations in profitability highlight areas of concern.</w:t>
      </w:r>
    </w:p>
    <w:p w14:paraId="60E90D38" w14:textId="11D6DF2E" w:rsidR="00A55E6F" w:rsidRPr="00ED62B2" w:rsidRDefault="00A55E6F" w:rsidP="00BD065A">
      <w:pPr>
        <w:spacing w:line="360" w:lineRule="auto"/>
        <w:rPr>
          <w:rFonts w:ascii="Arial" w:hAnsi="Arial" w:cs="Arial"/>
        </w:rPr>
      </w:pPr>
      <w:r w:rsidRPr="00ED62B2">
        <w:rPr>
          <w:rFonts w:ascii="Arial" w:hAnsi="Arial" w:cs="Arial"/>
        </w:rPr>
        <w:t>While the firm appears financially stable in the long term, it may face short-term operational challenges. Therefore, improving liquidity management and stabilising profitability will be critical for ensuring sustainable growth in the future.</w:t>
      </w:r>
    </w:p>
    <w:p w14:paraId="19E893C0" w14:textId="77777777" w:rsidR="00A55E6F" w:rsidRPr="007C4ADB" w:rsidRDefault="00A55E6F" w:rsidP="007C4ADB">
      <w:pPr>
        <w:pStyle w:val="Heading1"/>
        <w:rPr>
          <w:rFonts w:ascii="Arial" w:hAnsi="Arial" w:cs="Arial"/>
          <w:sz w:val="24"/>
          <w:szCs w:val="24"/>
        </w:rPr>
      </w:pPr>
      <w:bookmarkStart w:id="9" w:name="_Toc227771631"/>
      <w:r w:rsidRPr="007C4ADB">
        <w:rPr>
          <w:rFonts w:ascii="Arial" w:hAnsi="Arial" w:cs="Arial"/>
          <w:sz w:val="24"/>
          <w:szCs w:val="24"/>
        </w:rPr>
        <w:t>2. Working Capital Management Analysis</w:t>
      </w:r>
      <w:bookmarkEnd w:id="9"/>
    </w:p>
    <w:p w14:paraId="5CCB6562" w14:textId="414AED05" w:rsidR="00A55E6F" w:rsidRDefault="00A55E6F" w:rsidP="00BD065A">
      <w:pPr>
        <w:spacing w:line="360" w:lineRule="auto"/>
        <w:rPr>
          <w:rFonts w:ascii="Arial" w:hAnsi="Arial" w:cs="Arial"/>
        </w:rPr>
      </w:pPr>
      <w:r w:rsidRPr="00ED62B2">
        <w:rPr>
          <w:rFonts w:ascii="Arial" w:hAnsi="Arial" w:cs="Arial"/>
        </w:rPr>
        <w:t>Working capital management plays a crucial role in ensuring that a company can meet its short-term obligations while maintaining smooth day-to-day operations. It focuses on managing current assets such as inventory, receivables, and cash, along with current liabilities like payables. An efficient working capital system improves liquidity, reduces financial risk, and supports overall business performance (</w:t>
      </w:r>
      <w:proofErr w:type="spellStart"/>
      <w:r w:rsidRPr="00ED62B2">
        <w:rPr>
          <w:rFonts w:ascii="Arial" w:hAnsi="Arial" w:cs="Arial"/>
        </w:rPr>
        <w:t>Atrill</w:t>
      </w:r>
      <w:proofErr w:type="spellEnd"/>
      <w:r w:rsidRPr="00ED62B2">
        <w:rPr>
          <w:rFonts w:ascii="Arial" w:hAnsi="Arial" w:cs="Arial"/>
        </w:rPr>
        <w:t xml:space="preserve"> and McLaney, 2019).</w:t>
      </w:r>
    </w:p>
    <w:p w14:paraId="3513067A" w14:textId="77777777" w:rsidR="00160EDA" w:rsidRDefault="00160EDA" w:rsidP="00BD065A">
      <w:pPr>
        <w:spacing w:line="360" w:lineRule="auto"/>
        <w:rPr>
          <w:rFonts w:ascii="Arial" w:hAnsi="Arial" w:cs="Arial"/>
        </w:rPr>
      </w:pPr>
    </w:p>
    <w:p w14:paraId="42CF68F8" w14:textId="77777777" w:rsidR="00160EDA" w:rsidRPr="00ED62B2" w:rsidRDefault="00160EDA" w:rsidP="00BD065A">
      <w:pPr>
        <w:spacing w:line="360" w:lineRule="auto"/>
        <w:rPr>
          <w:rFonts w:ascii="Arial" w:hAnsi="Arial" w:cs="Arial"/>
        </w:rPr>
      </w:pPr>
    </w:p>
    <w:p w14:paraId="01FD5199" w14:textId="77777777" w:rsidR="00A55E6F" w:rsidRPr="007C4ADB" w:rsidRDefault="00A55E6F" w:rsidP="007C4ADB">
      <w:pPr>
        <w:pStyle w:val="Heading2"/>
        <w:rPr>
          <w:rFonts w:ascii="Arial" w:hAnsi="Arial" w:cs="Arial"/>
          <w:sz w:val="24"/>
          <w:szCs w:val="24"/>
        </w:rPr>
      </w:pPr>
      <w:bookmarkStart w:id="10" w:name="_Toc227771632"/>
      <w:r w:rsidRPr="007C4ADB">
        <w:rPr>
          <w:rFonts w:ascii="Arial" w:hAnsi="Arial" w:cs="Arial"/>
          <w:sz w:val="24"/>
          <w:szCs w:val="24"/>
        </w:rPr>
        <w:lastRenderedPageBreak/>
        <w:t>2.1 Cash Operating Cycle Analysis</w:t>
      </w:r>
      <w:bookmarkEnd w:id="10"/>
    </w:p>
    <w:p w14:paraId="6E300AC2" w14:textId="21C2A7C6" w:rsidR="00A55E6F" w:rsidRPr="00ED62B2" w:rsidRDefault="00A55E6F" w:rsidP="00BD065A">
      <w:pPr>
        <w:spacing w:line="360" w:lineRule="auto"/>
        <w:rPr>
          <w:rFonts w:ascii="Arial" w:hAnsi="Arial" w:cs="Arial"/>
        </w:rPr>
      </w:pPr>
      <w:r w:rsidRPr="00ED62B2">
        <w:rPr>
          <w:rFonts w:ascii="Arial" w:hAnsi="Arial" w:cs="Arial"/>
        </w:rPr>
        <w:t>The cash operating cycle (also known as the cash conversion cycle) measures how long it takes for a company to convert its investments in inventory and other resources into cash flows from sales.</w:t>
      </w:r>
      <w:r w:rsidR="0075546C" w:rsidRPr="0075546C">
        <w:t xml:space="preserve"> </w:t>
      </w:r>
      <w:r w:rsidR="0075546C" w:rsidRPr="0075546C">
        <w:rPr>
          <w:rFonts w:ascii="Arial" w:hAnsi="Arial" w:cs="Arial"/>
        </w:rPr>
        <w:t>(Richards and Laughlin, 1980)</w:t>
      </w:r>
      <w:r w:rsidRPr="00ED62B2">
        <w:rPr>
          <w:rFonts w:ascii="Arial" w:hAnsi="Arial" w:cs="Arial"/>
        </w:rPr>
        <w:t xml:space="preserve"> It is calculated as:</w:t>
      </w:r>
    </w:p>
    <w:p w14:paraId="4419ACD0" w14:textId="77777777" w:rsidR="00A55E6F" w:rsidRPr="00ED62B2" w:rsidRDefault="00A55E6F" w:rsidP="00BD065A">
      <w:pPr>
        <w:spacing w:line="360" w:lineRule="auto"/>
        <w:rPr>
          <w:rFonts w:ascii="Arial" w:hAnsi="Arial" w:cs="Arial"/>
        </w:rPr>
      </w:pPr>
      <w:r w:rsidRPr="00ED62B2">
        <w:rPr>
          <w:rFonts w:ascii="Arial" w:hAnsi="Arial" w:cs="Arial"/>
        </w:rPr>
        <w:t>Cash Operating Cycle = Inventory Days + Receivable Days – Payable Days</w:t>
      </w:r>
    </w:p>
    <w:p w14:paraId="28078D8B" w14:textId="77777777" w:rsidR="00A55E6F" w:rsidRPr="00ED62B2" w:rsidRDefault="00A55E6F" w:rsidP="00BD065A">
      <w:pPr>
        <w:spacing w:line="360" w:lineRule="auto"/>
        <w:rPr>
          <w:rFonts w:ascii="Arial" w:hAnsi="Arial" w:cs="Arial"/>
        </w:rPr>
      </w:pPr>
      <w:r w:rsidRPr="00ED62B2">
        <w:rPr>
          <w:rFonts w:ascii="Arial" w:hAnsi="Arial" w:cs="Arial"/>
        </w:rPr>
        <w:t>Based on the data provided, the company’s working capital cycle shows some fluctuations over the five-year period.</w:t>
      </w:r>
    </w:p>
    <w:p w14:paraId="44CDC924" w14:textId="4DBA1780" w:rsidR="00A55E6F" w:rsidRPr="00ED62B2" w:rsidRDefault="00940F26" w:rsidP="00BD065A">
      <w:pPr>
        <w:spacing w:line="360" w:lineRule="auto"/>
        <w:rPr>
          <w:rFonts w:ascii="Arial" w:hAnsi="Arial" w:cs="Arial"/>
        </w:rPr>
      </w:pPr>
      <w:r w:rsidRPr="00ED62B2">
        <w:rPr>
          <w:rFonts w:ascii="Arial" w:hAnsi="Arial" w:cs="Arial"/>
        </w:rPr>
        <w:t xml:space="preserve">As shown in Appendix </w:t>
      </w:r>
      <w:r w:rsidR="009E69F8" w:rsidRPr="00ED62B2">
        <w:rPr>
          <w:rFonts w:ascii="Arial" w:hAnsi="Arial" w:cs="Arial"/>
        </w:rPr>
        <w:t xml:space="preserve">C, </w:t>
      </w:r>
      <w:proofErr w:type="gramStart"/>
      <w:r w:rsidR="00A55E6F" w:rsidRPr="00ED62B2">
        <w:rPr>
          <w:rFonts w:ascii="Arial" w:hAnsi="Arial" w:cs="Arial"/>
        </w:rPr>
        <w:t>In</w:t>
      </w:r>
      <w:proofErr w:type="gramEnd"/>
      <w:r w:rsidR="00A55E6F" w:rsidRPr="00ED62B2">
        <w:rPr>
          <w:rFonts w:ascii="Arial" w:hAnsi="Arial" w:cs="Arial"/>
        </w:rPr>
        <w:t xml:space="preserve"> 2020, the cycle was relatively balanced, with inventory days at around 59.7 days, receivable days at 24.5 days, and payable days at 62 days. This results in a relatively short cash cycle, indicating that the company was able to recover cash quickly.</w:t>
      </w:r>
    </w:p>
    <w:p w14:paraId="25AA3409" w14:textId="77777777" w:rsidR="00A55E6F" w:rsidRPr="00ED62B2" w:rsidRDefault="00A55E6F" w:rsidP="00BD065A">
      <w:pPr>
        <w:spacing w:line="360" w:lineRule="auto"/>
        <w:rPr>
          <w:rFonts w:ascii="Arial" w:hAnsi="Arial" w:cs="Arial"/>
        </w:rPr>
      </w:pPr>
      <w:r w:rsidRPr="00ED62B2">
        <w:rPr>
          <w:rFonts w:ascii="Arial" w:hAnsi="Arial" w:cs="Arial"/>
        </w:rPr>
        <w:t>However, by 2022, inventory days increased to 63.5 days and payable days rose significantly to 93.2 days. While the increase in payables may initially appear beneficial, as it delays cash outflows, it may also reflect pressure on supplier relationships or reliance on trade credit.</w:t>
      </w:r>
    </w:p>
    <w:p w14:paraId="0D9AFB77" w14:textId="77777777" w:rsidR="00A55E6F" w:rsidRPr="00ED62B2" w:rsidRDefault="00A55E6F" w:rsidP="00BD065A">
      <w:pPr>
        <w:spacing w:line="360" w:lineRule="auto"/>
        <w:rPr>
          <w:rFonts w:ascii="Arial" w:hAnsi="Arial" w:cs="Arial"/>
        </w:rPr>
      </w:pPr>
      <w:r w:rsidRPr="00ED62B2">
        <w:rPr>
          <w:rFonts w:ascii="Arial" w:hAnsi="Arial" w:cs="Arial"/>
        </w:rPr>
        <w:t>In 2023, there was a noticeable improvement in receivable days, which dropped to 17.6 days, indicating that the company was able to collect payments from customers more quickly. This is a positive sign, as faster collections improve liquidity.</w:t>
      </w:r>
    </w:p>
    <w:p w14:paraId="0DADAE91" w14:textId="4F9D8E5E" w:rsidR="00A55E6F" w:rsidRPr="00ED62B2" w:rsidRDefault="00A55E6F" w:rsidP="00BD065A">
      <w:pPr>
        <w:spacing w:line="360" w:lineRule="auto"/>
        <w:rPr>
          <w:rFonts w:ascii="Arial" w:hAnsi="Arial" w:cs="Arial"/>
        </w:rPr>
      </w:pPr>
      <w:r w:rsidRPr="00ED62B2">
        <w:rPr>
          <w:rFonts w:ascii="Arial" w:hAnsi="Arial" w:cs="Arial"/>
        </w:rPr>
        <w:t xml:space="preserve">By 2024, </w:t>
      </w:r>
      <w:r w:rsidR="009E69F8" w:rsidRPr="00ED62B2">
        <w:rPr>
          <w:rFonts w:ascii="Arial" w:hAnsi="Arial" w:cs="Arial"/>
        </w:rPr>
        <w:t xml:space="preserve">the </w:t>
      </w:r>
      <w:r w:rsidRPr="00ED62B2">
        <w:rPr>
          <w:rFonts w:ascii="Arial" w:hAnsi="Arial" w:cs="Arial"/>
        </w:rPr>
        <w:t>inventory days increased further to 71 days, which is a concern. Holding inventory for longer periods ties up cash and increases the risk of obsolescence, especially in a fast-moving industry like electric vehicles.</w:t>
      </w:r>
    </w:p>
    <w:p w14:paraId="09BAC730" w14:textId="6D5C10E3" w:rsidR="009E69F8" w:rsidRPr="00ED62B2" w:rsidRDefault="00A55E6F" w:rsidP="00BD065A">
      <w:pPr>
        <w:spacing w:line="360" w:lineRule="auto"/>
        <w:rPr>
          <w:rFonts w:ascii="Arial" w:hAnsi="Arial" w:cs="Arial"/>
        </w:rPr>
      </w:pPr>
      <w:r w:rsidRPr="00ED62B2">
        <w:rPr>
          <w:rFonts w:ascii="Arial" w:hAnsi="Arial" w:cs="Arial"/>
        </w:rPr>
        <w:t>Overall, the cash operating cycle shows increasing pressure from inventory management, partially offset by improvements in receivables and adjustments in payables. This suggests that while some aspects of working capital are well managed, others require improvement.</w:t>
      </w:r>
    </w:p>
    <w:p w14:paraId="25E80166" w14:textId="77777777" w:rsidR="00A55E6F" w:rsidRPr="007C4ADB" w:rsidRDefault="00A55E6F" w:rsidP="007C4ADB">
      <w:pPr>
        <w:pStyle w:val="Heading2"/>
        <w:rPr>
          <w:rFonts w:ascii="Arial" w:hAnsi="Arial" w:cs="Arial"/>
          <w:sz w:val="24"/>
          <w:szCs w:val="24"/>
        </w:rPr>
      </w:pPr>
      <w:bookmarkStart w:id="11" w:name="_Toc227771633"/>
      <w:r w:rsidRPr="007C4ADB">
        <w:rPr>
          <w:rFonts w:ascii="Arial" w:hAnsi="Arial" w:cs="Arial"/>
          <w:sz w:val="24"/>
          <w:szCs w:val="24"/>
        </w:rPr>
        <w:t>2.2 Strategies to Improve Liquidity</w:t>
      </w:r>
      <w:bookmarkEnd w:id="11"/>
    </w:p>
    <w:p w14:paraId="508A7973" w14:textId="77777777" w:rsidR="00A55E6F" w:rsidRPr="00ED62B2" w:rsidRDefault="00A55E6F" w:rsidP="00BD065A">
      <w:pPr>
        <w:spacing w:line="360" w:lineRule="auto"/>
        <w:rPr>
          <w:rFonts w:ascii="Arial" w:hAnsi="Arial" w:cs="Arial"/>
        </w:rPr>
      </w:pPr>
      <w:r w:rsidRPr="00ED62B2">
        <w:rPr>
          <w:rFonts w:ascii="Arial" w:hAnsi="Arial" w:cs="Arial"/>
        </w:rPr>
        <w:t>Given the weakening liquidity position identified in the previous section, it is important to recommend strategies that can improve the company’s working capital management.</w:t>
      </w:r>
    </w:p>
    <w:p w14:paraId="6B6210FC" w14:textId="44A5440E" w:rsidR="00A55E6F" w:rsidRPr="00ED62B2" w:rsidRDefault="00A55E6F" w:rsidP="00BD065A">
      <w:pPr>
        <w:spacing w:line="360" w:lineRule="auto"/>
        <w:rPr>
          <w:rFonts w:ascii="Arial" w:hAnsi="Arial" w:cs="Arial"/>
        </w:rPr>
      </w:pPr>
      <w:r w:rsidRPr="00ED62B2">
        <w:rPr>
          <w:rFonts w:ascii="Arial" w:hAnsi="Arial" w:cs="Arial"/>
        </w:rPr>
        <w:t xml:space="preserve">One key area is </w:t>
      </w:r>
      <w:r w:rsidRPr="00ED62B2">
        <w:rPr>
          <w:rFonts w:ascii="Arial" w:hAnsi="Arial" w:cs="Arial"/>
          <w:b/>
          <w:bCs/>
        </w:rPr>
        <w:t>inventory management</w:t>
      </w:r>
      <w:r w:rsidRPr="00ED62B2">
        <w:rPr>
          <w:rFonts w:ascii="Arial" w:hAnsi="Arial" w:cs="Arial"/>
        </w:rPr>
        <w:t xml:space="preserve">. The increase in inventory days suggests inefficiencies in stock control. </w:t>
      </w:r>
      <w:r w:rsidR="00751EA2">
        <w:rPr>
          <w:rFonts w:ascii="Arial" w:hAnsi="Arial" w:cs="Arial"/>
        </w:rPr>
        <w:t>Volvo Cars</w:t>
      </w:r>
      <w:r w:rsidR="009E69F8" w:rsidRPr="00ED62B2">
        <w:rPr>
          <w:rFonts w:ascii="Arial" w:hAnsi="Arial" w:cs="Arial"/>
        </w:rPr>
        <w:t xml:space="preserve"> </w:t>
      </w:r>
      <w:r w:rsidRPr="00ED62B2">
        <w:rPr>
          <w:rFonts w:ascii="Arial" w:hAnsi="Arial" w:cs="Arial"/>
        </w:rPr>
        <w:t>could adopt better forecasting techniques, such as demand planning and just-in-time (JIT) systems, to reduce excess inventory. This would free up cash and improve liquidity.</w:t>
      </w:r>
    </w:p>
    <w:p w14:paraId="2C327614" w14:textId="2CF9BDD2" w:rsidR="00A55E6F" w:rsidRPr="00ED62B2" w:rsidRDefault="00A55E6F" w:rsidP="00BD065A">
      <w:pPr>
        <w:spacing w:line="360" w:lineRule="auto"/>
        <w:rPr>
          <w:rFonts w:ascii="Arial" w:hAnsi="Arial" w:cs="Arial"/>
        </w:rPr>
      </w:pPr>
      <w:r w:rsidRPr="00ED62B2">
        <w:rPr>
          <w:rFonts w:ascii="Arial" w:hAnsi="Arial" w:cs="Arial"/>
        </w:rPr>
        <w:t xml:space="preserve">Another important area is </w:t>
      </w:r>
      <w:r w:rsidRPr="00ED62B2">
        <w:rPr>
          <w:rFonts w:ascii="Arial" w:hAnsi="Arial" w:cs="Arial"/>
          <w:b/>
          <w:bCs/>
        </w:rPr>
        <w:t>receivables management</w:t>
      </w:r>
      <w:r w:rsidRPr="00ED62B2">
        <w:rPr>
          <w:rFonts w:ascii="Arial" w:hAnsi="Arial" w:cs="Arial"/>
        </w:rPr>
        <w:t xml:space="preserve">. Although </w:t>
      </w:r>
      <w:r w:rsidR="00751EA2">
        <w:rPr>
          <w:rFonts w:ascii="Arial" w:hAnsi="Arial" w:cs="Arial"/>
        </w:rPr>
        <w:t>Volvo Cars</w:t>
      </w:r>
      <w:r w:rsidR="009E69F8" w:rsidRPr="00ED62B2">
        <w:rPr>
          <w:rFonts w:ascii="Arial" w:hAnsi="Arial" w:cs="Arial"/>
        </w:rPr>
        <w:t xml:space="preserve"> </w:t>
      </w:r>
      <w:r w:rsidRPr="00ED62B2">
        <w:rPr>
          <w:rFonts w:ascii="Arial" w:hAnsi="Arial" w:cs="Arial"/>
        </w:rPr>
        <w:t xml:space="preserve">showed improvement in 2023, there is still some inconsistency. The firm could implement stricter credit policies, offer early payment discounts, or use digital invoicing systems to ensure faster collection of payments. </w:t>
      </w:r>
      <w:r w:rsidRPr="00ED62B2">
        <w:rPr>
          <w:rFonts w:ascii="Arial" w:hAnsi="Arial" w:cs="Arial"/>
        </w:rPr>
        <w:lastRenderedPageBreak/>
        <w:t>According to</w:t>
      </w:r>
      <w:r w:rsidR="009B08C5">
        <w:rPr>
          <w:rFonts w:ascii="Arial" w:hAnsi="Arial" w:cs="Arial"/>
        </w:rPr>
        <w:t xml:space="preserve"> </w:t>
      </w:r>
      <w:r w:rsidR="009B08C5" w:rsidRPr="009B08C5">
        <w:rPr>
          <w:rFonts w:ascii="Arial" w:hAnsi="Arial" w:cs="Arial"/>
        </w:rPr>
        <w:t xml:space="preserve">Brealey et al. </w:t>
      </w:r>
      <w:r w:rsidR="0068551A">
        <w:rPr>
          <w:rFonts w:ascii="Arial" w:hAnsi="Arial" w:cs="Arial"/>
        </w:rPr>
        <w:t>(</w:t>
      </w:r>
      <w:r w:rsidR="009B08C5" w:rsidRPr="009B08C5">
        <w:rPr>
          <w:rFonts w:ascii="Arial" w:hAnsi="Arial" w:cs="Arial"/>
        </w:rPr>
        <w:t>2020)</w:t>
      </w:r>
      <w:r w:rsidRPr="00ED62B2">
        <w:rPr>
          <w:rFonts w:ascii="Arial" w:hAnsi="Arial" w:cs="Arial"/>
        </w:rPr>
        <w:t>, effective receivables management can significantly improve cash flow without increasing costs.</w:t>
      </w:r>
    </w:p>
    <w:p w14:paraId="26E8B1B6" w14:textId="73F0CF7F" w:rsidR="00A55E6F" w:rsidRPr="00ED62B2" w:rsidRDefault="00A55E6F" w:rsidP="00BD065A">
      <w:pPr>
        <w:spacing w:line="360" w:lineRule="auto"/>
        <w:rPr>
          <w:rFonts w:ascii="Arial" w:hAnsi="Arial" w:cs="Arial"/>
        </w:rPr>
      </w:pPr>
      <w:r w:rsidRPr="00ED62B2">
        <w:rPr>
          <w:rFonts w:ascii="Arial" w:hAnsi="Arial" w:cs="Arial"/>
        </w:rPr>
        <w:t xml:space="preserve">In terms of </w:t>
      </w:r>
      <w:r w:rsidRPr="00ED62B2">
        <w:rPr>
          <w:rFonts w:ascii="Arial" w:hAnsi="Arial" w:cs="Arial"/>
          <w:b/>
          <w:bCs/>
        </w:rPr>
        <w:t>payables management</w:t>
      </w:r>
      <w:r w:rsidRPr="00ED62B2">
        <w:rPr>
          <w:rFonts w:ascii="Arial" w:hAnsi="Arial" w:cs="Arial"/>
        </w:rPr>
        <w:t xml:space="preserve">, </w:t>
      </w:r>
      <w:r w:rsidR="00751EA2">
        <w:rPr>
          <w:rFonts w:ascii="Arial" w:hAnsi="Arial" w:cs="Arial"/>
        </w:rPr>
        <w:t>Volvo Cars</w:t>
      </w:r>
      <w:r w:rsidR="009E69F8" w:rsidRPr="00ED62B2">
        <w:rPr>
          <w:rFonts w:ascii="Arial" w:hAnsi="Arial" w:cs="Arial"/>
        </w:rPr>
        <w:t xml:space="preserve"> </w:t>
      </w:r>
      <w:r w:rsidRPr="00ED62B2">
        <w:rPr>
          <w:rFonts w:ascii="Arial" w:hAnsi="Arial" w:cs="Arial"/>
        </w:rPr>
        <w:t>should aim to maintain a balance. While delaying payments can improve short-term liquidity, excessive delays may harm relationships with suppliers. Negotiating better credit terms without damaging supplier trust would be a more sustainable approach.</w:t>
      </w:r>
    </w:p>
    <w:p w14:paraId="47F661CB" w14:textId="79C69F48" w:rsidR="00A55E6F" w:rsidRPr="00ED62B2" w:rsidRDefault="00A55E6F" w:rsidP="00BD065A">
      <w:pPr>
        <w:spacing w:line="360" w:lineRule="auto"/>
        <w:rPr>
          <w:rFonts w:ascii="Arial" w:hAnsi="Arial" w:cs="Arial"/>
        </w:rPr>
      </w:pPr>
      <w:r w:rsidRPr="00ED62B2">
        <w:rPr>
          <w:rFonts w:ascii="Arial" w:hAnsi="Arial" w:cs="Arial"/>
        </w:rPr>
        <w:t xml:space="preserve">Additionally, </w:t>
      </w:r>
      <w:r w:rsidR="00751EA2">
        <w:rPr>
          <w:rFonts w:ascii="Arial" w:hAnsi="Arial" w:cs="Arial"/>
        </w:rPr>
        <w:t>Volvo Cars</w:t>
      </w:r>
      <w:r w:rsidR="009E69F8" w:rsidRPr="00ED62B2">
        <w:rPr>
          <w:rFonts w:ascii="Arial" w:hAnsi="Arial" w:cs="Arial"/>
        </w:rPr>
        <w:t xml:space="preserve"> </w:t>
      </w:r>
      <w:r w:rsidRPr="00ED62B2">
        <w:rPr>
          <w:rFonts w:ascii="Arial" w:hAnsi="Arial" w:cs="Arial"/>
        </w:rPr>
        <w:t xml:space="preserve">could improve its </w:t>
      </w:r>
      <w:r w:rsidRPr="00ED62B2">
        <w:rPr>
          <w:rFonts w:ascii="Arial" w:hAnsi="Arial" w:cs="Arial"/>
          <w:b/>
          <w:bCs/>
        </w:rPr>
        <w:t>cash management practices</w:t>
      </w:r>
      <w:r w:rsidRPr="00ED62B2">
        <w:rPr>
          <w:rFonts w:ascii="Arial" w:hAnsi="Arial" w:cs="Arial"/>
        </w:rPr>
        <w:t xml:space="preserve"> by maintaining an optimal level of cash reserves. This includes better forecasting of cash inflows and outflows, which helps avoid liquidity shortages.</w:t>
      </w:r>
    </w:p>
    <w:p w14:paraId="521277F2" w14:textId="77777777" w:rsidR="00A55E6F" w:rsidRPr="00ED62B2" w:rsidRDefault="00A55E6F" w:rsidP="00BD065A">
      <w:pPr>
        <w:spacing w:line="360" w:lineRule="auto"/>
        <w:rPr>
          <w:rFonts w:ascii="Arial" w:hAnsi="Arial" w:cs="Arial"/>
        </w:rPr>
      </w:pPr>
      <w:r w:rsidRPr="00ED62B2">
        <w:rPr>
          <w:rFonts w:ascii="Arial" w:hAnsi="Arial" w:cs="Arial"/>
        </w:rPr>
        <w:t xml:space="preserve">Finally, the use of </w:t>
      </w:r>
      <w:r w:rsidRPr="00ED62B2">
        <w:rPr>
          <w:rFonts w:ascii="Arial" w:hAnsi="Arial" w:cs="Arial"/>
          <w:b/>
          <w:bCs/>
        </w:rPr>
        <w:t>working capital financing tools</w:t>
      </w:r>
      <w:r w:rsidRPr="00ED62B2">
        <w:rPr>
          <w:rFonts w:ascii="Arial" w:hAnsi="Arial" w:cs="Arial"/>
        </w:rPr>
        <w:t>, such as factoring or short-term credit lines, can provide additional flexibility. However, these should be used carefully to avoid increasing financial costs.</w:t>
      </w:r>
    </w:p>
    <w:p w14:paraId="21A1162D" w14:textId="0FBAEA06" w:rsidR="00A55E6F" w:rsidRPr="00ED62B2" w:rsidRDefault="00A55E6F" w:rsidP="00BD065A">
      <w:pPr>
        <w:spacing w:line="360" w:lineRule="auto"/>
        <w:rPr>
          <w:rFonts w:ascii="Arial" w:hAnsi="Arial" w:cs="Arial"/>
        </w:rPr>
      </w:pPr>
      <w:r w:rsidRPr="00ED62B2">
        <w:rPr>
          <w:rFonts w:ascii="Arial" w:hAnsi="Arial" w:cs="Arial"/>
        </w:rPr>
        <w:t>Overall, improving inventory control, maintaining efficient receivables collection, and managing payables responsibly can significantly enhance the company’s liquidity position.</w:t>
      </w:r>
    </w:p>
    <w:p w14:paraId="3BDC7BBD" w14:textId="77777777" w:rsidR="00A55E6F" w:rsidRPr="007C4ADB" w:rsidRDefault="00A55E6F" w:rsidP="007C4ADB">
      <w:pPr>
        <w:pStyle w:val="Heading2"/>
        <w:rPr>
          <w:rFonts w:ascii="Arial" w:hAnsi="Arial" w:cs="Arial"/>
          <w:sz w:val="24"/>
          <w:szCs w:val="24"/>
        </w:rPr>
      </w:pPr>
      <w:bookmarkStart w:id="12" w:name="_Toc227771634"/>
      <w:r w:rsidRPr="007C4ADB">
        <w:rPr>
          <w:rFonts w:ascii="Arial" w:hAnsi="Arial" w:cs="Arial"/>
          <w:sz w:val="24"/>
          <w:szCs w:val="24"/>
        </w:rPr>
        <w:t>2.3 Short-Term vs Long-Term Financing Options</w:t>
      </w:r>
      <w:bookmarkEnd w:id="12"/>
    </w:p>
    <w:p w14:paraId="1483CEC4" w14:textId="242C88A1" w:rsidR="00A55E6F" w:rsidRPr="00ED62B2" w:rsidRDefault="00A55E6F" w:rsidP="00BD065A">
      <w:pPr>
        <w:spacing w:line="360" w:lineRule="auto"/>
        <w:rPr>
          <w:rFonts w:ascii="Arial" w:hAnsi="Arial" w:cs="Arial"/>
        </w:rPr>
      </w:pPr>
      <w:r w:rsidRPr="00ED62B2">
        <w:rPr>
          <w:rFonts w:ascii="Arial" w:hAnsi="Arial" w:cs="Arial"/>
        </w:rPr>
        <w:t>An important aspect of working capital management is deciding how to finance short-term needs. Companies can choose between short-term and long-term financing, each with its own advantages and risks.</w:t>
      </w:r>
      <w:r w:rsidR="0039717D">
        <w:rPr>
          <w:rFonts w:ascii="Arial" w:hAnsi="Arial" w:cs="Arial"/>
        </w:rPr>
        <w:t xml:space="preserve"> </w:t>
      </w:r>
      <w:r w:rsidR="0039717D" w:rsidRPr="0039717D">
        <w:rPr>
          <w:rFonts w:ascii="Arial" w:hAnsi="Arial" w:cs="Arial"/>
        </w:rPr>
        <w:t>The choice between short-term and long-term finance should reflect both cost and financial risk considerations (</w:t>
      </w:r>
      <w:proofErr w:type="spellStart"/>
      <w:r w:rsidR="0039717D" w:rsidRPr="0039717D">
        <w:rPr>
          <w:rFonts w:ascii="Arial" w:hAnsi="Arial" w:cs="Arial"/>
        </w:rPr>
        <w:t>Gitman</w:t>
      </w:r>
      <w:proofErr w:type="spellEnd"/>
      <w:r w:rsidR="0039717D" w:rsidRPr="0039717D">
        <w:rPr>
          <w:rFonts w:ascii="Arial" w:hAnsi="Arial" w:cs="Arial"/>
        </w:rPr>
        <w:t xml:space="preserve">, </w:t>
      </w:r>
      <w:proofErr w:type="spellStart"/>
      <w:r w:rsidR="0039717D" w:rsidRPr="0039717D">
        <w:rPr>
          <w:rFonts w:ascii="Arial" w:hAnsi="Arial" w:cs="Arial"/>
        </w:rPr>
        <w:t>Juchau</w:t>
      </w:r>
      <w:proofErr w:type="spellEnd"/>
      <w:r w:rsidR="0039717D" w:rsidRPr="0039717D">
        <w:rPr>
          <w:rFonts w:ascii="Arial" w:hAnsi="Arial" w:cs="Arial"/>
        </w:rPr>
        <w:t xml:space="preserve"> and Flanagan, 2015).</w:t>
      </w:r>
    </w:p>
    <w:p w14:paraId="1F9FE529" w14:textId="77777777" w:rsidR="00A55E6F" w:rsidRPr="00ED62B2" w:rsidRDefault="00A55E6F" w:rsidP="00BD065A">
      <w:pPr>
        <w:spacing w:line="360" w:lineRule="auto"/>
        <w:rPr>
          <w:rFonts w:ascii="Arial" w:hAnsi="Arial" w:cs="Arial"/>
        </w:rPr>
      </w:pPr>
      <w:r w:rsidRPr="00ED62B2">
        <w:rPr>
          <w:rFonts w:ascii="Arial" w:hAnsi="Arial" w:cs="Arial"/>
          <w:b/>
          <w:bCs/>
        </w:rPr>
        <w:t>Short-term financing</w:t>
      </w:r>
      <w:r w:rsidRPr="00ED62B2">
        <w:rPr>
          <w:rFonts w:ascii="Arial" w:hAnsi="Arial" w:cs="Arial"/>
        </w:rPr>
        <w:t xml:space="preserve"> includes sources such as bank overdrafts, trade credit, and short-term loans. These are generally cheaper and more flexible, making them suitable for financing working capital needs. For example, trade credit allows the company to delay payments to suppliers without immediate cash outflow.</w:t>
      </w:r>
    </w:p>
    <w:p w14:paraId="542712F6" w14:textId="06808C27" w:rsidR="00A55E6F" w:rsidRPr="00ED62B2" w:rsidRDefault="00A55E6F" w:rsidP="00BD065A">
      <w:pPr>
        <w:spacing w:line="360" w:lineRule="auto"/>
        <w:rPr>
          <w:rFonts w:ascii="Arial" w:hAnsi="Arial" w:cs="Arial"/>
        </w:rPr>
      </w:pPr>
      <w:r w:rsidRPr="00ED62B2">
        <w:rPr>
          <w:rFonts w:ascii="Arial" w:hAnsi="Arial" w:cs="Arial"/>
        </w:rPr>
        <w:t>However, short-term financing also carries higher risk. It needs to be repaid quickly</w:t>
      </w:r>
      <w:r w:rsidR="0013374E">
        <w:rPr>
          <w:rFonts w:ascii="Arial" w:hAnsi="Arial" w:cs="Arial"/>
        </w:rPr>
        <w:t xml:space="preserve"> and </w:t>
      </w:r>
      <w:r w:rsidR="001F1A57" w:rsidRPr="001F1A57">
        <w:rPr>
          <w:rFonts w:ascii="Arial" w:hAnsi="Arial" w:cs="Arial"/>
        </w:rPr>
        <w:t>may expose the firm to refinancing constraints (</w:t>
      </w:r>
      <w:proofErr w:type="spellStart"/>
      <w:r w:rsidR="001F1A57" w:rsidRPr="001F1A57">
        <w:rPr>
          <w:rFonts w:ascii="Arial" w:hAnsi="Arial" w:cs="Arial"/>
        </w:rPr>
        <w:t>Fazzari</w:t>
      </w:r>
      <w:proofErr w:type="spellEnd"/>
      <w:r w:rsidR="001F1A57" w:rsidRPr="001F1A57">
        <w:rPr>
          <w:rFonts w:ascii="Arial" w:hAnsi="Arial" w:cs="Arial"/>
        </w:rPr>
        <w:t xml:space="preserve"> and Petersen, 1993).</w:t>
      </w:r>
      <w:r w:rsidR="0013374E">
        <w:rPr>
          <w:rFonts w:ascii="Arial" w:hAnsi="Arial" w:cs="Arial"/>
        </w:rPr>
        <w:t xml:space="preserve"> </w:t>
      </w:r>
      <w:r w:rsidRPr="00ED62B2">
        <w:rPr>
          <w:rFonts w:ascii="Arial" w:hAnsi="Arial" w:cs="Arial"/>
        </w:rPr>
        <w:t>If the company faces liquidity problems, it may struggle to meet these obligations</w:t>
      </w:r>
      <w:r w:rsidR="00E60911">
        <w:rPr>
          <w:rFonts w:ascii="Arial" w:hAnsi="Arial" w:cs="Arial"/>
        </w:rPr>
        <w:t>.</w:t>
      </w:r>
    </w:p>
    <w:p w14:paraId="7A0F42A0" w14:textId="77777777" w:rsidR="00A55E6F" w:rsidRPr="00ED62B2" w:rsidRDefault="00A55E6F" w:rsidP="00BD065A">
      <w:pPr>
        <w:spacing w:line="360" w:lineRule="auto"/>
        <w:rPr>
          <w:rFonts w:ascii="Arial" w:hAnsi="Arial" w:cs="Arial"/>
        </w:rPr>
      </w:pPr>
      <w:r w:rsidRPr="00ED62B2">
        <w:rPr>
          <w:rFonts w:ascii="Arial" w:hAnsi="Arial" w:cs="Arial"/>
        </w:rPr>
        <w:t xml:space="preserve">On the other hand, </w:t>
      </w:r>
      <w:r w:rsidRPr="00ED62B2">
        <w:rPr>
          <w:rFonts w:ascii="Arial" w:hAnsi="Arial" w:cs="Arial"/>
          <w:b/>
          <w:bCs/>
        </w:rPr>
        <w:t>long-term financing</w:t>
      </w:r>
      <w:r w:rsidRPr="00ED62B2">
        <w:rPr>
          <w:rFonts w:ascii="Arial" w:hAnsi="Arial" w:cs="Arial"/>
        </w:rPr>
        <w:t xml:space="preserve"> includes sources such as equity, long-term loans, and bonds. These provide more stability, as repayment periods are longer and interest rates are often fixed. This reduces refinancing risk and provides financial security.</w:t>
      </w:r>
    </w:p>
    <w:p w14:paraId="367BFD78" w14:textId="77777777" w:rsidR="00A55E6F" w:rsidRPr="00ED62B2" w:rsidRDefault="00A55E6F" w:rsidP="00BD065A">
      <w:pPr>
        <w:spacing w:line="360" w:lineRule="auto"/>
        <w:rPr>
          <w:rFonts w:ascii="Arial" w:hAnsi="Arial" w:cs="Arial"/>
        </w:rPr>
      </w:pPr>
      <w:r w:rsidRPr="00ED62B2">
        <w:rPr>
          <w:rFonts w:ascii="Arial" w:hAnsi="Arial" w:cs="Arial"/>
        </w:rPr>
        <w:t>However, long-term financing is generally more expensive and less flexible. It may also increase the company’s overall cost of capital.</w:t>
      </w:r>
    </w:p>
    <w:p w14:paraId="76A070C6" w14:textId="6307C695" w:rsidR="00D81C52" w:rsidRDefault="00A55E6F" w:rsidP="00D81C52">
      <w:pPr>
        <w:spacing w:line="360" w:lineRule="auto"/>
      </w:pPr>
      <w:r w:rsidRPr="00ED62B2">
        <w:rPr>
          <w:rFonts w:ascii="Arial" w:hAnsi="Arial" w:cs="Arial"/>
        </w:rPr>
        <w:lastRenderedPageBreak/>
        <w:t xml:space="preserve">In the case of this company, the declining liquidity ratios suggest that relying too heavily on short-term financing could be risky. Therefore, a balanced approach is recommended. </w:t>
      </w:r>
      <w:r w:rsidR="00751EA2">
        <w:rPr>
          <w:rFonts w:ascii="Arial" w:hAnsi="Arial" w:cs="Arial"/>
        </w:rPr>
        <w:t>Volvo Cars</w:t>
      </w:r>
      <w:r w:rsidR="009E69F8" w:rsidRPr="00ED62B2">
        <w:rPr>
          <w:rFonts w:ascii="Arial" w:hAnsi="Arial" w:cs="Arial"/>
        </w:rPr>
        <w:t xml:space="preserve"> </w:t>
      </w:r>
      <w:r w:rsidRPr="00ED62B2">
        <w:rPr>
          <w:rFonts w:ascii="Arial" w:hAnsi="Arial" w:cs="Arial"/>
        </w:rPr>
        <w:t>should use short-term financing for day-to-day operations but support it with some level of long-term funding to ensure stability.</w:t>
      </w:r>
    </w:p>
    <w:p w14:paraId="763BFC17" w14:textId="452DC757" w:rsidR="00D81C52" w:rsidRDefault="00D81C52"/>
    <w:p w14:paraId="3B47867F" w14:textId="77777777" w:rsidR="00A55E6F" w:rsidRPr="00ED62B2" w:rsidRDefault="00A55E6F" w:rsidP="00BD065A">
      <w:pPr>
        <w:spacing w:line="360" w:lineRule="auto"/>
        <w:rPr>
          <w:rFonts w:ascii="Arial" w:hAnsi="Arial" w:cs="Arial"/>
        </w:rPr>
      </w:pPr>
      <w:r w:rsidRPr="00ED62B2">
        <w:rPr>
          <w:rFonts w:ascii="Arial" w:hAnsi="Arial" w:cs="Arial"/>
        </w:rPr>
        <w:t>Based on the analysis, the company’s working capital management shows both strengths and weaknesses.</w:t>
      </w:r>
    </w:p>
    <w:p w14:paraId="41FF90BA" w14:textId="77777777" w:rsidR="00A55E6F" w:rsidRPr="00ED62B2" w:rsidRDefault="00A55E6F" w:rsidP="00BD065A">
      <w:pPr>
        <w:spacing w:line="360" w:lineRule="auto"/>
        <w:rPr>
          <w:rFonts w:ascii="Arial" w:hAnsi="Arial" w:cs="Arial"/>
        </w:rPr>
      </w:pPr>
      <w:r w:rsidRPr="00ED62B2">
        <w:rPr>
          <w:rFonts w:ascii="Arial" w:hAnsi="Arial" w:cs="Arial"/>
        </w:rPr>
        <w:t>On the positive side, receivables are relatively well managed, and the company has shown the ability to adjust its payables when needed. These factors help maintain cash flow in the short term.</w:t>
      </w:r>
    </w:p>
    <w:p w14:paraId="045FFA34" w14:textId="77777777" w:rsidR="00A55E6F" w:rsidRPr="00ED62B2" w:rsidRDefault="00A55E6F" w:rsidP="00BD065A">
      <w:pPr>
        <w:spacing w:line="360" w:lineRule="auto"/>
        <w:rPr>
          <w:rFonts w:ascii="Arial" w:hAnsi="Arial" w:cs="Arial"/>
        </w:rPr>
      </w:pPr>
      <w:r w:rsidRPr="00ED62B2">
        <w:rPr>
          <w:rFonts w:ascii="Arial" w:hAnsi="Arial" w:cs="Arial"/>
        </w:rPr>
        <w:t>However, increasing inventory levels and declining liquidity ratios indicate inefficiencies that need to be addressed. If these issues continue, they could lead to cash shortages and affect the company’s ability to operate effectively.</w:t>
      </w:r>
    </w:p>
    <w:p w14:paraId="4CAF7D83" w14:textId="37C8B674" w:rsidR="00A55E6F" w:rsidRPr="00ED62B2" w:rsidRDefault="00A55E6F" w:rsidP="00BD065A">
      <w:pPr>
        <w:spacing w:line="360" w:lineRule="auto"/>
        <w:rPr>
          <w:rFonts w:ascii="Arial" w:hAnsi="Arial" w:cs="Arial"/>
        </w:rPr>
      </w:pPr>
      <w:r w:rsidRPr="00ED62B2">
        <w:rPr>
          <w:rFonts w:ascii="Arial" w:hAnsi="Arial" w:cs="Arial"/>
        </w:rPr>
        <w:t>Improving working capital management is especially important in the electric vehicle industry, where high investment and rapid technological changes require strong financial flexibility.</w:t>
      </w:r>
    </w:p>
    <w:p w14:paraId="036ED9A5" w14:textId="77777777" w:rsidR="00A55E6F" w:rsidRPr="00ED62B2" w:rsidRDefault="00A55E6F" w:rsidP="00BD065A">
      <w:pPr>
        <w:spacing w:line="360" w:lineRule="auto"/>
        <w:rPr>
          <w:rFonts w:ascii="Arial" w:hAnsi="Arial" w:cs="Arial"/>
          <w:b/>
          <w:bCs/>
        </w:rPr>
      </w:pPr>
      <w:r w:rsidRPr="00ED62B2">
        <w:rPr>
          <w:rFonts w:ascii="Arial" w:hAnsi="Arial" w:cs="Arial"/>
          <w:b/>
          <w:bCs/>
        </w:rPr>
        <w:t>Conclusion of Working Capital Analysis</w:t>
      </w:r>
    </w:p>
    <w:p w14:paraId="4EA03441" w14:textId="77777777" w:rsidR="00A55E6F" w:rsidRPr="00ED62B2" w:rsidRDefault="00A55E6F" w:rsidP="00BD065A">
      <w:pPr>
        <w:spacing w:line="360" w:lineRule="auto"/>
        <w:rPr>
          <w:rFonts w:ascii="Arial" w:hAnsi="Arial" w:cs="Arial"/>
        </w:rPr>
      </w:pPr>
      <w:r w:rsidRPr="00ED62B2">
        <w:rPr>
          <w:rFonts w:ascii="Arial" w:hAnsi="Arial" w:cs="Arial"/>
        </w:rPr>
        <w:t>In conclusion, the company’s working capital management is moderately effective but requires improvement, particularly in inventory control and liquidity management. While some positive steps have been observed, such as improved receivables collection, the overall trend suggests increasing pressure on cash resources.</w:t>
      </w:r>
    </w:p>
    <w:p w14:paraId="3ED9ED25" w14:textId="4380B9B0" w:rsidR="0041397F" w:rsidRPr="00ED62B2" w:rsidRDefault="00A55E6F" w:rsidP="00BD065A">
      <w:pPr>
        <w:spacing w:line="360" w:lineRule="auto"/>
        <w:rPr>
          <w:rFonts w:ascii="Arial" w:hAnsi="Arial" w:cs="Arial"/>
        </w:rPr>
      </w:pPr>
      <w:r w:rsidRPr="00ED62B2">
        <w:rPr>
          <w:rFonts w:ascii="Arial" w:hAnsi="Arial" w:cs="Arial"/>
        </w:rPr>
        <w:t xml:space="preserve">To ensure long-term sustainability, </w:t>
      </w:r>
      <w:r w:rsidR="00751EA2">
        <w:rPr>
          <w:rFonts w:ascii="Arial" w:hAnsi="Arial" w:cs="Arial"/>
        </w:rPr>
        <w:t>Volvo Cars</w:t>
      </w:r>
      <w:r w:rsidR="009E69F8" w:rsidRPr="00ED62B2">
        <w:rPr>
          <w:rFonts w:ascii="Arial" w:hAnsi="Arial" w:cs="Arial"/>
        </w:rPr>
        <w:t xml:space="preserve"> </w:t>
      </w:r>
      <w:r w:rsidRPr="00ED62B2">
        <w:rPr>
          <w:rFonts w:ascii="Arial" w:hAnsi="Arial" w:cs="Arial"/>
        </w:rPr>
        <w:t>should focus on reducing inventory levels, strengthening cash flow management, and adopting a balanced financing strategy. These changes will not only improve liquidity but also support the company’s overall financial stability and growth.</w:t>
      </w:r>
    </w:p>
    <w:p w14:paraId="09BF4774" w14:textId="77777777" w:rsidR="0041397F" w:rsidRPr="007C4ADB" w:rsidRDefault="0041397F" w:rsidP="007C4ADB">
      <w:pPr>
        <w:pStyle w:val="Heading1"/>
        <w:rPr>
          <w:rFonts w:ascii="Arial" w:hAnsi="Arial" w:cs="Arial"/>
          <w:sz w:val="24"/>
          <w:szCs w:val="24"/>
        </w:rPr>
      </w:pPr>
      <w:bookmarkStart w:id="13" w:name="_Toc227771635"/>
      <w:r w:rsidRPr="007C4ADB">
        <w:rPr>
          <w:rFonts w:ascii="Arial" w:hAnsi="Arial" w:cs="Arial"/>
          <w:sz w:val="24"/>
          <w:szCs w:val="24"/>
        </w:rPr>
        <w:t>3. Strategic Financial Restructuring Plan</w:t>
      </w:r>
      <w:bookmarkEnd w:id="13"/>
    </w:p>
    <w:p w14:paraId="3601AE13" w14:textId="5D98A9C7" w:rsidR="00335851" w:rsidRDefault="0041397F" w:rsidP="00BD065A">
      <w:pPr>
        <w:spacing w:line="360" w:lineRule="auto"/>
        <w:rPr>
          <w:rFonts w:ascii="Arial" w:hAnsi="Arial" w:cs="Arial"/>
        </w:rPr>
      </w:pPr>
      <w:r w:rsidRPr="00ED62B2">
        <w:rPr>
          <w:rFonts w:ascii="Arial" w:hAnsi="Arial" w:cs="Arial"/>
        </w:rPr>
        <w:t xml:space="preserve">Financial restructuring is essential when a company faces challenges in maintaining stable performance or improving long-term growth. Based on the financial analysis in the previous sections, it is clear that while </w:t>
      </w:r>
      <w:r w:rsidR="00751EA2">
        <w:rPr>
          <w:rFonts w:ascii="Arial" w:hAnsi="Arial" w:cs="Arial"/>
        </w:rPr>
        <w:t>Volvo Cars</w:t>
      </w:r>
      <w:r w:rsidR="009E69F8" w:rsidRPr="00ED62B2">
        <w:rPr>
          <w:rFonts w:ascii="Arial" w:hAnsi="Arial" w:cs="Arial"/>
        </w:rPr>
        <w:t xml:space="preserve"> </w:t>
      </w:r>
      <w:r w:rsidRPr="00ED62B2">
        <w:rPr>
          <w:rFonts w:ascii="Arial" w:hAnsi="Arial" w:cs="Arial"/>
        </w:rPr>
        <w:t>has strong control over its debt levels, there are concerns related to liquidity, profitability fluctuations, and declining free cash flow. Therefore, a structured financial strategy is required to improve efficiency, strengthen cash flows, and support future expansion.</w:t>
      </w:r>
    </w:p>
    <w:p w14:paraId="5EC5832A" w14:textId="77777777" w:rsidR="00160EDA" w:rsidRDefault="00160EDA" w:rsidP="00BD065A">
      <w:pPr>
        <w:spacing w:line="360" w:lineRule="auto"/>
        <w:rPr>
          <w:rFonts w:ascii="Arial" w:hAnsi="Arial" w:cs="Arial"/>
        </w:rPr>
      </w:pPr>
    </w:p>
    <w:p w14:paraId="4008DFDC" w14:textId="77777777" w:rsidR="00160EDA" w:rsidRPr="00ED62B2" w:rsidRDefault="00160EDA" w:rsidP="00BD065A">
      <w:pPr>
        <w:spacing w:line="360" w:lineRule="auto"/>
        <w:rPr>
          <w:rFonts w:ascii="Arial" w:hAnsi="Arial" w:cs="Arial"/>
        </w:rPr>
      </w:pPr>
    </w:p>
    <w:p w14:paraId="5DEBA2B9" w14:textId="77777777" w:rsidR="0041397F" w:rsidRPr="007C4ADB" w:rsidRDefault="0041397F" w:rsidP="007C4ADB">
      <w:pPr>
        <w:pStyle w:val="Heading2"/>
        <w:rPr>
          <w:rFonts w:ascii="Arial" w:hAnsi="Arial" w:cs="Arial"/>
          <w:sz w:val="24"/>
          <w:szCs w:val="24"/>
        </w:rPr>
      </w:pPr>
      <w:bookmarkStart w:id="14" w:name="_Toc227771636"/>
      <w:r w:rsidRPr="007C4ADB">
        <w:rPr>
          <w:rFonts w:ascii="Arial" w:hAnsi="Arial" w:cs="Arial"/>
          <w:sz w:val="24"/>
          <w:szCs w:val="24"/>
        </w:rPr>
        <w:lastRenderedPageBreak/>
        <w:t>3.1 Need for Financial Restructuring</w:t>
      </w:r>
      <w:bookmarkEnd w:id="14"/>
    </w:p>
    <w:p w14:paraId="33CE73F1" w14:textId="261447A5" w:rsidR="0041397F" w:rsidRPr="00ED62B2" w:rsidRDefault="00751EA2" w:rsidP="00BD065A">
      <w:pPr>
        <w:spacing w:line="360" w:lineRule="auto"/>
        <w:rPr>
          <w:rFonts w:ascii="Arial" w:hAnsi="Arial" w:cs="Arial"/>
        </w:rPr>
      </w:pPr>
      <w:r>
        <w:rPr>
          <w:rFonts w:ascii="Arial" w:hAnsi="Arial" w:cs="Arial"/>
        </w:rPr>
        <w:t>Volvo Cars</w:t>
      </w:r>
      <w:r w:rsidR="009E69F8" w:rsidRPr="00ED62B2">
        <w:rPr>
          <w:rFonts w:ascii="Arial" w:hAnsi="Arial" w:cs="Arial"/>
        </w:rPr>
        <w:t xml:space="preserve"> </w:t>
      </w:r>
      <w:r w:rsidR="0041397F" w:rsidRPr="00ED62B2">
        <w:rPr>
          <w:rFonts w:ascii="Arial" w:hAnsi="Arial" w:cs="Arial"/>
        </w:rPr>
        <w:t>does not appear to be in financial distress, but there are clear signs that improvement is needed.</w:t>
      </w:r>
    </w:p>
    <w:p w14:paraId="1242AB23" w14:textId="61C65E2A" w:rsidR="0041397F" w:rsidRPr="00ED62B2" w:rsidRDefault="0041397F" w:rsidP="00BD065A">
      <w:pPr>
        <w:spacing w:line="360" w:lineRule="auto"/>
        <w:rPr>
          <w:rFonts w:ascii="Arial" w:hAnsi="Arial" w:cs="Arial"/>
        </w:rPr>
      </w:pPr>
      <w:r w:rsidRPr="00ED62B2">
        <w:rPr>
          <w:rFonts w:ascii="Arial" w:hAnsi="Arial" w:cs="Arial"/>
        </w:rPr>
        <w:t xml:space="preserve">Firstly, liquidity ratios have been declining over time, with the current ratio falling below 1 in 2024. This suggests that </w:t>
      </w:r>
      <w:r w:rsidR="00751EA2">
        <w:rPr>
          <w:rFonts w:ascii="Arial" w:hAnsi="Arial" w:cs="Arial"/>
        </w:rPr>
        <w:t>Volvo Cars</w:t>
      </w:r>
      <w:r w:rsidR="009D382F" w:rsidRPr="00ED62B2">
        <w:rPr>
          <w:rFonts w:ascii="Arial" w:hAnsi="Arial" w:cs="Arial"/>
        </w:rPr>
        <w:t xml:space="preserve"> </w:t>
      </w:r>
      <w:r w:rsidRPr="00ED62B2">
        <w:rPr>
          <w:rFonts w:ascii="Arial" w:hAnsi="Arial" w:cs="Arial"/>
        </w:rPr>
        <w:t>may struggle to meet short-term obligations if conditions worsen. Secondly, profitability has shown fluctuations, which indicates that the company is not able to maintain consistent operational performance. In addition, the decline in free cash flow suggests increasing pressure on internal cash generation.</w:t>
      </w:r>
    </w:p>
    <w:p w14:paraId="22AC153D" w14:textId="77777777" w:rsidR="0041397F" w:rsidRPr="00ED62B2" w:rsidRDefault="0041397F" w:rsidP="00BD065A">
      <w:pPr>
        <w:spacing w:line="360" w:lineRule="auto"/>
        <w:rPr>
          <w:rFonts w:ascii="Arial" w:hAnsi="Arial" w:cs="Arial"/>
        </w:rPr>
      </w:pPr>
      <w:r w:rsidRPr="00ED62B2">
        <w:rPr>
          <w:rFonts w:ascii="Arial" w:hAnsi="Arial" w:cs="Arial"/>
        </w:rPr>
        <w:t>However, one major strength is the company’s low leverage. The steady decline in debt-to-equity ratio indicates that the firm has reduced its reliance on external debt, which provides flexibility for future restructuring decisions.</w:t>
      </w:r>
    </w:p>
    <w:p w14:paraId="23088F72" w14:textId="25DB4B8B" w:rsidR="0041397F" w:rsidRPr="00ED62B2" w:rsidRDefault="0041397F" w:rsidP="00BD065A">
      <w:pPr>
        <w:spacing w:line="360" w:lineRule="auto"/>
        <w:rPr>
          <w:rFonts w:ascii="Arial" w:hAnsi="Arial" w:cs="Arial"/>
        </w:rPr>
      </w:pPr>
      <w:r w:rsidRPr="00ED62B2">
        <w:rPr>
          <w:rFonts w:ascii="Arial" w:hAnsi="Arial" w:cs="Arial"/>
        </w:rPr>
        <w:t xml:space="preserve">Overall, </w:t>
      </w:r>
      <w:r w:rsidR="00751EA2">
        <w:rPr>
          <w:rFonts w:ascii="Arial" w:hAnsi="Arial" w:cs="Arial"/>
        </w:rPr>
        <w:t>Volvo Cars</w:t>
      </w:r>
      <w:r w:rsidR="009D382F" w:rsidRPr="00ED62B2">
        <w:rPr>
          <w:rFonts w:ascii="Arial" w:hAnsi="Arial" w:cs="Arial"/>
        </w:rPr>
        <w:t xml:space="preserve"> </w:t>
      </w:r>
      <w:r w:rsidRPr="00ED62B2">
        <w:rPr>
          <w:rFonts w:ascii="Arial" w:hAnsi="Arial" w:cs="Arial"/>
        </w:rPr>
        <w:t>is in a position where proactive restructuring can help improve performance before problems become more serious (Arnold, 2019).</w:t>
      </w:r>
    </w:p>
    <w:p w14:paraId="1A73C482" w14:textId="77777777" w:rsidR="0041397F" w:rsidRPr="007C4ADB" w:rsidRDefault="0041397F" w:rsidP="007C4ADB">
      <w:pPr>
        <w:pStyle w:val="Heading2"/>
        <w:rPr>
          <w:rFonts w:ascii="Arial" w:hAnsi="Arial" w:cs="Arial"/>
          <w:sz w:val="24"/>
          <w:szCs w:val="24"/>
        </w:rPr>
      </w:pPr>
      <w:bookmarkStart w:id="15" w:name="_Toc227771637"/>
      <w:r w:rsidRPr="007C4ADB">
        <w:rPr>
          <w:rFonts w:ascii="Arial" w:hAnsi="Arial" w:cs="Arial"/>
          <w:sz w:val="24"/>
          <w:szCs w:val="24"/>
        </w:rPr>
        <w:t>3.2 Financial Restructuring Options</w:t>
      </w:r>
      <w:bookmarkEnd w:id="15"/>
    </w:p>
    <w:p w14:paraId="66467CA0" w14:textId="77777777" w:rsidR="0041397F" w:rsidRPr="00ED62B2" w:rsidRDefault="0041397F" w:rsidP="00BD065A">
      <w:pPr>
        <w:spacing w:line="360" w:lineRule="auto"/>
        <w:rPr>
          <w:rFonts w:ascii="Arial" w:hAnsi="Arial" w:cs="Arial"/>
          <w:b/>
          <w:bCs/>
        </w:rPr>
      </w:pPr>
      <w:r w:rsidRPr="00ED62B2">
        <w:rPr>
          <w:rFonts w:ascii="Arial" w:hAnsi="Arial" w:cs="Arial"/>
          <w:b/>
          <w:bCs/>
        </w:rPr>
        <w:t>(a) Asset Divestiture</w:t>
      </w:r>
    </w:p>
    <w:p w14:paraId="3927F851" w14:textId="77777777" w:rsidR="0041397F" w:rsidRPr="00ED62B2" w:rsidRDefault="0041397F" w:rsidP="00BD065A">
      <w:pPr>
        <w:spacing w:line="360" w:lineRule="auto"/>
        <w:rPr>
          <w:rFonts w:ascii="Arial" w:hAnsi="Arial" w:cs="Arial"/>
        </w:rPr>
      </w:pPr>
      <w:r w:rsidRPr="00ED62B2">
        <w:rPr>
          <w:rFonts w:ascii="Arial" w:hAnsi="Arial" w:cs="Arial"/>
        </w:rPr>
        <w:t>One possible strategy is asset divestiture, which involves selling underperforming or non-core assets.</w:t>
      </w:r>
    </w:p>
    <w:p w14:paraId="3E0CCD6A" w14:textId="77777777" w:rsidR="002F5BDF" w:rsidRDefault="0041397F" w:rsidP="00BD065A">
      <w:pPr>
        <w:spacing w:line="360" w:lineRule="auto"/>
        <w:rPr>
          <w:rFonts w:ascii="Arial" w:hAnsi="Arial" w:cs="Arial"/>
        </w:rPr>
      </w:pPr>
      <w:r w:rsidRPr="00ED62B2">
        <w:rPr>
          <w:rFonts w:ascii="Arial" w:hAnsi="Arial" w:cs="Arial"/>
        </w:rPr>
        <w:t>Given the increase in inventory days and declining free cash flow, it is possible that some resources are not being used efficiently. Selling non-essential assets can generate immediate cash inflows, which can improve liquidity and reduce financial pressure.</w:t>
      </w:r>
    </w:p>
    <w:p w14:paraId="40FBB7EF" w14:textId="2A7CBD41" w:rsidR="002F5BDF" w:rsidRPr="00ED62B2" w:rsidRDefault="0041397F" w:rsidP="00BD065A">
      <w:pPr>
        <w:spacing w:line="360" w:lineRule="auto"/>
        <w:rPr>
          <w:rFonts w:ascii="Arial" w:hAnsi="Arial" w:cs="Arial"/>
        </w:rPr>
      </w:pPr>
      <w:r w:rsidRPr="00ED62B2">
        <w:rPr>
          <w:rFonts w:ascii="Arial" w:hAnsi="Arial" w:cs="Arial"/>
        </w:rPr>
        <w:t xml:space="preserve">However, this strategy must be applied carefully. Selling strategic assets may reduce future growth potential. Therefore,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should focus only on assets that do not contribute significantly to core operations.</w:t>
      </w:r>
    </w:p>
    <w:p w14:paraId="618FF346" w14:textId="77777777" w:rsidR="0041397F" w:rsidRPr="00ED62B2" w:rsidRDefault="0041397F" w:rsidP="00BD065A">
      <w:pPr>
        <w:spacing w:line="360" w:lineRule="auto"/>
        <w:rPr>
          <w:rFonts w:ascii="Arial" w:hAnsi="Arial" w:cs="Arial"/>
          <w:b/>
          <w:bCs/>
        </w:rPr>
      </w:pPr>
      <w:r w:rsidRPr="00ED62B2">
        <w:rPr>
          <w:rFonts w:ascii="Arial" w:hAnsi="Arial" w:cs="Arial"/>
          <w:b/>
          <w:bCs/>
        </w:rPr>
        <w:t>(b) Equity Injection</w:t>
      </w:r>
    </w:p>
    <w:p w14:paraId="6A74A143" w14:textId="77777777" w:rsidR="0041397F" w:rsidRPr="00ED62B2" w:rsidRDefault="0041397F" w:rsidP="00BD065A">
      <w:pPr>
        <w:spacing w:line="360" w:lineRule="auto"/>
        <w:rPr>
          <w:rFonts w:ascii="Arial" w:hAnsi="Arial" w:cs="Arial"/>
        </w:rPr>
      </w:pPr>
      <w:r w:rsidRPr="00ED62B2">
        <w:rPr>
          <w:rFonts w:ascii="Arial" w:hAnsi="Arial" w:cs="Arial"/>
        </w:rPr>
        <w:t>Another option is raising additional equity capital, either through issuing new shares or attracting strategic investors.</w:t>
      </w:r>
    </w:p>
    <w:p w14:paraId="175B8991" w14:textId="3F21A7F2" w:rsidR="0041397F" w:rsidRPr="00ED62B2" w:rsidRDefault="0041397F" w:rsidP="00BD065A">
      <w:pPr>
        <w:spacing w:line="360" w:lineRule="auto"/>
        <w:rPr>
          <w:rFonts w:ascii="Arial" w:hAnsi="Arial" w:cs="Arial"/>
        </w:rPr>
      </w:pPr>
      <w:r w:rsidRPr="00ED62B2">
        <w:rPr>
          <w:rFonts w:ascii="Arial" w:hAnsi="Arial" w:cs="Arial"/>
        </w:rPr>
        <w:t xml:space="preserve">Since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currently has low debt levels, increasing equity can provide funds without increasing financial risk. This can be particularly useful for funding research and development, which is critical in the electric vehicle industry.</w:t>
      </w:r>
    </w:p>
    <w:p w14:paraId="73AA5E2F" w14:textId="0436C253" w:rsidR="00A56D5F" w:rsidRPr="00ED62B2" w:rsidRDefault="0041397F" w:rsidP="00BD065A">
      <w:pPr>
        <w:spacing w:line="360" w:lineRule="auto"/>
        <w:rPr>
          <w:rFonts w:ascii="Arial" w:hAnsi="Arial" w:cs="Arial"/>
        </w:rPr>
      </w:pPr>
      <w:r w:rsidRPr="00ED62B2">
        <w:rPr>
          <w:rFonts w:ascii="Arial" w:hAnsi="Arial" w:cs="Arial"/>
        </w:rPr>
        <w:lastRenderedPageBreak/>
        <w:t xml:space="preserve">However, issuing new shares may lead to dilution of existing shareholders’ ownership. Therefore,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must ensure that the funds raised are used efficiently to generate higher returns in the future (Brealey, Myers and Allen, 2020).</w:t>
      </w:r>
    </w:p>
    <w:p w14:paraId="6178EECA" w14:textId="77777777" w:rsidR="0041397F" w:rsidRPr="00ED62B2" w:rsidRDefault="0041397F" w:rsidP="00BD065A">
      <w:pPr>
        <w:spacing w:line="360" w:lineRule="auto"/>
        <w:rPr>
          <w:rFonts w:ascii="Arial" w:hAnsi="Arial" w:cs="Arial"/>
          <w:b/>
          <w:bCs/>
        </w:rPr>
      </w:pPr>
      <w:r w:rsidRPr="00ED62B2">
        <w:rPr>
          <w:rFonts w:ascii="Arial" w:hAnsi="Arial" w:cs="Arial"/>
          <w:b/>
          <w:bCs/>
        </w:rPr>
        <w:t>(c) Debt Restructuring</w:t>
      </w:r>
    </w:p>
    <w:p w14:paraId="776D9B23" w14:textId="77777777" w:rsidR="0041397F" w:rsidRPr="00ED62B2" w:rsidRDefault="0041397F" w:rsidP="00BD065A">
      <w:pPr>
        <w:spacing w:line="360" w:lineRule="auto"/>
        <w:rPr>
          <w:rFonts w:ascii="Arial" w:hAnsi="Arial" w:cs="Arial"/>
        </w:rPr>
      </w:pPr>
      <w:r w:rsidRPr="00ED62B2">
        <w:rPr>
          <w:rFonts w:ascii="Arial" w:hAnsi="Arial" w:cs="Arial"/>
        </w:rPr>
        <w:t>Although the company’s leverage is already low, restructuring existing debt can still provide benefits.</w:t>
      </w:r>
    </w:p>
    <w:p w14:paraId="42E5932A" w14:textId="396E8E31" w:rsidR="0041397F" w:rsidRPr="00ED62B2" w:rsidRDefault="0041397F" w:rsidP="00BD065A">
      <w:pPr>
        <w:spacing w:line="360" w:lineRule="auto"/>
        <w:rPr>
          <w:rFonts w:ascii="Arial" w:hAnsi="Arial" w:cs="Arial"/>
        </w:rPr>
      </w:pPr>
      <w:r w:rsidRPr="00ED62B2">
        <w:rPr>
          <w:rFonts w:ascii="Arial" w:hAnsi="Arial" w:cs="Arial"/>
        </w:rPr>
        <w:t xml:space="preserve">For example,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could refinance its existing debt at lower interest rates or extend repayment periods. This would reduce short-term financial pressure and improve cash flow stability.</w:t>
      </w:r>
    </w:p>
    <w:p w14:paraId="76704D9A" w14:textId="1161BC75" w:rsidR="0041397F" w:rsidRPr="00ED62B2" w:rsidRDefault="0041397F" w:rsidP="00BD065A">
      <w:pPr>
        <w:spacing w:line="360" w:lineRule="auto"/>
        <w:rPr>
          <w:rFonts w:ascii="Arial" w:hAnsi="Arial" w:cs="Arial"/>
        </w:rPr>
      </w:pPr>
      <w:r w:rsidRPr="00ED62B2">
        <w:rPr>
          <w:rFonts w:ascii="Arial" w:hAnsi="Arial" w:cs="Arial"/>
        </w:rPr>
        <w:t xml:space="preserve">Given the strong interest coverage ratio, </w:t>
      </w:r>
      <w:r w:rsidR="00751EA2">
        <w:rPr>
          <w:rFonts w:ascii="Arial" w:hAnsi="Arial" w:cs="Arial"/>
        </w:rPr>
        <w:t>Volvo Cars</w:t>
      </w:r>
      <w:r w:rsidR="009D382F" w:rsidRPr="00ED62B2">
        <w:rPr>
          <w:rFonts w:ascii="Arial" w:hAnsi="Arial" w:cs="Arial"/>
        </w:rPr>
        <w:t xml:space="preserve"> </w:t>
      </w:r>
      <w:r w:rsidRPr="00ED62B2">
        <w:rPr>
          <w:rFonts w:ascii="Arial" w:hAnsi="Arial" w:cs="Arial"/>
        </w:rPr>
        <w:t>is in a good position to negotiate favourable terms with lenders. This provides an opportunity to optimise its capital structure without increasing risk.</w:t>
      </w:r>
    </w:p>
    <w:p w14:paraId="4D5DF146" w14:textId="77777777" w:rsidR="0041397F" w:rsidRPr="00ED62B2" w:rsidRDefault="0041397F" w:rsidP="00BD065A">
      <w:pPr>
        <w:spacing w:line="360" w:lineRule="auto"/>
        <w:rPr>
          <w:rFonts w:ascii="Arial" w:hAnsi="Arial" w:cs="Arial"/>
          <w:b/>
          <w:bCs/>
        </w:rPr>
      </w:pPr>
      <w:r w:rsidRPr="00ED62B2">
        <w:rPr>
          <w:rFonts w:ascii="Arial" w:hAnsi="Arial" w:cs="Arial"/>
          <w:b/>
          <w:bCs/>
        </w:rPr>
        <w:t>(d) Operational Cost Optimisation</w:t>
      </w:r>
    </w:p>
    <w:p w14:paraId="27FDECAA" w14:textId="77777777" w:rsidR="0041397F" w:rsidRPr="00ED62B2" w:rsidRDefault="0041397F" w:rsidP="00BD065A">
      <w:pPr>
        <w:spacing w:line="360" w:lineRule="auto"/>
        <w:rPr>
          <w:rFonts w:ascii="Arial" w:hAnsi="Arial" w:cs="Arial"/>
        </w:rPr>
      </w:pPr>
      <w:r w:rsidRPr="00ED62B2">
        <w:rPr>
          <w:rFonts w:ascii="Arial" w:hAnsi="Arial" w:cs="Arial"/>
        </w:rPr>
        <w:t>Financial restructuring is not only about financing decisions but also about improving operational efficiency.</w:t>
      </w:r>
    </w:p>
    <w:p w14:paraId="536CEE41" w14:textId="4006E08D" w:rsidR="0041397F" w:rsidRPr="00ED62B2" w:rsidRDefault="0041397F" w:rsidP="00BD065A">
      <w:pPr>
        <w:spacing w:line="360" w:lineRule="auto"/>
        <w:rPr>
          <w:rFonts w:ascii="Arial" w:hAnsi="Arial" w:cs="Arial"/>
        </w:rPr>
      </w:pPr>
      <w:r w:rsidRPr="00ED62B2">
        <w:rPr>
          <w:rFonts w:ascii="Arial" w:hAnsi="Arial" w:cs="Arial"/>
        </w:rPr>
        <w:t xml:space="preserve">The fluctuations in operating margins suggest that costs are not being managed consistently. </w:t>
      </w:r>
      <w:r w:rsidR="00751EA2">
        <w:rPr>
          <w:rFonts w:ascii="Arial" w:hAnsi="Arial" w:cs="Arial"/>
        </w:rPr>
        <w:t>Volvo Cars</w:t>
      </w:r>
      <w:r w:rsidR="009D382F" w:rsidRPr="00ED62B2">
        <w:rPr>
          <w:rFonts w:ascii="Arial" w:hAnsi="Arial" w:cs="Arial"/>
        </w:rPr>
        <w:t xml:space="preserve"> </w:t>
      </w:r>
      <w:r w:rsidRPr="00ED62B2">
        <w:rPr>
          <w:rFonts w:ascii="Arial" w:hAnsi="Arial" w:cs="Arial"/>
        </w:rPr>
        <w:t>should focus on reducing unnecessary expenses, improving production efficiency, and optimising supply chain operations.</w:t>
      </w:r>
    </w:p>
    <w:p w14:paraId="4BF2693B" w14:textId="636FADB6" w:rsidR="00160EDA" w:rsidRPr="00ED62B2" w:rsidRDefault="0041397F" w:rsidP="00BD065A">
      <w:pPr>
        <w:spacing w:line="360" w:lineRule="auto"/>
        <w:rPr>
          <w:rFonts w:ascii="Arial" w:hAnsi="Arial" w:cs="Arial"/>
        </w:rPr>
      </w:pPr>
      <w:r w:rsidRPr="00ED62B2">
        <w:rPr>
          <w:rFonts w:ascii="Arial" w:hAnsi="Arial" w:cs="Arial"/>
        </w:rPr>
        <w:t>In particular, better inventory management could significantly reduce holding costs and improve cash flow. This aligns with the working capital issues identified earlier.</w:t>
      </w:r>
    </w:p>
    <w:p w14:paraId="76F1A75B" w14:textId="77777777" w:rsidR="0041397F" w:rsidRPr="007C4ADB" w:rsidRDefault="0041397F" w:rsidP="007C4ADB">
      <w:pPr>
        <w:pStyle w:val="Heading2"/>
        <w:rPr>
          <w:rFonts w:ascii="Arial" w:hAnsi="Arial" w:cs="Arial"/>
          <w:sz w:val="24"/>
          <w:szCs w:val="24"/>
        </w:rPr>
      </w:pPr>
      <w:bookmarkStart w:id="16" w:name="_Toc227771638"/>
      <w:r w:rsidRPr="007C4ADB">
        <w:rPr>
          <w:rFonts w:ascii="Arial" w:hAnsi="Arial" w:cs="Arial"/>
          <w:sz w:val="24"/>
          <w:szCs w:val="24"/>
        </w:rPr>
        <w:t>3.3 Impact on Shareholder Value</w:t>
      </w:r>
      <w:bookmarkEnd w:id="16"/>
    </w:p>
    <w:p w14:paraId="2FAE3A68" w14:textId="1C956090" w:rsidR="0041397F" w:rsidRPr="00ED62B2" w:rsidRDefault="0041397F" w:rsidP="00BD065A">
      <w:pPr>
        <w:spacing w:line="360" w:lineRule="auto"/>
        <w:rPr>
          <w:rFonts w:ascii="Arial" w:hAnsi="Arial" w:cs="Arial"/>
        </w:rPr>
      </w:pPr>
      <w:r w:rsidRPr="00ED62B2">
        <w:rPr>
          <w:rFonts w:ascii="Arial" w:hAnsi="Arial" w:cs="Arial"/>
        </w:rPr>
        <w:t>Any restructuring strategy should ultimately aim to increase shareholder value.</w:t>
      </w:r>
      <w:r w:rsidR="000B5DA1">
        <w:rPr>
          <w:rFonts w:ascii="Arial" w:hAnsi="Arial" w:cs="Arial"/>
        </w:rPr>
        <w:t xml:space="preserve"> </w:t>
      </w:r>
      <w:r w:rsidR="000B5DA1" w:rsidRPr="000B5DA1">
        <w:rPr>
          <w:rFonts w:ascii="Arial" w:hAnsi="Arial" w:cs="Arial"/>
        </w:rPr>
        <w:t>In corporate finance, restructuring decisions should ultimately be assessed in terms of their impact on shareholder value and long-term financial flexibility (Ross et al., 2019).</w:t>
      </w:r>
    </w:p>
    <w:p w14:paraId="4A03746F" w14:textId="77777777" w:rsidR="0041397F" w:rsidRPr="00ED62B2" w:rsidRDefault="0041397F" w:rsidP="00BD065A">
      <w:pPr>
        <w:spacing w:line="360" w:lineRule="auto"/>
        <w:rPr>
          <w:rFonts w:ascii="Arial" w:hAnsi="Arial" w:cs="Arial"/>
        </w:rPr>
      </w:pPr>
      <w:r w:rsidRPr="00ED62B2">
        <w:rPr>
          <w:rFonts w:ascii="Arial" w:hAnsi="Arial" w:cs="Arial"/>
        </w:rPr>
        <w:t>Reducing inefficiencies and improving profitability will lead to higher earnings, which can increase the company’s valuation. For example, improving operating margins will directly impact net income and return on equity.</w:t>
      </w:r>
    </w:p>
    <w:p w14:paraId="01969933" w14:textId="77777777" w:rsidR="0041397F" w:rsidRPr="00ED62B2" w:rsidRDefault="0041397F" w:rsidP="00BD065A">
      <w:pPr>
        <w:spacing w:line="360" w:lineRule="auto"/>
        <w:rPr>
          <w:rFonts w:ascii="Arial" w:hAnsi="Arial" w:cs="Arial"/>
        </w:rPr>
      </w:pPr>
      <w:r w:rsidRPr="00ED62B2">
        <w:rPr>
          <w:rFonts w:ascii="Arial" w:hAnsi="Arial" w:cs="Arial"/>
        </w:rPr>
        <w:t>An equity injection, if used effectively, can support long-term growth and increase future returns. However, if not managed properly, it may dilute shareholder value.</w:t>
      </w:r>
    </w:p>
    <w:p w14:paraId="097FE8F6" w14:textId="77777777" w:rsidR="0041397F" w:rsidRPr="00ED62B2" w:rsidRDefault="0041397F" w:rsidP="00BD065A">
      <w:pPr>
        <w:spacing w:line="360" w:lineRule="auto"/>
        <w:rPr>
          <w:rFonts w:ascii="Arial" w:hAnsi="Arial" w:cs="Arial"/>
        </w:rPr>
      </w:pPr>
      <w:r w:rsidRPr="00ED62B2">
        <w:rPr>
          <w:rFonts w:ascii="Arial" w:hAnsi="Arial" w:cs="Arial"/>
        </w:rPr>
        <w:lastRenderedPageBreak/>
        <w:t>Debt restructuring can also benefit shareholders by reducing financial risk and improving stability. Lower financial risk often leads to a higher market valuation, as investors prefer companies with predictable cash flows (Brigham and Ehrhardt, 2020).</w:t>
      </w:r>
    </w:p>
    <w:p w14:paraId="223FE42B" w14:textId="2429196E" w:rsidR="00A56D5F" w:rsidRPr="00ED62B2" w:rsidRDefault="0041397F" w:rsidP="00BD065A">
      <w:pPr>
        <w:spacing w:line="360" w:lineRule="auto"/>
        <w:rPr>
          <w:rFonts w:ascii="Arial" w:hAnsi="Arial" w:cs="Arial"/>
        </w:rPr>
      </w:pPr>
      <w:r w:rsidRPr="00ED62B2">
        <w:rPr>
          <w:rFonts w:ascii="Arial" w:hAnsi="Arial" w:cs="Arial"/>
        </w:rPr>
        <w:t>Overall, the key is to balance growth and risk. A well-planned restructuring strategy should improve both profitability and financial stability.</w:t>
      </w:r>
    </w:p>
    <w:p w14:paraId="2A48F5D2" w14:textId="77777777" w:rsidR="0041397F" w:rsidRPr="007C4ADB" w:rsidRDefault="0041397F" w:rsidP="007C4ADB">
      <w:pPr>
        <w:pStyle w:val="Heading2"/>
        <w:rPr>
          <w:rFonts w:ascii="Arial" w:hAnsi="Arial" w:cs="Arial"/>
          <w:sz w:val="24"/>
          <w:szCs w:val="24"/>
        </w:rPr>
      </w:pPr>
      <w:bookmarkStart w:id="17" w:name="_Toc227771639"/>
      <w:r w:rsidRPr="007C4ADB">
        <w:rPr>
          <w:rFonts w:ascii="Arial" w:hAnsi="Arial" w:cs="Arial"/>
          <w:sz w:val="24"/>
          <w:szCs w:val="24"/>
        </w:rPr>
        <w:t>3.4 Impact on Debt Structure and Financial Flexibility</w:t>
      </w:r>
      <w:bookmarkEnd w:id="17"/>
    </w:p>
    <w:p w14:paraId="4C0B43C4" w14:textId="77777777" w:rsidR="0041397F" w:rsidRPr="00ED62B2" w:rsidRDefault="0041397F" w:rsidP="00BD065A">
      <w:pPr>
        <w:spacing w:line="360" w:lineRule="auto"/>
        <w:rPr>
          <w:rFonts w:ascii="Arial" w:hAnsi="Arial" w:cs="Arial"/>
        </w:rPr>
      </w:pPr>
      <w:r w:rsidRPr="00ED62B2">
        <w:rPr>
          <w:rFonts w:ascii="Arial" w:hAnsi="Arial" w:cs="Arial"/>
        </w:rPr>
        <w:t>The company’s current low leverage provides a strong foundation for restructuring.</w:t>
      </w:r>
    </w:p>
    <w:p w14:paraId="6733A52B" w14:textId="43F2B1FB" w:rsidR="0041397F" w:rsidRPr="00ED62B2" w:rsidRDefault="0041397F" w:rsidP="00BD065A">
      <w:pPr>
        <w:spacing w:line="360" w:lineRule="auto"/>
        <w:rPr>
          <w:rFonts w:ascii="Arial" w:hAnsi="Arial" w:cs="Arial"/>
        </w:rPr>
      </w:pPr>
      <w:r w:rsidRPr="00ED62B2">
        <w:rPr>
          <w:rFonts w:ascii="Arial" w:hAnsi="Arial" w:cs="Arial"/>
        </w:rPr>
        <w:t>By maintaining a balanced capital structure, the company can ensure financial flexibility. This means it will be able to raise funds when needed, without facing high borrowing costs or financial distress.</w:t>
      </w:r>
      <w:r w:rsidR="00DF051E">
        <w:rPr>
          <w:rFonts w:ascii="Arial" w:hAnsi="Arial" w:cs="Arial"/>
        </w:rPr>
        <w:t xml:space="preserve"> </w:t>
      </w:r>
      <w:r w:rsidR="00DF051E" w:rsidRPr="00DF051E">
        <w:rPr>
          <w:rFonts w:ascii="Arial" w:hAnsi="Arial" w:cs="Arial"/>
        </w:rPr>
        <w:t>Maintaining an efficient capital structure is important because it affects both the cost of capital and the firm’s ability to finance future growth (</w:t>
      </w:r>
      <w:proofErr w:type="spellStart"/>
      <w:r w:rsidR="00DF051E" w:rsidRPr="00DF051E">
        <w:rPr>
          <w:rFonts w:ascii="Arial" w:hAnsi="Arial" w:cs="Arial"/>
        </w:rPr>
        <w:t>Vernimmen</w:t>
      </w:r>
      <w:proofErr w:type="spellEnd"/>
      <w:r w:rsidR="00DF051E" w:rsidRPr="00DF051E">
        <w:rPr>
          <w:rFonts w:ascii="Arial" w:hAnsi="Arial" w:cs="Arial"/>
        </w:rPr>
        <w:t xml:space="preserve"> et al., 2022).</w:t>
      </w:r>
    </w:p>
    <w:p w14:paraId="43546333" w14:textId="3D002D7F" w:rsidR="0041397F" w:rsidRPr="00ED62B2" w:rsidRDefault="0041397F" w:rsidP="00BD065A">
      <w:pPr>
        <w:spacing w:line="360" w:lineRule="auto"/>
        <w:rPr>
          <w:rFonts w:ascii="Arial" w:hAnsi="Arial" w:cs="Arial"/>
        </w:rPr>
      </w:pPr>
      <w:r w:rsidRPr="00ED62B2">
        <w:rPr>
          <w:rFonts w:ascii="Arial" w:hAnsi="Arial" w:cs="Arial"/>
        </w:rPr>
        <w:t>If the company chooses to increase debt slightly to finance growth, it can do so without significantly increasing risk. This is because its current debt levels are relatively low.</w:t>
      </w:r>
      <w:r w:rsidR="00260C33">
        <w:rPr>
          <w:rFonts w:ascii="Arial" w:hAnsi="Arial" w:cs="Arial"/>
        </w:rPr>
        <w:t xml:space="preserve"> </w:t>
      </w:r>
      <w:r w:rsidR="00260C33" w:rsidRPr="00260C33">
        <w:rPr>
          <w:rFonts w:ascii="Arial" w:hAnsi="Arial" w:cs="Arial"/>
        </w:rPr>
        <w:t>The company’s financing strategy should also be considered in the context of its green financing activities and longer-term funding structure (Volvo Cars, 2024b).</w:t>
      </w:r>
    </w:p>
    <w:p w14:paraId="01D8FD00" w14:textId="25C21F66" w:rsidR="0041397F" w:rsidRPr="00ED62B2" w:rsidRDefault="0041397F" w:rsidP="00BD065A">
      <w:pPr>
        <w:spacing w:line="360" w:lineRule="auto"/>
        <w:rPr>
          <w:rFonts w:ascii="Arial" w:hAnsi="Arial" w:cs="Arial"/>
        </w:rPr>
      </w:pPr>
      <w:r w:rsidRPr="00ED62B2">
        <w:rPr>
          <w:rFonts w:ascii="Arial" w:hAnsi="Arial" w:cs="Arial"/>
        </w:rPr>
        <w:t>At the same time, improving cash flow management will reduce reliance on external financing. This will strengthen the company’s financial position and provide more control over future investment decisions.</w:t>
      </w:r>
    </w:p>
    <w:p w14:paraId="7C6E92BB" w14:textId="77777777" w:rsidR="0041397F" w:rsidRPr="007C4ADB" w:rsidRDefault="0041397F" w:rsidP="007C4ADB">
      <w:pPr>
        <w:pStyle w:val="Heading2"/>
        <w:rPr>
          <w:rFonts w:ascii="Arial" w:hAnsi="Arial" w:cs="Arial"/>
          <w:sz w:val="24"/>
          <w:szCs w:val="24"/>
        </w:rPr>
      </w:pPr>
      <w:bookmarkStart w:id="18" w:name="_Toc227771640"/>
      <w:r w:rsidRPr="007C4ADB">
        <w:rPr>
          <w:rFonts w:ascii="Arial" w:hAnsi="Arial" w:cs="Arial"/>
          <w:sz w:val="24"/>
          <w:szCs w:val="24"/>
        </w:rPr>
        <w:t>3.5 International and Ethical Considerations</w:t>
      </w:r>
      <w:bookmarkEnd w:id="18"/>
    </w:p>
    <w:p w14:paraId="6541B0A9" w14:textId="2B8ADBB5" w:rsidR="00160EDA" w:rsidRPr="00ED62B2" w:rsidRDefault="0041397F" w:rsidP="00BD065A">
      <w:pPr>
        <w:spacing w:line="360" w:lineRule="auto"/>
        <w:rPr>
          <w:rFonts w:ascii="Arial" w:hAnsi="Arial" w:cs="Arial"/>
        </w:rPr>
      </w:pPr>
      <w:r w:rsidRPr="00ED62B2">
        <w:rPr>
          <w:rFonts w:ascii="Arial" w:hAnsi="Arial" w:cs="Arial"/>
        </w:rPr>
        <w:t xml:space="preserve">As an electric vehicle manufacturer operating in a global market, </w:t>
      </w:r>
      <w:r w:rsidR="00751EA2">
        <w:rPr>
          <w:rFonts w:ascii="Arial" w:hAnsi="Arial" w:cs="Arial"/>
        </w:rPr>
        <w:t xml:space="preserve">Volvo </w:t>
      </w:r>
      <w:r w:rsidR="00335851">
        <w:rPr>
          <w:rFonts w:ascii="Arial" w:hAnsi="Arial" w:cs="Arial"/>
        </w:rPr>
        <w:t>Cars must</w:t>
      </w:r>
      <w:r w:rsidRPr="00ED62B2">
        <w:rPr>
          <w:rFonts w:ascii="Arial" w:hAnsi="Arial" w:cs="Arial"/>
        </w:rPr>
        <w:t xml:space="preserve"> also consider international and ethical factors in its restructuring strategy.</w:t>
      </w:r>
    </w:p>
    <w:p w14:paraId="5377CBF4" w14:textId="77777777" w:rsidR="0041397F" w:rsidRPr="00ED62B2" w:rsidRDefault="0041397F" w:rsidP="00BD065A">
      <w:pPr>
        <w:spacing w:line="360" w:lineRule="auto"/>
        <w:rPr>
          <w:rFonts w:ascii="Arial" w:hAnsi="Arial" w:cs="Arial"/>
          <w:b/>
          <w:bCs/>
        </w:rPr>
      </w:pPr>
      <w:r w:rsidRPr="00ED62B2">
        <w:rPr>
          <w:rFonts w:ascii="Arial" w:hAnsi="Arial" w:cs="Arial"/>
          <w:b/>
          <w:bCs/>
        </w:rPr>
        <w:t>(a) Currency Risk</w:t>
      </w:r>
    </w:p>
    <w:p w14:paraId="35D837CB" w14:textId="1236628C" w:rsidR="0041397F" w:rsidRPr="00ED62B2" w:rsidRDefault="0041397F" w:rsidP="00BD065A">
      <w:pPr>
        <w:spacing w:line="360" w:lineRule="auto"/>
        <w:rPr>
          <w:rFonts w:ascii="Arial" w:hAnsi="Arial" w:cs="Arial"/>
        </w:rPr>
      </w:pPr>
      <w:r w:rsidRPr="00ED62B2">
        <w:rPr>
          <w:rFonts w:ascii="Arial" w:hAnsi="Arial" w:cs="Arial"/>
        </w:rPr>
        <w:t xml:space="preserve">Operating in multiple countries exposes </w:t>
      </w:r>
      <w:r w:rsidR="00751EA2">
        <w:rPr>
          <w:rFonts w:ascii="Arial" w:hAnsi="Arial" w:cs="Arial"/>
        </w:rPr>
        <w:t>Volvo Cars</w:t>
      </w:r>
      <w:r w:rsidR="009D382F" w:rsidRPr="00ED62B2">
        <w:rPr>
          <w:rFonts w:ascii="Arial" w:hAnsi="Arial" w:cs="Arial"/>
        </w:rPr>
        <w:t xml:space="preserve"> </w:t>
      </w:r>
      <w:r w:rsidRPr="00ED62B2">
        <w:rPr>
          <w:rFonts w:ascii="Arial" w:hAnsi="Arial" w:cs="Arial"/>
        </w:rPr>
        <w:t>to exchange rate fluctuations. Changes in currency values can affect revenues, costs, and profitability.</w:t>
      </w:r>
    </w:p>
    <w:p w14:paraId="53C2814C" w14:textId="0CB2B0D8" w:rsidR="00160EDA" w:rsidRPr="00ED62B2" w:rsidRDefault="0041397F" w:rsidP="00BD065A">
      <w:pPr>
        <w:spacing w:line="360" w:lineRule="auto"/>
        <w:rPr>
          <w:rFonts w:ascii="Arial" w:hAnsi="Arial" w:cs="Arial"/>
        </w:rPr>
      </w:pPr>
      <w:r w:rsidRPr="00ED62B2">
        <w:rPr>
          <w:rFonts w:ascii="Arial" w:hAnsi="Arial" w:cs="Arial"/>
        </w:rPr>
        <w:t>To manage this risk, the company can use hedging strategies such as forward contracts or diversify its operations across different markets (Arnold, 2019).</w:t>
      </w:r>
    </w:p>
    <w:p w14:paraId="2E1EF9BB" w14:textId="77777777" w:rsidR="0041397F" w:rsidRPr="00ED62B2" w:rsidRDefault="0041397F" w:rsidP="00BD065A">
      <w:pPr>
        <w:spacing w:line="360" w:lineRule="auto"/>
        <w:rPr>
          <w:rFonts w:ascii="Arial" w:hAnsi="Arial" w:cs="Arial"/>
          <w:b/>
          <w:bCs/>
        </w:rPr>
      </w:pPr>
      <w:r w:rsidRPr="00ED62B2">
        <w:rPr>
          <w:rFonts w:ascii="Arial" w:hAnsi="Arial" w:cs="Arial"/>
          <w:b/>
          <w:bCs/>
        </w:rPr>
        <w:t>(b) Inflation and Cost Pressures</w:t>
      </w:r>
    </w:p>
    <w:p w14:paraId="755F5897" w14:textId="77777777" w:rsidR="0041397F" w:rsidRPr="00ED62B2" w:rsidRDefault="0041397F" w:rsidP="00BD065A">
      <w:pPr>
        <w:spacing w:line="360" w:lineRule="auto"/>
        <w:rPr>
          <w:rFonts w:ascii="Arial" w:hAnsi="Arial" w:cs="Arial"/>
        </w:rPr>
      </w:pPr>
      <w:r w:rsidRPr="00ED62B2">
        <w:rPr>
          <w:rFonts w:ascii="Arial" w:hAnsi="Arial" w:cs="Arial"/>
        </w:rPr>
        <w:t>Rising inflation can increase production costs, particularly for raw materials and labour. This may explain some of the pressure on profit margins observed in recent years.</w:t>
      </w:r>
    </w:p>
    <w:p w14:paraId="750562D5" w14:textId="4C6F0113" w:rsidR="0041397F" w:rsidRPr="00ED62B2" w:rsidRDefault="0041397F" w:rsidP="00BD065A">
      <w:pPr>
        <w:spacing w:line="360" w:lineRule="auto"/>
        <w:rPr>
          <w:rFonts w:ascii="Arial" w:hAnsi="Arial" w:cs="Arial"/>
        </w:rPr>
      </w:pPr>
      <w:r w:rsidRPr="00ED62B2">
        <w:rPr>
          <w:rFonts w:ascii="Arial" w:hAnsi="Arial" w:cs="Arial"/>
        </w:rPr>
        <w:t>The company should focus on cost control and efficiency improvements to manage the impact of inflation.</w:t>
      </w:r>
    </w:p>
    <w:p w14:paraId="6AAD6DAD" w14:textId="77777777" w:rsidR="0041397F" w:rsidRPr="00ED62B2" w:rsidRDefault="0041397F" w:rsidP="00BD065A">
      <w:pPr>
        <w:spacing w:line="360" w:lineRule="auto"/>
        <w:rPr>
          <w:rFonts w:ascii="Arial" w:hAnsi="Arial" w:cs="Arial"/>
          <w:b/>
          <w:bCs/>
        </w:rPr>
      </w:pPr>
      <w:r w:rsidRPr="00ED62B2">
        <w:rPr>
          <w:rFonts w:ascii="Arial" w:hAnsi="Arial" w:cs="Arial"/>
          <w:b/>
          <w:bCs/>
        </w:rPr>
        <w:lastRenderedPageBreak/>
        <w:t>(c) Taxation and Regulatory Environment</w:t>
      </w:r>
    </w:p>
    <w:p w14:paraId="1A55800F" w14:textId="27DAD100" w:rsidR="0041397F" w:rsidRPr="00ED62B2" w:rsidRDefault="0041397F" w:rsidP="00BD065A">
      <w:pPr>
        <w:spacing w:line="360" w:lineRule="auto"/>
        <w:rPr>
          <w:rFonts w:ascii="Arial" w:hAnsi="Arial" w:cs="Arial"/>
        </w:rPr>
      </w:pPr>
      <w:r w:rsidRPr="00ED62B2">
        <w:rPr>
          <w:rFonts w:ascii="Arial" w:hAnsi="Arial" w:cs="Arial"/>
        </w:rPr>
        <w:t xml:space="preserve">Different countries have different tax systems and regulations. </w:t>
      </w:r>
      <w:r w:rsidR="00751EA2">
        <w:rPr>
          <w:rFonts w:ascii="Arial" w:hAnsi="Arial" w:cs="Arial"/>
        </w:rPr>
        <w:t>Volvo Cars</w:t>
      </w:r>
      <w:r w:rsidR="00913A66">
        <w:rPr>
          <w:rFonts w:ascii="Arial" w:hAnsi="Arial" w:cs="Arial"/>
        </w:rPr>
        <w:t xml:space="preserve"> </w:t>
      </w:r>
      <w:r w:rsidRPr="00ED62B2">
        <w:rPr>
          <w:rFonts w:ascii="Arial" w:hAnsi="Arial" w:cs="Arial"/>
        </w:rPr>
        <w:t>must ensure compliance with all relevant laws while also managing its tax obligations efficiently.</w:t>
      </w:r>
    </w:p>
    <w:p w14:paraId="75A44ED3" w14:textId="413D797B" w:rsidR="0041397F" w:rsidRPr="00ED62B2" w:rsidRDefault="0041397F" w:rsidP="00BD065A">
      <w:pPr>
        <w:spacing w:line="360" w:lineRule="auto"/>
        <w:rPr>
          <w:rFonts w:ascii="Arial" w:hAnsi="Arial" w:cs="Arial"/>
        </w:rPr>
      </w:pPr>
      <w:r w:rsidRPr="00ED62B2">
        <w:rPr>
          <w:rFonts w:ascii="Arial" w:hAnsi="Arial" w:cs="Arial"/>
        </w:rPr>
        <w:t>This may involve structuring operations in a way that minimises tax liabilities without engaging in unethical practices.</w:t>
      </w:r>
    </w:p>
    <w:p w14:paraId="3B70F1A2" w14:textId="77777777" w:rsidR="0041397F" w:rsidRPr="00ED62B2" w:rsidRDefault="0041397F" w:rsidP="00BD065A">
      <w:pPr>
        <w:spacing w:line="360" w:lineRule="auto"/>
        <w:rPr>
          <w:rFonts w:ascii="Arial" w:hAnsi="Arial" w:cs="Arial"/>
          <w:b/>
          <w:bCs/>
        </w:rPr>
      </w:pPr>
      <w:r w:rsidRPr="00ED62B2">
        <w:rPr>
          <w:rFonts w:ascii="Arial" w:hAnsi="Arial" w:cs="Arial"/>
          <w:b/>
          <w:bCs/>
        </w:rPr>
        <w:t>(d) Corporate Social Responsibility (CSR)</w:t>
      </w:r>
    </w:p>
    <w:p w14:paraId="76F2ACCA" w14:textId="365B5964" w:rsidR="0041397F" w:rsidRPr="00ED62B2" w:rsidRDefault="0041397F" w:rsidP="00BD065A">
      <w:pPr>
        <w:spacing w:line="360" w:lineRule="auto"/>
        <w:rPr>
          <w:rFonts w:ascii="Arial" w:hAnsi="Arial" w:cs="Arial"/>
        </w:rPr>
      </w:pPr>
      <w:r w:rsidRPr="00ED62B2">
        <w:rPr>
          <w:rFonts w:ascii="Arial" w:hAnsi="Arial" w:cs="Arial"/>
        </w:rPr>
        <w:t xml:space="preserve">As an EV manufacturer, </w:t>
      </w:r>
      <w:r w:rsidR="00751EA2">
        <w:rPr>
          <w:rFonts w:ascii="Arial" w:hAnsi="Arial" w:cs="Arial"/>
        </w:rPr>
        <w:t>Volvo Cars</w:t>
      </w:r>
      <w:r w:rsidR="009D382F" w:rsidRPr="00ED62B2">
        <w:rPr>
          <w:rFonts w:ascii="Arial" w:hAnsi="Arial" w:cs="Arial"/>
        </w:rPr>
        <w:t xml:space="preserve"> </w:t>
      </w:r>
      <w:r w:rsidRPr="00ED62B2">
        <w:rPr>
          <w:rFonts w:ascii="Arial" w:hAnsi="Arial" w:cs="Arial"/>
        </w:rPr>
        <w:t>plays an important role in promoting sustainability. Therefore, financial restructuring decisions should also consider environmental and social impacts.</w:t>
      </w:r>
    </w:p>
    <w:p w14:paraId="455CA34F" w14:textId="5C1E822D" w:rsidR="0041397F" w:rsidRPr="00ED62B2" w:rsidRDefault="0041397F" w:rsidP="00BD065A">
      <w:pPr>
        <w:spacing w:line="360" w:lineRule="auto"/>
        <w:rPr>
          <w:rFonts w:ascii="Arial" w:hAnsi="Arial" w:cs="Arial"/>
        </w:rPr>
      </w:pPr>
      <w:r w:rsidRPr="00ED62B2">
        <w:rPr>
          <w:rFonts w:ascii="Arial" w:hAnsi="Arial" w:cs="Arial"/>
        </w:rPr>
        <w:t>For example, cost-cutting measures should not compromise product quality or environmental standards. Maintaining strong CSR practices can enhance the company’s reputation and attract long-term investors (Brealey et al., 2020).</w:t>
      </w:r>
      <w:r w:rsidR="00AE16FB">
        <w:rPr>
          <w:rFonts w:ascii="Arial" w:hAnsi="Arial" w:cs="Arial"/>
        </w:rPr>
        <w:t xml:space="preserve"> </w:t>
      </w:r>
      <w:r w:rsidR="00AE16FB" w:rsidRPr="00AE16FB">
        <w:rPr>
          <w:rFonts w:ascii="Arial" w:hAnsi="Arial" w:cs="Arial"/>
        </w:rPr>
        <w:t>This is also consistent with Volvo Cars’ wider sustainability commitments and reporting practices (Volvo Cars, 2024a).</w:t>
      </w:r>
    </w:p>
    <w:p w14:paraId="0DF1E55E" w14:textId="77777777" w:rsidR="0041397F" w:rsidRPr="007C4ADB" w:rsidRDefault="0041397F" w:rsidP="007C4ADB">
      <w:pPr>
        <w:pStyle w:val="Heading2"/>
        <w:rPr>
          <w:rFonts w:ascii="Arial" w:hAnsi="Arial" w:cs="Arial"/>
          <w:sz w:val="24"/>
          <w:szCs w:val="24"/>
        </w:rPr>
      </w:pPr>
      <w:bookmarkStart w:id="19" w:name="_Toc227771641"/>
      <w:r w:rsidRPr="007C4ADB">
        <w:rPr>
          <w:rFonts w:ascii="Arial" w:hAnsi="Arial" w:cs="Arial"/>
          <w:sz w:val="24"/>
          <w:szCs w:val="24"/>
        </w:rPr>
        <w:t>3.6 Overall Recommendation</w:t>
      </w:r>
      <w:bookmarkEnd w:id="19"/>
    </w:p>
    <w:p w14:paraId="13F90E8F" w14:textId="77777777" w:rsidR="0041397F" w:rsidRPr="00ED62B2" w:rsidRDefault="0041397F" w:rsidP="00BD065A">
      <w:pPr>
        <w:spacing w:line="360" w:lineRule="auto"/>
        <w:rPr>
          <w:rFonts w:ascii="Arial" w:hAnsi="Arial" w:cs="Arial"/>
        </w:rPr>
      </w:pPr>
      <w:r w:rsidRPr="00ED62B2">
        <w:rPr>
          <w:rFonts w:ascii="Arial" w:hAnsi="Arial" w:cs="Arial"/>
        </w:rPr>
        <w:t>Based on the analysis, a combined restructuring approach is recommended.</w:t>
      </w:r>
    </w:p>
    <w:p w14:paraId="54B03B65" w14:textId="1B9E3F94" w:rsidR="0041397F" w:rsidRPr="00ED62B2" w:rsidRDefault="00751EA2" w:rsidP="00BD065A">
      <w:pPr>
        <w:spacing w:line="360" w:lineRule="auto"/>
        <w:rPr>
          <w:rFonts w:ascii="Arial" w:hAnsi="Arial" w:cs="Arial"/>
        </w:rPr>
      </w:pPr>
      <w:r>
        <w:rPr>
          <w:rFonts w:ascii="Arial" w:hAnsi="Arial" w:cs="Arial"/>
        </w:rPr>
        <w:t>Volvo Cars</w:t>
      </w:r>
      <w:r w:rsidR="009D382F" w:rsidRPr="00ED62B2">
        <w:rPr>
          <w:rFonts w:ascii="Arial" w:hAnsi="Arial" w:cs="Arial"/>
        </w:rPr>
        <w:t xml:space="preserve"> </w:t>
      </w:r>
      <w:r w:rsidR="0041397F" w:rsidRPr="00ED62B2">
        <w:rPr>
          <w:rFonts w:ascii="Arial" w:hAnsi="Arial" w:cs="Arial"/>
        </w:rPr>
        <w:t>should focus on:</w:t>
      </w:r>
    </w:p>
    <w:p w14:paraId="07E37B6B"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Improving operational efficiency, particularly in inventory management </w:t>
      </w:r>
    </w:p>
    <w:p w14:paraId="3D0276A9"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Using selective asset divestiture to improve liquidity </w:t>
      </w:r>
    </w:p>
    <w:p w14:paraId="228F137A"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Maintaining a balanced capital structure with possible equity support </w:t>
      </w:r>
    </w:p>
    <w:p w14:paraId="65EB003E"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Optimising existing debt rather than increasing financial risk </w:t>
      </w:r>
    </w:p>
    <w:p w14:paraId="199592A7" w14:textId="32EDE06F" w:rsidR="00235B8C" w:rsidRPr="00ED62B2" w:rsidRDefault="0041397F" w:rsidP="00BD065A">
      <w:pPr>
        <w:spacing w:line="360" w:lineRule="auto"/>
        <w:rPr>
          <w:rFonts w:ascii="Arial" w:hAnsi="Arial" w:cs="Arial"/>
        </w:rPr>
      </w:pPr>
      <w:r w:rsidRPr="00ED62B2">
        <w:rPr>
          <w:rFonts w:ascii="Arial" w:hAnsi="Arial" w:cs="Arial"/>
        </w:rPr>
        <w:t>This approach allows the company to address its current weaknesses while building on its strengths.</w:t>
      </w:r>
    </w:p>
    <w:p w14:paraId="633E2945" w14:textId="77777777" w:rsidR="0041397F" w:rsidRPr="00ED62B2" w:rsidRDefault="0041397F" w:rsidP="00BD065A">
      <w:pPr>
        <w:spacing w:line="360" w:lineRule="auto"/>
        <w:rPr>
          <w:rFonts w:ascii="Arial" w:hAnsi="Arial" w:cs="Arial"/>
          <w:b/>
          <w:bCs/>
        </w:rPr>
      </w:pPr>
      <w:r w:rsidRPr="00ED62B2">
        <w:rPr>
          <w:rFonts w:ascii="Arial" w:hAnsi="Arial" w:cs="Arial"/>
          <w:b/>
          <w:bCs/>
        </w:rPr>
        <w:t>Conclusion of Financial Restructuring Plan</w:t>
      </w:r>
    </w:p>
    <w:p w14:paraId="62C22B42" w14:textId="2D203FB3" w:rsidR="0041397F" w:rsidRPr="00ED62B2" w:rsidRDefault="0041397F" w:rsidP="00BD065A">
      <w:pPr>
        <w:spacing w:line="360" w:lineRule="auto"/>
        <w:rPr>
          <w:rFonts w:ascii="Arial" w:hAnsi="Arial" w:cs="Arial"/>
        </w:rPr>
      </w:pPr>
      <w:r w:rsidRPr="00ED62B2">
        <w:rPr>
          <w:rFonts w:ascii="Arial" w:hAnsi="Arial" w:cs="Arial"/>
        </w:rPr>
        <w:t xml:space="preserve">In conclusion, </w:t>
      </w:r>
      <w:r w:rsidR="00751EA2">
        <w:rPr>
          <w:rFonts w:ascii="Arial" w:hAnsi="Arial" w:cs="Arial"/>
        </w:rPr>
        <w:t>Volvo Cars</w:t>
      </w:r>
      <w:r w:rsidR="00B30766" w:rsidRPr="00ED62B2">
        <w:rPr>
          <w:rFonts w:ascii="Arial" w:hAnsi="Arial" w:cs="Arial"/>
        </w:rPr>
        <w:t xml:space="preserve"> </w:t>
      </w:r>
      <w:r w:rsidRPr="00ED62B2">
        <w:rPr>
          <w:rFonts w:ascii="Arial" w:hAnsi="Arial" w:cs="Arial"/>
        </w:rPr>
        <w:t>is not in immediate financial distress, but it faces several challenges that require attention. Declining liquidity, fluctuating profitability, and pressure on cash flows highlight the need for a proactive restructuring strategy.</w:t>
      </w:r>
    </w:p>
    <w:p w14:paraId="3460A7F9" w14:textId="3F199CF1" w:rsidR="000E7CC9" w:rsidRPr="00ED62B2" w:rsidRDefault="0041397F" w:rsidP="00BD065A">
      <w:pPr>
        <w:spacing w:line="360" w:lineRule="auto"/>
        <w:rPr>
          <w:rFonts w:ascii="Arial" w:hAnsi="Arial" w:cs="Arial"/>
        </w:rPr>
      </w:pPr>
      <w:r w:rsidRPr="00ED62B2">
        <w:rPr>
          <w:rFonts w:ascii="Arial" w:hAnsi="Arial" w:cs="Arial"/>
        </w:rPr>
        <w:t>By improving efficiency, strengthening cash flows, and maintaining financial flexibility, the company can enhance its long-term performance. At the same time, considering international risks and ethical responsibilities will ensure that the strategy is sustainable and aligned with global business practices.</w:t>
      </w:r>
    </w:p>
    <w:p w14:paraId="1561B506" w14:textId="77777777" w:rsidR="0041397F" w:rsidRPr="007C4ADB" w:rsidRDefault="0041397F" w:rsidP="007C4ADB">
      <w:pPr>
        <w:pStyle w:val="Heading1"/>
        <w:rPr>
          <w:rFonts w:ascii="Arial" w:hAnsi="Arial" w:cs="Arial"/>
          <w:sz w:val="24"/>
          <w:szCs w:val="24"/>
        </w:rPr>
      </w:pPr>
      <w:bookmarkStart w:id="20" w:name="_Toc227771642"/>
      <w:r w:rsidRPr="007C4ADB">
        <w:rPr>
          <w:rFonts w:ascii="Arial" w:hAnsi="Arial" w:cs="Arial"/>
          <w:sz w:val="24"/>
          <w:szCs w:val="24"/>
        </w:rPr>
        <w:lastRenderedPageBreak/>
        <w:t>4. Investment Appraisal and Capital Budgeting</w:t>
      </w:r>
      <w:bookmarkEnd w:id="20"/>
    </w:p>
    <w:p w14:paraId="042C862D" w14:textId="258FE5B8" w:rsidR="003D3DB8" w:rsidRDefault="003D3DB8" w:rsidP="00BD065A">
      <w:pPr>
        <w:spacing w:line="360" w:lineRule="auto"/>
        <w:rPr>
          <w:rFonts w:ascii="Arial" w:hAnsi="Arial" w:cs="Arial"/>
        </w:rPr>
      </w:pPr>
      <w:r w:rsidRPr="003D3DB8">
        <w:rPr>
          <w:rFonts w:ascii="Arial" w:hAnsi="Arial" w:cs="Arial"/>
        </w:rPr>
        <w:t>This section evaluates three proposed investment projects for Volvo Cars using five capital budgeting techniques: payback period, accounting rate of return, net present value, profitability index and internal rate of return. Each project requires an initial investment of £50 million, and the discount rate given in the assignment is 10%. Because each method focuses on a different aspect of project performance, the final decision should be based on all results together rather than on one measure alone. However, NPV is usually treated as the most important method because it considers the time value of money and the impact on shareholder value</w:t>
      </w:r>
      <w:r w:rsidR="00CC610A">
        <w:rPr>
          <w:rFonts w:ascii="Arial" w:hAnsi="Arial" w:cs="Arial"/>
        </w:rPr>
        <w:t xml:space="preserve"> </w:t>
      </w:r>
      <w:r w:rsidR="00CC610A" w:rsidRPr="00CC610A">
        <w:rPr>
          <w:rFonts w:ascii="Arial" w:hAnsi="Arial" w:cs="Arial"/>
        </w:rPr>
        <w:t>(Graham and Harvey, 2001).</w:t>
      </w:r>
    </w:p>
    <w:p w14:paraId="0D8D2902" w14:textId="34F6AB25" w:rsidR="00526BA6" w:rsidRPr="000E7CC9" w:rsidRDefault="000E7CC9" w:rsidP="00BD065A">
      <w:pPr>
        <w:spacing w:line="360" w:lineRule="auto"/>
        <w:rPr>
          <w:rFonts w:ascii="Arial" w:hAnsi="Arial" w:cs="Arial"/>
        </w:rPr>
      </w:pPr>
      <w:r w:rsidRPr="000E7CC9">
        <w:rPr>
          <w:rFonts w:ascii="Arial" w:hAnsi="Arial" w:cs="Arial"/>
        </w:rPr>
        <w:t>Each method provides a different perspective, so it is important to consider all of them together rather than relying on only one (Brealey, Myers and Allen, 2020).</w:t>
      </w:r>
      <w:r w:rsidR="00D85DDA">
        <w:rPr>
          <w:rFonts w:ascii="Arial" w:hAnsi="Arial" w:cs="Arial"/>
        </w:rPr>
        <w:t xml:space="preserve"> </w:t>
      </w:r>
    </w:p>
    <w:p w14:paraId="12A987A2" w14:textId="77777777" w:rsidR="000E7CC9" w:rsidRPr="007C4ADB" w:rsidRDefault="000E7CC9" w:rsidP="007C4ADB">
      <w:pPr>
        <w:pStyle w:val="Heading2"/>
        <w:rPr>
          <w:rFonts w:ascii="Arial" w:hAnsi="Arial" w:cs="Arial"/>
          <w:sz w:val="24"/>
          <w:szCs w:val="24"/>
        </w:rPr>
      </w:pPr>
      <w:bookmarkStart w:id="21" w:name="_Toc227771643"/>
      <w:r w:rsidRPr="007C4ADB">
        <w:rPr>
          <w:rFonts w:ascii="Arial" w:hAnsi="Arial" w:cs="Arial"/>
          <w:sz w:val="24"/>
          <w:szCs w:val="24"/>
        </w:rPr>
        <w:t>4.1 Evaluation of Project A</w:t>
      </w:r>
      <w:bookmarkEnd w:id="21"/>
    </w:p>
    <w:p w14:paraId="704C8EE2" w14:textId="2BF33B13" w:rsidR="003D3DB8" w:rsidRPr="003D3DB8" w:rsidRDefault="009C649E" w:rsidP="00BD065A">
      <w:pPr>
        <w:spacing w:line="360" w:lineRule="auto"/>
        <w:rPr>
          <w:rFonts w:ascii="Arial" w:hAnsi="Arial" w:cs="Arial"/>
        </w:rPr>
      </w:pPr>
      <w:r>
        <w:rPr>
          <w:rFonts w:ascii="Arial" w:hAnsi="Arial" w:cs="Arial"/>
        </w:rPr>
        <w:t>From Appendix G, H, I</w:t>
      </w:r>
      <w:r w:rsidR="00532770">
        <w:rPr>
          <w:rFonts w:ascii="Arial" w:hAnsi="Arial" w:cs="Arial"/>
        </w:rPr>
        <w:t>,</w:t>
      </w:r>
      <w:r>
        <w:rPr>
          <w:rFonts w:ascii="Arial" w:hAnsi="Arial" w:cs="Arial"/>
        </w:rPr>
        <w:t xml:space="preserve"> J, and K, </w:t>
      </w:r>
      <w:r w:rsidR="003D3DB8" w:rsidRPr="003D3DB8">
        <w:rPr>
          <w:rFonts w:ascii="Arial" w:hAnsi="Arial" w:cs="Arial"/>
        </w:rPr>
        <w:t xml:space="preserve">Project A generates uneven cash inflows, with returns rising until Year 3 and then falling in the final two years. </w:t>
      </w:r>
      <w:r w:rsidR="003D3DB8" w:rsidRPr="000E7CC9">
        <w:rPr>
          <w:rFonts w:ascii="Arial" w:hAnsi="Arial" w:cs="Arial"/>
        </w:rPr>
        <w:t>Based on Appendix G</w:t>
      </w:r>
      <w:r w:rsidR="003D3DB8">
        <w:rPr>
          <w:rFonts w:ascii="Arial" w:hAnsi="Arial" w:cs="Arial"/>
        </w:rPr>
        <w:t xml:space="preserve">, </w:t>
      </w:r>
      <w:r w:rsidR="00532770">
        <w:rPr>
          <w:rFonts w:ascii="Arial" w:hAnsi="Arial" w:cs="Arial"/>
        </w:rPr>
        <w:t>the</w:t>
      </w:r>
      <w:r w:rsidR="003D3DB8" w:rsidRPr="003D3DB8">
        <w:rPr>
          <w:rFonts w:ascii="Arial" w:hAnsi="Arial" w:cs="Arial"/>
        </w:rPr>
        <w:t xml:space="preserve"> payback period of 4.5 years shows that the initial investment is recovered only near the end of the project’s life, which is not particularly attractive. </w:t>
      </w:r>
      <w:r w:rsidR="003D3DB8" w:rsidRPr="000E7CC9">
        <w:rPr>
          <w:rFonts w:ascii="Arial" w:hAnsi="Arial" w:cs="Arial"/>
        </w:rPr>
        <w:t>From Appendix H</w:t>
      </w:r>
      <w:r w:rsidR="003D3DB8">
        <w:rPr>
          <w:rFonts w:ascii="Arial" w:hAnsi="Arial" w:cs="Arial"/>
        </w:rPr>
        <w:t>,</w:t>
      </w:r>
      <w:r w:rsidR="00532770">
        <w:rPr>
          <w:rFonts w:ascii="Arial" w:hAnsi="Arial" w:cs="Arial"/>
        </w:rPr>
        <w:t xml:space="preserve"> </w:t>
      </w:r>
      <w:r w:rsidR="003D3DB8">
        <w:rPr>
          <w:rFonts w:ascii="Arial" w:hAnsi="Arial" w:cs="Arial"/>
        </w:rPr>
        <w:t>t</w:t>
      </w:r>
      <w:r w:rsidR="003D3DB8" w:rsidRPr="003D3DB8">
        <w:rPr>
          <w:rFonts w:ascii="Arial" w:hAnsi="Arial" w:cs="Arial"/>
        </w:rPr>
        <w:t xml:space="preserve">he ARR is only 1.6%, which suggests a weak accounting return. More importantly, the discounted measures are poor: the </w:t>
      </w:r>
      <w:proofErr w:type="gramStart"/>
      <w:r w:rsidR="003D3DB8" w:rsidRPr="003D3DB8">
        <w:rPr>
          <w:rFonts w:ascii="Arial" w:hAnsi="Arial" w:cs="Arial"/>
        </w:rPr>
        <w:t>NPV</w:t>
      </w:r>
      <w:r w:rsidR="003D3DB8">
        <w:rPr>
          <w:rFonts w:ascii="Arial" w:hAnsi="Arial" w:cs="Arial"/>
        </w:rPr>
        <w:t>(</w:t>
      </w:r>
      <w:proofErr w:type="gramEnd"/>
      <w:r w:rsidR="003D3DB8">
        <w:rPr>
          <w:rFonts w:ascii="Arial" w:hAnsi="Arial" w:cs="Arial"/>
        </w:rPr>
        <w:t>Appendix I)</w:t>
      </w:r>
      <w:r w:rsidR="003D3DB8" w:rsidRPr="003D3DB8">
        <w:rPr>
          <w:rFonts w:ascii="Arial" w:hAnsi="Arial" w:cs="Arial"/>
        </w:rPr>
        <w:t xml:space="preserve"> is negative at -£8.67 million, </w:t>
      </w:r>
      <w:r w:rsidR="00532770">
        <w:rPr>
          <w:rFonts w:ascii="Arial" w:hAnsi="Arial" w:cs="Arial"/>
        </w:rPr>
        <w:t xml:space="preserve">and </w:t>
      </w:r>
      <w:r w:rsidR="003D3DB8" w:rsidRPr="003D3DB8">
        <w:rPr>
          <w:rFonts w:ascii="Arial" w:hAnsi="Arial" w:cs="Arial"/>
        </w:rPr>
        <w:t>the profitability index is 0.83</w:t>
      </w:r>
      <w:r w:rsidR="00532770">
        <w:rPr>
          <w:rFonts w:ascii="Arial" w:hAnsi="Arial" w:cs="Arial"/>
        </w:rPr>
        <w:t>.</w:t>
      </w:r>
      <w:r w:rsidR="003D3DB8">
        <w:rPr>
          <w:rFonts w:ascii="Arial" w:hAnsi="Arial" w:cs="Arial"/>
        </w:rPr>
        <w:t xml:space="preserve"> </w:t>
      </w:r>
      <w:r w:rsidR="003D3DB8" w:rsidRPr="00685B5C">
        <w:rPr>
          <w:rFonts w:ascii="Arial" w:hAnsi="Arial" w:cs="Arial"/>
        </w:rPr>
        <w:t>NPV is generally regarded as the most reliable technique because it directly considers cash flows, timing, and shareholder value (Hillier et al., 2023</w:t>
      </w:r>
      <w:r w:rsidR="003D3DB8">
        <w:rPr>
          <w:rFonts w:ascii="Arial" w:hAnsi="Arial" w:cs="Arial"/>
        </w:rPr>
        <w:t xml:space="preserve">). As per </w:t>
      </w:r>
      <w:r w:rsidR="00532770">
        <w:rPr>
          <w:rFonts w:ascii="Arial" w:hAnsi="Arial" w:cs="Arial"/>
        </w:rPr>
        <w:t>Appendix</w:t>
      </w:r>
      <w:r w:rsidR="003D3DB8">
        <w:rPr>
          <w:rFonts w:ascii="Arial" w:hAnsi="Arial" w:cs="Arial"/>
        </w:rPr>
        <w:t xml:space="preserve"> J, </w:t>
      </w:r>
      <w:r w:rsidR="003D3DB8" w:rsidRPr="003D3DB8">
        <w:rPr>
          <w:rFonts w:ascii="Arial" w:hAnsi="Arial" w:cs="Arial"/>
        </w:rPr>
        <w:t>the IRR is 2.72%, well below the required return of 10%. This means that Project A does not create value and should be rejected on financial grounds.</w:t>
      </w:r>
    </w:p>
    <w:p w14:paraId="106EA4FF" w14:textId="0F892FB0" w:rsidR="009C649E" w:rsidRPr="000E7CC9" w:rsidRDefault="000E7CC9" w:rsidP="00BD065A">
      <w:pPr>
        <w:spacing w:line="360" w:lineRule="auto"/>
        <w:rPr>
          <w:rFonts w:ascii="Arial" w:hAnsi="Arial" w:cs="Arial"/>
        </w:rPr>
      </w:pPr>
      <w:r w:rsidRPr="000E7CC9">
        <w:rPr>
          <w:rFonts w:ascii="Arial" w:hAnsi="Arial" w:cs="Arial"/>
        </w:rPr>
        <w:t>Overall, Project A does not appear to be a strong option. While it does generate cash inflows, these are not sufficient to justify the investment when the time value of money is considered.</w:t>
      </w:r>
    </w:p>
    <w:p w14:paraId="76EB0387" w14:textId="77777777" w:rsidR="000E7CC9" w:rsidRPr="007C4ADB" w:rsidRDefault="000E7CC9" w:rsidP="007C4ADB">
      <w:pPr>
        <w:pStyle w:val="Heading2"/>
        <w:rPr>
          <w:rFonts w:ascii="Arial" w:hAnsi="Arial" w:cs="Arial"/>
          <w:sz w:val="24"/>
          <w:szCs w:val="24"/>
        </w:rPr>
      </w:pPr>
      <w:bookmarkStart w:id="22" w:name="_Toc227771644"/>
      <w:r w:rsidRPr="007C4ADB">
        <w:rPr>
          <w:rFonts w:ascii="Arial" w:hAnsi="Arial" w:cs="Arial"/>
          <w:sz w:val="24"/>
          <w:szCs w:val="24"/>
        </w:rPr>
        <w:t>4.2 Evaluation of Project B</w:t>
      </w:r>
      <w:bookmarkEnd w:id="22"/>
    </w:p>
    <w:p w14:paraId="666BFAE1" w14:textId="035AAF37" w:rsidR="000E7CC9" w:rsidRDefault="000E7CC9" w:rsidP="00BD065A">
      <w:pPr>
        <w:spacing w:line="360" w:lineRule="auto"/>
        <w:rPr>
          <w:rFonts w:ascii="Arial" w:hAnsi="Arial" w:cs="Arial"/>
        </w:rPr>
      </w:pPr>
      <w:r w:rsidRPr="000E7CC9">
        <w:rPr>
          <w:rFonts w:ascii="Arial" w:hAnsi="Arial" w:cs="Arial"/>
        </w:rPr>
        <w:t>One of the main advantages of Project B is its relatively low risk, as the cash flows are stable and predictable. However, despite this stability, the project does not generate sufficient returns and therefore offers limited value to the company.</w:t>
      </w:r>
    </w:p>
    <w:p w14:paraId="73D627F9" w14:textId="37737407" w:rsidR="009C649E" w:rsidRPr="000E7CC9" w:rsidRDefault="009C649E" w:rsidP="00BD065A">
      <w:pPr>
        <w:spacing w:line="360" w:lineRule="auto"/>
        <w:rPr>
          <w:rFonts w:ascii="Arial" w:hAnsi="Arial" w:cs="Arial"/>
        </w:rPr>
      </w:pPr>
      <w:r>
        <w:rPr>
          <w:rFonts w:ascii="Arial" w:hAnsi="Arial" w:cs="Arial"/>
        </w:rPr>
        <w:t>From Appendix G, H, I</w:t>
      </w:r>
      <w:r w:rsidR="00532770">
        <w:rPr>
          <w:rFonts w:ascii="Arial" w:hAnsi="Arial" w:cs="Arial"/>
        </w:rPr>
        <w:t>,</w:t>
      </w:r>
      <w:r>
        <w:rPr>
          <w:rFonts w:ascii="Arial" w:hAnsi="Arial" w:cs="Arial"/>
        </w:rPr>
        <w:t xml:space="preserve"> J, and K, </w:t>
      </w:r>
      <w:r w:rsidRPr="009C649E">
        <w:rPr>
          <w:rFonts w:ascii="Arial" w:hAnsi="Arial" w:cs="Arial"/>
        </w:rPr>
        <w:t>Project B provides stable cash inflows of £11 million each year, which makes it the most predictable option. This stability reduces uncertainty and may make planning easier. However,</w:t>
      </w:r>
      <w:r>
        <w:rPr>
          <w:rFonts w:ascii="Arial" w:hAnsi="Arial" w:cs="Arial"/>
        </w:rPr>
        <w:t xml:space="preserve"> as per Appendix G, the </w:t>
      </w:r>
      <w:r w:rsidRPr="009C649E">
        <w:rPr>
          <w:rFonts w:ascii="Arial" w:hAnsi="Arial" w:cs="Arial"/>
        </w:rPr>
        <w:t>payback period is still relatively long at about 4.55 years, and its ARR</w:t>
      </w:r>
      <w:r>
        <w:rPr>
          <w:rFonts w:ascii="Arial" w:hAnsi="Arial" w:cs="Arial"/>
        </w:rPr>
        <w:t xml:space="preserve"> (Appendix H)</w:t>
      </w:r>
      <w:r w:rsidRPr="009C649E">
        <w:rPr>
          <w:rFonts w:ascii="Arial" w:hAnsi="Arial" w:cs="Arial"/>
        </w:rPr>
        <w:t xml:space="preserve"> is only 2%. </w:t>
      </w:r>
      <w:r>
        <w:rPr>
          <w:rFonts w:ascii="Arial" w:hAnsi="Arial" w:cs="Arial"/>
        </w:rPr>
        <w:t>From Appendix I, t</w:t>
      </w:r>
      <w:r w:rsidRPr="009C649E">
        <w:rPr>
          <w:rFonts w:ascii="Arial" w:hAnsi="Arial" w:cs="Arial"/>
        </w:rPr>
        <w:t>he NPV remains negative at -£8.31 million, the profitability index</w:t>
      </w:r>
      <w:r>
        <w:rPr>
          <w:rFonts w:ascii="Arial" w:hAnsi="Arial" w:cs="Arial"/>
        </w:rPr>
        <w:t xml:space="preserve"> (Appendix J)</w:t>
      </w:r>
      <w:r w:rsidRPr="009C649E">
        <w:rPr>
          <w:rFonts w:ascii="Arial" w:hAnsi="Arial" w:cs="Arial"/>
        </w:rPr>
        <w:t xml:space="preserve"> is 0.83, and the IRR</w:t>
      </w:r>
      <w:r>
        <w:rPr>
          <w:rFonts w:ascii="Arial" w:hAnsi="Arial" w:cs="Arial"/>
        </w:rPr>
        <w:t xml:space="preserve"> from </w:t>
      </w:r>
      <w:r w:rsidR="00532770">
        <w:rPr>
          <w:rFonts w:ascii="Arial" w:hAnsi="Arial" w:cs="Arial"/>
        </w:rPr>
        <w:t>Appendix</w:t>
      </w:r>
      <w:r>
        <w:rPr>
          <w:rFonts w:ascii="Arial" w:hAnsi="Arial" w:cs="Arial"/>
        </w:rPr>
        <w:t xml:space="preserve"> K</w:t>
      </w:r>
      <w:r w:rsidRPr="009C649E">
        <w:rPr>
          <w:rFonts w:ascii="Arial" w:hAnsi="Arial" w:cs="Arial"/>
        </w:rPr>
        <w:t xml:space="preserve"> is 3.26%, which is also far below the 10% required rate. Therefore, although Project B is more predictable than Project A, it still fails the key investment criteria and should also be rejected financially.</w:t>
      </w:r>
    </w:p>
    <w:p w14:paraId="57847509" w14:textId="77777777" w:rsidR="000E7CC9" w:rsidRPr="007C4ADB" w:rsidRDefault="000E7CC9" w:rsidP="007C4ADB">
      <w:pPr>
        <w:pStyle w:val="Heading2"/>
        <w:rPr>
          <w:rFonts w:ascii="Arial" w:hAnsi="Arial" w:cs="Arial"/>
          <w:sz w:val="24"/>
          <w:szCs w:val="24"/>
        </w:rPr>
      </w:pPr>
      <w:bookmarkStart w:id="23" w:name="_Toc227771645"/>
      <w:r w:rsidRPr="007C4ADB">
        <w:rPr>
          <w:rFonts w:ascii="Arial" w:hAnsi="Arial" w:cs="Arial"/>
          <w:sz w:val="24"/>
          <w:szCs w:val="24"/>
        </w:rPr>
        <w:lastRenderedPageBreak/>
        <w:t>4.3 Evaluation of Project C</w:t>
      </w:r>
      <w:bookmarkEnd w:id="23"/>
    </w:p>
    <w:p w14:paraId="4628A021" w14:textId="6123A2ED" w:rsidR="00622B00" w:rsidRPr="000E7CC9" w:rsidRDefault="00772B23" w:rsidP="00BD065A">
      <w:pPr>
        <w:spacing w:line="360" w:lineRule="auto"/>
        <w:rPr>
          <w:rFonts w:ascii="Arial" w:hAnsi="Arial" w:cs="Arial"/>
        </w:rPr>
      </w:pPr>
      <w:r>
        <w:rPr>
          <w:rFonts w:ascii="Arial" w:hAnsi="Arial" w:cs="Arial"/>
        </w:rPr>
        <w:t xml:space="preserve">From the calculations of </w:t>
      </w:r>
      <w:r w:rsidRPr="00772B23">
        <w:rPr>
          <w:rFonts w:ascii="Arial" w:hAnsi="Arial" w:cs="Arial"/>
        </w:rPr>
        <w:t>Project C</w:t>
      </w:r>
      <w:r>
        <w:rPr>
          <w:rFonts w:ascii="Arial" w:hAnsi="Arial" w:cs="Arial"/>
        </w:rPr>
        <w:t xml:space="preserve"> in the Appendix G, H, I, J, and K, it</w:t>
      </w:r>
      <w:r w:rsidRPr="00772B23">
        <w:rPr>
          <w:rFonts w:ascii="Arial" w:hAnsi="Arial" w:cs="Arial"/>
        </w:rPr>
        <w:t xml:space="preserve"> has a different cash flow pattern, with lower inflows in the first two years but much stronger returns in Years 3 and 4. </w:t>
      </w:r>
      <w:proofErr w:type="spellStart"/>
      <w:r w:rsidRPr="00772B23">
        <w:rPr>
          <w:rFonts w:ascii="Arial" w:hAnsi="Arial" w:cs="Arial"/>
        </w:rPr>
        <w:t>Its</w:t>
      </w:r>
      <w:proofErr w:type="spellEnd"/>
      <w:r w:rsidRPr="00772B23">
        <w:rPr>
          <w:rFonts w:ascii="Arial" w:hAnsi="Arial" w:cs="Arial"/>
        </w:rPr>
        <w:t xml:space="preserve"> payback period is 3.6 years, which is the shortest of the three projects. It also has the highest ARR at 6%. In discounted terms, Project C performs better than the other two projects, as it has the least negative NPV at -£1.98 million, the highest profitability index at 0.96, and the highest IRR at 8.59%. Even so, these results still do not meet the required standard because the NPV is negative, the PI is below 1, and the IRR remains below 10%. For that reason, Project C is the strongest option on a relative basis, but not financially acceptable in an absolute sense.</w:t>
      </w:r>
    </w:p>
    <w:p w14:paraId="5199D570" w14:textId="77777777" w:rsidR="000E7CC9" w:rsidRPr="007C4ADB" w:rsidRDefault="000E7CC9" w:rsidP="007C4ADB">
      <w:pPr>
        <w:pStyle w:val="Heading2"/>
        <w:rPr>
          <w:rFonts w:ascii="Arial" w:hAnsi="Arial" w:cs="Arial"/>
          <w:sz w:val="24"/>
          <w:szCs w:val="24"/>
        </w:rPr>
      </w:pPr>
      <w:bookmarkStart w:id="24" w:name="_Toc227771646"/>
      <w:r w:rsidRPr="007C4ADB">
        <w:rPr>
          <w:rFonts w:ascii="Arial" w:hAnsi="Arial" w:cs="Arial"/>
          <w:sz w:val="24"/>
          <w:szCs w:val="24"/>
        </w:rPr>
        <w:t>4.4 Project Comparison and Recommendation</w:t>
      </w:r>
      <w:bookmarkEnd w:id="24"/>
    </w:p>
    <w:p w14:paraId="3C8F70E5" w14:textId="613C31E8" w:rsidR="00772B23" w:rsidRPr="000E7CC9" w:rsidRDefault="00772B23" w:rsidP="00BD065A">
      <w:pPr>
        <w:spacing w:line="360" w:lineRule="auto"/>
        <w:rPr>
          <w:rFonts w:ascii="Arial" w:hAnsi="Arial" w:cs="Arial"/>
        </w:rPr>
      </w:pPr>
      <w:r w:rsidRPr="00772B23">
        <w:rPr>
          <w:rFonts w:ascii="Arial" w:hAnsi="Arial" w:cs="Arial"/>
        </w:rPr>
        <w:t>When the three projects are compared, it becomes clear that none of them fully satisfies the company’s required rate of return. Under normal capital budgeting rules, all three should therefore be rejected. This is an important conclusion, because a project can be the best among the available options while still being unacceptable in financial terms. On a comparative basis, Project C ranks first because it has the shortest payback period, the highest ARR, the least negative NPV, the highest PI and the highest IRR. Project B ranks second because of its stable cash flow pattern, while Project A appears to be the weakest overall.</w:t>
      </w:r>
    </w:p>
    <w:p w14:paraId="53FD4663" w14:textId="7EA42C51" w:rsidR="000E7CC9" w:rsidRPr="000E7CC9" w:rsidRDefault="000E7CC9" w:rsidP="00BD065A">
      <w:pPr>
        <w:spacing w:line="360" w:lineRule="auto"/>
        <w:rPr>
          <w:rFonts w:ascii="Arial" w:hAnsi="Arial" w:cs="Arial"/>
        </w:rPr>
      </w:pPr>
      <w:r w:rsidRPr="000E7CC9">
        <w:rPr>
          <w:rFonts w:ascii="Arial" w:hAnsi="Arial" w:cs="Arial"/>
        </w:rPr>
        <w:t xml:space="preserve">However, the company’s financial position must also be considered. Earlier analysis showed that </w:t>
      </w:r>
      <w:r w:rsidR="00751EA2">
        <w:rPr>
          <w:rFonts w:ascii="Arial" w:hAnsi="Arial" w:cs="Arial"/>
        </w:rPr>
        <w:t>Volvo Cars</w:t>
      </w:r>
      <w:r w:rsidRPr="000E7CC9">
        <w:rPr>
          <w:rFonts w:ascii="Arial" w:hAnsi="Arial" w:cs="Arial"/>
        </w:rPr>
        <w:t xml:space="preserve"> is experiencing declining liquidity and pressure on cash flows. In such a situation, a project with delayed cash inflows may increase financial risk.</w:t>
      </w:r>
    </w:p>
    <w:p w14:paraId="3682387B" w14:textId="77777777" w:rsidR="000E7CC9" w:rsidRPr="000E7CC9" w:rsidRDefault="000E7CC9" w:rsidP="00BD065A">
      <w:pPr>
        <w:spacing w:line="360" w:lineRule="auto"/>
        <w:rPr>
          <w:rFonts w:ascii="Arial" w:hAnsi="Arial" w:cs="Arial"/>
        </w:rPr>
      </w:pPr>
      <w:r w:rsidRPr="000E7CC9">
        <w:rPr>
          <w:rFonts w:ascii="Arial" w:hAnsi="Arial" w:cs="Arial"/>
        </w:rPr>
        <w:t>Therefore, while Project C is financially stronger, Project B may still be considered for its stability.</w:t>
      </w:r>
    </w:p>
    <w:p w14:paraId="4DAA79EB" w14:textId="554F87A9" w:rsidR="00417F81" w:rsidRPr="000E7CC9" w:rsidRDefault="000E7CC9" w:rsidP="00BD065A">
      <w:pPr>
        <w:spacing w:line="360" w:lineRule="auto"/>
        <w:rPr>
          <w:rFonts w:ascii="Arial" w:hAnsi="Arial" w:cs="Arial"/>
        </w:rPr>
      </w:pPr>
      <w:r w:rsidRPr="000E7CC9">
        <w:rPr>
          <w:rFonts w:ascii="Arial" w:hAnsi="Arial" w:cs="Arial"/>
        </w:rPr>
        <w:t>In practice, the final decision should balance both risk and return rather than focusing only on one measure.</w:t>
      </w:r>
    </w:p>
    <w:p w14:paraId="5CEA48CF" w14:textId="77777777" w:rsidR="000E7CC9" w:rsidRPr="007C4ADB" w:rsidRDefault="000E7CC9" w:rsidP="007C4ADB">
      <w:pPr>
        <w:pStyle w:val="Heading2"/>
        <w:rPr>
          <w:rFonts w:ascii="Arial" w:hAnsi="Arial" w:cs="Arial"/>
          <w:sz w:val="24"/>
          <w:szCs w:val="24"/>
        </w:rPr>
      </w:pPr>
      <w:bookmarkStart w:id="25" w:name="_Toc227771647"/>
      <w:r w:rsidRPr="007C4ADB">
        <w:rPr>
          <w:rFonts w:ascii="Arial" w:hAnsi="Arial" w:cs="Arial"/>
          <w:sz w:val="24"/>
          <w:szCs w:val="24"/>
        </w:rPr>
        <w:t>4.5 Capital Rationing Decision (Maximum £100 million)</w:t>
      </w:r>
      <w:bookmarkEnd w:id="25"/>
    </w:p>
    <w:p w14:paraId="73B86267" w14:textId="1C302038" w:rsidR="00772B23" w:rsidRPr="00772B23" w:rsidRDefault="00772B23" w:rsidP="00BD065A">
      <w:pPr>
        <w:spacing w:line="360" w:lineRule="auto"/>
        <w:rPr>
          <w:rFonts w:ascii="Arial" w:hAnsi="Arial" w:cs="Arial"/>
        </w:rPr>
      </w:pPr>
      <w:r w:rsidRPr="00772B23">
        <w:rPr>
          <w:rFonts w:ascii="Arial" w:hAnsi="Arial" w:cs="Arial"/>
        </w:rPr>
        <w:t>Since Volvo Cars is constrained by a maximum investment budget of £100 million, it is only possible to select two out of the three projects.</w:t>
      </w:r>
    </w:p>
    <w:p w14:paraId="03A0885A" w14:textId="1230C313" w:rsidR="000E7CC9" w:rsidRPr="000E7CC9" w:rsidRDefault="000E7CC9" w:rsidP="00BD065A">
      <w:pPr>
        <w:numPr>
          <w:ilvl w:val="0"/>
          <w:numId w:val="9"/>
        </w:numPr>
        <w:spacing w:line="360" w:lineRule="auto"/>
        <w:rPr>
          <w:rFonts w:ascii="Arial" w:hAnsi="Arial" w:cs="Arial"/>
        </w:rPr>
      </w:pPr>
      <w:r w:rsidRPr="000E7CC9">
        <w:rPr>
          <w:rFonts w:ascii="Arial" w:hAnsi="Arial" w:cs="Arial"/>
        </w:rPr>
        <w:t xml:space="preserve">Project A + Project B </w:t>
      </w:r>
    </w:p>
    <w:p w14:paraId="409BA9EE" w14:textId="77777777" w:rsidR="000E7CC9" w:rsidRPr="000E7CC9" w:rsidRDefault="000E7CC9" w:rsidP="00BD065A">
      <w:pPr>
        <w:numPr>
          <w:ilvl w:val="0"/>
          <w:numId w:val="9"/>
        </w:numPr>
        <w:spacing w:line="360" w:lineRule="auto"/>
        <w:rPr>
          <w:rFonts w:ascii="Arial" w:hAnsi="Arial" w:cs="Arial"/>
        </w:rPr>
      </w:pPr>
      <w:r w:rsidRPr="000E7CC9">
        <w:rPr>
          <w:rFonts w:ascii="Arial" w:hAnsi="Arial" w:cs="Arial"/>
        </w:rPr>
        <w:t xml:space="preserve">Project A + Project C </w:t>
      </w:r>
    </w:p>
    <w:p w14:paraId="2ED2E302" w14:textId="77777777" w:rsidR="000E7CC9" w:rsidRPr="000E7CC9" w:rsidRDefault="000E7CC9" w:rsidP="00BD065A">
      <w:pPr>
        <w:numPr>
          <w:ilvl w:val="0"/>
          <w:numId w:val="9"/>
        </w:numPr>
        <w:spacing w:line="360" w:lineRule="auto"/>
        <w:rPr>
          <w:rFonts w:ascii="Arial" w:hAnsi="Arial" w:cs="Arial"/>
        </w:rPr>
      </w:pPr>
      <w:r w:rsidRPr="000E7CC9">
        <w:rPr>
          <w:rFonts w:ascii="Arial" w:hAnsi="Arial" w:cs="Arial"/>
        </w:rPr>
        <w:t xml:space="preserve">Project B + Project C </w:t>
      </w:r>
    </w:p>
    <w:p w14:paraId="61163BF0"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 xml:space="preserve">Based on the earlier analysis, all three projects generate negative NPVs at the required discount rate of 10%, indicating that none of them is financially acceptable under strict capital budgeting rules. Therefore, the objective in this case is not to maximise value creation, but rather to identify </w:t>
      </w:r>
      <w:r w:rsidRPr="00772B23">
        <w:rPr>
          <w:rFonts w:ascii="Arial" w:eastAsia="Times New Roman" w:hAnsi="Arial" w:cs="Arial"/>
          <w:kern w:val="0"/>
          <w:lang w:eastAsia="en-IN"/>
          <w14:ligatures w14:val="none"/>
        </w:rPr>
        <w:lastRenderedPageBreak/>
        <w:t>the least value-destroying combination, assuming that investment must proceed for strategic reasons.</w:t>
      </w:r>
    </w:p>
    <w:p w14:paraId="2D06463F"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 xml:space="preserve">Among the available options, </w:t>
      </w:r>
      <w:r w:rsidRPr="00772B23">
        <w:rPr>
          <w:rFonts w:ascii="Arial" w:eastAsia="Times New Roman" w:hAnsi="Arial" w:cs="Arial"/>
          <w:b/>
          <w:bCs/>
          <w:kern w:val="0"/>
          <w:lang w:eastAsia="en-IN"/>
          <w14:ligatures w14:val="none"/>
        </w:rPr>
        <w:t>the combination of Project B and Project C</w:t>
      </w:r>
      <w:r w:rsidRPr="00772B23">
        <w:rPr>
          <w:rFonts w:ascii="Arial" w:eastAsia="Times New Roman" w:hAnsi="Arial" w:cs="Arial"/>
          <w:kern w:val="0"/>
          <w:lang w:eastAsia="en-IN"/>
          <w14:ligatures w14:val="none"/>
        </w:rPr>
        <w:t xml:space="preserve"> appears to be the most appropriate.</w:t>
      </w:r>
    </w:p>
    <w:p w14:paraId="64C1B37B"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This recommendation can be justified for several reasons. First, Project C demonstrates the strongest overall performance across the investment appraisal techniques, including the highest ARR, the least negative NPV, the highest profitability index, and the highest IRR. Although it does not meet the required return, it remains the relatively most attractive option.</w:t>
      </w:r>
    </w:p>
    <w:p w14:paraId="760F524B"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Second, Project B provides stable and predictable cash inflows, which reduces uncertainty and supports short-term financial planning. This is particularly important given that earlier analysis highlighted declining liquidity and pressure on cash flows within Volvo Cars. In such a context, predictable cash inflows can help maintain operational stability.</w:t>
      </w:r>
    </w:p>
    <w:p w14:paraId="44D4F491"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In contrast, Project A is weaker across most evaluation measures and does not offer any significant advantage over the other two projects.</w:t>
      </w:r>
    </w:p>
    <w:p w14:paraId="35314917" w14:textId="671434EF" w:rsidR="00417F81"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Overall, the combination of Project B and Project C offers a balance between stability and relative performance, which is suitable given the company’s current financial position. However, it is important to emphasise that this decision represents a second-best outcome under capital constraints, rather than a value-creating investment strategy.</w:t>
      </w:r>
    </w:p>
    <w:p w14:paraId="0E3851BE" w14:textId="77777777" w:rsidR="000E7CC9" w:rsidRPr="007C4ADB" w:rsidRDefault="000E7CC9" w:rsidP="007C4ADB">
      <w:pPr>
        <w:pStyle w:val="Heading2"/>
        <w:rPr>
          <w:rFonts w:ascii="Arial" w:hAnsi="Arial" w:cs="Arial"/>
          <w:sz w:val="24"/>
          <w:szCs w:val="24"/>
        </w:rPr>
      </w:pPr>
      <w:bookmarkStart w:id="26" w:name="_Toc227771648"/>
      <w:r w:rsidRPr="007C4ADB">
        <w:rPr>
          <w:rFonts w:ascii="Arial" w:hAnsi="Arial" w:cs="Arial"/>
          <w:sz w:val="24"/>
          <w:szCs w:val="24"/>
        </w:rPr>
        <w:t>4.6 Consideration of Non-Financial Factors</w:t>
      </w:r>
      <w:bookmarkEnd w:id="26"/>
    </w:p>
    <w:p w14:paraId="21A49F7F" w14:textId="77777777" w:rsidR="000E7CC9" w:rsidRPr="000E7CC9" w:rsidRDefault="000E7CC9" w:rsidP="00BD065A">
      <w:pPr>
        <w:spacing w:line="360" w:lineRule="auto"/>
        <w:rPr>
          <w:rFonts w:ascii="Arial" w:hAnsi="Arial" w:cs="Arial"/>
        </w:rPr>
      </w:pPr>
      <w:r w:rsidRPr="000E7CC9">
        <w:rPr>
          <w:rFonts w:ascii="Arial" w:hAnsi="Arial" w:cs="Arial"/>
        </w:rPr>
        <w:t>In addition to financial analysis, non-financial factors should also be considered before making a final decision.</w:t>
      </w:r>
    </w:p>
    <w:p w14:paraId="43878AD3" w14:textId="77777777" w:rsidR="000E7CC9" w:rsidRPr="000E7CC9" w:rsidRDefault="000E7CC9" w:rsidP="00BD065A">
      <w:pPr>
        <w:spacing w:line="360" w:lineRule="auto"/>
        <w:rPr>
          <w:rFonts w:ascii="Arial" w:hAnsi="Arial" w:cs="Arial"/>
        </w:rPr>
      </w:pPr>
      <w:r w:rsidRPr="000E7CC9">
        <w:rPr>
          <w:rFonts w:ascii="Arial" w:hAnsi="Arial" w:cs="Arial"/>
        </w:rPr>
        <w:t>One important factor is regulatory and political risk, especially in the electric vehicle industry. Government policies, subsidies, and environmental regulations can significantly influence project outcomes.</w:t>
      </w:r>
    </w:p>
    <w:p w14:paraId="41E5A9A1" w14:textId="77777777" w:rsidR="000E7CC9" w:rsidRPr="000E7CC9" w:rsidRDefault="000E7CC9" w:rsidP="00BD065A">
      <w:pPr>
        <w:spacing w:line="360" w:lineRule="auto"/>
        <w:rPr>
          <w:rFonts w:ascii="Arial" w:hAnsi="Arial" w:cs="Arial"/>
        </w:rPr>
      </w:pPr>
      <w:r w:rsidRPr="000E7CC9">
        <w:rPr>
          <w:rFonts w:ascii="Arial" w:hAnsi="Arial" w:cs="Arial"/>
        </w:rPr>
        <w:t>Another factor is customer demand and market trends. Projects aligned with sustainability and innovation are more likely to succeed in the long term.</w:t>
      </w:r>
    </w:p>
    <w:p w14:paraId="22A94B53" w14:textId="77777777" w:rsidR="000E7CC9" w:rsidRPr="000E7CC9" w:rsidRDefault="000E7CC9" w:rsidP="00BD065A">
      <w:pPr>
        <w:spacing w:line="360" w:lineRule="auto"/>
        <w:rPr>
          <w:rFonts w:ascii="Arial" w:hAnsi="Arial" w:cs="Arial"/>
        </w:rPr>
      </w:pPr>
      <w:r w:rsidRPr="000E7CC9">
        <w:rPr>
          <w:rFonts w:ascii="Arial" w:hAnsi="Arial" w:cs="Arial"/>
        </w:rPr>
        <w:t>Operational risk is also relevant. For example, Project C may be more uncertain due to its uneven cash flow pattern, while Project B is easier to manage due to its consistency.</w:t>
      </w:r>
    </w:p>
    <w:p w14:paraId="49BB9887" w14:textId="5EE2CCCB" w:rsidR="00417F81" w:rsidRPr="000E7CC9" w:rsidRDefault="000E7CC9" w:rsidP="00BD065A">
      <w:pPr>
        <w:spacing w:line="360" w:lineRule="auto"/>
        <w:rPr>
          <w:rFonts w:ascii="Arial" w:hAnsi="Arial" w:cs="Arial"/>
        </w:rPr>
      </w:pPr>
      <w:r w:rsidRPr="000E7CC9">
        <w:rPr>
          <w:rFonts w:ascii="Arial" w:hAnsi="Arial" w:cs="Arial"/>
        </w:rPr>
        <w:t xml:space="preserve">Finally, ethical considerations should be taken into account. Investment decisions should align with </w:t>
      </w:r>
      <w:r w:rsidR="00751EA2">
        <w:rPr>
          <w:rFonts w:ascii="Arial" w:hAnsi="Arial" w:cs="Arial"/>
        </w:rPr>
        <w:t>Volvo Car</w:t>
      </w:r>
      <w:r w:rsidRPr="000E7CC9">
        <w:rPr>
          <w:rFonts w:ascii="Arial" w:hAnsi="Arial" w:cs="Arial"/>
        </w:rPr>
        <w:t>’s commitment to sustainability and corporate social responsibility.</w:t>
      </w:r>
    </w:p>
    <w:p w14:paraId="679A121A" w14:textId="77777777" w:rsidR="000E7CC9" w:rsidRPr="000E7CC9" w:rsidRDefault="000E7CC9" w:rsidP="00BD065A">
      <w:pPr>
        <w:spacing w:line="360" w:lineRule="auto"/>
        <w:rPr>
          <w:rFonts w:ascii="Arial" w:hAnsi="Arial" w:cs="Arial"/>
          <w:b/>
          <w:bCs/>
        </w:rPr>
      </w:pPr>
      <w:r w:rsidRPr="000E7CC9">
        <w:rPr>
          <w:rFonts w:ascii="Arial" w:hAnsi="Arial" w:cs="Arial"/>
          <w:b/>
          <w:bCs/>
        </w:rPr>
        <w:lastRenderedPageBreak/>
        <w:t>Conclusion of Investment Appraisal</w:t>
      </w:r>
    </w:p>
    <w:p w14:paraId="56C5177E" w14:textId="3DD76BDA" w:rsidR="00417F81" w:rsidRDefault="0053156D" w:rsidP="00BD065A">
      <w:pPr>
        <w:spacing w:line="360" w:lineRule="auto"/>
        <w:rPr>
          <w:rFonts w:ascii="Arial" w:hAnsi="Arial" w:cs="Arial"/>
        </w:rPr>
      </w:pPr>
      <w:r w:rsidRPr="0053156D">
        <w:rPr>
          <w:rFonts w:ascii="Arial" w:hAnsi="Arial" w:cs="Arial"/>
        </w:rPr>
        <w:t>In conclusion, the investment appraisal results show that none of the three projects is financially attractive on a strict discounted cash flow basis, as all have negative NPVs, profitability indices below 1, and IRRs below the required return of 10%. This means that, in principle, all three should be rejected. However, Project C is the strongest option on a relative basis, while Project B offers greater cash flow stability. If Volvo Cars were required to proceed for strategic reasons, Project C would be the best individual choice, and Projects B and C would be the best combination under the £100 million capital rationing limit.</w:t>
      </w:r>
    </w:p>
    <w:p w14:paraId="15F916A6" w14:textId="77777777" w:rsidR="00AC75AB" w:rsidRPr="007C4ADB" w:rsidRDefault="00AC75AB" w:rsidP="007C4ADB">
      <w:pPr>
        <w:pStyle w:val="Heading1"/>
        <w:rPr>
          <w:rFonts w:ascii="Arial" w:hAnsi="Arial" w:cs="Arial"/>
          <w:sz w:val="24"/>
          <w:szCs w:val="24"/>
        </w:rPr>
      </w:pPr>
      <w:bookmarkStart w:id="27" w:name="_Toc227771649"/>
      <w:r w:rsidRPr="007C4ADB">
        <w:rPr>
          <w:rFonts w:ascii="Arial" w:hAnsi="Arial" w:cs="Arial"/>
          <w:sz w:val="24"/>
          <w:szCs w:val="24"/>
        </w:rPr>
        <w:t>Conclusion</w:t>
      </w:r>
      <w:bookmarkEnd w:id="27"/>
    </w:p>
    <w:p w14:paraId="68FAFC13" w14:textId="77777777" w:rsidR="0053156D" w:rsidRPr="0053156D" w:rsidRDefault="0053156D" w:rsidP="00BD065A">
      <w:pPr>
        <w:spacing w:line="360" w:lineRule="auto"/>
        <w:rPr>
          <w:rFonts w:ascii="Arial" w:hAnsi="Arial" w:cs="Arial"/>
        </w:rPr>
      </w:pPr>
      <w:r w:rsidRPr="0053156D">
        <w:rPr>
          <w:rFonts w:ascii="Arial" w:hAnsi="Arial" w:cs="Arial"/>
        </w:rPr>
        <w:t>In conclusion, the analysis indicates that Volvo Cars maintains a relatively stable financial position in the long term, particularly due to its declining leverage and strong interest coverage. However, several weaknesses are evident, including declining liquidity, increasing inventory holding periods, fluctuations in profitability, and a reduction in free cash flow. These issues suggest that, while the company is not in immediate financial distress, its short-term financial flexibility is weakening and requires careful management.</w:t>
      </w:r>
    </w:p>
    <w:p w14:paraId="7FA552D2" w14:textId="77777777" w:rsidR="0053156D" w:rsidRPr="0053156D" w:rsidRDefault="0053156D" w:rsidP="00BD065A">
      <w:pPr>
        <w:spacing w:line="360" w:lineRule="auto"/>
        <w:rPr>
          <w:rFonts w:ascii="Arial" w:hAnsi="Arial" w:cs="Arial"/>
        </w:rPr>
      </w:pPr>
      <w:r w:rsidRPr="0053156D">
        <w:rPr>
          <w:rFonts w:ascii="Arial" w:hAnsi="Arial" w:cs="Arial"/>
        </w:rPr>
        <w:t>The working capital analysis highlights that improving inventory management should be a key priority, while continued control over receivables and payables is necessary to strengthen liquidity. The financial restructuring evaluation suggests that a balanced approach, combining operational efficiency, selective asset divestiture, and cautious financing decisions, would be most effective in addressing these challenges.</w:t>
      </w:r>
    </w:p>
    <w:p w14:paraId="04672E0A" w14:textId="77777777" w:rsidR="0053156D" w:rsidRPr="0053156D" w:rsidRDefault="0053156D" w:rsidP="00BD065A">
      <w:pPr>
        <w:spacing w:line="360" w:lineRule="auto"/>
        <w:rPr>
          <w:rFonts w:ascii="Arial" w:hAnsi="Arial" w:cs="Arial"/>
        </w:rPr>
      </w:pPr>
      <w:r w:rsidRPr="0053156D">
        <w:rPr>
          <w:rFonts w:ascii="Arial" w:hAnsi="Arial" w:cs="Arial"/>
        </w:rPr>
        <w:t>With regard to investment appraisal, none of the proposed projects is financially acceptable on a strict discounted cash flow basis, as all generate negative NPVs at the required rate of return of 10%. This implies that each project would reduce shareholder value if evaluated purely on financial grounds. However, on a relative basis, Project C performs best due to its stronger return measures, while Project B provides greater cash flow stability. Under capital rationing, the combination of Projects B and C represents the least unattractive option, although this should be viewed as a constrained and second-best decision rather than a value-creating strategy.</w:t>
      </w:r>
    </w:p>
    <w:p w14:paraId="055DF0E8" w14:textId="2C95F48C" w:rsidR="0053156D" w:rsidRPr="0053156D" w:rsidRDefault="00A058E6" w:rsidP="00BD065A">
      <w:pPr>
        <w:spacing w:line="360" w:lineRule="auto"/>
        <w:rPr>
          <w:rFonts w:ascii="Arial" w:hAnsi="Arial" w:cs="Arial"/>
        </w:rPr>
      </w:pPr>
      <w:r>
        <w:rPr>
          <w:rFonts w:ascii="Arial" w:hAnsi="Arial" w:cs="Arial"/>
        </w:rPr>
        <w:t>Ther</w:t>
      </w:r>
      <w:r w:rsidR="00487C2A">
        <w:rPr>
          <w:rFonts w:ascii="Arial" w:hAnsi="Arial" w:cs="Arial"/>
        </w:rPr>
        <w:t>e</w:t>
      </w:r>
      <w:r>
        <w:rPr>
          <w:rFonts w:ascii="Arial" w:hAnsi="Arial" w:cs="Arial"/>
        </w:rPr>
        <w:t>fore</w:t>
      </w:r>
      <w:r w:rsidR="0053156D" w:rsidRPr="0053156D">
        <w:rPr>
          <w:rFonts w:ascii="Arial" w:hAnsi="Arial" w:cs="Arial"/>
        </w:rPr>
        <w:t>, Volvo Cars should prioritise improving liquidity, strengthening cash flow management, and maintaining disciplined investment decisions. A cautious and strategically aligned approach will be essential for ensuring long-term competitiveness and financial resilience in a rapidly evolving global automotive industry.</w:t>
      </w:r>
      <w:r w:rsidR="00E14D98">
        <w:rPr>
          <w:rFonts w:ascii="Arial" w:hAnsi="Arial" w:cs="Arial"/>
        </w:rPr>
        <w:t xml:space="preserve"> </w:t>
      </w:r>
      <w:r w:rsidR="00E14D98" w:rsidRPr="00E14D98">
        <w:rPr>
          <w:rFonts w:ascii="Arial" w:hAnsi="Arial" w:cs="Arial"/>
        </w:rPr>
        <w:t>Overall, financial decisions should aim to balance risk and return in order to maximise firm value (Damodaran, 2012).</w:t>
      </w:r>
    </w:p>
    <w:p w14:paraId="2B251A75" w14:textId="77777777" w:rsidR="00160EDA" w:rsidRPr="00ED62B2" w:rsidRDefault="00160EDA" w:rsidP="00BD065A">
      <w:pPr>
        <w:spacing w:line="360" w:lineRule="auto"/>
        <w:rPr>
          <w:rFonts w:ascii="Arial" w:hAnsi="Arial" w:cs="Arial"/>
        </w:rPr>
      </w:pPr>
    </w:p>
    <w:p w14:paraId="3F726496" w14:textId="08DC37B7" w:rsidR="00504214" w:rsidRPr="007C4ADB" w:rsidRDefault="00504214" w:rsidP="007C4ADB">
      <w:pPr>
        <w:pStyle w:val="Heading1"/>
        <w:rPr>
          <w:rFonts w:ascii="Arial" w:hAnsi="Arial" w:cs="Arial"/>
          <w:sz w:val="24"/>
          <w:szCs w:val="24"/>
        </w:rPr>
      </w:pPr>
      <w:bookmarkStart w:id="28" w:name="_Toc227771650"/>
      <w:r w:rsidRPr="007C4ADB">
        <w:rPr>
          <w:rFonts w:ascii="Arial" w:hAnsi="Arial" w:cs="Arial"/>
          <w:sz w:val="24"/>
          <w:szCs w:val="24"/>
        </w:rPr>
        <w:lastRenderedPageBreak/>
        <w:t>Appendix:</w:t>
      </w:r>
      <w:bookmarkEnd w:id="28"/>
    </w:p>
    <w:p w14:paraId="4650407E" w14:textId="604950D3" w:rsidR="00504214" w:rsidRPr="00ED62B2" w:rsidRDefault="00504214" w:rsidP="00BD065A">
      <w:pPr>
        <w:spacing w:line="360" w:lineRule="auto"/>
        <w:jc w:val="center"/>
        <w:rPr>
          <w:rFonts w:ascii="Arial" w:hAnsi="Arial" w:cs="Arial"/>
          <w:b/>
          <w:bCs/>
        </w:rPr>
      </w:pPr>
      <w:r w:rsidRPr="00ED62B2">
        <w:rPr>
          <w:rFonts w:ascii="Arial" w:hAnsi="Arial" w:cs="Arial"/>
          <w:b/>
          <w:bCs/>
        </w:rPr>
        <w:t>Appendix A – Profitability Ratio Analysis</w:t>
      </w:r>
    </w:p>
    <w:p w14:paraId="7E0BC6A8" w14:textId="32A01F71" w:rsidR="00504214" w:rsidRPr="00ED62B2" w:rsidRDefault="00504214" w:rsidP="00BD065A">
      <w:pPr>
        <w:spacing w:line="360" w:lineRule="auto"/>
        <w:jc w:val="center"/>
        <w:rPr>
          <w:rFonts w:ascii="Arial" w:hAnsi="Arial" w:cs="Arial"/>
        </w:rPr>
      </w:pPr>
      <w:r w:rsidRPr="00ED62B2">
        <w:rPr>
          <w:rFonts w:ascii="Arial" w:hAnsi="Arial" w:cs="Arial"/>
          <w:noProof/>
        </w:rPr>
        <w:drawing>
          <wp:inline distT="0" distB="0" distL="0" distR="0" wp14:anchorId="59B7DFA6" wp14:editId="5CEE076F">
            <wp:extent cx="5593080" cy="1668780"/>
            <wp:effectExtent l="0" t="0" r="7620" b="7620"/>
            <wp:docPr id="640141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080" cy="1668780"/>
                    </a:xfrm>
                    <a:prstGeom prst="rect">
                      <a:avLst/>
                    </a:prstGeom>
                    <a:noFill/>
                    <a:ln>
                      <a:noFill/>
                    </a:ln>
                  </pic:spPr>
                </pic:pic>
              </a:graphicData>
            </a:graphic>
          </wp:inline>
        </w:drawing>
      </w:r>
    </w:p>
    <w:p w14:paraId="4C806658" w14:textId="7070E814" w:rsidR="00504214" w:rsidRPr="00ED62B2" w:rsidRDefault="00504214" w:rsidP="00BD065A">
      <w:pPr>
        <w:spacing w:line="360" w:lineRule="auto"/>
        <w:rPr>
          <w:rFonts w:ascii="Arial" w:hAnsi="Arial" w:cs="Arial"/>
        </w:rPr>
      </w:pPr>
      <w:r w:rsidRPr="00ED62B2">
        <w:rPr>
          <w:rFonts w:ascii="Arial" w:hAnsi="Arial" w:cs="Arial"/>
          <w:b/>
          <w:bCs/>
        </w:rPr>
        <w:t>Formulas used:</w:t>
      </w:r>
      <w:r w:rsidRPr="00ED62B2">
        <w:rPr>
          <w:rFonts w:ascii="Arial" w:hAnsi="Arial" w:cs="Arial"/>
        </w:rPr>
        <w:br/>
        <w:t>Gross Profit Margin = (Gross Profit ÷ Revenue) × 100</w:t>
      </w:r>
      <w:r w:rsidRPr="00ED62B2">
        <w:rPr>
          <w:rFonts w:ascii="Arial" w:hAnsi="Arial" w:cs="Arial"/>
        </w:rPr>
        <w:br/>
        <w:t>Operating Profit Margin = (Operating Profit ÷ Revenue) × 100</w:t>
      </w:r>
      <w:r w:rsidRPr="00ED62B2">
        <w:rPr>
          <w:rFonts w:ascii="Arial" w:hAnsi="Arial" w:cs="Arial"/>
        </w:rPr>
        <w:br/>
        <w:t>Net Profit Margin = (Net Profit ÷ Revenue) × 100</w:t>
      </w:r>
      <w:r w:rsidRPr="00ED62B2">
        <w:rPr>
          <w:rFonts w:ascii="Arial" w:hAnsi="Arial" w:cs="Arial"/>
        </w:rPr>
        <w:br/>
        <w:t>Return on Assets (ROA) = (Net Profit ÷ Total Assets) × 100</w:t>
      </w:r>
    </w:p>
    <w:p w14:paraId="549C64A7" w14:textId="737B0FEC" w:rsidR="00504214" w:rsidRPr="00ED62B2" w:rsidRDefault="00504214"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Calculated by the author using financial data from the annual reports of </w:t>
      </w:r>
      <w:r w:rsidR="00751EA2">
        <w:rPr>
          <w:rFonts w:ascii="Arial" w:hAnsi="Arial" w:cs="Arial"/>
          <w:i/>
          <w:iCs/>
        </w:rPr>
        <w:t>Volvo Cars</w:t>
      </w:r>
      <w:r w:rsidRPr="00ED62B2">
        <w:rPr>
          <w:rFonts w:ascii="Arial" w:hAnsi="Arial" w:cs="Arial"/>
          <w:i/>
          <w:iCs/>
        </w:rPr>
        <w:t xml:space="preserve"> (2020–2024), including income statement, balance sheet, and cash flow statement.</w:t>
      </w:r>
    </w:p>
    <w:p w14:paraId="4373E5B0" w14:textId="77777777" w:rsidR="00940F26" w:rsidRPr="00ED62B2" w:rsidRDefault="00940F26" w:rsidP="00BD065A">
      <w:pPr>
        <w:spacing w:line="360" w:lineRule="auto"/>
        <w:jc w:val="center"/>
        <w:rPr>
          <w:rFonts w:ascii="Arial" w:hAnsi="Arial" w:cs="Arial"/>
        </w:rPr>
      </w:pPr>
    </w:p>
    <w:p w14:paraId="2927460A" w14:textId="724A5445" w:rsidR="00940F26" w:rsidRPr="00ED62B2" w:rsidRDefault="00940F26" w:rsidP="00BD065A">
      <w:pPr>
        <w:spacing w:line="360" w:lineRule="auto"/>
        <w:jc w:val="center"/>
        <w:rPr>
          <w:rFonts w:ascii="Arial" w:hAnsi="Arial" w:cs="Arial"/>
          <w:b/>
          <w:bCs/>
        </w:rPr>
      </w:pPr>
      <w:r w:rsidRPr="00ED62B2">
        <w:rPr>
          <w:rFonts w:ascii="Arial" w:hAnsi="Arial" w:cs="Arial"/>
          <w:b/>
          <w:bCs/>
        </w:rPr>
        <w:t xml:space="preserve">Appendix B Liquidity Ratios </w:t>
      </w:r>
    </w:p>
    <w:p w14:paraId="2625E83C" w14:textId="70FF402C" w:rsidR="00940F26" w:rsidRPr="00ED62B2" w:rsidRDefault="00940F26" w:rsidP="00BD065A">
      <w:pPr>
        <w:spacing w:line="360" w:lineRule="auto"/>
        <w:jc w:val="center"/>
        <w:rPr>
          <w:rFonts w:ascii="Arial" w:hAnsi="Arial" w:cs="Arial"/>
        </w:rPr>
      </w:pPr>
      <w:r w:rsidRPr="00ED62B2">
        <w:rPr>
          <w:rFonts w:ascii="Arial" w:hAnsi="Arial" w:cs="Arial"/>
          <w:noProof/>
        </w:rPr>
        <w:drawing>
          <wp:inline distT="0" distB="0" distL="0" distR="0" wp14:anchorId="372BCB60" wp14:editId="7CB2C367">
            <wp:extent cx="3924300" cy="1790700"/>
            <wp:effectExtent l="0" t="0" r="0" b="0"/>
            <wp:docPr id="11085101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4300" cy="1790700"/>
                    </a:xfrm>
                    <a:prstGeom prst="rect">
                      <a:avLst/>
                    </a:prstGeom>
                    <a:noFill/>
                    <a:ln>
                      <a:noFill/>
                    </a:ln>
                  </pic:spPr>
                </pic:pic>
              </a:graphicData>
            </a:graphic>
          </wp:inline>
        </w:drawing>
      </w:r>
    </w:p>
    <w:p w14:paraId="30EA42AE" w14:textId="429A3AD6" w:rsidR="00940F26" w:rsidRPr="00ED62B2" w:rsidRDefault="00940F26" w:rsidP="00BD065A">
      <w:pPr>
        <w:spacing w:line="360" w:lineRule="auto"/>
        <w:rPr>
          <w:rFonts w:ascii="Arial" w:hAnsi="Arial" w:cs="Arial"/>
        </w:rPr>
      </w:pPr>
      <w:r w:rsidRPr="00ED62B2">
        <w:rPr>
          <w:rFonts w:ascii="Arial" w:hAnsi="Arial" w:cs="Arial"/>
          <w:b/>
          <w:bCs/>
        </w:rPr>
        <w:t>Formulas used:</w:t>
      </w:r>
      <w:r w:rsidRPr="00ED62B2">
        <w:rPr>
          <w:rFonts w:ascii="Arial" w:hAnsi="Arial" w:cs="Arial"/>
        </w:rPr>
        <w:br/>
        <w:t>Current Ratio = Current Assets ÷ Current Liabilities</w:t>
      </w:r>
      <w:r w:rsidRPr="00ED62B2">
        <w:rPr>
          <w:rFonts w:ascii="Arial" w:hAnsi="Arial" w:cs="Arial"/>
        </w:rPr>
        <w:br/>
        <w:t>Quick Ratio = (Current Assets − Inventory) ÷ Current Liabilities</w:t>
      </w:r>
      <w:r w:rsidRPr="00ED62B2">
        <w:rPr>
          <w:rFonts w:ascii="Arial" w:hAnsi="Arial" w:cs="Arial"/>
        </w:rPr>
        <w:br/>
        <w:t>Cash Ratio = Cash and Cash Equivalents ÷ Current Liabilities</w:t>
      </w:r>
    </w:p>
    <w:p w14:paraId="69C9D1B6" w14:textId="535563A7" w:rsidR="00A56D5F" w:rsidRDefault="00940F26" w:rsidP="00160ED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2E11D3" w:rsidRPr="002E11D3">
        <w:rPr>
          <w:rFonts w:ascii="Arial" w:hAnsi="Arial" w:cs="Arial"/>
          <w:i/>
          <w:iCs/>
        </w:rPr>
        <w:t xml:space="preserve">Volvo Cars Annual Report </w:t>
      </w:r>
      <w:r w:rsidR="00BC722A">
        <w:rPr>
          <w:rFonts w:ascii="Arial" w:hAnsi="Arial" w:cs="Arial"/>
          <w:i/>
          <w:iCs/>
        </w:rPr>
        <w:t>2020-</w:t>
      </w:r>
      <w:r w:rsidR="002E11D3" w:rsidRPr="002E11D3">
        <w:rPr>
          <w:rFonts w:ascii="Arial" w:hAnsi="Arial" w:cs="Arial"/>
          <w:i/>
          <w:iCs/>
        </w:rPr>
        <w:t xml:space="preserve">2024. Available at: </w:t>
      </w:r>
      <w:hyperlink r:id="rId11" w:history="1">
        <w:r w:rsidR="002E0177" w:rsidRPr="00D77A78">
          <w:rPr>
            <w:rStyle w:val="Hyperlink"/>
            <w:rFonts w:ascii="Arial" w:hAnsi="Arial" w:cs="Arial"/>
            <w:i/>
            <w:iCs/>
          </w:rPr>
          <w:t>https://investors.volvocars.com/en</w:t>
        </w:r>
      </w:hyperlink>
      <w:r w:rsidR="002E0177">
        <w:rPr>
          <w:rFonts w:ascii="Arial" w:hAnsi="Arial" w:cs="Arial"/>
          <w:i/>
          <w:iCs/>
        </w:rPr>
        <w:t xml:space="preserve"> </w:t>
      </w:r>
    </w:p>
    <w:p w14:paraId="6EE99917" w14:textId="77777777" w:rsidR="00A56D5F" w:rsidRDefault="00A56D5F" w:rsidP="00BD065A">
      <w:pPr>
        <w:spacing w:line="360" w:lineRule="auto"/>
        <w:rPr>
          <w:rFonts w:ascii="Arial" w:hAnsi="Arial" w:cs="Arial"/>
          <w:i/>
          <w:iCs/>
        </w:rPr>
      </w:pPr>
    </w:p>
    <w:p w14:paraId="4F95A20B" w14:textId="77777777" w:rsidR="00160EDA" w:rsidRPr="00ED62B2" w:rsidRDefault="00160EDA" w:rsidP="00BD065A">
      <w:pPr>
        <w:spacing w:line="360" w:lineRule="auto"/>
        <w:rPr>
          <w:rFonts w:ascii="Arial" w:hAnsi="Arial" w:cs="Arial"/>
          <w:i/>
          <w:iCs/>
        </w:rPr>
      </w:pPr>
    </w:p>
    <w:p w14:paraId="13C35916" w14:textId="3E968EBC" w:rsidR="00940F26" w:rsidRPr="00ED62B2" w:rsidRDefault="00940F26" w:rsidP="00BD065A">
      <w:pPr>
        <w:spacing w:line="360" w:lineRule="auto"/>
        <w:jc w:val="center"/>
        <w:rPr>
          <w:rFonts w:ascii="Arial" w:hAnsi="Arial" w:cs="Arial"/>
          <w:b/>
          <w:bCs/>
        </w:rPr>
      </w:pPr>
      <w:r w:rsidRPr="00ED62B2">
        <w:rPr>
          <w:rFonts w:ascii="Arial" w:hAnsi="Arial" w:cs="Arial"/>
          <w:b/>
          <w:bCs/>
        </w:rPr>
        <w:lastRenderedPageBreak/>
        <w:t xml:space="preserve">Appendix C Efficiency Ratios </w:t>
      </w:r>
    </w:p>
    <w:p w14:paraId="09013BAF" w14:textId="03251A10" w:rsidR="00940F26" w:rsidRPr="00E20321" w:rsidRDefault="00E20321" w:rsidP="00BD065A">
      <w:pPr>
        <w:spacing w:line="360" w:lineRule="auto"/>
        <w:jc w:val="center"/>
        <w:rPr>
          <w:rFonts w:ascii="Arial" w:hAnsi="Arial" w:cs="Arial"/>
          <w:b/>
          <w:bCs/>
          <w:lang w:val="en-CA"/>
        </w:rPr>
      </w:pPr>
      <w:r w:rsidRPr="00E20321">
        <w:rPr>
          <w:rFonts w:ascii="Arial" w:hAnsi="Arial" w:cs="Arial"/>
          <w:b/>
          <w:bCs/>
          <w:noProof/>
          <w:lang w:val="en-CA"/>
        </w:rPr>
        <w:drawing>
          <wp:inline distT="0" distB="0" distL="0" distR="0" wp14:anchorId="47C7A341" wp14:editId="0DF3CAD3">
            <wp:extent cx="5449032" cy="199283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59850" cy="1996787"/>
                    </a:xfrm>
                    <a:prstGeom prst="rect">
                      <a:avLst/>
                    </a:prstGeom>
                    <a:noFill/>
                    <a:ln>
                      <a:noFill/>
                    </a:ln>
                  </pic:spPr>
                </pic:pic>
              </a:graphicData>
            </a:graphic>
          </wp:inline>
        </w:drawing>
      </w:r>
    </w:p>
    <w:p w14:paraId="23C2C605" w14:textId="738281FF" w:rsidR="00940F26" w:rsidRDefault="009A7C92" w:rsidP="001135AB">
      <w:pPr>
        <w:spacing w:after="0" w:line="360" w:lineRule="auto"/>
        <w:rPr>
          <w:rFonts w:ascii="Arial" w:hAnsi="Arial" w:cs="Arial"/>
        </w:rPr>
      </w:pPr>
      <w:r w:rsidRPr="00ED62B2">
        <w:rPr>
          <w:rFonts w:ascii="Arial" w:hAnsi="Arial" w:cs="Arial"/>
          <w:b/>
          <w:bCs/>
        </w:rPr>
        <w:t>Formulas used:</w:t>
      </w:r>
      <w:r w:rsidRPr="00ED62B2">
        <w:rPr>
          <w:rFonts w:ascii="Arial" w:hAnsi="Arial" w:cs="Arial"/>
        </w:rPr>
        <w:br/>
        <w:t>Inventory Days = (Inventory ÷ Cost of Goods Sold) × 365</w:t>
      </w:r>
      <w:r w:rsidRPr="00ED62B2">
        <w:rPr>
          <w:rFonts w:ascii="Arial" w:hAnsi="Arial" w:cs="Arial"/>
        </w:rPr>
        <w:br/>
        <w:t>Receivable Days = (Trade Receivables ÷ Revenue) × 365</w:t>
      </w:r>
      <w:r w:rsidRPr="00ED62B2">
        <w:rPr>
          <w:rFonts w:ascii="Arial" w:hAnsi="Arial" w:cs="Arial"/>
        </w:rPr>
        <w:br/>
        <w:t>Payable Days = (Trade Payables ÷ Cost of Goods Sold) × 365</w:t>
      </w:r>
      <w:r w:rsidRPr="00ED62B2">
        <w:rPr>
          <w:rFonts w:ascii="Arial" w:hAnsi="Arial" w:cs="Arial"/>
        </w:rPr>
        <w:br/>
        <w:t>Asset Turnover = Revenue ÷ Total Assets</w:t>
      </w:r>
    </w:p>
    <w:p w14:paraId="2173A844" w14:textId="57EBA55C" w:rsidR="00BD065A" w:rsidRPr="00ED62B2" w:rsidRDefault="00BD065A" w:rsidP="001135AB">
      <w:pPr>
        <w:spacing w:after="0" w:line="360" w:lineRule="auto"/>
        <w:rPr>
          <w:rFonts w:ascii="Arial" w:hAnsi="Arial" w:cs="Arial"/>
        </w:rPr>
      </w:pPr>
      <w:r w:rsidRPr="00BD065A">
        <w:rPr>
          <w:rFonts w:ascii="Arial" w:hAnsi="Arial" w:cs="Arial"/>
        </w:rPr>
        <w:t>CCC = Inventory Days + Receivable Days − Payable Days</w:t>
      </w:r>
    </w:p>
    <w:p w14:paraId="19C930E0" w14:textId="0D3BA046" w:rsidR="009A7C92" w:rsidRPr="00ED62B2" w:rsidRDefault="009A7C92"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8F2F59" w:rsidRPr="002E11D3">
        <w:rPr>
          <w:rFonts w:ascii="Arial" w:hAnsi="Arial" w:cs="Arial"/>
          <w:i/>
          <w:iCs/>
        </w:rPr>
        <w:t xml:space="preserve">Volvo Cars Annual Report </w:t>
      </w:r>
      <w:r w:rsidR="008F2F59">
        <w:rPr>
          <w:rFonts w:ascii="Arial" w:hAnsi="Arial" w:cs="Arial"/>
          <w:i/>
          <w:iCs/>
        </w:rPr>
        <w:t>2020-</w:t>
      </w:r>
      <w:r w:rsidR="008F2F59" w:rsidRPr="002E11D3">
        <w:rPr>
          <w:rFonts w:ascii="Arial" w:hAnsi="Arial" w:cs="Arial"/>
          <w:i/>
          <w:iCs/>
        </w:rPr>
        <w:t xml:space="preserve">2024. Available at: </w:t>
      </w:r>
      <w:hyperlink r:id="rId13" w:history="1">
        <w:r w:rsidR="008F2F59" w:rsidRPr="00D77A78">
          <w:rPr>
            <w:rStyle w:val="Hyperlink"/>
            <w:rFonts w:ascii="Arial" w:hAnsi="Arial" w:cs="Arial"/>
            <w:i/>
            <w:iCs/>
          </w:rPr>
          <w:t>https://investors.volvocars.com/en</w:t>
        </w:r>
      </w:hyperlink>
    </w:p>
    <w:p w14:paraId="1C6BCB29" w14:textId="77777777" w:rsidR="009A7C92" w:rsidRPr="00ED62B2" w:rsidRDefault="009A7C92" w:rsidP="00BD065A">
      <w:pPr>
        <w:spacing w:line="360" w:lineRule="auto"/>
        <w:rPr>
          <w:rFonts w:ascii="Arial" w:hAnsi="Arial" w:cs="Arial"/>
        </w:rPr>
      </w:pPr>
    </w:p>
    <w:p w14:paraId="3412F11E" w14:textId="4FC52222" w:rsidR="009A7C92" w:rsidRPr="00ED62B2" w:rsidRDefault="009A7C92" w:rsidP="00BD065A">
      <w:pPr>
        <w:spacing w:line="360" w:lineRule="auto"/>
        <w:jc w:val="center"/>
        <w:rPr>
          <w:rFonts w:ascii="Arial" w:hAnsi="Arial" w:cs="Arial"/>
          <w:b/>
          <w:bCs/>
        </w:rPr>
      </w:pPr>
      <w:r w:rsidRPr="00ED62B2">
        <w:rPr>
          <w:rFonts w:ascii="Arial" w:hAnsi="Arial" w:cs="Arial"/>
          <w:b/>
          <w:bCs/>
        </w:rPr>
        <w:t>Appendix D Gearing Ratios</w:t>
      </w:r>
    </w:p>
    <w:p w14:paraId="53E11061" w14:textId="3189F9AE" w:rsidR="009A7C92" w:rsidRPr="00ED62B2" w:rsidRDefault="009A7C92" w:rsidP="00BD065A">
      <w:pPr>
        <w:spacing w:line="360" w:lineRule="auto"/>
        <w:jc w:val="center"/>
        <w:rPr>
          <w:rFonts w:ascii="Arial" w:hAnsi="Arial" w:cs="Arial"/>
          <w:b/>
          <w:bCs/>
        </w:rPr>
      </w:pPr>
      <w:r w:rsidRPr="00ED62B2">
        <w:rPr>
          <w:rFonts w:ascii="Arial" w:hAnsi="Arial" w:cs="Arial"/>
          <w:b/>
          <w:bCs/>
          <w:noProof/>
        </w:rPr>
        <w:drawing>
          <wp:inline distT="0" distB="0" distL="0" distR="0" wp14:anchorId="11ED3398" wp14:editId="2BA69AB6">
            <wp:extent cx="4015740" cy="1813560"/>
            <wp:effectExtent l="0" t="0" r="3810" b="0"/>
            <wp:docPr id="13338236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5740" cy="1813560"/>
                    </a:xfrm>
                    <a:prstGeom prst="rect">
                      <a:avLst/>
                    </a:prstGeom>
                    <a:noFill/>
                    <a:ln>
                      <a:noFill/>
                    </a:ln>
                  </pic:spPr>
                </pic:pic>
              </a:graphicData>
            </a:graphic>
          </wp:inline>
        </w:drawing>
      </w:r>
    </w:p>
    <w:p w14:paraId="241928F7" w14:textId="0CD2F4E5" w:rsidR="009A7C92" w:rsidRPr="00ED62B2" w:rsidRDefault="009A7C92" w:rsidP="00BD065A">
      <w:pPr>
        <w:spacing w:line="360" w:lineRule="auto"/>
        <w:rPr>
          <w:rFonts w:ascii="Arial" w:hAnsi="Arial" w:cs="Arial"/>
          <w:b/>
          <w:bCs/>
        </w:rPr>
      </w:pPr>
      <w:r w:rsidRPr="00ED62B2">
        <w:rPr>
          <w:rFonts w:ascii="Arial" w:hAnsi="Arial" w:cs="Arial"/>
          <w:b/>
          <w:bCs/>
        </w:rPr>
        <w:t>Formulas used:</w:t>
      </w:r>
      <w:r w:rsidRPr="00ED62B2">
        <w:rPr>
          <w:rFonts w:ascii="Arial" w:hAnsi="Arial" w:cs="Arial"/>
          <w:b/>
          <w:bCs/>
        </w:rPr>
        <w:br/>
      </w:r>
      <w:r w:rsidRPr="00ED62B2">
        <w:rPr>
          <w:rFonts w:ascii="Arial" w:hAnsi="Arial" w:cs="Arial"/>
        </w:rPr>
        <w:t>Debt-to-Equity Ratio = Total Debt ÷ Shareholders’ Equity</w:t>
      </w:r>
      <w:r w:rsidRPr="00ED62B2">
        <w:rPr>
          <w:rFonts w:ascii="Arial" w:hAnsi="Arial" w:cs="Arial"/>
        </w:rPr>
        <w:br/>
        <w:t>Debt-to-Capital Ratio = Total Debt ÷ (Total Debt + Shareholders’ Equity)</w:t>
      </w:r>
      <w:r w:rsidRPr="00ED62B2">
        <w:rPr>
          <w:rFonts w:ascii="Arial" w:hAnsi="Arial" w:cs="Arial"/>
        </w:rPr>
        <w:br/>
        <w:t>Interest Coverage Ratio = Operating Profit (EBIT) ÷ Interest Expense</w:t>
      </w:r>
    </w:p>
    <w:p w14:paraId="74351927" w14:textId="42E3428D" w:rsidR="009A7C92" w:rsidRPr="00ED62B2" w:rsidRDefault="009A7C92"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8F2F59" w:rsidRPr="002E11D3">
        <w:rPr>
          <w:rFonts w:ascii="Arial" w:hAnsi="Arial" w:cs="Arial"/>
          <w:i/>
          <w:iCs/>
        </w:rPr>
        <w:t xml:space="preserve">Volvo Cars Annual Report </w:t>
      </w:r>
      <w:r w:rsidR="008F2F59">
        <w:rPr>
          <w:rFonts w:ascii="Arial" w:hAnsi="Arial" w:cs="Arial"/>
          <w:i/>
          <w:iCs/>
        </w:rPr>
        <w:t>2020-</w:t>
      </w:r>
      <w:r w:rsidR="008F2F59" w:rsidRPr="002E11D3">
        <w:rPr>
          <w:rFonts w:ascii="Arial" w:hAnsi="Arial" w:cs="Arial"/>
          <w:i/>
          <w:iCs/>
        </w:rPr>
        <w:t xml:space="preserve">2024. Available at: </w:t>
      </w:r>
      <w:hyperlink r:id="rId15" w:history="1">
        <w:r w:rsidR="008F2F59" w:rsidRPr="00D77A78">
          <w:rPr>
            <w:rStyle w:val="Hyperlink"/>
            <w:rFonts w:ascii="Arial" w:hAnsi="Arial" w:cs="Arial"/>
            <w:i/>
            <w:iCs/>
          </w:rPr>
          <w:t>https://investors.volvocars.com/en</w:t>
        </w:r>
      </w:hyperlink>
    </w:p>
    <w:p w14:paraId="6E010722" w14:textId="77777777" w:rsidR="009A7C92" w:rsidRPr="00ED62B2" w:rsidRDefault="009A7C92" w:rsidP="00BD065A">
      <w:pPr>
        <w:spacing w:line="360" w:lineRule="auto"/>
        <w:jc w:val="center"/>
        <w:rPr>
          <w:rFonts w:ascii="Arial" w:hAnsi="Arial" w:cs="Arial"/>
          <w:b/>
          <w:bCs/>
        </w:rPr>
      </w:pPr>
    </w:p>
    <w:p w14:paraId="47842E1E" w14:textId="77777777" w:rsidR="00176B69" w:rsidRPr="00ED62B2" w:rsidRDefault="00176B69" w:rsidP="00BD065A">
      <w:pPr>
        <w:spacing w:line="360" w:lineRule="auto"/>
        <w:jc w:val="center"/>
        <w:rPr>
          <w:rFonts w:ascii="Arial" w:hAnsi="Arial" w:cs="Arial"/>
          <w:b/>
          <w:bCs/>
        </w:rPr>
      </w:pPr>
    </w:p>
    <w:p w14:paraId="0843AC3D" w14:textId="30B01421" w:rsidR="009A7C92" w:rsidRPr="00ED62B2" w:rsidRDefault="009A7C92" w:rsidP="00BD065A">
      <w:pPr>
        <w:spacing w:line="360" w:lineRule="auto"/>
        <w:jc w:val="center"/>
        <w:rPr>
          <w:rFonts w:ascii="Arial" w:hAnsi="Arial" w:cs="Arial"/>
          <w:b/>
          <w:bCs/>
        </w:rPr>
      </w:pPr>
      <w:r w:rsidRPr="00ED62B2">
        <w:rPr>
          <w:rFonts w:ascii="Arial" w:hAnsi="Arial" w:cs="Arial"/>
          <w:b/>
          <w:bCs/>
        </w:rPr>
        <w:lastRenderedPageBreak/>
        <w:t>Appendix E Investment Ratios</w:t>
      </w:r>
    </w:p>
    <w:p w14:paraId="64592557" w14:textId="0E012145" w:rsidR="009A7C92" w:rsidRPr="00ED62B2" w:rsidRDefault="009A7C92" w:rsidP="00BD065A">
      <w:pPr>
        <w:spacing w:line="360" w:lineRule="auto"/>
        <w:jc w:val="center"/>
        <w:rPr>
          <w:rFonts w:ascii="Arial" w:hAnsi="Arial" w:cs="Arial"/>
          <w:i/>
          <w:iCs/>
        </w:rPr>
      </w:pPr>
      <w:r w:rsidRPr="00ED62B2">
        <w:rPr>
          <w:rFonts w:ascii="Arial" w:hAnsi="Arial" w:cs="Arial"/>
          <w:i/>
          <w:iCs/>
          <w:noProof/>
        </w:rPr>
        <w:drawing>
          <wp:inline distT="0" distB="0" distL="0" distR="0" wp14:anchorId="0E0EAEEB" wp14:editId="140E91EE">
            <wp:extent cx="4053840" cy="2011680"/>
            <wp:effectExtent l="0" t="0" r="3810" b="7620"/>
            <wp:docPr id="3610902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53840" cy="2011680"/>
                    </a:xfrm>
                    <a:prstGeom prst="rect">
                      <a:avLst/>
                    </a:prstGeom>
                    <a:noFill/>
                    <a:ln>
                      <a:noFill/>
                    </a:ln>
                  </pic:spPr>
                </pic:pic>
              </a:graphicData>
            </a:graphic>
          </wp:inline>
        </w:drawing>
      </w:r>
    </w:p>
    <w:p w14:paraId="7CBBC3E6" w14:textId="08DC9EC3" w:rsidR="009A7C92" w:rsidRPr="00ED62B2" w:rsidRDefault="009E69F8" w:rsidP="00BD065A">
      <w:pPr>
        <w:spacing w:line="360" w:lineRule="auto"/>
        <w:rPr>
          <w:rFonts w:ascii="Arial" w:hAnsi="Arial" w:cs="Arial"/>
        </w:rPr>
      </w:pPr>
      <w:r w:rsidRPr="00ED62B2">
        <w:rPr>
          <w:rFonts w:ascii="Arial" w:hAnsi="Arial" w:cs="Arial"/>
          <w:b/>
          <w:bCs/>
        </w:rPr>
        <w:t>Formulas used:</w:t>
      </w:r>
      <w:r w:rsidRPr="00ED62B2">
        <w:rPr>
          <w:rFonts w:ascii="Arial" w:hAnsi="Arial" w:cs="Arial"/>
          <w:b/>
          <w:bCs/>
        </w:rPr>
        <w:br/>
      </w:r>
      <w:r w:rsidRPr="00ED62B2">
        <w:rPr>
          <w:rFonts w:ascii="Arial" w:hAnsi="Arial" w:cs="Arial"/>
        </w:rPr>
        <w:t>Earnings per Share (EPS) = Net Profit ÷ Number of Outstanding Shares</w:t>
      </w:r>
      <w:r w:rsidRPr="00ED62B2">
        <w:rPr>
          <w:rFonts w:ascii="Arial" w:hAnsi="Arial" w:cs="Arial"/>
        </w:rPr>
        <w:br/>
        <w:t>Return on Equity (ROE) = Net Profit ÷ Shareholders’ Equity × 100</w:t>
      </w:r>
      <w:r w:rsidRPr="00ED62B2">
        <w:rPr>
          <w:rFonts w:ascii="Arial" w:hAnsi="Arial" w:cs="Arial"/>
        </w:rPr>
        <w:br/>
        <w:t>Dividend Payout Ratio = Dividends Paid ÷ Net Profit</w:t>
      </w:r>
      <w:r w:rsidRPr="00ED62B2">
        <w:rPr>
          <w:rFonts w:ascii="Arial" w:hAnsi="Arial" w:cs="Arial"/>
        </w:rPr>
        <w:br/>
        <w:t>Dividend Cover = Net Profit ÷ Dividends Paid</w:t>
      </w:r>
    </w:p>
    <w:p w14:paraId="3C43E893" w14:textId="387571AC" w:rsidR="009E69F8" w:rsidRPr="00ED62B2" w:rsidRDefault="009E69F8" w:rsidP="00BD065A">
      <w:pPr>
        <w:spacing w:line="360" w:lineRule="auto"/>
        <w:jc w:val="center"/>
        <w:rPr>
          <w:rFonts w:ascii="Arial" w:hAnsi="Arial" w:cs="Arial"/>
          <w:i/>
          <w:iCs/>
        </w:rPr>
      </w:pPr>
      <w:r w:rsidRPr="00ED62B2">
        <w:rPr>
          <w:rFonts w:ascii="Arial" w:hAnsi="Arial" w:cs="Arial"/>
          <w:i/>
          <w:iCs/>
        </w:rPr>
        <w:t xml:space="preserve">The company did not </w:t>
      </w:r>
      <w:r w:rsidR="009209A3">
        <w:rPr>
          <w:rFonts w:ascii="Arial" w:hAnsi="Arial" w:cs="Arial"/>
          <w:i/>
          <w:iCs/>
        </w:rPr>
        <w:t>distribute</w:t>
      </w:r>
      <w:r w:rsidRPr="00ED62B2">
        <w:rPr>
          <w:rFonts w:ascii="Arial" w:hAnsi="Arial" w:cs="Arial"/>
          <w:i/>
          <w:iCs/>
        </w:rPr>
        <w:t xml:space="preserve"> the dividends during the period 2020–2024; therefore, the dividend payout ratio is zero and dividend cover is not applicable.</w:t>
      </w:r>
    </w:p>
    <w:p w14:paraId="245D21B4" w14:textId="5FD8B750" w:rsidR="00904052" w:rsidRPr="00526BA6" w:rsidRDefault="009A7C92" w:rsidP="00BD065A">
      <w:pPr>
        <w:spacing w:line="360" w:lineRule="auto"/>
        <w:jc w:val="center"/>
        <w:rPr>
          <w:rFonts w:ascii="Arial" w:hAnsi="Arial" w:cs="Arial"/>
          <w:i/>
          <w:iCs/>
          <w:color w:val="0563C1" w:themeColor="hyperlink"/>
          <w:u w:val="single"/>
        </w:rPr>
      </w:pPr>
      <w:r w:rsidRPr="00ED62B2">
        <w:rPr>
          <w:rFonts w:ascii="Arial" w:hAnsi="Arial" w:cs="Arial"/>
          <w:b/>
          <w:bCs/>
          <w:i/>
          <w:iCs/>
        </w:rPr>
        <w:t>Source:</w:t>
      </w:r>
      <w:r w:rsidRPr="00ED62B2">
        <w:rPr>
          <w:rFonts w:ascii="Arial" w:hAnsi="Arial" w:cs="Arial"/>
          <w:i/>
          <w:iCs/>
        </w:rPr>
        <w:t xml:space="preserve"> </w:t>
      </w:r>
      <w:r w:rsidR="00176B69" w:rsidRPr="002E11D3">
        <w:rPr>
          <w:rFonts w:ascii="Arial" w:hAnsi="Arial" w:cs="Arial"/>
          <w:i/>
          <w:iCs/>
        </w:rPr>
        <w:t xml:space="preserve">Volvo Cars Annual Report </w:t>
      </w:r>
      <w:r w:rsidR="00176B69">
        <w:rPr>
          <w:rFonts w:ascii="Arial" w:hAnsi="Arial" w:cs="Arial"/>
          <w:i/>
          <w:iCs/>
        </w:rPr>
        <w:t>2020-</w:t>
      </w:r>
      <w:r w:rsidR="00176B69" w:rsidRPr="002E11D3">
        <w:rPr>
          <w:rFonts w:ascii="Arial" w:hAnsi="Arial" w:cs="Arial"/>
          <w:i/>
          <w:iCs/>
        </w:rPr>
        <w:t xml:space="preserve">2024. Available at: </w:t>
      </w:r>
      <w:hyperlink r:id="rId17" w:history="1">
        <w:r w:rsidR="00176B69" w:rsidRPr="00D77A78">
          <w:rPr>
            <w:rStyle w:val="Hyperlink"/>
            <w:rFonts w:ascii="Arial" w:hAnsi="Arial" w:cs="Arial"/>
            <w:i/>
            <w:iCs/>
          </w:rPr>
          <w:t>https://investors.volvocars.com/en</w:t>
        </w:r>
      </w:hyperlink>
    </w:p>
    <w:p w14:paraId="32A993E6" w14:textId="5B2B77F6" w:rsidR="009E69F8" w:rsidRPr="00ED62B2" w:rsidRDefault="009E69F8" w:rsidP="00BD065A">
      <w:pPr>
        <w:spacing w:line="360" w:lineRule="auto"/>
        <w:jc w:val="center"/>
        <w:rPr>
          <w:rFonts w:ascii="Arial" w:hAnsi="Arial" w:cs="Arial"/>
          <w:b/>
          <w:bCs/>
        </w:rPr>
      </w:pPr>
      <w:r w:rsidRPr="00ED62B2">
        <w:rPr>
          <w:rFonts w:ascii="Arial" w:hAnsi="Arial" w:cs="Arial"/>
          <w:b/>
          <w:bCs/>
        </w:rPr>
        <w:t xml:space="preserve">Appendix F Cash Flow Ratios </w:t>
      </w:r>
    </w:p>
    <w:p w14:paraId="7FFA62C8" w14:textId="0C959A54" w:rsidR="009E69F8" w:rsidRPr="00ED62B2" w:rsidRDefault="009E69F8" w:rsidP="00BD065A">
      <w:pPr>
        <w:spacing w:line="360" w:lineRule="auto"/>
        <w:jc w:val="center"/>
        <w:rPr>
          <w:rFonts w:ascii="Arial" w:hAnsi="Arial" w:cs="Arial"/>
          <w:i/>
          <w:iCs/>
        </w:rPr>
      </w:pPr>
      <w:r w:rsidRPr="00ED62B2">
        <w:rPr>
          <w:rFonts w:ascii="Arial" w:hAnsi="Arial" w:cs="Arial"/>
          <w:i/>
          <w:iCs/>
          <w:noProof/>
        </w:rPr>
        <w:drawing>
          <wp:inline distT="0" distB="0" distL="0" distR="0" wp14:anchorId="26720A1B" wp14:editId="04EDB554">
            <wp:extent cx="4518660" cy="2099510"/>
            <wp:effectExtent l="0" t="0" r="0" b="0"/>
            <wp:docPr id="11742871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35701" cy="2107428"/>
                    </a:xfrm>
                    <a:prstGeom prst="rect">
                      <a:avLst/>
                    </a:prstGeom>
                    <a:noFill/>
                    <a:ln>
                      <a:noFill/>
                    </a:ln>
                  </pic:spPr>
                </pic:pic>
              </a:graphicData>
            </a:graphic>
          </wp:inline>
        </w:drawing>
      </w:r>
    </w:p>
    <w:p w14:paraId="2BA7C300" w14:textId="77777777" w:rsidR="009E69F8" w:rsidRPr="00ED62B2" w:rsidRDefault="009E69F8" w:rsidP="00BD065A">
      <w:pPr>
        <w:spacing w:line="360" w:lineRule="auto"/>
        <w:rPr>
          <w:rFonts w:ascii="Arial" w:hAnsi="Arial" w:cs="Arial"/>
        </w:rPr>
      </w:pPr>
      <w:r w:rsidRPr="00ED62B2">
        <w:rPr>
          <w:rFonts w:ascii="Arial" w:hAnsi="Arial" w:cs="Arial"/>
          <w:b/>
          <w:bCs/>
        </w:rPr>
        <w:t>Formulas used:</w:t>
      </w:r>
      <w:r w:rsidRPr="00ED62B2">
        <w:rPr>
          <w:rFonts w:ascii="Arial" w:hAnsi="Arial" w:cs="Arial"/>
        </w:rPr>
        <w:br/>
        <w:t>Operating Cash Flow Ratio = Operating Cash Flow ÷ Current Liabilities</w:t>
      </w:r>
      <w:r w:rsidRPr="00ED62B2">
        <w:rPr>
          <w:rFonts w:ascii="Arial" w:hAnsi="Arial" w:cs="Arial"/>
        </w:rPr>
        <w:br/>
        <w:t>Free Cash Flow (FCF) = Operating Cash Flow − Capital Expenditure</w:t>
      </w:r>
      <w:r w:rsidRPr="00ED62B2">
        <w:rPr>
          <w:rFonts w:ascii="Arial" w:hAnsi="Arial" w:cs="Arial"/>
        </w:rPr>
        <w:br/>
        <w:t>Cash Flow Margin = Operating Cash Flow ÷ Revenue × 100</w:t>
      </w:r>
      <w:r w:rsidRPr="00ED62B2">
        <w:rPr>
          <w:rFonts w:ascii="Arial" w:hAnsi="Arial" w:cs="Arial"/>
        </w:rPr>
        <w:br/>
        <w:t>Cash Flow to Debt = Operating Cash Flow ÷ Total Debt</w:t>
      </w:r>
    </w:p>
    <w:p w14:paraId="196E82D6" w14:textId="67D16142" w:rsidR="00176B69" w:rsidRPr="008B3A52" w:rsidRDefault="009E69F8" w:rsidP="00160ED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176B69" w:rsidRPr="002E11D3">
        <w:rPr>
          <w:rFonts w:ascii="Arial" w:hAnsi="Arial" w:cs="Arial"/>
          <w:i/>
          <w:iCs/>
        </w:rPr>
        <w:t xml:space="preserve">Volvo Cars Annual Report </w:t>
      </w:r>
      <w:r w:rsidR="00176B69">
        <w:rPr>
          <w:rFonts w:ascii="Arial" w:hAnsi="Arial" w:cs="Arial"/>
          <w:i/>
          <w:iCs/>
        </w:rPr>
        <w:t>2020-</w:t>
      </w:r>
      <w:r w:rsidR="00176B69" w:rsidRPr="002E11D3">
        <w:rPr>
          <w:rFonts w:ascii="Arial" w:hAnsi="Arial" w:cs="Arial"/>
          <w:i/>
          <w:iCs/>
        </w:rPr>
        <w:t xml:space="preserve">2024. Available at: </w:t>
      </w:r>
      <w:hyperlink r:id="rId19" w:history="1">
        <w:r w:rsidR="00176B69" w:rsidRPr="00D77A78">
          <w:rPr>
            <w:rStyle w:val="Hyperlink"/>
            <w:rFonts w:ascii="Arial" w:hAnsi="Arial" w:cs="Arial"/>
            <w:i/>
            <w:iCs/>
          </w:rPr>
          <w:t>https://investors.volvocars.com/en</w:t>
        </w:r>
      </w:hyperlink>
    </w:p>
    <w:p w14:paraId="74217A21" w14:textId="2CEBAC43" w:rsidR="009D382F" w:rsidRPr="00ED62B2" w:rsidRDefault="009D382F" w:rsidP="00BD065A">
      <w:pPr>
        <w:spacing w:line="360" w:lineRule="auto"/>
        <w:jc w:val="center"/>
        <w:rPr>
          <w:rFonts w:ascii="Arial" w:hAnsi="Arial" w:cs="Arial"/>
          <w:b/>
          <w:bCs/>
        </w:rPr>
      </w:pPr>
      <w:r w:rsidRPr="00ED62B2">
        <w:rPr>
          <w:rFonts w:ascii="Arial" w:hAnsi="Arial" w:cs="Arial"/>
          <w:b/>
          <w:bCs/>
        </w:rPr>
        <w:lastRenderedPageBreak/>
        <w:t>Appendix G Payback Period Calculations</w:t>
      </w:r>
    </w:p>
    <w:p w14:paraId="6BD01E15" w14:textId="33BF2939" w:rsidR="009D382F" w:rsidRPr="00ED62B2" w:rsidRDefault="009D382F" w:rsidP="00BD065A">
      <w:pPr>
        <w:spacing w:line="360" w:lineRule="auto"/>
        <w:rPr>
          <w:rFonts w:ascii="Arial" w:hAnsi="Arial" w:cs="Arial"/>
        </w:rPr>
      </w:pPr>
      <w:r w:rsidRPr="00ED62B2">
        <w:rPr>
          <w:rFonts w:ascii="Arial" w:hAnsi="Arial" w:cs="Arial"/>
          <w:noProof/>
        </w:rPr>
        <w:drawing>
          <wp:inline distT="0" distB="0" distL="0" distR="0" wp14:anchorId="5AAEC628" wp14:editId="5EC77762">
            <wp:extent cx="6771963" cy="1478650"/>
            <wp:effectExtent l="0" t="0" r="0" b="7620"/>
            <wp:docPr id="18750032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85686" cy="1503481"/>
                    </a:xfrm>
                    <a:prstGeom prst="rect">
                      <a:avLst/>
                    </a:prstGeom>
                    <a:noFill/>
                  </pic:spPr>
                </pic:pic>
              </a:graphicData>
            </a:graphic>
          </wp:inline>
        </w:drawing>
      </w:r>
    </w:p>
    <w:p w14:paraId="7C64CD95" w14:textId="77777777" w:rsidR="009D382F" w:rsidRPr="00ED62B2" w:rsidRDefault="009D382F" w:rsidP="00BD065A">
      <w:pPr>
        <w:spacing w:line="360" w:lineRule="auto"/>
        <w:rPr>
          <w:rFonts w:ascii="Arial" w:hAnsi="Arial" w:cs="Arial"/>
        </w:rPr>
      </w:pPr>
      <w:r w:rsidRPr="00ED62B2">
        <w:rPr>
          <w:rFonts w:ascii="Arial" w:hAnsi="Arial" w:cs="Arial"/>
          <w:b/>
          <w:bCs/>
        </w:rPr>
        <w:t>Formula used:</w:t>
      </w:r>
      <w:r w:rsidRPr="00ED62B2">
        <w:rPr>
          <w:rFonts w:ascii="Arial" w:hAnsi="Arial" w:cs="Arial"/>
        </w:rPr>
        <w:br/>
        <w:t>Payback Period = Years before full recovery + (Remaining Investment ÷ Cash Flow in the recovery year)</w:t>
      </w:r>
    </w:p>
    <w:p w14:paraId="01604F00" w14:textId="43887DCC" w:rsidR="009D382F" w:rsidRPr="00ED62B2" w:rsidRDefault="009D382F" w:rsidP="00BD065A">
      <w:pPr>
        <w:spacing w:line="360" w:lineRule="auto"/>
        <w:rPr>
          <w:rFonts w:ascii="Arial" w:hAnsi="Arial" w:cs="Arial"/>
        </w:rPr>
      </w:pPr>
      <w:r w:rsidRPr="00ED62B2">
        <w:rPr>
          <w:rFonts w:ascii="Arial" w:hAnsi="Arial" w:cs="Arial"/>
        </w:rPr>
        <w:t>The payback period has been calculated by identifying the year in which cumulative cash inflows recover the initial investment of £50 million, and then applying interpolation to determine the exact time within that year.</w:t>
      </w:r>
    </w:p>
    <w:p w14:paraId="76D43775" w14:textId="2B2B42FF" w:rsidR="00904052" w:rsidRDefault="009D382F"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calculations based on projected cash inflows provided in the assignment scenario.</w:t>
      </w:r>
    </w:p>
    <w:p w14:paraId="1E77D512" w14:textId="77777777" w:rsidR="00311142" w:rsidRPr="00ED62B2" w:rsidRDefault="00311142" w:rsidP="00BD065A">
      <w:pPr>
        <w:spacing w:line="360" w:lineRule="auto"/>
        <w:jc w:val="center"/>
        <w:rPr>
          <w:rFonts w:ascii="Arial" w:hAnsi="Arial" w:cs="Arial"/>
          <w:i/>
          <w:iCs/>
        </w:rPr>
      </w:pPr>
    </w:p>
    <w:p w14:paraId="6E5BF480" w14:textId="436ACA24" w:rsidR="009D382F" w:rsidRPr="00ED62B2" w:rsidRDefault="009D382F" w:rsidP="00BD065A">
      <w:pPr>
        <w:spacing w:line="360" w:lineRule="auto"/>
        <w:jc w:val="center"/>
        <w:rPr>
          <w:rFonts w:ascii="Arial" w:hAnsi="Arial" w:cs="Arial"/>
          <w:b/>
          <w:bCs/>
        </w:rPr>
      </w:pPr>
      <w:r w:rsidRPr="00ED62B2">
        <w:rPr>
          <w:rFonts w:ascii="Arial" w:hAnsi="Arial" w:cs="Arial"/>
          <w:b/>
          <w:bCs/>
        </w:rPr>
        <w:t xml:space="preserve">Appendix H - ARR Calculations </w:t>
      </w:r>
    </w:p>
    <w:p w14:paraId="20C01766" w14:textId="0C2C140E" w:rsidR="009D382F" w:rsidRPr="00ED62B2" w:rsidRDefault="009D382F" w:rsidP="00BD065A">
      <w:pPr>
        <w:spacing w:line="360" w:lineRule="auto"/>
        <w:jc w:val="center"/>
        <w:rPr>
          <w:rFonts w:ascii="Arial" w:hAnsi="Arial" w:cs="Arial"/>
          <w:b/>
          <w:bCs/>
        </w:rPr>
      </w:pPr>
      <w:r w:rsidRPr="00ED62B2">
        <w:rPr>
          <w:rFonts w:ascii="Arial" w:hAnsi="Arial" w:cs="Arial"/>
          <w:b/>
          <w:bCs/>
          <w:noProof/>
        </w:rPr>
        <w:drawing>
          <wp:inline distT="0" distB="0" distL="0" distR="0" wp14:anchorId="4ADC194F" wp14:editId="716D60EB">
            <wp:extent cx="6200775" cy="1381125"/>
            <wp:effectExtent l="0" t="0" r="9525" b="9525"/>
            <wp:docPr id="7893517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00775" cy="1381125"/>
                    </a:xfrm>
                    <a:prstGeom prst="rect">
                      <a:avLst/>
                    </a:prstGeom>
                    <a:noFill/>
                  </pic:spPr>
                </pic:pic>
              </a:graphicData>
            </a:graphic>
          </wp:inline>
        </w:drawing>
      </w:r>
    </w:p>
    <w:p w14:paraId="23DBC30B" w14:textId="5F763800" w:rsidR="009D382F" w:rsidRPr="00ED62B2" w:rsidRDefault="009D382F" w:rsidP="00BD065A">
      <w:pPr>
        <w:spacing w:line="360" w:lineRule="auto"/>
        <w:rPr>
          <w:rFonts w:ascii="Arial" w:hAnsi="Arial" w:cs="Arial"/>
        </w:rPr>
      </w:pPr>
      <w:r w:rsidRPr="00ED62B2">
        <w:rPr>
          <w:rFonts w:ascii="Arial" w:hAnsi="Arial" w:cs="Arial"/>
          <w:b/>
          <w:bCs/>
        </w:rPr>
        <w:t>Formula used:</w:t>
      </w:r>
      <w:r w:rsidRPr="00ED62B2">
        <w:rPr>
          <w:rFonts w:ascii="Arial" w:hAnsi="Arial" w:cs="Arial"/>
          <w:b/>
          <w:bCs/>
        </w:rPr>
        <w:br/>
      </w:r>
      <w:r w:rsidRPr="00ED62B2">
        <w:rPr>
          <w:rFonts w:ascii="Arial" w:hAnsi="Arial" w:cs="Arial"/>
        </w:rPr>
        <w:t>Accounting Rate of Return (ARR) = (Average Annual Profit ÷ Initial Investment) × 100</w:t>
      </w:r>
    </w:p>
    <w:p w14:paraId="32125E33" w14:textId="6B41D2B0" w:rsidR="009D382F" w:rsidRPr="00ED62B2" w:rsidRDefault="009D382F" w:rsidP="00BD065A">
      <w:pPr>
        <w:spacing w:line="360" w:lineRule="auto"/>
        <w:rPr>
          <w:rFonts w:ascii="Arial" w:hAnsi="Arial" w:cs="Arial"/>
        </w:rPr>
      </w:pPr>
      <w:r w:rsidRPr="00ED62B2">
        <w:rPr>
          <w:rFonts w:ascii="Arial" w:hAnsi="Arial" w:cs="Arial"/>
        </w:rPr>
        <w:t>Total profit has been calculated as total cash inflows minus the initial investment.</w:t>
      </w:r>
      <w:r w:rsidRPr="00ED62B2">
        <w:rPr>
          <w:rFonts w:ascii="Arial" w:hAnsi="Arial" w:cs="Arial"/>
        </w:rPr>
        <w:br/>
        <w:t>Average profit is calculated by dividing total profit by the project life (5 years).</w:t>
      </w:r>
      <w:r w:rsidRPr="00ED62B2">
        <w:rPr>
          <w:rFonts w:ascii="Arial" w:hAnsi="Arial" w:cs="Arial"/>
        </w:rPr>
        <w:br/>
        <w:t>Straight-line depreciation has been assumed, as specified in the assignment.</w:t>
      </w:r>
    </w:p>
    <w:p w14:paraId="1831980A" w14:textId="2611AB5C" w:rsidR="009D382F" w:rsidRPr="00ED62B2" w:rsidRDefault="009D382F" w:rsidP="00BD065A">
      <w:pPr>
        <w:spacing w:line="360" w:lineRule="auto"/>
        <w:jc w:val="center"/>
        <w:rPr>
          <w:rFonts w:ascii="Arial" w:hAnsi="Arial" w:cs="Arial"/>
          <w:i/>
          <w:iCs/>
        </w:rPr>
      </w:pPr>
      <w:r w:rsidRPr="00ED62B2">
        <w:rPr>
          <w:rFonts w:ascii="Arial" w:hAnsi="Arial" w:cs="Arial"/>
          <w:b/>
          <w:bCs/>
          <w:i/>
          <w:iCs/>
        </w:rPr>
        <w:t xml:space="preserve">Source: </w:t>
      </w:r>
      <w:r w:rsidRPr="00ED62B2">
        <w:rPr>
          <w:rFonts w:ascii="Arial" w:hAnsi="Arial" w:cs="Arial"/>
          <w:i/>
          <w:iCs/>
        </w:rPr>
        <w:t xml:space="preserve"> calculations based on projected cash inflows provided in the assignment scenario.</w:t>
      </w:r>
    </w:p>
    <w:p w14:paraId="2F81E5D8" w14:textId="77777777" w:rsidR="009A58B9" w:rsidRDefault="009A58B9" w:rsidP="00BD065A">
      <w:pPr>
        <w:spacing w:line="360" w:lineRule="auto"/>
        <w:jc w:val="center"/>
        <w:rPr>
          <w:rFonts w:ascii="Arial" w:hAnsi="Arial" w:cs="Arial"/>
          <w:i/>
          <w:iCs/>
        </w:rPr>
      </w:pPr>
    </w:p>
    <w:p w14:paraId="299EDA04" w14:textId="77777777" w:rsidR="005E27F1" w:rsidRDefault="005E27F1" w:rsidP="00BD065A">
      <w:pPr>
        <w:spacing w:line="360" w:lineRule="auto"/>
        <w:jc w:val="center"/>
        <w:rPr>
          <w:rFonts w:ascii="Arial" w:hAnsi="Arial" w:cs="Arial"/>
          <w:i/>
          <w:iCs/>
        </w:rPr>
      </w:pPr>
    </w:p>
    <w:p w14:paraId="1838AEA5" w14:textId="77777777" w:rsidR="007C4ADB" w:rsidRDefault="007C4ADB" w:rsidP="00BD065A">
      <w:pPr>
        <w:spacing w:line="360" w:lineRule="auto"/>
        <w:jc w:val="center"/>
        <w:rPr>
          <w:rFonts w:ascii="Arial" w:hAnsi="Arial" w:cs="Arial"/>
          <w:i/>
          <w:iCs/>
        </w:rPr>
      </w:pPr>
    </w:p>
    <w:p w14:paraId="21165A84" w14:textId="77777777" w:rsidR="00526BA6" w:rsidRPr="00ED62B2" w:rsidRDefault="00526BA6" w:rsidP="00BD065A">
      <w:pPr>
        <w:spacing w:line="360" w:lineRule="auto"/>
        <w:rPr>
          <w:rFonts w:ascii="Arial" w:hAnsi="Arial" w:cs="Arial"/>
          <w:i/>
          <w:iCs/>
        </w:rPr>
      </w:pPr>
    </w:p>
    <w:p w14:paraId="35103A6C" w14:textId="1D9E59D1" w:rsidR="009A58B9" w:rsidRDefault="009A58B9" w:rsidP="00BD065A">
      <w:pPr>
        <w:spacing w:line="360" w:lineRule="auto"/>
        <w:jc w:val="center"/>
        <w:rPr>
          <w:rFonts w:ascii="Arial" w:hAnsi="Arial" w:cs="Arial"/>
          <w:b/>
          <w:bCs/>
        </w:rPr>
      </w:pPr>
      <w:r w:rsidRPr="00ED62B2">
        <w:rPr>
          <w:rFonts w:ascii="Arial" w:hAnsi="Arial" w:cs="Arial"/>
          <w:b/>
          <w:bCs/>
        </w:rPr>
        <w:t xml:space="preserve">Appendix I – NPV Calculations </w:t>
      </w:r>
    </w:p>
    <w:p w14:paraId="335B711E" w14:textId="6408E26D" w:rsidR="0081632F" w:rsidRPr="00ED62B2" w:rsidRDefault="0081632F" w:rsidP="00BD065A">
      <w:pPr>
        <w:spacing w:line="360" w:lineRule="auto"/>
        <w:jc w:val="center"/>
        <w:rPr>
          <w:rFonts w:ascii="Arial" w:hAnsi="Arial" w:cs="Arial"/>
          <w:b/>
          <w:bCs/>
        </w:rPr>
      </w:pPr>
      <w:r w:rsidRPr="0081632F">
        <w:rPr>
          <w:noProof/>
        </w:rPr>
        <w:drawing>
          <wp:inline distT="0" distB="0" distL="0" distR="0" wp14:anchorId="5AD1243E" wp14:editId="25C92C73">
            <wp:extent cx="6645910" cy="1543685"/>
            <wp:effectExtent l="0" t="0" r="2540" b="0"/>
            <wp:docPr id="1953340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45910" cy="1543685"/>
                    </a:xfrm>
                    <a:prstGeom prst="rect">
                      <a:avLst/>
                    </a:prstGeom>
                    <a:noFill/>
                    <a:ln>
                      <a:noFill/>
                    </a:ln>
                  </pic:spPr>
                </pic:pic>
              </a:graphicData>
            </a:graphic>
          </wp:inline>
        </w:drawing>
      </w:r>
    </w:p>
    <w:p w14:paraId="04F41301" w14:textId="51FF15EA" w:rsidR="009A58B9" w:rsidRPr="00ED62B2" w:rsidRDefault="009A58B9" w:rsidP="00BD065A">
      <w:pPr>
        <w:spacing w:line="360" w:lineRule="auto"/>
        <w:rPr>
          <w:rFonts w:ascii="Arial" w:hAnsi="Arial" w:cs="Arial"/>
        </w:rPr>
      </w:pPr>
      <w:r w:rsidRPr="00ED62B2">
        <w:rPr>
          <w:rFonts w:ascii="Arial" w:hAnsi="Arial" w:cs="Arial"/>
          <w:b/>
          <w:bCs/>
        </w:rPr>
        <w:t>Formula used:</w:t>
      </w:r>
      <w:r w:rsidRPr="00ED62B2">
        <w:rPr>
          <w:rFonts w:ascii="Arial" w:hAnsi="Arial" w:cs="Arial"/>
        </w:rPr>
        <w:br/>
        <w:t xml:space="preserve">Net Present Value (NPV) = Σ [Cash Flow ÷ (1 + </w:t>
      </w:r>
      <w:proofErr w:type="gramStart"/>
      <w:r w:rsidRPr="00ED62B2">
        <w:rPr>
          <w:rFonts w:ascii="Arial" w:hAnsi="Arial" w:cs="Arial"/>
        </w:rPr>
        <w:t>r)ⁿ</w:t>
      </w:r>
      <w:proofErr w:type="gramEnd"/>
      <w:r w:rsidRPr="00ED62B2">
        <w:rPr>
          <w:rFonts w:ascii="Arial" w:hAnsi="Arial" w:cs="Arial"/>
        </w:rPr>
        <w:t>] − Initial Investment</w:t>
      </w:r>
    </w:p>
    <w:p w14:paraId="50994ED2" w14:textId="2BC535A0" w:rsidR="009A58B9" w:rsidRDefault="009A58B9" w:rsidP="00BD065A">
      <w:pPr>
        <w:spacing w:line="360" w:lineRule="auto"/>
        <w:rPr>
          <w:rFonts w:ascii="Arial" w:hAnsi="Arial" w:cs="Arial"/>
        </w:rPr>
      </w:pPr>
      <w:r w:rsidRPr="00ED62B2">
        <w:rPr>
          <w:rFonts w:ascii="Arial" w:hAnsi="Arial" w:cs="Arial"/>
        </w:rPr>
        <w:t>Each year’s cash flow has been discounted using a discount rate of 10% to calculate its present value. The total present value of cash inflows is then compared with the initial investment of £50 million to determine the net present value.</w:t>
      </w:r>
    </w:p>
    <w:p w14:paraId="09D0E647" w14:textId="2A894BB9" w:rsidR="004E6299" w:rsidRPr="004E6299" w:rsidRDefault="004E6299" w:rsidP="00BD065A">
      <w:pPr>
        <w:spacing w:line="360" w:lineRule="auto"/>
        <w:rPr>
          <w:rFonts w:ascii="Arial" w:hAnsi="Arial" w:cs="Arial"/>
          <w:i/>
          <w:iCs/>
          <w:sz w:val="20"/>
          <w:szCs w:val="20"/>
        </w:rPr>
      </w:pPr>
      <w:r w:rsidRPr="004E6299">
        <w:rPr>
          <w:rFonts w:ascii="Arial" w:hAnsi="Arial" w:cs="Arial"/>
          <w:i/>
          <w:iCs/>
          <w:sz w:val="20"/>
          <w:szCs w:val="20"/>
        </w:rPr>
        <w:t xml:space="preserve">(Since Project B generates equal annual cash inflows, the </w:t>
      </w:r>
      <w:r>
        <w:rPr>
          <w:rFonts w:ascii="Arial" w:hAnsi="Arial" w:cs="Arial"/>
          <w:i/>
          <w:iCs/>
          <w:sz w:val="20"/>
          <w:szCs w:val="20"/>
        </w:rPr>
        <w:t>PV</w:t>
      </w:r>
      <w:r w:rsidRPr="004E6299">
        <w:rPr>
          <w:rFonts w:ascii="Arial" w:hAnsi="Arial" w:cs="Arial"/>
          <w:i/>
          <w:iCs/>
          <w:sz w:val="20"/>
          <w:szCs w:val="20"/>
        </w:rPr>
        <w:t xml:space="preserve"> of these inflows can alternatively be calculated using the annuity method. However, in this analysis, each cash flow has been discounted individually, resulting in the same outcome.)</w:t>
      </w:r>
    </w:p>
    <w:p w14:paraId="45D1CE98" w14:textId="0560E995" w:rsidR="002D186A" w:rsidRDefault="009A58B9"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calculations based on projected cash inflows provided in the assignment scenario.</w:t>
      </w:r>
    </w:p>
    <w:p w14:paraId="4670C311" w14:textId="77777777" w:rsidR="00526BA6" w:rsidRPr="00ED62B2" w:rsidRDefault="00526BA6" w:rsidP="00BD065A">
      <w:pPr>
        <w:spacing w:line="360" w:lineRule="auto"/>
        <w:jc w:val="center"/>
        <w:rPr>
          <w:rFonts w:ascii="Arial" w:hAnsi="Arial" w:cs="Arial"/>
          <w:i/>
          <w:iCs/>
        </w:rPr>
      </w:pPr>
    </w:p>
    <w:p w14:paraId="14B85DE2" w14:textId="7407F372" w:rsidR="009A58B9" w:rsidRPr="00ED62B2" w:rsidRDefault="009A58B9" w:rsidP="00BD065A">
      <w:pPr>
        <w:spacing w:line="360" w:lineRule="auto"/>
        <w:jc w:val="center"/>
        <w:rPr>
          <w:rFonts w:ascii="Arial" w:hAnsi="Arial" w:cs="Arial"/>
          <w:b/>
          <w:bCs/>
        </w:rPr>
      </w:pPr>
      <w:r w:rsidRPr="00ED62B2">
        <w:rPr>
          <w:rFonts w:ascii="Arial" w:hAnsi="Arial" w:cs="Arial"/>
          <w:b/>
          <w:bCs/>
        </w:rPr>
        <w:t xml:space="preserve">Appendix J – Profitability Calculations </w:t>
      </w:r>
    </w:p>
    <w:p w14:paraId="20C0DBEC" w14:textId="71B298FE" w:rsidR="009A58B9" w:rsidRPr="00ED62B2" w:rsidRDefault="009A58B9" w:rsidP="00BD065A">
      <w:pPr>
        <w:spacing w:line="360" w:lineRule="auto"/>
        <w:jc w:val="center"/>
        <w:rPr>
          <w:rFonts w:ascii="Arial" w:hAnsi="Arial" w:cs="Arial"/>
          <w:b/>
          <w:bCs/>
        </w:rPr>
      </w:pPr>
      <w:r w:rsidRPr="00ED62B2">
        <w:rPr>
          <w:rFonts w:ascii="Arial" w:hAnsi="Arial" w:cs="Arial"/>
          <w:b/>
          <w:bCs/>
          <w:noProof/>
        </w:rPr>
        <w:drawing>
          <wp:inline distT="0" distB="0" distL="0" distR="0" wp14:anchorId="28D57A48" wp14:editId="4C36E9C2">
            <wp:extent cx="3185160" cy="1104900"/>
            <wp:effectExtent l="0" t="0" r="0" b="0"/>
            <wp:docPr id="1566484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85160" cy="1104900"/>
                    </a:xfrm>
                    <a:prstGeom prst="rect">
                      <a:avLst/>
                    </a:prstGeom>
                    <a:noFill/>
                    <a:ln>
                      <a:noFill/>
                    </a:ln>
                  </pic:spPr>
                </pic:pic>
              </a:graphicData>
            </a:graphic>
          </wp:inline>
        </w:drawing>
      </w:r>
    </w:p>
    <w:p w14:paraId="2A2DB6E2" w14:textId="77777777" w:rsidR="009A58B9" w:rsidRPr="00ED62B2" w:rsidRDefault="009A58B9" w:rsidP="00BD065A">
      <w:pPr>
        <w:spacing w:line="360" w:lineRule="auto"/>
        <w:rPr>
          <w:rFonts w:ascii="Arial" w:hAnsi="Arial" w:cs="Arial"/>
        </w:rPr>
      </w:pPr>
      <w:r w:rsidRPr="00ED62B2">
        <w:rPr>
          <w:rFonts w:ascii="Arial" w:hAnsi="Arial" w:cs="Arial"/>
          <w:b/>
          <w:bCs/>
        </w:rPr>
        <w:t>Formula used:</w:t>
      </w:r>
      <w:r w:rsidRPr="00ED62B2">
        <w:rPr>
          <w:rFonts w:ascii="Arial" w:hAnsi="Arial" w:cs="Arial"/>
          <w:b/>
          <w:bCs/>
        </w:rPr>
        <w:br/>
      </w:r>
      <w:r w:rsidRPr="00ED62B2">
        <w:rPr>
          <w:rFonts w:ascii="Arial" w:hAnsi="Arial" w:cs="Arial"/>
        </w:rPr>
        <w:t>Profitability Index (PI) = Present Value of Future Cash Inflows ÷ Initial Investment</w:t>
      </w:r>
    </w:p>
    <w:p w14:paraId="073061F9" w14:textId="18E5279F" w:rsidR="009A58B9" w:rsidRPr="00ED62B2" w:rsidRDefault="009A58B9" w:rsidP="00BD065A">
      <w:pPr>
        <w:spacing w:line="360" w:lineRule="auto"/>
        <w:rPr>
          <w:rFonts w:ascii="Arial" w:hAnsi="Arial" w:cs="Arial"/>
          <w:b/>
          <w:bCs/>
        </w:rPr>
      </w:pPr>
      <w:r w:rsidRPr="00ED62B2">
        <w:rPr>
          <w:rFonts w:ascii="Arial" w:hAnsi="Arial" w:cs="Arial"/>
        </w:rPr>
        <w:t>The profitability index has been calculated by dividing the total present value of cash inflows by the initial investment of £50 million for each project.</w:t>
      </w:r>
    </w:p>
    <w:p w14:paraId="65CACC1C" w14:textId="401FFD38" w:rsidR="009A58B9" w:rsidRDefault="009A58B9" w:rsidP="00BD065A">
      <w:pPr>
        <w:spacing w:line="360" w:lineRule="auto"/>
        <w:jc w:val="center"/>
        <w:rPr>
          <w:rFonts w:ascii="Arial" w:hAnsi="Arial" w:cs="Arial"/>
          <w:b/>
          <w:bCs/>
          <w:i/>
          <w:iCs/>
        </w:rPr>
      </w:pPr>
      <w:r w:rsidRPr="00ED62B2">
        <w:rPr>
          <w:rFonts w:ascii="Arial" w:hAnsi="Arial" w:cs="Arial"/>
          <w:b/>
          <w:bCs/>
          <w:i/>
          <w:iCs/>
        </w:rPr>
        <w:t xml:space="preserve">Source: </w:t>
      </w:r>
      <w:r w:rsidRPr="00ED62B2">
        <w:rPr>
          <w:rFonts w:ascii="Arial" w:hAnsi="Arial" w:cs="Arial"/>
          <w:i/>
          <w:iCs/>
        </w:rPr>
        <w:t xml:space="preserve"> calculations based on projected cash inflows provided in the assignment scenario</w:t>
      </w:r>
      <w:r w:rsidRPr="00ED62B2">
        <w:rPr>
          <w:rFonts w:ascii="Arial" w:hAnsi="Arial" w:cs="Arial"/>
          <w:b/>
          <w:bCs/>
          <w:i/>
          <w:iCs/>
        </w:rPr>
        <w:t>.</w:t>
      </w:r>
    </w:p>
    <w:p w14:paraId="2AC84B6F" w14:textId="77777777" w:rsidR="00BB6360" w:rsidRDefault="00BB6360" w:rsidP="00BD065A">
      <w:pPr>
        <w:spacing w:line="360" w:lineRule="auto"/>
        <w:jc w:val="center"/>
        <w:rPr>
          <w:rFonts w:ascii="Arial" w:hAnsi="Arial" w:cs="Arial"/>
          <w:b/>
          <w:bCs/>
        </w:rPr>
      </w:pPr>
    </w:p>
    <w:p w14:paraId="37F64DB8" w14:textId="77777777" w:rsidR="007C4ADB" w:rsidRDefault="007C4ADB" w:rsidP="00BD065A">
      <w:pPr>
        <w:spacing w:line="360" w:lineRule="auto"/>
        <w:jc w:val="center"/>
        <w:rPr>
          <w:rFonts w:ascii="Arial" w:hAnsi="Arial" w:cs="Arial"/>
          <w:b/>
          <w:bCs/>
        </w:rPr>
      </w:pPr>
    </w:p>
    <w:p w14:paraId="7C9E6312" w14:textId="77777777" w:rsidR="00E62DF4" w:rsidRDefault="00E62DF4" w:rsidP="00BD065A">
      <w:pPr>
        <w:spacing w:line="360" w:lineRule="auto"/>
        <w:jc w:val="center"/>
        <w:rPr>
          <w:rFonts w:ascii="Arial" w:hAnsi="Arial" w:cs="Arial"/>
          <w:b/>
          <w:bCs/>
        </w:rPr>
      </w:pPr>
    </w:p>
    <w:p w14:paraId="57721503" w14:textId="4E5194DA" w:rsidR="00BB6360" w:rsidRDefault="00BB6360" w:rsidP="00BD065A">
      <w:pPr>
        <w:spacing w:line="360" w:lineRule="auto"/>
        <w:jc w:val="center"/>
        <w:rPr>
          <w:rFonts w:ascii="Arial" w:hAnsi="Arial" w:cs="Arial"/>
          <w:b/>
          <w:bCs/>
        </w:rPr>
      </w:pPr>
      <w:r w:rsidRPr="00ED62B2">
        <w:rPr>
          <w:rFonts w:ascii="Arial" w:hAnsi="Arial" w:cs="Arial"/>
          <w:b/>
          <w:bCs/>
        </w:rPr>
        <w:t xml:space="preserve">Appendix </w:t>
      </w:r>
      <w:r>
        <w:rPr>
          <w:rFonts w:ascii="Arial" w:hAnsi="Arial" w:cs="Arial"/>
          <w:b/>
          <w:bCs/>
        </w:rPr>
        <w:t>K</w:t>
      </w:r>
      <w:r w:rsidRPr="00ED62B2">
        <w:rPr>
          <w:rFonts w:ascii="Arial" w:hAnsi="Arial" w:cs="Arial"/>
          <w:b/>
          <w:bCs/>
        </w:rPr>
        <w:t xml:space="preserve"> – </w:t>
      </w:r>
      <w:r>
        <w:rPr>
          <w:rFonts w:ascii="Arial" w:hAnsi="Arial" w:cs="Arial"/>
          <w:b/>
          <w:bCs/>
        </w:rPr>
        <w:t>IRR</w:t>
      </w:r>
      <w:r w:rsidRPr="00ED62B2">
        <w:rPr>
          <w:rFonts w:ascii="Arial" w:hAnsi="Arial" w:cs="Arial"/>
          <w:b/>
          <w:bCs/>
        </w:rPr>
        <w:t xml:space="preserve"> Calculations </w:t>
      </w:r>
    </w:p>
    <w:p w14:paraId="3E85C671" w14:textId="5A3FC818" w:rsidR="00BB6360" w:rsidRDefault="00BB6360" w:rsidP="00BD065A">
      <w:pPr>
        <w:spacing w:line="360" w:lineRule="auto"/>
        <w:jc w:val="center"/>
        <w:rPr>
          <w:rFonts w:ascii="Arial" w:hAnsi="Arial" w:cs="Arial"/>
          <w:b/>
          <w:bCs/>
        </w:rPr>
      </w:pPr>
      <w:r>
        <w:rPr>
          <w:rFonts w:ascii="Arial" w:hAnsi="Arial" w:cs="Arial"/>
          <w:b/>
          <w:bCs/>
        </w:rPr>
        <w:t xml:space="preserve">Project – A </w:t>
      </w:r>
    </w:p>
    <w:p w14:paraId="5F289729" w14:textId="6D2FB2DA" w:rsidR="00BB6360" w:rsidRDefault="00BB6360" w:rsidP="00BD065A">
      <w:pPr>
        <w:spacing w:line="360" w:lineRule="auto"/>
        <w:jc w:val="center"/>
        <w:rPr>
          <w:rFonts w:ascii="Arial" w:hAnsi="Arial" w:cs="Arial"/>
          <w:b/>
          <w:bCs/>
        </w:rPr>
      </w:pPr>
      <w:r w:rsidRPr="00BB6360">
        <w:rPr>
          <w:noProof/>
        </w:rPr>
        <w:drawing>
          <wp:inline distT="0" distB="0" distL="0" distR="0" wp14:anchorId="31C77B85" wp14:editId="0C608089">
            <wp:extent cx="5913120" cy="1470660"/>
            <wp:effectExtent l="0" t="0" r="0" b="0"/>
            <wp:docPr id="1025419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3120" cy="1470660"/>
                    </a:xfrm>
                    <a:prstGeom prst="rect">
                      <a:avLst/>
                    </a:prstGeom>
                    <a:noFill/>
                    <a:ln>
                      <a:noFill/>
                    </a:ln>
                  </pic:spPr>
                </pic:pic>
              </a:graphicData>
            </a:graphic>
          </wp:inline>
        </w:drawing>
      </w:r>
    </w:p>
    <w:p w14:paraId="04BCEA03" w14:textId="77777777" w:rsidR="00BB6360" w:rsidRPr="00BB6360" w:rsidRDefault="00BB6360" w:rsidP="00BD065A">
      <w:pPr>
        <w:spacing w:line="360" w:lineRule="auto"/>
        <w:rPr>
          <w:rFonts w:ascii="Arial" w:hAnsi="Arial" w:cs="Arial"/>
        </w:rPr>
      </w:pPr>
      <w:r w:rsidRPr="00BB6360">
        <w:rPr>
          <w:rFonts w:ascii="Arial" w:hAnsi="Arial" w:cs="Arial"/>
        </w:rPr>
        <w:t>Formula:</w:t>
      </w:r>
    </w:p>
    <w:p w14:paraId="5E6A2DBC" w14:textId="7FF72114" w:rsidR="00BB6360" w:rsidRPr="00BB6360" w:rsidRDefault="00BB6360" w:rsidP="00BD065A">
      <w:pPr>
        <w:spacing w:line="360" w:lineRule="auto"/>
        <w:rPr>
          <w:rFonts w:ascii="Arial" w:hAnsi="Arial" w:cs="Arial"/>
        </w:rPr>
      </w:pPr>
      <m:oMathPara>
        <m:oMath>
          <m:r>
            <w:rPr>
              <w:rFonts w:ascii="Cambria Math" w:hAnsi="Cambria Math" w:cs="Arial"/>
            </w:rPr>
            <m:t>IRR=L+</m:t>
          </m:r>
          <m:d>
            <m:dPr>
              <m:ctrlPr>
                <w:rPr>
                  <w:rFonts w:ascii="Cambria Math" w:hAnsi="Cambria Math" w:cs="Arial"/>
                </w:rPr>
              </m:ctrlPr>
            </m:dPr>
            <m:e>
              <m:f>
                <m:fPr>
                  <m:ctrlPr>
                    <w:rPr>
                      <w:rFonts w:ascii="Cambria Math" w:hAnsi="Cambria Math" w:cs="Arial"/>
                    </w:rPr>
                  </m:ctrlPr>
                </m:fPr>
                <m:num>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den>
              </m:f>
            </m:e>
          </m:d>
          <m:r>
            <w:rPr>
              <w:rFonts w:ascii="Cambria Math" w:hAnsi="Cambria Math" w:cs="Arial"/>
            </w:rPr>
            <m:t>×(H-L)</m:t>
          </m:r>
        </m:oMath>
      </m:oMathPara>
    </w:p>
    <w:p w14:paraId="2A696B6D" w14:textId="77777777" w:rsidR="00BB6360" w:rsidRPr="00BB6360" w:rsidRDefault="00BB6360" w:rsidP="00BD065A">
      <w:pPr>
        <w:spacing w:line="360" w:lineRule="auto"/>
        <w:rPr>
          <w:rFonts w:ascii="Arial" w:hAnsi="Arial" w:cs="Arial"/>
        </w:rPr>
      </w:pPr>
      <w:r w:rsidRPr="00BB6360">
        <w:rPr>
          <w:rFonts w:ascii="Arial" w:hAnsi="Arial" w:cs="Arial"/>
        </w:rPr>
        <w:t>Where:</w:t>
      </w:r>
    </w:p>
    <w:p w14:paraId="294AFE2E" w14:textId="18F0B1C0"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L=2.5</m:t>
        </m:r>
        <m:r>
          <m:rPr>
            <m:sty m:val="p"/>
          </m:rPr>
          <w:rPr>
            <w:rFonts w:ascii="Cambria Math" w:hAnsi="Cambria Math" w:cs="Arial"/>
          </w:rPr>
          <m:t>%</m:t>
        </m:r>
      </m:oMath>
    </w:p>
    <w:p w14:paraId="3D05EC6C" w14:textId="2E20B9E9"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H=3.0</m:t>
        </m:r>
        <m:r>
          <m:rPr>
            <m:sty m:val="p"/>
          </m:rPr>
          <w:rPr>
            <w:rFonts w:ascii="Cambria Math" w:hAnsi="Cambria Math" w:cs="Arial"/>
          </w:rPr>
          <m:t>%</m:t>
        </m:r>
      </m:oMath>
    </w:p>
    <w:p w14:paraId="274BD08A" w14:textId="5B5CC5E4"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=+0.31</m:t>
        </m:r>
      </m:oMath>
    </w:p>
    <w:p w14:paraId="228C07CA" w14:textId="42377CE1"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r>
          <w:rPr>
            <w:rFonts w:ascii="Cambria Math" w:hAnsi="Cambria Math" w:cs="Arial"/>
          </w:rPr>
          <m:t>=-0.38</m:t>
        </m:r>
      </m:oMath>
    </w:p>
    <w:p w14:paraId="71139910" w14:textId="77777777" w:rsidR="00BB6360" w:rsidRPr="00BB6360" w:rsidRDefault="00BB6360" w:rsidP="00BD065A">
      <w:pPr>
        <w:spacing w:line="360" w:lineRule="auto"/>
        <w:rPr>
          <w:rFonts w:ascii="Arial" w:hAnsi="Arial" w:cs="Arial"/>
        </w:rPr>
      </w:pPr>
      <w:r w:rsidRPr="00BB6360">
        <w:rPr>
          <w:rFonts w:ascii="Arial" w:hAnsi="Arial" w:cs="Arial"/>
        </w:rPr>
        <w:t>So:</w:t>
      </w:r>
    </w:p>
    <w:p w14:paraId="17E3DBFF" w14:textId="46BCFEB7" w:rsidR="00BB6360" w:rsidRPr="00BB6360" w:rsidRDefault="00BB6360" w:rsidP="00BD065A">
      <w:pPr>
        <w:spacing w:line="360" w:lineRule="auto"/>
        <w:rPr>
          <w:rFonts w:ascii="Arial" w:hAnsi="Arial" w:cs="Arial"/>
        </w:rPr>
      </w:pPr>
      <m:oMathPara>
        <m:oMath>
          <m:r>
            <w:rPr>
              <w:rFonts w:ascii="Cambria Math" w:hAnsi="Cambria Math" w:cs="Arial"/>
            </w:rPr>
            <m:t>IRR=2.5+</m:t>
          </m:r>
          <m:d>
            <m:dPr>
              <m:ctrlPr>
                <w:rPr>
                  <w:rFonts w:ascii="Cambria Math" w:hAnsi="Cambria Math" w:cs="Arial"/>
                </w:rPr>
              </m:ctrlPr>
            </m:dPr>
            <m:e>
              <m:f>
                <m:fPr>
                  <m:ctrlPr>
                    <w:rPr>
                      <w:rFonts w:ascii="Cambria Math" w:hAnsi="Cambria Math" w:cs="Arial"/>
                    </w:rPr>
                  </m:ctrlPr>
                </m:fPr>
                <m:num>
                  <m:r>
                    <w:rPr>
                      <w:rFonts w:ascii="Cambria Math" w:hAnsi="Cambria Math" w:cs="Arial"/>
                    </w:rPr>
                    <m:t>0.31</m:t>
                  </m:r>
                </m:num>
                <m:den>
                  <m:r>
                    <w:rPr>
                      <w:rFonts w:ascii="Cambria Math" w:hAnsi="Cambria Math" w:cs="Arial"/>
                    </w:rPr>
                    <m:t>0.31-(-0.38)</m:t>
                  </m:r>
                </m:den>
              </m:f>
            </m:e>
          </m:d>
          <m:r>
            <w:rPr>
              <w:rFonts w:ascii="Cambria Math" w:hAnsi="Cambria Math" w:cs="Arial"/>
            </w:rPr>
            <m:t>×(0.5)</m:t>
          </m:r>
          <m:r>
            <m:rPr>
              <m:sty m:val="p"/>
            </m:rPr>
            <w:rPr>
              <w:rFonts w:ascii="Arial" w:hAnsi="Arial" w:cs="Arial"/>
            </w:rPr>
            <w:br/>
          </m:r>
        </m:oMath>
        <m:oMath>
          <m:r>
            <w:rPr>
              <w:rFonts w:ascii="Cambria Math" w:hAnsi="Cambria Math" w:cs="Arial"/>
            </w:rPr>
            <m:t>IRR=2.5+</m:t>
          </m:r>
          <m:d>
            <m:dPr>
              <m:ctrlPr>
                <w:rPr>
                  <w:rFonts w:ascii="Cambria Math" w:hAnsi="Cambria Math" w:cs="Arial"/>
                </w:rPr>
              </m:ctrlPr>
            </m:dPr>
            <m:e>
              <m:f>
                <m:fPr>
                  <m:ctrlPr>
                    <w:rPr>
                      <w:rFonts w:ascii="Cambria Math" w:hAnsi="Cambria Math" w:cs="Arial"/>
                    </w:rPr>
                  </m:ctrlPr>
                </m:fPr>
                <m:num>
                  <m:r>
                    <w:rPr>
                      <w:rFonts w:ascii="Cambria Math" w:hAnsi="Cambria Math" w:cs="Arial"/>
                    </w:rPr>
                    <m:t>0.31</m:t>
                  </m:r>
                </m:num>
                <m:den>
                  <m:r>
                    <w:rPr>
                      <w:rFonts w:ascii="Cambria Math" w:hAnsi="Cambria Math" w:cs="Arial"/>
                    </w:rPr>
                    <m:t>0.69</m:t>
                  </m:r>
                </m:den>
              </m:f>
            </m:e>
          </m:d>
          <m:r>
            <w:rPr>
              <w:rFonts w:ascii="Cambria Math" w:hAnsi="Cambria Math" w:cs="Arial"/>
            </w:rPr>
            <m:t>×0.5</m:t>
          </m:r>
          <m:r>
            <m:rPr>
              <m:sty m:val="p"/>
            </m:rPr>
            <w:rPr>
              <w:rFonts w:ascii="Arial" w:hAnsi="Arial" w:cs="Arial"/>
            </w:rPr>
            <w:br/>
          </m:r>
        </m:oMath>
        <m:oMath>
          <m:r>
            <w:rPr>
              <w:rFonts w:ascii="Cambria Math" w:hAnsi="Cambria Math" w:cs="Arial"/>
            </w:rPr>
            <m:t>IRR=2.5+0.22</m:t>
          </m:r>
          <m:r>
            <m:rPr>
              <m:sty m:val="p"/>
            </m:rPr>
            <w:rPr>
              <w:rFonts w:ascii="Arial" w:hAnsi="Arial" w:cs="Arial"/>
            </w:rPr>
            <w:br/>
          </m:r>
        </m:oMath>
        <m:oMath>
          <m:r>
            <w:rPr>
              <w:rFonts w:ascii="Cambria Math" w:hAnsi="Cambria Math" w:cs="Arial"/>
            </w:rPr>
            <m:t>IRR≈2.72</m:t>
          </m:r>
          <m:r>
            <m:rPr>
              <m:sty m:val="p"/>
            </m:rPr>
            <w:rPr>
              <w:rFonts w:ascii="Cambria Math" w:hAnsi="Cambria Math" w:cs="Arial"/>
            </w:rPr>
            <m:t>%</m:t>
          </m:r>
        </m:oMath>
      </m:oMathPara>
    </w:p>
    <w:p w14:paraId="5B85C595" w14:textId="77777777" w:rsidR="003663A3" w:rsidRPr="003663A3" w:rsidRDefault="003663A3" w:rsidP="00BD065A">
      <w:pPr>
        <w:spacing w:line="360" w:lineRule="auto"/>
        <w:rPr>
          <w:rFonts w:ascii="Arial" w:hAnsi="Arial" w:cs="Arial"/>
          <w:b/>
          <w:bCs/>
        </w:rPr>
      </w:pPr>
      <w:r w:rsidRPr="003663A3">
        <w:rPr>
          <w:rFonts w:ascii="Arial" w:hAnsi="Arial" w:cs="Arial"/>
          <w:b/>
          <w:bCs/>
        </w:rPr>
        <w:t>Decision for Project A</w:t>
      </w:r>
    </w:p>
    <w:p w14:paraId="35F9D0E0" w14:textId="77777777" w:rsidR="003663A3" w:rsidRPr="003663A3" w:rsidRDefault="003663A3" w:rsidP="00BD065A">
      <w:pPr>
        <w:spacing w:line="360" w:lineRule="auto"/>
        <w:rPr>
          <w:rFonts w:ascii="Arial" w:hAnsi="Arial" w:cs="Arial"/>
        </w:rPr>
      </w:pPr>
      <w:r w:rsidRPr="003663A3">
        <w:rPr>
          <w:rFonts w:ascii="Arial" w:hAnsi="Arial" w:cs="Arial"/>
        </w:rPr>
        <w:t xml:space="preserve">Required rate of return = </w:t>
      </w:r>
      <w:r w:rsidRPr="003663A3">
        <w:rPr>
          <w:rFonts w:ascii="Arial" w:hAnsi="Arial" w:cs="Arial"/>
          <w:b/>
          <w:bCs/>
        </w:rPr>
        <w:t>10%</w:t>
      </w:r>
      <w:r w:rsidRPr="003663A3">
        <w:rPr>
          <w:rFonts w:ascii="Arial" w:hAnsi="Arial" w:cs="Arial"/>
        </w:rPr>
        <w:t xml:space="preserve"> in the brief. </w:t>
      </w:r>
    </w:p>
    <w:p w14:paraId="4BCF02DB" w14:textId="77777777" w:rsidR="003663A3" w:rsidRPr="003663A3" w:rsidRDefault="003663A3" w:rsidP="00BD065A">
      <w:pPr>
        <w:spacing w:line="360" w:lineRule="auto"/>
        <w:rPr>
          <w:rFonts w:ascii="Arial" w:hAnsi="Arial" w:cs="Arial"/>
        </w:rPr>
      </w:pPr>
      <w:r w:rsidRPr="003663A3">
        <w:rPr>
          <w:rFonts w:ascii="Arial" w:hAnsi="Arial" w:cs="Arial"/>
        </w:rPr>
        <w:t>Since:</w:t>
      </w:r>
    </w:p>
    <w:p w14:paraId="5FAD7176" w14:textId="33CE745E" w:rsidR="003663A3" w:rsidRPr="003663A3" w:rsidRDefault="003663A3" w:rsidP="00BD065A">
      <w:pPr>
        <w:spacing w:line="360" w:lineRule="auto"/>
        <w:rPr>
          <w:rFonts w:ascii="Arial" w:hAnsi="Arial" w:cs="Arial"/>
        </w:rPr>
      </w:pPr>
      <m:oMathPara>
        <m:oMath>
          <m:r>
            <w:rPr>
              <w:rFonts w:ascii="Cambria Math" w:hAnsi="Cambria Math" w:cs="Arial"/>
            </w:rPr>
            <m:t>IRR=2.72</m:t>
          </m:r>
          <m:r>
            <m:rPr>
              <m:sty m:val="p"/>
            </m:rPr>
            <w:rPr>
              <w:rFonts w:ascii="Cambria Math" w:hAnsi="Cambria Math" w:cs="Arial"/>
            </w:rPr>
            <m:t>%</m:t>
          </m:r>
          <m:r>
            <w:rPr>
              <w:rFonts w:ascii="Cambria Math" w:hAnsi="Cambria Math" w:cs="Arial"/>
            </w:rPr>
            <m:t>&lt;10</m:t>
          </m:r>
          <m:r>
            <m:rPr>
              <m:sty m:val="p"/>
            </m:rPr>
            <w:rPr>
              <w:rFonts w:ascii="Cambria Math" w:hAnsi="Cambria Math" w:cs="Arial"/>
            </w:rPr>
            <m:t>%</m:t>
          </m:r>
          <m:r>
            <m:rPr>
              <m:sty m:val="p"/>
            </m:rPr>
            <w:rPr>
              <w:rFonts w:ascii="Arial" w:hAnsi="Arial" w:cs="Arial"/>
            </w:rPr>
            <w:br/>
          </m:r>
        </m:oMath>
      </m:oMathPara>
    </w:p>
    <w:p w14:paraId="1C637C08" w14:textId="69417E2B" w:rsidR="003663A3" w:rsidRDefault="003663A3" w:rsidP="00BD065A">
      <w:pPr>
        <w:spacing w:line="360" w:lineRule="auto"/>
        <w:rPr>
          <w:rFonts w:ascii="Arial" w:hAnsi="Arial" w:cs="Arial"/>
        </w:rPr>
      </w:pPr>
      <w:r w:rsidRPr="003663A3">
        <w:rPr>
          <w:rFonts w:ascii="Arial" w:hAnsi="Arial" w:cs="Arial"/>
        </w:rPr>
        <w:lastRenderedPageBreak/>
        <w:t>Decision: Reject Project A.</w:t>
      </w:r>
      <w:r w:rsidRPr="003663A3">
        <w:rPr>
          <w:rFonts w:ascii="Arial" w:hAnsi="Arial" w:cs="Arial"/>
        </w:rPr>
        <w:br/>
        <w:t>It does not earn enough to meet the required return.</w:t>
      </w:r>
    </w:p>
    <w:p w14:paraId="104FAD2B" w14:textId="7E0A7608" w:rsidR="003663A3" w:rsidRPr="003663A3" w:rsidRDefault="003663A3" w:rsidP="00BD065A">
      <w:pPr>
        <w:spacing w:line="360" w:lineRule="auto"/>
        <w:jc w:val="center"/>
        <w:rPr>
          <w:rFonts w:ascii="Arial" w:hAnsi="Arial" w:cs="Arial"/>
          <w:b/>
          <w:bCs/>
        </w:rPr>
      </w:pPr>
      <w:r w:rsidRPr="003663A3">
        <w:rPr>
          <w:rFonts w:ascii="Arial" w:hAnsi="Arial" w:cs="Arial"/>
          <w:b/>
          <w:bCs/>
        </w:rPr>
        <w:t>Project B</w:t>
      </w:r>
    </w:p>
    <w:p w14:paraId="42D59FB7" w14:textId="3F739176" w:rsidR="003663A3" w:rsidRDefault="003663A3" w:rsidP="00BD065A">
      <w:pPr>
        <w:spacing w:line="360" w:lineRule="auto"/>
        <w:jc w:val="center"/>
        <w:rPr>
          <w:rFonts w:ascii="Arial" w:hAnsi="Arial" w:cs="Arial"/>
        </w:rPr>
      </w:pPr>
      <w:r w:rsidRPr="003663A3">
        <w:rPr>
          <w:noProof/>
        </w:rPr>
        <w:drawing>
          <wp:inline distT="0" distB="0" distL="0" distR="0" wp14:anchorId="4221B3DD" wp14:editId="227A0DE3">
            <wp:extent cx="6012180" cy="1493520"/>
            <wp:effectExtent l="0" t="0" r="7620" b="0"/>
            <wp:docPr id="961266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12180" cy="1493520"/>
                    </a:xfrm>
                    <a:prstGeom prst="rect">
                      <a:avLst/>
                    </a:prstGeom>
                    <a:noFill/>
                    <a:ln>
                      <a:noFill/>
                    </a:ln>
                  </pic:spPr>
                </pic:pic>
              </a:graphicData>
            </a:graphic>
          </wp:inline>
        </w:drawing>
      </w:r>
    </w:p>
    <w:p w14:paraId="283AC916" w14:textId="77777777" w:rsidR="003663A3" w:rsidRPr="003663A3" w:rsidRDefault="003663A3" w:rsidP="00BD065A">
      <w:pPr>
        <w:spacing w:line="360" w:lineRule="auto"/>
        <w:rPr>
          <w:rFonts w:ascii="Arial" w:hAnsi="Arial" w:cs="Arial"/>
        </w:rPr>
      </w:pPr>
      <w:r w:rsidRPr="003663A3">
        <w:rPr>
          <w:rFonts w:ascii="Arial" w:hAnsi="Arial" w:cs="Arial"/>
        </w:rPr>
        <w:t>Formula:</w:t>
      </w:r>
    </w:p>
    <w:p w14:paraId="72412A87" w14:textId="59910B35" w:rsidR="003663A3" w:rsidRPr="003663A3" w:rsidRDefault="003663A3" w:rsidP="00BD065A">
      <w:pPr>
        <w:spacing w:line="360" w:lineRule="auto"/>
        <w:rPr>
          <w:rFonts w:ascii="Arial" w:hAnsi="Arial" w:cs="Arial"/>
        </w:rPr>
      </w:pPr>
      <m:oMathPara>
        <m:oMath>
          <m:r>
            <w:rPr>
              <w:rFonts w:ascii="Cambria Math" w:hAnsi="Cambria Math" w:cs="Arial"/>
            </w:rPr>
            <m:t>IRR=L+</m:t>
          </m:r>
          <m:d>
            <m:dPr>
              <m:ctrlPr>
                <w:rPr>
                  <w:rFonts w:ascii="Cambria Math" w:hAnsi="Cambria Math" w:cs="Arial"/>
                </w:rPr>
              </m:ctrlPr>
            </m:dPr>
            <m:e>
              <m:f>
                <m:fPr>
                  <m:ctrlPr>
                    <w:rPr>
                      <w:rFonts w:ascii="Cambria Math" w:hAnsi="Cambria Math" w:cs="Arial"/>
                    </w:rPr>
                  </m:ctrlPr>
                </m:fPr>
                <m:num>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den>
              </m:f>
            </m:e>
          </m:d>
          <m:r>
            <w:rPr>
              <w:rFonts w:ascii="Cambria Math" w:hAnsi="Cambria Math" w:cs="Arial"/>
            </w:rPr>
            <m:t>×(H-L)</m:t>
          </m:r>
          <m:r>
            <m:rPr>
              <m:sty m:val="p"/>
            </m:rPr>
            <w:rPr>
              <w:rFonts w:ascii="Arial" w:hAnsi="Arial" w:cs="Arial"/>
            </w:rPr>
            <w:br/>
          </m:r>
        </m:oMath>
      </m:oMathPara>
    </w:p>
    <w:p w14:paraId="49097F91" w14:textId="77777777" w:rsidR="003663A3" w:rsidRPr="003663A3" w:rsidRDefault="003663A3" w:rsidP="00BD065A">
      <w:pPr>
        <w:spacing w:line="360" w:lineRule="auto"/>
        <w:rPr>
          <w:rFonts w:ascii="Arial" w:hAnsi="Arial" w:cs="Arial"/>
        </w:rPr>
      </w:pPr>
      <w:r w:rsidRPr="003663A3">
        <w:rPr>
          <w:rFonts w:ascii="Arial" w:hAnsi="Arial" w:cs="Arial"/>
        </w:rPr>
        <w:t>Where:</w:t>
      </w:r>
    </w:p>
    <w:p w14:paraId="0C6FC7B4" w14:textId="52E8F2D2"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L=3.25</m:t>
        </m:r>
        <m:r>
          <m:rPr>
            <m:sty m:val="p"/>
          </m:rPr>
          <w:rPr>
            <w:rFonts w:ascii="Cambria Math" w:hAnsi="Cambria Math" w:cs="Arial"/>
          </w:rPr>
          <m:t>%</m:t>
        </m:r>
      </m:oMath>
    </w:p>
    <w:p w14:paraId="374CF8B1" w14:textId="42FC3635"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H=3</m:t>
        </m:r>
        <m:r>
          <m:rPr>
            <m:sty m:val="p"/>
          </m:rPr>
          <w:rPr>
            <w:rFonts w:ascii="Cambria Math" w:hAnsi="Cambria Math" w:cs="Arial"/>
          </w:rPr>
          <m:t>%</m:t>
        </m:r>
      </m:oMath>
    </w:p>
    <w:p w14:paraId="1EED6FE6" w14:textId="315A34BE"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=+0.019</m:t>
        </m:r>
      </m:oMath>
    </w:p>
    <w:p w14:paraId="15EA9CFB" w14:textId="28845032"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r>
          <w:rPr>
            <w:rFonts w:ascii="Cambria Math" w:hAnsi="Cambria Math" w:cs="Arial"/>
          </w:rPr>
          <m:t>=-0.009</m:t>
        </m:r>
      </m:oMath>
    </w:p>
    <w:p w14:paraId="6494F52A" w14:textId="77777777" w:rsidR="003663A3" w:rsidRPr="003663A3" w:rsidRDefault="003663A3" w:rsidP="00BD065A">
      <w:pPr>
        <w:spacing w:line="360" w:lineRule="auto"/>
        <w:rPr>
          <w:rFonts w:ascii="Arial" w:hAnsi="Arial" w:cs="Arial"/>
        </w:rPr>
      </w:pPr>
      <w:r w:rsidRPr="003663A3">
        <w:rPr>
          <w:rFonts w:ascii="Arial" w:hAnsi="Arial" w:cs="Arial"/>
        </w:rPr>
        <w:t>Substitute:</w:t>
      </w:r>
    </w:p>
    <w:p w14:paraId="11868522" w14:textId="7B0FE840" w:rsidR="003663A3" w:rsidRPr="003663A3" w:rsidRDefault="003663A3" w:rsidP="00BD065A">
      <w:pPr>
        <w:spacing w:line="360" w:lineRule="auto"/>
        <w:rPr>
          <w:rFonts w:ascii="Arial" w:hAnsi="Arial" w:cs="Arial"/>
          <w:b/>
          <w:bCs/>
        </w:rPr>
      </w:pPr>
      <m:oMathPara>
        <m:oMath>
          <m:r>
            <w:rPr>
              <w:rFonts w:ascii="Cambria Math" w:hAnsi="Cambria Math" w:cs="Arial"/>
            </w:rPr>
            <m:t>IRR=3.25+</m:t>
          </m:r>
          <m:d>
            <m:dPr>
              <m:ctrlPr>
                <w:rPr>
                  <w:rFonts w:ascii="Cambria Math" w:hAnsi="Cambria Math" w:cs="Arial"/>
                </w:rPr>
              </m:ctrlPr>
            </m:dPr>
            <m:e>
              <m:f>
                <m:fPr>
                  <m:ctrlPr>
                    <w:rPr>
                      <w:rFonts w:ascii="Cambria Math" w:hAnsi="Cambria Math" w:cs="Arial"/>
                    </w:rPr>
                  </m:ctrlPr>
                </m:fPr>
                <m:num>
                  <m:r>
                    <w:rPr>
                      <w:rFonts w:ascii="Cambria Math" w:hAnsi="Cambria Math" w:cs="Arial"/>
                    </w:rPr>
                    <m:t>0.02</m:t>
                  </m:r>
                </m:num>
                <m:den>
                  <m:r>
                    <w:rPr>
                      <w:rFonts w:ascii="Cambria Math" w:hAnsi="Cambria Math" w:cs="Arial"/>
                    </w:rPr>
                    <m:t>0.35</m:t>
                  </m:r>
                </m:den>
              </m:f>
            </m:e>
          </m:d>
          <m:r>
            <w:rPr>
              <w:rFonts w:ascii="Cambria Math" w:hAnsi="Cambria Math" w:cs="Arial"/>
            </w:rPr>
            <m:t>×(0.25)</m:t>
          </m:r>
          <m:r>
            <m:rPr>
              <m:sty m:val="p"/>
            </m:rPr>
            <w:rPr>
              <w:rFonts w:ascii="Arial" w:hAnsi="Arial" w:cs="Arial"/>
            </w:rPr>
            <w:br/>
          </m:r>
        </m:oMath>
        <m:oMath>
          <m:r>
            <w:rPr>
              <w:rFonts w:ascii="Cambria Math" w:hAnsi="Cambria Math" w:cs="Arial"/>
            </w:rPr>
            <m:t>IRR=3.25+0.01429</m:t>
          </m:r>
          <m:r>
            <m:rPr>
              <m:sty m:val="p"/>
            </m:rPr>
            <w:rPr>
              <w:rFonts w:ascii="Arial" w:hAnsi="Arial" w:cs="Arial"/>
            </w:rPr>
            <w:br/>
          </m:r>
        </m:oMath>
        <m:oMath>
          <m:r>
            <w:rPr>
              <w:rFonts w:ascii="Cambria Math" w:hAnsi="Cambria Math" w:cs="Arial"/>
            </w:rPr>
            <m:t>IRR≈3.2643</m:t>
          </m:r>
          <m:r>
            <m:rPr>
              <m:sty m:val="p"/>
            </m:rPr>
            <w:rPr>
              <w:rFonts w:ascii="Cambria Math" w:hAnsi="Cambria Math" w:cs="Arial"/>
            </w:rPr>
            <m:t>%</m:t>
          </m:r>
          <m:r>
            <m:rPr>
              <m:sty m:val="p"/>
            </m:rPr>
            <w:rPr>
              <w:rFonts w:ascii="Arial" w:hAnsi="Arial" w:cs="Arial"/>
            </w:rPr>
            <w:br/>
          </m:r>
        </m:oMath>
      </m:oMathPara>
      <w:r w:rsidRPr="003663A3">
        <w:rPr>
          <w:rFonts w:ascii="Arial" w:hAnsi="Arial" w:cs="Arial"/>
          <w:b/>
          <w:bCs/>
        </w:rPr>
        <w:t>Decision for Project B</w:t>
      </w:r>
    </w:p>
    <w:p w14:paraId="70AE1721" w14:textId="77777777" w:rsidR="003663A3" w:rsidRPr="003663A3" w:rsidRDefault="003663A3" w:rsidP="00BD065A">
      <w:pPr>
        <w:spacing w:line="360" w:lineRule="auto"/>
        <w:rPr>
          <w:rFonts w:ascii="Arial" w:hAnsi="Arial" w:cs="Arial"/>
        </w:rPr>
      </w:pPr>
      <w:r w:rsidRPr="003663A3">
        <w:rPr>
          <w:rFonts w:ascii="Arial" w:hAnsi="Arial" w:cs="Arial"/>
        </w:rPr>
        <w:t xml:space="preserve">The required rate of return in the brief is 10%. </w:t>
      </w:r>
    </w:p>
    <w:p w14:paraId="61BA4C84" w14:textId="77777777" w:rsidR="003663A3" w:rsidRPr="003663A3" w:rsidRDefault="003663A3" w:rsidP="00BD065A">
      <w:pPr>
        <w:spacing w:line="360" w:lineRule="auto"/>
        <w:rPr>
          <w:rFonts w:ascii="Arial" w:hAnsi="Arial" w:cs="Arial"/>
        </w:rPr>
      </w:pPr>
      <w:r w:rsidRPr="003663A3">
        <w:rPr>
          <w:rFonts w:ascii="Arial" w:hAnsi="Arial" w:cs="Arial"/>
        </w:rPr>
        <w:t>Since:</w:t>
      </w:r>
    </w:p>
    <w:p w14:paraId="431643C9" w14:textId="1BEF699A" w:rsidR="003663A3" w:rsidRPr="003663A3" w:rsidRDefault="003663A3" w:rsidP="00BD065A">
      <w:pPr>
        <w:spacing w:line="360" w:lineRule="auto"/>
        <w:rPr>
          <w:rFonts w:ascii="Arial" w:hAnsi="Arial" w:cs="Arial"/>
        </w:rPr>
      </w:pPr>
      <m:oMathPara>
        <m:oMath>
          <m:r>
            <w:rPr>
              <w:rFonts w:ascii="Cambria Math" w:hAnsi="Cambria Math" w:cs="Arial"/>
            </w:rPr>
            <m:t>IRR=3.26</m:t>
          </m:r>
          <m:r>
            <m:rPr>
              <m:sty m:val="p"/>
            </m:rPr>
            <w:rPr>
              <w:rFonts w:ascii="Cambria Math" w:hAnsi="Cambria Math" w:cs="Arial"/>
            </w:rPr>
            <m:t>%</m:t>
          </m:r>
          <m:r>
            <w:rPr>
              <w:rFonts w:ascii="Cambria Math" w:hAnsi="Cambria Math" w:cs="Arial"/>
            </w:rPr>
            <m:t>&lt;10</m:t>
          </m:r>
          <m:r>
            <m:rPr>
              <m:sty m:val="p"/>
            </m:rPr>
            <w:rPr>
              <w:rFonts w:ascii="Cambria Math" w:hAnsi="Cambria Math" w:cs="Arial"/>
            </w:rPr>
            <m:t>%</m:t>
          </m:r>
          <m:r>
            <m:rPr>
              <m:sty m:val="p"/>
            </m:rPr>
            <w:rPr>
              <w:rFonts w:ascii="Arial" w:hAnsi="Arial" w:cs="Arial"/>
            </w:rPr>
            <w:br/>
          </m:r>
        </m:oMath>
      </m:oMathPara>
    </w:p>
    <w:p w14:paraId="48335C12" w14:textId="77777777" w:rsidR="003663A3" w:rsidRDefault="003663A3" w:rsidP="00BD065A">
      <w:pPr>
        <w:spacing w:line="360" w:lineRule="auto"/>
        <w:rPr>
          <w:rFonts w:ascii="Arial" w:hAnsi="Arial" w:cs="Arial"/>
        </w:rPr>
      </w:pPr>
      <w:r w:rsidRPr="003663A3">
        <w:rPr>
          <w:rFonts w:ascii="Arial" w:hAnsi="Arial" w:cs="Arial"/>
        </w:rPr>
        <w:t>Decision: Reject Project B.</w:t>
      </w:r>
    </w:p>
    <w:p w14:paraId="13050DBE" w14:textId="77777777" w:rsidR="003D3DB8" w:rsidRDefault="003D3DB8" w:rsidP="00BD065A">
      <w:pPr>
        <w:spacing w:line="360" w:lineRule="auto"/>
        <w:rPr>
          <w:rFonts w:ascii="Arial" w:hAnsi="Arial" w:cs="Arial"/>
        </w:rPr>
      </w:pPr>
    </w:p>
    <w:p w14:paraId="346FCCDB" w14:textId="77777777" w:rsidR="007C4ADB" w:rsidRPr="003663A3" w:rsidRDefault="007C4ADB" w:rsidP="00BD065A">
      <w:pPr>
        <w:spacing w:line="360" w:lineRule="auto"/>
        <w:rPr>
          <w:rFonts w:ascii="Arial" w:hAnsi="Arial" w:cs="Arial"/>
        </w:rPr>
      </w:pPr>
    </w:p>
    <w:p w14:paraId="0F6707B9" w14:textId="5DE21EB9" w:rsidR="00BB6360" w:rsidRPr="003663A3" w:rsidRDefault="003663A3" w:rsidP="00BD065A">
      <w:pPr>
        <w:spacing w:line="360" w:lineRule="auto"/>
        <w:jc w:val="center"/>
        <w:rPr>
          <w:rFonts w:ascii="Arial" w:hAnsi="Arial" w:cs="Arial"/>
          <w:b/>
          <w:bCs/>
        </w:rPr>
      </w:pPr>
      <w:r w:rsidRPr="003663A3">
        <w:rPr>
          <w:rFonts w:ascii="Arial" w:hAnsi="Arial" w:cs="Arial"/>
          <w:b/>
          <w:bCs/>
        </w:rPr>
        <w:t xml:space="preserve">Project C </w:t>
      </w:r>
    </w:p>
    <w:p w14:paraId="09027F61" w14:textId="20225C00" w:rsidR="003663A3" w:rsidRPr="003663A3" w:rsidRDefault="003663A3" w:rsidP="00BD065A">
      <w:pPr>
        <w:spacing w:line="360" w:lineRule="auto"/>
        <w:jc w:val="center"/>
        <w:rPr>
          <w:rFonts w:ascii="Arial" w:hAnsi="Arial" w:cs="Arial"/>
        </w:rPr>
      </w:pPr>
      <w:r w:rsidRPr="003663A3">
        <w:rPr>
          <w:noProof/>
        </w:rPr>
        <w:drawing>
          <wp:inline distT="0" distB="0" distL="0" distR="0" wp14:anchorId="3304580A" wp14:editId="3AEC8E78">
            <wp:extent cx="6012180" cy="1470660"/>
            <wp:effectExtent l="0" t="0" r="7620" b="0"/>
            <wp:docPr id="6075985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12180" cy="1470660"/>
                    </a:xfrm>
                    <a:prstGeom prst="rect">
                      <a:avLst/>
                    </a:prstGeom>
                    <a:noFill/>
                    <a:ln>
                      <a:noFill/>
                    </a:ln>
                  </pic:spPr>
                </pic:pic>
              </a:graphicData>
            </a:graphic>
          </wp:inline>
        </w:drawing>
      </w:r>
    </w:p>
    <w:p w14:paraId="57FA6E1F" w14:textId="77777777" w:rsidR="003663A3" w:rsidRPr="003663A3" w:rsidRDefault="003663A3" w:rsidP="00BD065A">
      <w:pPr>
        <w:spacing w:line="360" w:lineRule="auto"/>
        <w:rPr>
          <w:rFonts w:ascii="Arial" w:hAnsi="Arial" w:cs="Arial"/>
        </w:rPr>
      </w:pPr>
      <w:r w:rsidRPr="003663A3">
        <w:rPr>
          <w:rFonts w:ascii="Arial" w:hAnsi="Arial" w:cs="Arial"/>
        </w:rPr>
        <w:t>Formula:</w:t>
      </w:r>
    </w:p>
    <w:p w14:paraId="3D5F8643" w14:textId="7DC4C853" w:rsidR="003663A3" w:rsidRPr="003663A3" w:rsidRDefault="003663A3" w:rsidP="00BD065A">
      <w:pPr>
        <w:spacing w:line="360" w:lineRule="auto"/>
        <w:rPr>
          <w:rFonts w:ascii="Arial" w:hAnsi="Arial" w:cs="Arial"/>
        </w:rPr>
      </w:pPr>
      <m:oMathPara>
        <m:oMath>
          <m:r>
            <m:rPr>
              <m:sty m:val="p"/>
            </m:rPr>
            <w:rPr>
              <w:rFonts w:ascii="Cambria Math" w:hAnsi="Cambria Math" w:cs="Arial"/>
            </w:rPr>
            <m:t>IRR=L+</m:t>
          </m:r>
          <m:d>
            <m:dPr>
              <m:ctrlPr>
                <w:rPr>
                  <w:rFonts w:ascii="Cambria Math" w:hAnsi="Cambria Math" w:cs="Arial"/>
                </w:rPr>
              </m:ctrlPr>
            </m:dPr>
            <m:e>
              <m:f>
                <m:fPr>
                  <m:ctrlPr>
                    <w:rPr>
                      <w:rFonts w:ascii="Cambria Math" w:hAnsi="Cambria Math" w:cs="Arial"/>
                    </w:rPr>
                  </m:ctrlPr>
                </m:fPr>
                <m:num>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L</m:t>
                      </m:r>
                    </m:sub>
                  </m:sSub>
                </m:num>
                <m:den>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L</m:t>
                      </m:r>
                    </m:sub>
                  </m:sSub>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H</m:t>
                      </m:r>
                    </m:sub>
                  </m:sSub>
                </m:den>
              </m:f>
            </m:e>
          </m:d>
          <m:r>
            <m:rPr>
              <m:sty m:val="p"/>
            </m:rPr>
            <w:rPr>
              <w:rFonts w:ascii="Cambria Math" w:hAnsi="Cambria Math" w:cs="Arial"/>
            </w:rPr>
            <m:t>×(H-L)</m:t>
          </m:r>
          <m:r>
            <m:rPr>
              <m:sty m:val="p"/>
            </m:rPr>
            <w:rPr>
              <w:rFonts w:ascii="Arial" w:hAnsi="Arial" w:cs="Arial"/>
            </w:rPr>
            <w:br/>
          </m:r>
        </m:oMath>
      </m:oMathPara>
    </w:p>
    <w:p w14:paraId="14AE85F8" w14:textId="77777777" w:rsidR="003663A3" w:rsidRPr="003663A3" w:rsidRDefault="003663A3" w:rsidP="00BD065A">
      <w:pPr>
        <w:spacing w:line="360" w:lineRule="auto"/>
        <w:rPr>
          <w:rFonts w:ascii="Arial" w:hAnsi="Arial" w:cs="Arial"/>
        </w:rPr>
      </w:pPr>
      <w:r w:rsidRPr="003663A3">
        <w:rPr>
          <w:rFonts w:ascii="Arial" w:hAnsi="Arial" w:cs="Arial"/>
        </w:rPr>
        <w:t>Where:</w:t>
      </w:r>
    </w:p>
    <w:p w14:paraId="06563577" w14:textId="4BE7D462"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L=8.5%</m:t>
        </m:r>
      </m:oMath>
    </w:p>
    <w:p w14:paraId="344DDCD0" w14:textId="1E6C5B76"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H=9%</m:t>
        </m:r>
      </m:oMath>
    </w:p>
    <w:p w14:paraId="2A1CF573" w14:textId="615F6DB0"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L</m:t>
            </m:r>
          </m:sub>
        </m:sSub>
        <m:r>
          <m:rPr>
            <m:sty m:val="p"/>
          </m:rPr>
          <w:rPr>
            <w:rFonts w:ascii="Cambria Math" w:hAnsi="Cambria Math" w:cs="Arial"/>
          </w:rPr>
          <m:t>=+0.126</m:t>
        </m:r>
      </m:oMath>
    </w:p>
    <w:p w14:paraId="3401071B" w14:textId="1A244897"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H</m:t>
            </m:r>
          </m:sub>
        </m:sSub>
        <m:r>
          <m:rPr>
            <m:sty m:val="p"/>
          </m:rPr>
          <w:rPr>
            <w:rFonts w:ascii="Cambria Math" w:hAnsi="Cambria Math" w:cs="Arial"/>
          </w:rPr>
          <m:t>=-0.59</m:t>
        </m:r>
      </m:oMath>
    </w:p>
    <w:p w14:paraId="267A77D8" w14:textId="77777777" w:rsidR="003663A3" w:rsidRPr="003663A3" w:rsidRDefault="003663A3" w:rsidP="00BD065A">
      <w:pPr>
        <w:spacing w:line="360" w:lineRule="auto"/>
        <w:rPr>
          <w:rFonts w:ascii="Arial" w:hAnsi="Arial" w:cs="Arial"/>
        </w:rPr>
      </w:pPr>
      <w:r w:rsidRPr="003663A3">
        <w:rPr>
          <w:rFonts w:ascii="Arial" w:hAnsi="Arial" w:cs="Arial"/>
        </w:rPr>
        <w:t>Substitute:</w:t>
      </w:r>
    </w:p>
    <w:p w14:paraId="3A2FF972" w14:textId="2F2CB23F" w:rsidR="003663A3" w:rsidRPr="003663A3" w:rsidRDefault="003663A3" w:rsidP="00BD065A">
      <w:pPr>
        <w:spacing w:line="360" w:lineRule="auto"/>
        <w:rPr>
          <w:rFonts w:ascii="Arial" w:hAnsi="Arial" w:cs="Arial"/>
          <w:b/>
          <w:bCs/>
          <w:i/>
          <w:iCs/>
        </w:rPr>
      </w:pPr>
      <m:oMathPara>
        <m:oMath>
          <m:r>
            <m:rPr>
              <m:sty m:val="p"/>
            </m:rPr>
            <w:rPr>
              <w:rFonts w:ascii="Cambria Math" w:hAnsi="Cambria Math" w:cs="Arial"/>
            </w:rPr>
            <m:t>IRR=8.5+</m:t>
          </m:r>
          <m:d>
            <m:dPr>
              <m:ctrlPr>
                <w:rPr>
                  <w:rFonts w:ascii="Cambria Math" w:hAnsi="Cambria Math" w:cs="Arial"/>
                </w:rPr>
              </m:ctrlPr>
            </m:dPr>
            <m:e>
              <m:f>
                <m:fPr>
                  <m:ctrlPr>
                    <w:rPr>
                      <w:rFonts w:ascii="Cambria Math" w:hAnsi="Cambria Math" w:cs="Arial"/>
                    </w:rPr>
                  </m:ctrlPr>
                </m:fPr>
                <m:num>
                  <m:r>
                    <m:rPr>
                      <m:sty m:val="p"/>
                    </m:rPr>
                    <w:rPr>
                      <w:rFonts w:ascii="Cambria Math" w:hAnsi="Cambria Math" w:cs="Arial"/>
                    </w:rPr>
                    <m:t>0.13</m:t>
                  </m:r>
                </m:num>
                <m:den>
                  <m:r>
                    <m:rPr>
                      <m:sty m:val="p"/>
                    </m:rPr>
                    <w:rPr>
                      <w:rFonts w:ascii="Cambria Math" w:hAnsi="Cambria Math" w:cs="Arial"/>
                    </w:rPr>
                    <m:t>0.72</m:t>
                  </m:r>
                </m:den>
              </m:f>
            </m:e>
          </m:d>
          <m:r>
            <m:rPr>
              <m:sty m:val="p"/>
            </m:rPr>
            <w:rPr>
              <w:rFonts w:ascii="Cambria Math" w:hAnsi="Cambria Math" w:cs="Arial"/>
            </w:rPr>
            <m:t>×(0.5)</m:t>
          </m:r>
          <m:r>
            <m:rPr>
              <m:sty m:val="p"/>
            </m:rPr>
            <w:rPr>
              <w:rFonts w:ascii="Arial" w:hAnsi="Arial" w:cs="Arial"/>
            </w:rPr>
            <w:br/>
          </m:r>
        </m:oMath>
        <m:oMath>
          <m:r>
            <m:rPr>
              <m:sty m:val="p"/>
            </m:rPr>
            <w:rPr>
              <w:rFonts w:ascii="Cambria Math" w:hAnsi="Cambria Math" w:cs="Arial"/>
            </w:rPr>
            <m:t>IRR=8.5+0.09028</m:t>
          </m:r>
          <m:r>
            <m:rPr>
              <m:sty m:val="p"/>
            </m:rPr>
            <w:rPr>
              <w:rFonts w:ascii="Arial" w:hAnsi="Arial" w:cs="Arial"/>
            </w:rPr>
            <w:br/>
          </m:r>
        </m:oMath>
        <m:oMath>
          <m:r>
            <m:rPr>
              <m:sty m:val="p"/>
            </m:rPr>
            <w:rPr>
              <w:rFonts w:ascii="Cambria Math" w:hAnsi="Cambria Math" w:cs="Arial"/>
            </w:rPr>
            <m:t>IRR≈8.5903%</m:t>
          </m:r>
          <m:r>
            <m:rPr>
              <m:sty m:val="p"/>
            </m:rPr>
            <w:rPr>
              <w:rFonts w:ascii="Arial" w:hAnsi="Arial" w:cs="Arial"/>
            </w:rPr>
            <w:br/>
          </m:r>
        </m:oMath>
      </m:oMathPara>
      <w:r w:rsidR="008C355F">
        <w:rPr>
          <w:rFonts w:ascii="Arial" w:hAnsi="Arial" w:cs="Arial"/>
          <w:b/>
          <w:bCs/>
        </w:rPr>
        <w:t>Decision</w:t>
      </w:r>
      <w:r w:rsidRPr="003663A3">
        <w:rPr>
          <w:rFonts w:ascii="Arial" w:hAnsi="Arial" w:cs="Arial"/>
          <w:b/>
          <w:bCs/>
        </w:rPr>
        <w:t xml:space="preserve"> for Project C</w:t>
      </w:r>
    </w:p>
    <w:p w14:paraId="5D814A8E" w14:textId="77777777" w:rsidR="003663A3" w:rsidRPr="003663A3" w:rsidRDefault="003663A3" w:rsidP="00BD065A">
      <w:pPr>
        <w:spacing w:line="360" w:lineRule="auto"/>
        <w:rPr>
          <w:rFonts w:ascii="Arial" w:hAnsi="Arial" w:cs="Arial"/>
        </w:rPr>
      </w:pPr>
      <w:r w:rsidRPr="003663A3">
        <w:rPr>
          <w:rFonts w:ascii="Arial" w:hAnsi="Arial" w:cs="Arial"/>
        </w:rPr>
        <w:t xml:space="preserve">The required rate of return in the brief is 10%. </w:t>
      </w:r>
    </w:p>
    <w:p w14:paraId="441606A6" w14:textId="77777777" w:rsidR="003663A3" w:rsidRPr="003663A3" w:rsidRDefault="003663A3" w:rsidP="00BD065A">
      <w:pPr>
        <w:spacing w:line="360" w:lineRule="auto"/>
        <w:rPr>
          <w:rFonts w:ascii="Arial" w:hAnsi="Arial" w:cs="Arial"/>
        </w:rPr>
      </w:pPr>
      <w:r w:rsidRPr="003663A3">
        <w:rPr>
          <w:rFonts w:ascii="Arial" w:hAnsi="Arial" w:cs="Arial"/>
        </w:rPr>
        <w:t>Since:</w:t>
      </w:r>
    </w:p>
    <w:p w14:paraId="1C09D8B6" w14:textId="07CBB9BD" w:rsidR="003663A3" w:rsidRPr="003663A3" w:rsidRDefault="003663A3" w:rsidP="00BD065A">
      <w:pPr>
        <w:spacing w:line="360" w:lineRule="auto"/>
        <w:rPr>
          <w:rFonts w:ascii="Arial" w:hAnsi="Arial" w:cs="Arial"/>
        </w:rPr>
      </w:pPr>
      <m:oMathPara>
        <m:oMath>
          <m:r>
            <m:rPr>
              <m:sty m:val="p"/>
            </m:rPr>
            <w:rPr>
              <w:rFonts w:ascii="Cambria Math" w:hAnsi="Cambria Math" w:cs="Arial"/>
            </w:rPr>
            <m:t>IRR=8.59%&lt;10%</m:t>
          </m:r>
        </m:oMath>
      </m:oMathPara>
    </w:p>
    <w:p w14:paraId="40CB7FC1" w14:textId="77777777" w:rsidR="003663A3" w:rsidRPr="003663A3" w:rsidRDefault="003663A3" w:rsidP="00BD065A">
      <w:pPr>
        <w:spacing w:line="360" w:lineRule="auto"/>
        <w:rPr>
          <w:rFonts w:ascii="Arial" w:hAnsi="Arial" w:cs="Arial"/>
        </w:rPr>
      </w:pPr>
      <w:r w:rsidRPr="003663A3">
        <w:rPr>
          <w:rFonts w:ascii="Arial" w:hAnsi="Arial" w:cs="Arial"/>
        </w:rPr>
        <w:t>Decision: Reject Project C.</w:t>
      </w:r>
    </w:p>
    <w:p w14:paraId="59F0ED72" w14:textId="77777777" w:rsidR="003663A3" w:rsidRPr="003663A3" w:rsidRDefault="003663A3" w:rsidP="00BD065A">
      <w:pPr>
        <w:spacing w:line="360" w:lineRule="auto"/>
        <w:rPr>
          <w:rFonts w:ascii="Arial" w:hAnsi="Arial" w:cs="Arial"/>
        </w:rPr>
      </w:pPr>
      <w:r w:rsidRPr="003663A3">
        <w:rPr>
          <w:rFonts w:ascii="Arial" w:hAnsi="Arial" w:cs="Arial"/>
        </w:rPr>
        <w:t>Even though Project C has the highest IRR among the three, it is still below the required return.</w:t>
      </w:r>
    </w:p>
    <w:p w14:paraId="6F6CCD0E" w14:textId="4804EC47" w:rsidR="007B66A2" w:rsidRDefault="007B66A2" w:rsidP="00BD065A">
      <w:pPr>
        <w:spacing w:line="360" w:lineRule="auto"/>
        <w:rPr>
          <w:rFonts w:ascii="Arial" w:hAnsi="Arial" w:cs="Arial"/>
          <w:b/>
          <w:bCs/>
          <w:i/>
          <w:iCs/>
        </w:rPr>
      </w:pPr>
    </w:p>
    <w:p w14:paraId="2CA91805" w14:textId="77777777" w:rsidR="007C4ADB" w:rsidRPr="00ED62B2" w:rsidRDefault="007C4ADB" w:rsidP="00BD065A">
      <w:pPr>
        <w:spacing w:line="360" w:lineRule="auto"/>
        <w:rPr>
          <w:rFonts w:ascii="Arial" w:hAnsi="Arial" w:cs="Arial"/>
          <w:b/>
          <w:bCs/>
          <w:i/>
          <w:iCs/>
        </w:rPr>
      </w:pPr>
    </w:p>
    <w:p w14:paraId="697D6200" w14:textId="6EE40C97" w:rsidR="008B012E" w:rsidRDefault="009A58B9" w:rsidP="007C4ADB">
      <w:pPr>
        <w:pStyle w:val="Heading1"/>
        <w:rPr>
          <w:rFonts w:ascii="Arial" w:hAnsi="Arial" w:cs="Arial"/>
          <w:sz w:val="24"/>
          <w:szCs w:val="24"/>
        </w:rPr>
      </w:pPr>
      <w:bookmarkStart w:id="29" w:name="_Toc227771651"/>
      <w:r w:rsidRPr="007C4ADB">
        <w:rPr>
          <w:rFonts w:ascii="Arial" w:hAnsi="Arial" w:cs="Arial"/>
          <w:sz w:val="24"/>
          <w:szCs w:val="24"/>
        </w:rPr>
        <w:t>References:</w:t>
      </w:r>
      <w:bookmarkEnd w:id="29"/>
    </w:p>
    <w:p w14:paraId="10B3DA07" w14:textId="77777777" w:rsidR="00B81EA1" w:rsidRPr="00B81EA1" w:rsidRDefault="00B81EA1" w:rsidP="00B81EA1"/>
    <w:p w14:paraId="0A2587A0" w14:textId="77777777" w:rsidR="008B012E" w:rsidRPr="008B012E" w:rsidRDefault="008B012E" w:rsidP="00BD065A">
      <w:pPr>
        <w:spacing w:line="360" w:lineRule="auto"/>
        <w:rPr>
          <w:rFonts w:ascii="Arial" w:hAnsi="Arial" w:cs="Arial"/>
        </w:rPr>
      </w:pPr>
      <w:proofErr w:type="spellStart"/>
      <w:r w:rsidRPr="00EF41C9">
        <w:rPr>
          <w:rFonts w:ascii="Arial" w:hAnsi="Arial" w:cs="Arial"/>
        </w:rPr>
        <w:t>Atrill</w:t>
      </w:r>
      <w:proofErr w:type="spellEnd"/>
      <w:r w:rsidRPr="00EF41C9">
        <w:rPr>
          <w:rFonts w:ascii="Arial" w:hAnsi="Arial" w:cs="Arial"/>
        </w:rPr>
        <w:t xml:space="preserve">, P. and McLaney, E. (2019) </w:t>
      </w:r>
      <w:r w:rsidRPr="00EF41C9">
        <w:rPr>
          <w:rFonts w:ascii="Arial" w:hAnsi="Arial" w:cs="Arial"/>
          <w:i/>
          <w:iCs/>
        </w:rPr>
        <w:t>Accounting and Finance for Non-Specialists</w:t>
      </w:r>
      <w:r w:rsidRPr="00EF41C9">
        <w:rPr>
          <w:rFonts w:ascii="Arial" w:hAnsi="Arial" w:cs="Arial"/>
        </w:rPr>
        <w:t xml:space="preserve">. 11th </w:t>
      </w:r>
      <w:proofErr w:type="spellStart"/>
      <w:r w:rsidRPr="00EF41C9">
        <w:rPr>
          <w:rFonts w:ascii="Arial" w:hAnsi="Arial" w:cs="Arial"/>
        </w:rPr>
        <w:t>edn</w:t>
      </w:r>
      <w:proofErr w:type="spellEnd"/>
      <w:r w:rsidRPr="00EF41C9">
        <w:rPr>
          <w:rFonts w:ascii="Arial" w:hAnsi="Arial" w:cs="Arial"/>
        </w:rPr>
        <w:t>. Harlow: Pearson.</w:t>
      </w:r>
    </w:p>
    <w:p w14:paraId="5CD0AEA2" w14:textId="77777777" w:rsidR="008B012E" w:rsidRPr="008B012E" w:rsidRDefault="008B012E" w:rsidP="00BD065A">
      <w:pPr>
        <w:spacing w:line="360" w:lineRule="auto"/>
        <w:rPr>
          <w:rFonts w:ascii="Arial" w:hAnsi="Arial" w:cs="Arial"/>
        </w:rPr>
      </w:pPr>
      <w:r w:rsidRPr="008B012E">
        <w:rPr>
          <w:rFonts w:ascii="Arial" w:hAnsi="Arial" w:cs="Arial"/>
        </w:rPr>
        <w:t xml:space="preserve">Brealey, R.A., Myers, S.C. and Allen, F. (2020) </w:t>
      </w:r>
      <w:r w:rsidRPr="008B012E">
        <w:rPr>
          <w:rFonts w:ascii="Arial" w:hAnsi="Arial" w:cs="Arial"/>
          <w:i/>
          <w:iCs/>
        </w:rPr>
        <w:t>Principles of Corporate Finance</w:t>
      </w:r>
      <w:r w:rsidRPr="008B012E">
        <w:rPr>
          <w:rFonts w:ascii="Arial" w:hAnsi="Arial" w:cs="Arial"/>
        </w:rPr>
        <w:t xml:space="preserve">. 13th </w:t>
      </w:r>
      <w:proofErr w:type="spellStart"/>
      <w:r w:rsidRPr="008B012E">
        <w:rPr>
          <w:rFonts w:ascii="Arial" w:hAnsi="Arial" w:cs="Arial"/>
        </w:rPr>
        <w:t>edn</w:t>
      </w:r>
      <w:proofErr w:type="spellEnd"/>
      <w:r w:rsidRPr="008B012E">
        <w:rPr>
          <w:rFonts w:ascii="Arial" w:hAnsi="Arial" w:cs="Arial"/>
        </w:rPr>
        <w:t>. New York: McGraw-Hill Education.</w:t>
      </w:r>
    </w:p>
    <w:p w14:paraId="4CC86ED1" w14:textId="77777777" w:rsidR="008B012E" w:rsidRDefault="008B012E" w:rsidP="00BD065A">
      <w:pPr>
        <w:spacing w:line="360" w:lineRule="auto"/>
        <w:rPr>
          <w:rFonts w:ascii="Arial" w:hAnsi="Arial" w:cs="Arial"/>
        </w:rPr>
      </w:pPr>
      <w:r w:rsidRPr="008B012E">
        <w:rPr>
          <w:rFonts w:ascii="Arial" w:hAnsi="Arial" w:cs="Arial"/>
        </w:rPr>
        <w:t xml:space="preserve">Brigham, E.F. and Ehrhardt, M.C. (2020) </w:t>
      </w:r>
      <w:r w:rsidRPr="008B012E">
        <w:rPr>
          <w:rFonts w:ascii="Arial" w:hAnsi="Arial" w:cs="Arial"/>
          <w:i/>
          <w:iCs/>
        </w:rPr>
        <w:t>Financial Management: Theory &amp; Practice</w:t>
      </w:r>
      <w:r w:rsidRPr="008B012E">
        <w:rPr>
          <w:rFonts w:ascii="Arial" w:hAnsi="Arial" w:cs="Arial"/>
        </w:rPr>
        <w:t xml:space="preserve">. 16th </w:t>
      </w:r>
      <w:proofErr w:type="spellStart"/>
      <w:r w:rsidRPr="008B012E">
        <w:rPr>
          <w:rFonts w:ascii="Arial" w:hAnsi="Arial" w:cs="Arial"/>
        </w:rPr>
        <w:t>edn</w:t>
      </w:r>
      <w:proofErr w:type="spellEnd"/>
      <w:r w:rsidRPr="008B012E">
        <w:rPr>
          <w:rFonts w:ascii="Arial" w:hAnsi="Arial" w:cs="Arial"/>
        </w:rPr>
        <w:t>. Boston: Cengage Learning.</w:t>
      </w:r>
    </w:p>
    <w:p w14:paraId="3D9F4A26" w14:textId="111C34C8" w:rsidR="00487C2A" w:rsidRDefault="00487C2A" w:rsidP="00BD065A">
      <w:pPr>
        <w:spacing w:line="360" w:lineRule="auto"/>
        <w:rPr>
          <w:rFonts w:ascii="Arial" w:hAnsi="Arial" w:cs="Arial"/>
        </w:rPr>
      </w:pPr>
      <w:r w:rsidRPr="00487C2A">
        <w:rPr>
          <w:rFonts w:ascii="Arial" w:hAnsi="Arial" w:cs="Arial"/>
        </w:rPr>
        <w:t xml:space="preserve">Damodaran, A. (2012) </w:t>
      </w:r>
      <w:r w:rsidRPr="00487C2A">
        <w:rPr>
          <w:rFonts w:ascii="Arial" w:hAnsi="Arial" w:cs="Arial"/>
          <w:i/>
          <w:iCs/>
        </w:rPr>
        <w:t>Investment Valuation</w:t>
      </w:r>
      <w:r w:rsidRPr="00487C2A">
        <w:rPr>
          <w:rFonts w:ascii="Arial" w:hAnsi="Arial" w:cs="Arial"/>
        </w:rPr>
        <w:t xml:space="preserve">. 3rd </w:t>
      </w:r>
      <w:proofErr w:type="spellStart"/>
      <w:r w:rsidRPr="00487C2A">
        <w:rPr>
          <w:rFonts w:ascii="Arial" w:hAnsi="Arial" w:cs="Arial"/>
        </w:rPr>
        <w:t>edn</w:t>
      </w:r>
      <w:proofErr w:type="spellEnd"/>
      <w:r w:rsidRPr="00487C2A">
        <w:rPr>
          <w:rFonts w:ascii="Arial" w:hAnsi="Arial" w:cs="Arial"/>
        </w:rPr>
        <w:t>. Hoboken: Wiley.</w:t>
      </w:r>
    </w:p>
    <w:p w14:paraId="71429420" w14:textId="74CEC8F1" w:rsidR="009822BD" w:rsidRDefault="009822BD" w:rsidP="00BD065A">
      <w:pPr>
        <w:spacing w:line="360" w:lineRule="auto"/>
        <w:rPr>
          <w:rFonts w:ascii="Arial" w:hAnsi="Arial" w:cs="Arial"/>
        </w:rPr>
      </w:pPr>
      <w:proofErr w:type="spellStart"/>
      <w:r w:rsidRPr="009822BD">
        <w:rPr>
          <w:rFonts w:ascii="Arial" w:hAnsi="Arial" w:cs="Arial"/>
        </w:rPr>
        <w:t>Fazzari</w:t>
      </w:r>
      <w:proofErr w:type="spellEnd"/>
      <w:r w:rsidRPr="009822BD">
        <w:rPr>
          <w:rFonts w:ascii="Arial" w:hAnsi="Arial" w:cs="Arial"/>
        </w:rPr>
        <w:t xml:space="preserve">, S.M. and Petersen, B.C. (1993) ‘Working Capital and Fixed Investment: New Evidence on Financing Constraints’, </w:t>
      </w:r>
      <w:r w:rsidRPr="009822BD">
        <w:rPr>
          <w:rFonts w:ascii="Arial" w:hAnsi="Arial" w:cs="Arial"/>
          <w:i/>
          <w:iCs/>
        </w:rPr>
        <w:t>RAND Journal of Economics</w:t>
      </w:r>
      <w:r w:rsidRPr="009822BD">
        <w:rPr>
          <w:rFonts w:ascii="Arial" w:hAnsi="Arial" w:cs="Arial"/>
        </w:rPr>
        <w:t>, 24(3), pp. 328–342.</w:t>
      </w:r>
    </w:p>
    <w:p w14:paraId="6861E27E" w14:textId="5B34239C" w:rsidR="004B5428" w:rsidRPr="008B012E" w:rsidRDefault="004B5428" w:rsidP="00BD065A">
      <w:pPr>
        <w:spacing w:line="360" w:lineRule="auto"/>
        <w:rPr>
          <w:rFonts w:ascii="Arial" w:hAnsi="Arial" w:cs="Arial"/>
        </w:rPr>
      </w:pPr>
      <w:r w:rsidRPr="004B5428">
        <w:rPr>
          <w:rFonts w:ascii="Arial" w:hAnsi="Arial" w:cs="Arial"/>
        </w:rPr>
        <w:t xml:space="preserve">Graham, J.R. and Harvey, C.R. (2001) ‘The Theory and Practice of Corporate Finance: Evidence from the Field’, </w:t>
      </w:r>
      <w:r w:rsidRPr="004B5428">
        <w:rPr>
          <w:rFonts w:ascii="Arial" w:hAnsi="Arial" w:cs="Arial"/>
          <w:i/>
          <w:iCs/>
        </w:rPr>
        <w:t>Journal of Financial Economics</w:t>
      </w:r>
      <w:r w:rsidRPr="004B5428">
        <w:rPr>
          <w:rFonts w:ascii="Arial" w:hAnsi="Arial" w:cs="Arial"/>
        </w:rPr>
        <w:t>, 60(2–3), pp. 187–243.</w:t>
      </w:r>
    </w:p>
    <w:p w14:paraId="40502C54" w14:textId="77777777" w:rsidR="008B012E" w:rsidRPr="008B012E" w:rsidRDefault="008B012E" w:rsidP="00BD065A">
      <w:pPr>
        <w:spacing w:line="360" w:lineRule="auto"/>
        <w:rPr>
          <w:rFonts w:ascii="Arial" w:hAnsi="Arial" w:cs="Arial"/>
        </w:rPr>
      </w:pPr>
      <w:proofErr w:type="spellStart"/>
      <w:r w:rsidRPr="008B012E">
        <w:rPr>
          <w:rFonts w:ascii="Arial" w:hAnsi="Arial" w:cs="Arial"/>
        </w:rPr>
        <w:t>Gitman</w:t>
      </w:r>
      <w:proofErr w:type="spellEnd"/>
      <w:r w:rsidRPr="008B012E">
        <w:rPr>
          <w:rFonts w:ascii="Arial" w:hAnsi="Arial" w:cs="Arial"/>
        </w:rPr>
        <w:t xml:space="preserve">, L.J., </w:t>
      </w:r>
      <w:proofErr w:type="spellStart"/>
      <w:r w:rsidRPr="008B012E">
        <w:rPr>
          <w:rFonts w:ascii="Arial" w:hAnsi="Arial" w:cs="Arial"/>
        </w:rPr>
        <w:t>Juchau</w:t>
      </w:r>
      <w:proofErr w:type="spellEnd"/>
      <w:r w:rsidRPr="008B012E">
        <w:rPr>
          <w:rFonts w:ascii="Arial" w:hAnsi="Arial" w:cs="Arial"/>
        </w:rPr>
        <w:t xml:space="preserve">, R. and Flanagan, J. (2015) </w:t>
      </w:r>
      <w:r w:rsidRPr="008B012E">
        <w:rPr>
          <w:rFonts w:ascii="Arial" w:hAnsi="Arial" w:cs="Arial"/>
          <w:i/>
          <w:iCs/>
        </w:rPr>
        <w:t>Principles of Managerial Finance</w:t>
      </w:r>
      <w:r w:rsidRPr="008B012E">
        <w:rPr>
          <w:rFonts w:ascii="Arial" w:hAnsi="Arial" w:cs="Arial"/>
        </w:rPr>
        <w:t xml:space="preserve">. 7th Asia-Pacific </w:t>
      </w:r>
      <w:proofErr w:type="spellStart"/>
      <w:r w:rsidRPr="008B012E">
        <w:rPr>
          <w:rFonts w:ascii="Arial" w:hAnsi="Arial" w:cs="Arial"/>
        </w:rPr>
        <w:t>edn</w:t>
      </w:r>
      <w:proofErr w:type="spellEnd"/>
      <w:r w:rsidRPr="008B012E">
        <w:rPr>
          <w:rFonts w:ascii="Arial" w:hAnsi="Arial" w:cs="Arial"/>
        </w:rPr>
        <w:t>. Melbourne: Pearson.</w:t>
      </w:r>
    </w:p>
    <w:p w14:paraId="5EC17BA3" w14:textId="77777777" w:rsidR="008B012E" w:rsidRDefault="008B012E" w:rsidP="00BD065A">
      <w:pPr>
        <w:spacing w:line="360" w:lineRule="auto"/>
        <w:rPr>
          <w:rFonts w:ascii="Arial" w:hAnsi="Arial" w:cs="Arial"/>
        </w:rPr>
      </w:pPr>
      <w:r w:rsidRPr="008B012E">
        <w:rPr>
          <w:rFonts w:ascii="Arial" w:hAnsi="Arial" w:cs="Arial"/>
        </w:rPr>
        <w:t xml:space="preserve">Hillier, D., Ross, S., Westerfield, R., Jaffe, J. and Jordan, B. (2023) </w:t>
      </w:r>
      <w:r w:rsidRPr="008B012E">
        <w:rPr>
          <w:rFonts w:ascii="Arial" w:hAnsi="Arial" w:cs="Arial"/>
          <w:i/>
          <w:iCs/>
        </w:rPr>
        <w:t>Corporate Finance</w:t>
      </w:r>
      <w:r w:rsidRPr="008B012E">
        <w:rPr>
          <w:rFonts w:ascii="Arial" w:hAnsi="Arial" w:cs="Arial"/>
        </w:rPr>
        <w:t xml:space="preserve">. 4th European </w:t>
      </w:r>
      <w:proofErr w:type="spellStart"/>
      <w:r w:rsidRPr="008B012E">
        <w:rPr>
          <w:rFonts w:ascii="Arial" w:hAnsi="Arial" w:cs="Arial"/>
        </w:rPr>
        <w:t>edn</w:t>
      </w:r>
      <w:proofErr w:type="spellEnd"/>
      <w:r w:rsidRPr="008B012E">
        <w:rPr>
          <w:rFonts w:ascii="Arial" w:hAnsi="Arial" w:cs="Arial"/>
        </w:rPr>
        <w:t>. Maidenhead: McGraw-Hill Education.</w:t>
      </w:r>
    </w:p>
    <w:p w14:paraId="3DAFF1A8" w14:textId="3482EFAD" w:rsidR="00635D4D" w:rsidRPr="008B012E" w:rsidRDefault="00635D4D" w:rsidP="00BD065A">
      <w:pPr>
        <w:spacing w:line="360" w:lineRule="auto"/>
        <w:rPr>
          <w:rFonts w:ascii="Arial" w:hAnsi="Arial" w:cs="Arial"/>
        </w:rPr>
      </w:pPr>
      <w:r w:rsidRPr="00EF41C9">
        <w:rPr>
          <w:rFonts w:ascii="Arial" w:hAnsi="Arial" w:cs="Arial"/>
        </w:rPr>
        <w:t xml:space="preserve">International Energy Agency (2023) </w:t>
      </w:r>
      <w:r w:rsidRPr="00EF41C9">
        <w:rPr>
          <w:rFonts w:ascii="Arial" w:hAnsi="Arial" w:cs="Arial"/>
          <w:i/>
          <w:iCs/>
        </w:rPr>
        <w:t>Global EV Outlook 2023</w:t>
      </w:r>
      <w:r w:rsidRPr="00EF41C9">
        <w:rPr>
          <w:rFonts w:ascii="Arial" w:hAnsi="Arial" w:cs="Arial"/>
        </w:rPr>
        <w:t xml:space="preserve">. Available at: </w:t>
      </w:r>
      <w:hyperlink r:id="rId27" w:history="1">
        <w:r w:rsidRPr="00EF41C9">
          <w:rPr>
            <w:rStyle w:val="Hyperlink"/>
            <w:rFonts w:ascii="Arial" w:hAnsi="Arial" w:cs="Arial"/>
          </w:rPr>
          <w:t>https://www.iea.org</w:t>
        </w:r>
      </w:hyperlink>
    </w:p>
    <w:p w14:paraId="3FB11659" w14:textId="77777777" w:rsidR="008B012E" w:rsidRDefault="008B012E" w:rsidP="00BD065A">
      <w:pPr>
        <w:spacing w:line="360" w:lineRule="auto"/>
        <w:rPr>
          <w:rFonts w:ascii="Arial" w:hAnsi="Arial" w:cs="Arial"/>
        </w:rPr>
      </w:pPr>
      <w:r w:rsidRPr="008B012E">
        <w:rPr>
          <w:rFonts w:ascii="Arial" w:hAnsi="Arial" w:cs="Arial"/>
        </w:rPr>
        <w:t xml:space="preserve">Penman, S.H. (2013) </w:t>
      </w:r>
      <w:r w:rsidRPr="008B012E">
        <w:rPr>
          <w:rFonts w:ascii="Arial" w:hAnsi="Arial" w:cs="Arial"/>
          <w:i/>
          <w:iCs/>
        </w:rPr>
        <w:t>Financial Statement Analysis and Security Valuation</w:t>
      </w:r>
      <w:r w:rsidRPr="008B012E">
        <w:rPr>
          <w:rFonts w:ascii="Arial" w:hAnsi="Arial" w:cs="Arial"/>
        </w:rPr>
        <w:t xml:space="preserve">. 5th </w:t>
      </w:r>
      <w:proofErr w:type="spellStart"/>
      <w:r w:rsidRPr="008B012E">
        <w:rPr>
          <w:rFonts w:ascii="Arial" w:hAnsi="Arial" w:cs="Arial"/>
        </w:rPr>
        <w:t>edn</w:t>
      </w:r>
      <w:proofErr w:type="spellEnd"/>
      <w:r w:rsidRPr="008B012E">
        <w:rPr>
          <w:rFonts w:ascii="Arial" w:hAnsi="Arial" w:cs="Arial"/>
        </w:rPr>
        <w:t>. New York: McGraw-Hill.</w:t>
      </w:r>
    </w:p>
    <w:p w14:paraId="21C2688A" w14:textId="305F9B31" w:rsidR="00635D4D" w:rsidRPr="008B012E" w:rsidRDefault="00635D4D" w:rsidP="00BD065A">
      <w:pPr>
        <w:spacing w:line="360" w:lineRule="auto"/>
        <w:rPr>
          <w:rFonts w:ascii="Arial" w:hAnsi="Arial" w:cs="Arial"/>
        </w:rPr>
      </w:pPr>
      <w:r w:rsidRPr="00683701">
        <w:rPr>
          <w:rFonts w:ascii="Arial" w:hAnsi="Arial" w:cs="Arial"/>
        </w:rPr>
        <w:t xml:space="preserve">Richards, V.D. and Laughlin, E.J. (1980) ‘A Cash Conversion Cycle Approach to Liquidity Analysis’, </w:t>
      </w:r>
      <w:r w:rsidRPr="00683701">
        <w:rPr>
          <w:rFonts w:ascii="Arial" w:hAnsi="Arial" w:cs="Arial"/>
          <w:i/>
          <w:iCs/>
        </w:rPr>
        <w:t>Financial Management</w:t>
      </w:r>
      <w:r w:rsidRPr="00683701">
        <w:rPr>
          <w:rFonts w:ascii="Arial" w:hAnsi="Arial" w:cs="Arial"/>
        </w:rPr>
        <w:t>, 9(1), pp. 32–38.</w:t>
      </w:r>
    </w:p>
    <w:p w14:paraId="07B33106" w14:textId="77777777" w:rsidR="008B012E" w:rsidRPr="008B012E" w:rsidRDefault="008B012E" w:rsidP="00BD065A">
      <w:pPr>
        <w:spacing w:line="360" w:lineRule="auto"/>
        <w:rPr>
          <w:rFonts w:ascii="Arial" w:hAnsi="Arial" w:cs="Arial"/>
        </w:rPr>
      </w:pPr>
      <w:r w:rsidRPr="008B012E">
        <w:rPr>
          <w:rFonts w:ascii="Arial" w:hAnsi="Arial" w:cs="Arial"/>
        </w:rPr>
        <w:t xml:space="preserve">Ross, S.A., Westerfield, R.W., Jaffe, J. and Jordan, B.D. (2019) </w:t>
      </w:r>
      <w:r w:rsidRPr="008B012E">
        <w:rPr>
          <w:rFonts w:ascii="Arial" w:hAnsi="Arial" w:cs="Arial"/>
          <w:i/>
          <w:iCs/>
        </w:rPr>
        <w:t>Corporate Finance</w:t>
      </w:r>
      <w:r w:rsidRPr="008B012E">
        <w:rPr>
          <w:rFonts w:ascii="Arial" w:hAnsi="Arial" w:cs="Arial"/>
        </w:rPr>
        <w:t xml:space="preserve">. 12th </w:t>
      </w:r>
      <w:proofErr w:type="spellStart"/>
      <w:r w:rsidRPr="008B012E">
        <w:rPr>
          <w:rFonts w:ascii="Arial" w:hAnsi="Arial" w:cs="Arial"/>
        </w:rPr>
        <w:t>edn</w:t>
      </w:r>
      <w:proofErr w:type="spellEnd"/>
      <w:r w:rsidRPr="008B012E">
        <w:rPr>
          <w:rFonts w:ascii="Arial" w:hAnsi="Arial" w:cs="Arial"/>
        </w:rPr>
        <w:t>. New York: McGraw-Hill Education.</w:t>
      </w:r>
    </w:p>
    <w:p w14:paraId="006C5ABF" w14:textId="77777777" w:rsidR="008B012E" w:rsidRPr="008B012E" w:rsidRDefault="008B012E" w:rsidP="00BD065A">
      <w:pPr>
        <w:spacing w:line="360" w:lineRule="auto"/>
        <w:rPr>
          <w:rFonts w:ascii="Arial" w:hAnsi="Arial" w:cs="Arial"/>
        </w:rPr>
      </w:pPr>
      <w:proofErr w:type="spellStart"/>
      <w:r w:rsidRPr="008B012E">
        <w:rPr>
          <w:rFonts w:ascii="Arial" w:hAnsi="Arial" w:cs="Arial"/>
        </w:rPr>
        <w:t>Vernimmen</w:t>
      </w:r>
      <w:proofErr w:type="spellEnd"/>
      <w:r w:rsidRPr="008B012E">
        <w:rPr>
          <w:rFonts w:ascii="Arial" w:hAnsi="Arial" w:cs="Arial"/>
        </w:rPr>
        <w:t xml:space="preserve">, P., </w:t>
      </w:r>
      <w:proofErr w:type="spellStart"/>
      <w:r w:rsidRPr="008B012E">
        <w:rPr>
          <w:rFonts w:ascii="Arial" w:hAnsi="Arial" w:cs="Arial"/>
        </w:rPr>
        <w:t>Quiry</w:t>
      </w:r>
      <w:proofErr w:type="spellEnd"/>
      <w:r w:rsidRPr="008B012E">
        <w:rPr>
          <w:rFonts w:ascii="Arial" w:hAnsi="Arial" w:cs="Arial"/>
        </w:rPr>
        <w:t xml:space="preserve">, P., </w:t>
      </w:r>
      <w:proofErr w:type="spellStart"/>
      <w:r w:rsidRPr="008B012E">
        <w:rPr>
          <w:rFonts w:ascii="Arial" w:hAnsi="Arial" w:cs="Arial"/>
        </w:rPr>
        <w:t>Dallocchio</w:t>
      </w:r>
      <w:proofErr w:type="spellEnd"/>
      <w:r w:rsidRPr="008B012E">
        <w:rPr>
          <w:rFonts w:ascii="Arial" w:hAnsi="Arial" w:cs="Arial"/>
        </w:rPr>
        <w:t xml:space="preserve">, M., Le Fur, Y. and Salvi, A. (2022) </w:t>
      </w:r>
      <w:r w:rsidRPr="008B012E">
        <w:rPr>
          <w:rFonts w:ascii="Arial" w:hAnsi="Arial" w:cs="Arial"/>
          <w:i/>
          <w:iCs/>
        </w:rPr>
        <w:t>Corporate Finance: Theory and Practice</w:t>
      </w:r>
      <w:r w:rsidRPr="008B012E">
        <w:rPr>
          <w:rFonts w:ascii="Arial" w:hAnsi="Arial" w:cs="Arial"/>
        </w:rPr>
        <w:t xml:space="preserve">. 6th </w:t>
      </w:r>
      <w:proofErr w:type="spellStart"/>
      <w:r w:rsidRPr="008B012E">
        <w:rPr>
          <w:rFonts w:ascii="Arial" w:hAnsi="Arial" w:cs="Arial"/>
        </w:rPr>
        <w:t>edn</w:t>
      </w:r>
      <w:proofErr w:type="spellEnd"/>
      <w:r w:rsidRPr="008B012E">
        <w:rPr>
          <w:rFonts w:ascii="Arial" w:hAnsi="Arial" w:cs="Arial"/>
        </w:rPr>
        <w:t>. Hoboken: Wiley.</w:t>
      </w:r>
    </w:p>
    <w:p w14:paraId="57E20144" w14:textId="21D8B1E8" w:rsidR="008B012E" w:rsidRPr="008B012E" w:rsidRDefault="008B012E" w:rsidP="00BD065A">
      <w:pPr>
        <w:spacing w:line="360" w:lineRule="auto"/>
        <w:rPr>
          <w:rFonts w:ascii="Arial" w:hAnsi="Arial" w:cs="Arial"/>
        </w:rPr>
      </w:pPr>
      <w:r w:rsidRPr="008B012E">
        <w:rPr>
          <w:rFonts w:ascii="Arial" w:hAnsi="Arial" w:cs="Arial"/>
        </w:rPr>
        <w:t xml:space="preserve">Volvo Cars (2020) </w:t>
      </w:r>
      <w:r w:rsidRPr="008B012E">
        <w:rPr>
          <w:rFonts w:ascii="Arial" w:hAnsi="Arial" w:cs="Arial"/>
          <w:i/>
          <w:iCs/>
        </w:rPr>
        <w:t>Annual Report 2020</w:t>
      </w:r>
      <w:r w:rsidRPr="008B012E">
        <w:rPr>
          <w:rFonts w:ascii="Arial" w:hAnsi="Arial" w:cs="Arial"/>
        </w:rPr>
        <w:t xml:space="preserve">. Available at: </w:t>
      </w:r>
      <w:hyperlink r:id="rId28"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14576A2B" w14:textId="112DCD74" w:rsidR="008B012E" w:rsidRPr="008B012E" w:rsidRDefault="008B012E" w:rsidP="00BD065A">
      <w:pPr>
        <w:spacing w:line="360" w:lineRule="auto"/>
        <w:rPr>
          <w:rFonts w:ascii="Arial" w:hAnsi="Arial" w:cs="Arial"/>
        </w:rPr>
      </w:pPr>
      <w:r w:rsidRPr="008B012E">
        <w:rPr>
          <w:rFonts w:ascii="Arial" w:hAnsi="Arial" w:cs="Arial"/>
        </w:rPr>
        <w:lastRenderedPageBreak/>
        <w:t xml:space="preserve">Volvo Cars (2021) </w:t>
      </w:r>
      <w:r w:rsidRPr="008B012E">
        <w:rPr>
          <w:rFonts w:ascii="Arial" w:hAnsi="Arial" w:cs="Arial"/>
          <w:i/>
          <w:iCs/>
        </w:rPr>
        <w:t>Annual Report 2021</w:t>
      </w:r>
      <w:r w:rsidRPr="008B012E">
        <w:rPr>
          <w:rFonts w:ascii="Arial" w:hAnsi="Arial" w:cs="Arial"/>
        </w:rPr>
        <w:t xml:space="preserve">. Available at: </w:t>
      </w:r>
      <w:hyperlink r:id="rId29"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7890B81A" w14:textId="252F8926" w:rsidR="008B012E" w:rsidRPr="008B012E" w:rsidRDefault="008B012E" w:rsidP="00BD065A">
      <w:pPr>
        <w:spacing w:line="360" w:lineRule="auto"/>
        <w:rPr>
          <w:rFonts w:ascii="Arial" w:hAnsi="Arial" w:cs="Arial"/>
        </w:rPr>
      </w:pPr>
      <w:r w:rsidRPr="008B012E">
        <w:rPr>
          <w:rFonts w:ascii="Arial" w:hAnsi="Arial" w:cs="Arial"/>
        </w:rPr>
        <w:t xml:space="preserve">Volvo Cars (2022) </w:t>
      </w:r>
      <w:r w:rsidRPr="008B012E">
        <w:rPr>
          <w:rFonts w:ascii="Arial" w:hAnsi="Arial" w:cs="Arial"/>
          <w:i/>
          <w:iCs/>
        </w:rPr>
        <w:t>Annual Report 2022</w:t>
      </w:r>
      <w:r w:rsidRPr="008B012E">
        <w:rPr>
          <w:rFonts w:ascii="Arial" w:hAnsi="Arial" w:cs="Arial"/>
        </w:rPr>
        <w:t xml:space="preserve">. Available at: </w:t>
      </w:r>
      <w:hyperlink r:id="rId30"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05D504FE" w14:textId="2BAD3E83" w:rsidR="008B012E" w:rsidRPr="008B012E" w:rsidRDefault="008B012E" w:rsidP="00BD065A">
      <w:pPr>
        <w:spacing w:line="360" w:lineRule="auto"/>
        <w:rPr>
          <w:rFonts w:ascii="Arial" w:hAnsi="Arial" w:cs="Arial"/>
        </w:rPr>
      </w:pPr>
      <w:r w:rsidRPr="008B012E">
        <w:rPr>
          <w:rFonts w:ascii="Arial" w:hAnsi="Arial" w:cs="Arial"/>
        </w:rPr>
        <w:t xml:space="preserve">Volvo Cars (2023) </w:t>
      </w:r>
      <w:r w:rsidRPr="008B012E">
        <w:rPr>
          <w:rFonts w:ascii="Arial" w:hAnsi="Arial" w:cs="Arial"/>
          <w:i/>
          <w:iCs/>
        </w:rPr>
        <w:t>Annual Report 2023</w:t>
      </w:r>
      <w:r w:rsidRPr="008B012E">
        <w:rPr>
          <w:rFonts w:ascii="Arial" w:hAnsi="Arial" w:cs="Arial"/>
        </w:rPr>
        <w:t xml:space="preserve">. Available at: </w:t>
      </w:r>
      <w:hyperlink r:id="rId31"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582D2BC2" w14:textId="3043FAE9" w:rsidR="008B012E" w:rsidRPr="008B012E" w:rsidRDefault="008B012E" w:rsidP="00BD065A">
      <w:pPr>
        <w:spacing w:line="360" w:lineRule="auto"/>
        <w:rPr>
          <w:rFonts w:ascii="Arial" w:hAnsi="Arial" w:cs="Arial"/>
        </w:rPr>
      </w:pPr>
      <w:r w:rsidRPr="008B012E">
        <w:rPr>
          <w:rFonts w:ascii="Arial" w:hAnsi="Arial" w:cs="Arial"/>
        </w:rPr>
        <w:t xml:space="preserve">Volvo Cars (2024) </w:t>
      </w:r>
      <w:r w:rsidRPr="008B012E">
        <w:rPr>
          <w:rFonts w:ascii="Arial" w:hAnsi="Arial" w:cs="Arial"/>
          <w:i/>
          <w:iCs/>
        </w:rPr>
        <w:t>Annual Report 2024</w:t>
      </w:r>
      <w:r w:rsidRPr="008B012E">
        <w:rPr>
          <w:rFonts w:ascii="Arial" w:hAnsi="Arial" w:cs="Arial"/>
        </w:rPr>
        <w:t xml:space="preserve">. Available at: </w:t>
      </w:r>
      <w:hyperlink r:id="rId32"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4F73426A" w14:textId="4505A84F" w:rsidR="00683701" w:rsidRDefault="00532770" w:rsidP="00BD065A">
      <w:pPr>
        <w:spacing w:line="360" w:lineRule="auto"/>
        <w:rPr>
          <w:rStyle w:val="Hyperlink"/>
          <w:rFonts w:ascii="Arial" w:hAnsi="Arial" w:cs="Arial"/>
        </w:rPr>
      </w:pPr>
      <w:r w:rsidRPr="008B012E">
        <w:rPr>
          <w:rFonts w:ascii="Arial" w:hAnsi="Arial" w:cs="Arial"/>
        </w:rPr>
        <w:t xml:space="preserve">Volvo Cars (2024a) </w:t>
      </w:r>
      <w:r w:rsidRPr="008B012E">
        <w:rPr>
          <w:rFonts w:ascii="Arial" w:hAnsi="Arial" w:cs="Arial"/>
          <w:i/>
          <w:iCs/>
        </w:rPr>
        <w:t>Sustainability Update 2024</w:t>
      </w:r>
      <w:r w:rsidRPr="008B012E">
        <w:rPr>
          <w:rFonts w:ascii="Arial" w:hAnsi="Arial" w:cs="Arial"/>
        </w:rPr>
        <w:t xml:space="preserve">. Available at: </w:t>
      </w:r>
      <w:hyperlink r:id="rId33" w:tgtFrame="_new" w:history="1">
        <w:r w:rsidRPr="008B012E">
          <w:rPr>
            <w:rStyle w:val="Hyperlink"/>
            <w:rFonts w:ascii="Arial" w:hAnsi="Arial" w:cs="Arial"/>
          </w:rPr>
          <w:t>https://investors.volvocars.com/en/news-and-events/sustainability-update-2024</w:t>
        </w:r>
      </w:hyperlink>
    </w:p>
    <w:p w14:paraId="7B7A6EA7" w14:textId="22F3F694" w:rsidR="00532770" w:rsidRPr="00532770" w:rsidRDefault="00532770" w:rsidP="00532770">
      <w:pPr>
        <w:rPr>
          <w:rFonts w:ascii="Arial" w:hAnsi="Arial" w:cs="Arial"/>
        </w:rPr>
      </w:pPr>
      <w:r w:rsidRPr="008B012E">
        <w:rPr>
          <w:rFonts w:ascii="Arial" w:hAnsi="Arial" w:cs="Arial"/>
        </w:rPr>
        <w:t xml:space="preserve">Volvo Cars (2024b) </w:t>
      </w:r>
      <w:r w:rsidRPr="008B012E">
        <w:rPr>
          <w:rFonts w:ascii="Arial" w:hAnsi="Arial" w:cs="Arial"/>
          <w:i/>
          <w:iCs/>
        </w:rPr>
        <w:t>Green Financing Report 2024</w:t>
      </w:r>
      <w:r w:rsidRPr="008B012E">
        <w:rPr>
          <w:rFonts w:ascii="Arial" w:hAnsi="Arial" w:cs="Arial"/>
        </w:rPr>
        <w:t xml:space="preserve">. Available at: </w:t>
      </w:r>
      <w:hyperlink r:id="rId34" w:tgtFrame="_new" w:history="1">
        <w:r w:rsidRPr="008B012E">
          <w:rPr>
            <w:rStyle w:val="Hyperlink"/>
            <w:rFonts w:ascii="Arial" w:hAnsi="Arial" w:cs="Arial"/>
          </w:rPr>
          <w:t>https://investors.volvocars.com/en/news-and-events/sustainability-update-2024</w:t>
        </w:r>
      </w:hyperlink>
    </w:p>
    <w:sectPr w:rsidR="00532770" w:rsidRPr="00532770" w:rsidSect="009D382F">
      <w:footerReference w:type="default" r:id="rId3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E5DE7" w14:textId="77777777" w:rsidR="00A57608" w:rsidRDefault="00A57608" w:rsidP="00160EDA">
      <w:pPr>
        <w:spacing w:after="0" w:line="240" w:lineRule="auto"/>
      </w:pPr>
      <w:r>
        <w:separator/>
      </w:r>
    </w:p>
  </w:endnote>
  <w:endnote w:type="continuationSeparator" w:id="0">
    <w:p w14:paraId="595A8372" w14:textId="77777777" w:rsidR="00A57608" w:rsidRDefault="00A57608" w:rsidP="00160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10803"/>
      <w:docPartObj>
        <w:docPartGallery w:val="Page Numbers (Bottom of Page)"/>
        <w:docPartUnique/>
      </w:docPartObj>
    </w:sdtPr>
    <w:sdtEndPr>
      <w:rPr>
        <w:noProof/>
      </w:rPr>
    </w:sdtEndPr>
    <w:sdtContent>
      <w:p w14:paraId="730B69AE" w14:textId="6FE7CC1C" w:rsidR="00160EDA" w:rsidRDefault="00160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302667" w14:textId="77777777" w:rsidR="00160EDA" w:rsidRDefault="00160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B7E6A" w14:textId="77777777" w:rsidR="00A57608" w:rsidRDefault="00A57608" w:rsidP="00160EDA">
      <w:pPr>
        <w:spacing w:after="0" w:line="240" w:lineRule="auto"/>
      </w:pPr>
      <w:r>
        <w:separator/>
      </w:r>
    </w:p>
  </w:footnote>
  <w:footnote w:type="continuationSeparator" w:id="0">
    <w:p w14:paraId="42F72D20" w14:textId="77777777" w:rsidR="00A57608" w:rsidRDefault="00A57608" w:rsidP="00160E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188"/>
    <w:multiLevelType w:val="multilevel"/>
    <w:tmpl w:val="8B1AF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85E14"/>
    <w:multiLevelType w:val="multilevel"/>
    <w:tmpl w:val="F20EA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57D73"/>
    <w:multiLevelType w:val="multilevel"/>
    <w:tmpl w:val="FCD4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D7E83"/>
    <w:multiLevelType w:val="multilevel"/>
    <w:tmpl w:val="7D2A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C63E3"/>
    <w:multiLevelType w:val="multilevel"/>
    <w:tmpl w:val="B31C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8447E5"/>
    <w:multiLevelType w:val="multilevel"/>
    <w:tmpl w:val="D144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5031D"/>
    <w:multiLevelType w:val="multilevel"/>
    <w:tmpl w:val="3392B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EF3352"/>
    <w:multiLevelType w:val="multilevel"/>
    <w:tmpl w:val="30768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46668C"/>
    <w:multiLevelType w:val="multilevel"/>
    <w:tmpl w:val="C6CAC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1B7C42"/>
    <w:multiLevelType w:val="multilevel"/>
    <w:tmpl w:val="78E8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1E7D38"/>
    <w:multiLevelType w:val="multilevel"/>
    <w:tmpl w:val="2530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254EC0"/>
    <w:multiLevelType w:val="multilevel"/>
    <w:tmpl w:val="B4209FE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7DC65BBE"/>
    <w:multiLevelType w:val="multilevel"/>
    <w:tmpl w:val="7FE6261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563683849">
    <w:abstractNumId w:val="11"/>
  </w:num>
  <w:num w:numId="2" w16cid:durableId="2044867350">
    <w:abstractNumId w:val="12"/>
  </w:num>
  <w:num w:numId="3" w16cid:durableId="447358478">
    <w:abstractNumId w:val="1"/>
  </w:num>
  <w:num w:numId="4" w16cid:durableId="880900895">
    <w:abstractNumId w:val="6"/>
  </w:num>
  <w:num w:numId="5" w16cid:durableId="921139360">
    <w:abstractNumId w:val="4"/>
  </w:num>
  <w:num w:numId="6" w16cid:durableId="525559556">
    <w:abstractNumId w:val="9"/>
  </w:num>
  <w:num w:numId="7" w16cid:durableId="849103453">
    <w:abstractNumId w:val="8"/>
  </w:num>
  <w:num w:numId="8" w16cid:durableId="778989735">
    <w:abstractNumId w:val="7"/>
  </w:num>
  <w:num w:numId="9" w16cid:durableId="75438446">
    <w:abstractNumId w:val="0"/>
  </w:num>
  <w:num w:numId="10" w16cid:durableId="1942253803">
    <w:abstractNumId w:val="5"/>
  </w:num>
  <w:num w:numId="11" w16cid:durableId="369186161">
    <w:abstractNumId w:val="2"/>
  </w:num>
  <w:num w:numId="12" w16cid:durableId="1111170531">
    <w:abstractNumId w:val="10"/>
  </w:num>
  <w:num w:numId="13" w16cid:durableId="474756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E6F"/>
    <w:rsid w:val="00003079"/>
    <w:rsid w:val="00012AFA"/>
    <w:rsid w:val="000B1577"/>
    <w:rsid w:val="000B5DA1"/>
    <w:rsid w:val="000E3AF3"/>
    <w:rsid w:val="000E7CC9"/>
    <w:rsid w:val="00113508"/>
    <w:rsid w:val="001135AB"/>
    <w:rsid w:val="001171BF"/>
    <w:rsid w:val="0013374E"/>
    <w:rsid w:val="00137446"/>
    <w:rsid w:val="00160EDA"/>
    <w:rsid w:val="001756BA"/>
    <w:rsid w:val="00176B69"/>
    <w:rsid w:val="00190AC4"/>
    <w:rsid w:val="001A6DBA"/>
    <w:rsid w:val="001B012B"/>
    <w:rsid w:val="001C3E46"/>
    <w:rsid w:val="001E5D80"/>
    <w:rsid w:val="001F1A57"/>
    <w:rsid w:val="002173D1"/>
    <w:rsid w:val="00221945"/>
    <w:rsid w:val="00235B8C"/>
    <w:rsid w:val="00260C33"/>
    <w:rsid w:val="002A3232"/>
    <w:rsid w:val="002A43FD"/>
    <w:rsid w:val="002C043A"/>
    <w:rsid w:val="002D186A"/>
    <w:rsid w:val="002E0177"/>
    <w:rsid w:val="002E11D3"/>
    <w:rsid w:val="002F5BDF"/>
    <w:rsid w:val="00301C62"/>
    <w:rsid w:val="00311142"/>
    <w:rsid w:val="0032388B"/>
    <w:rsid w:val="00335851"/>
    <w:rsid w:val="00356118"/>
    <w:rsid w:val="003663A3"/>
    <w:rsid w:val="0039717D"/>
    <w:rsid w:val="003B234E"/>
    <w:rsid w:val="003B3A81"/>
    <w:rsid w:val="003B7E43"/>
    <w:rsid w:val="003D0536"/>
    <w:rsid w:val="003D0B48"/>
    <w:rsid w:val="003D2527"/>
    <w:rsid w:val="003D3DB8"/>
    <w:rsid w:val="003F5B06"/>
    <w:rsid w:val="0041205E"/>
    <w:rsid w:val="0041397F"/>
    <w:rsid w:val="00417F81"/>
    <w:rsid w:val="00432500"/>
    <w:rsid w:val="00487C2A"/>
    <w:rsid w:val="004B45AB"/>
    <w:rsid w:val="004B5428"/>
    <w:rsid w:val="004E6299"/>
    <w:rsid w:val="00504214"/>
    <w:rsid w:val="00526BA6"/>
    <w:rsid w:val="0053156D"/>
    <w:rsid w:val="00532770"/>
    <w:rsid w:val="00556986"/>
    <w:rsid w:val="00564DA4"/>
    <w:rsid w:val="00572B50"/>
    <w:rsid w:val="00592A6B"/>
    <w:rsid w:val="005A5574"/>
    <w:rsid w:val="005B0425"/>
    <w:rsid w:val="005B1183"/>
    <w:rsid w:val="005E27F1"/>
    <w:rsid w:val="00612122"/>
    <w:rsid w:val="00621CD2"/>
    <w:rsid w:val="00622B00"/>
    <w:rsid w:val="006350F6"/>
    <w:rsid w:val="00635D4D"/>
    <w:rsid w:val="00656F25"/>
    <w:rsid w:val="006647F9"/>
    <w:rsid w:val="00683701"/>
    <w:rsid w:val="0068551A"/>
    <w:rsid w:val="00685B5C"/>
    <w:rsid w:val="006A4108"/>
    <w:rsid w:val="006E4FE9"/>
    <w:rsid w:val="007011BB"/>
    <w:rsid w:val="00701BBB"/>
    <w:rsid w:val="0071047A"/>
    <w:rsid w:val="00712892"/>
    <w:rsid w:val="0073513F"/>
    <w:rsid w:val="007413F1"/>
    <w:rsid w:val="00751EA2"/>
    <w:rsid w:val="0075546C"/>
    <w:rsid w:val="00772B23"/>
    <w:rsid w:val="007B39D9"/>
    <w:rsid w:val="007B66A2"/>
    <w:rsid w:val="007C4ADB"/>
    <w:rsid w:val="007D7BB9"/>
    <w:rsid w:val="00812959"/>
    <w:rsid w:val="0081632F"/>
    <w:rsid w:val="008229C2"/>
    <w:rsid w:val="00824960"/>
    <w:rsid w:val="00852F78"/>
    <w:rsid w:val="008A5C44"/>
    <w:rsid w:val="008B012E"/>
    <w:rsid w:val="008B3A52"/>
    <w:rsid w:val="008C355F"/>
    <w:rsid w:val="008F2F59"/>
    <w:rsid w:val="009016DA"/>
    <w:rsid w:val="00904052"/>
    <w:rsid w:val="00911F5F"/>
    <w:rsid w:val="009135E7"/>
    <w:rsid w:val="00913A66"/>
    <w:rsid w:val="009209A3"/>
    <w:rsid w:val="00940F26"/>
    <w:rsid w:val="00944277"/>
    <w:rsid w:val="0094572E"/>
    <w:rsid w:val="0097038A"/>
    <w:rsid w:val="009822BD"/>
    <w:rsid w:val="009902F6"/>
    <w:rsid w:val="009A58B9"/>
    <w:rsid w:val="009A7C92"/>
    <w:rsid w:val="009B08C5"/>
    <w:rsid w:val="009C649E"/>
    <w:rsid w:val="009C7338"/>
    <w:rsid w:val="009D382F"/>
    <w:rsid w:val="009E69F8"/>
    <w:rsid w:val="009F69CF"/>
    <w:rsid w:val="00A058E6"/>
    <w:rsid w:val="00A247BE"/>
    <w:rsid w:val="00A51478"/>
    <w:rsid w:val="00A55E6F"/>
    <w:rsid w:val="00A56D5F"/>
    <w:rsid w:val="00A57608"/>
    <w:rsid w:val="00A738A5"/>
    <w:rsid w:val="00AA357E"/>
    <w:rsid w:val="00AB6462"/>
    <w:rsid w:val="00AC75AB"/>
    <w:rsid w:val="00AD3D3F"/>
    <w:rsid w:val="00AE16FB"/>
    <w:rsid w:val="00B30766"/>
    <w:rsid w:val="00B430B7"/>
    <w:rsid w:val="00B7384B"/>
    <w:rsid w:val="00B81EA1"/>
    <w:rsid w:val="00B875B5"/>
    <w:rsid w:val="00BB6360"/>
    <w:rsid w:val="00BC5376"/>
    <w:rsid w:val="00BC722A"/>
    <w:rsid w:val="00BD065A"/>
    <w:rsid w:val="00C12EE6"/>
    <w:rsid w:val="00C17514"/>
    <w:rsid w:val="00CC610A"/>
    <w:rsid w:val="00CE10F7"/>
    <w:rsid w:val="00CE2A73"/>
    <w:rsid w:val="00D04878"/>
    <w:rsid w:val="00D077AD"/>
    <w:rsid w:val="00D0792F"/>
    <w:rsid w:val="00D3306F"/>
    <w:rsid w:val="00D81C52"/>
    <w:rsid w:val="00D85DDA"/>
    <w:rsid w:val="00D93238"/>
    <w:rsid w:val="00DA5524"/>
    <w:rsid w:val="00DB4661"/>
    <w:rsid w:val="00DE634E"/>
    <w:rsid w:val="00DF051E"/>
    <w:rsid w:val="00E14D98"/>
    <w:rsid w:val="00E20321"/>
    <w:rsid w:val="00E21215"/>
    <w:rsid w:val="00E60911"/>
    <w:rsid w:val="00E62DF4"/>
    <w:rsid w:val="00E631B5"/>
    <w:rsid w:val="00E900AD"/>
    <w:rsid w:val="00ED62B2"/>
    <w:rsid w:val="00EF41C9"/>
    <w:rsid w:val="00F2122B"/>
    <w:rsid w:val="00F25DE3"/>
    <w:rsid w:val="00F27606"/>
    <w:rsid w:val="00F421EA"/>
    <w:rsid w:val="00F70DE5"/>
    <w:rsid w:val="00F75137"/>
    <w:rsid w:val="00F81C1A"/>
    <w:rsid w:val="00FC7412"/>
    <w:rsid w:val="00FD61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BF46"/>
  <w15:chartTrackingRefBased/>
  <w15:docId w15:val="{0972EDD4-C5D3-48CC-9BCD-CB7CD465C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E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55E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5E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5E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5E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5E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E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E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E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E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55E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5E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5E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5E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5E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E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E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E6F"/>
    <w:rPr>
      <w:rFonts w:eastAsiaTheme="majorEastAsia" w:cstheme="majorBidi"/>
      <w:color w:val="272727" w:themeColor="text1" w:themeTint="D8"/>
    </w:rPr>
  </w:style>
  <w:style w:type="paragraph" w:styleId="Title">
    <w:name w:val="Title"/>
    <w:basedOn w:val="Normal"/>
    <w:next w:val="Normal"/>
    <w:link w:val="TitleChar"/>
    <w:uiPriority w:val="10"/>
    <w:qFormat/>
    <w:rsid w:val="00A55E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E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E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E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E6F"/>
    <w:pPr>
      <w:spacing w:before="160"/>
      <w:jc w:val="center"/>
    </w:pPr>
    <w:rPr>
      <w:i/>
      <w:iCs/>
      <w:color w:val="404040" w:themeColor="text1" w:themeTint="BF"/>
    </w:rPr>
  </w:style>
  <w:style w:type="character" w:customStyle="1" w:styleId="QuoteChar">
    <w:name w:val="Quote Char"/>
    <w:basedOn w:val="DefaultParagraphFont"/>
    <w:link w:val="Quote"/>
    <w:uiPriority w:val="29"/>
    <w:rsid w:val="00A55E6F"/>
    <w:rPr>
      <w:i/>
      <w:iCs/>
      <w:color w:val="404040" w:themeColor="text1" w:themeTint="BF"/>
    </w:rPr>
  </w:style>
  <w:style w:type="paragraph" w:styleId="ListParagraph">
    <w:name w:val="List Paragraph"/>
    <w:basedOn w:val="Normal"/>
    <w:uiPriority w:val="34"/>
    <w:qFormat/>
    <w:rsid w:val="00A55E6F"/>
    <w:pPr>
      <w:ind w:left="720"/>
      <w:contextualSpacing/>
    </w:pPr>
  </w:style>
  <w:style w:type="character" w:styleId="IntenseEmphasis">
    <w:name w:val="Intense Emphasis"/>
    <w:basedOn w:val="DefaultParagraphFont"/>
    <w:uiPriority w:val="21"/>
    <w:qFormat/>
    <w:rsid w:val="00A55E6F"/>
    <w:rPr>
      <w:i/>
      <w:iCs/>
      <w:color w:val="2F5496" w:themeColor="accent1" w:themeShade="BF"/>
    </w:rPr>
  </w:style>
  <w:style w:type="paragraph" w:styleId="IntenseQuote">
    <w:name w:val="Intense Quote"/>
    <w:basedOn w:val="Normal"/>
    <w:next w:val="Normal"/>
    <w:link w:val="IntenseQuoteChar"/>
    <w:uiPriority w:val="30"/>
    <w:qFormat/>
    <w:rsid w:val="00A55E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5E6F"/>
    <w:rPr>
      <w:i/>
      <w:iCs/>
      <w:color w:val="2F5496" w:themeColor="accent1" w:themeShade="BF"/>
    </w:rPr>
  </w:style>
  <w:style w:type="character" w:styleId="IntenseReference">
    <w:name w:val="Intense Reference"/>
    <w:basedOn w:val="DefaultParagraphFont"/>
    <w:uiPriority w:val="32"/>
    <w:qFormat/>
    <w:rsid w:val="00A55E6F"/>
    <w:rPr>
      <w:b/>
      <w:bCs/>
      <w:smallCaps/>
      <w:color w:val="2F5496" w:themeColor="accent1" w:themeShade="BF"/>
      <w:spacing w:val="5"/>
    </w:rPr>
  </w:style>
  <w:style w:type="character" w:styleId="Hyperlink">
    <w:name w:val="Hyperlink"/>
    <w:basedOn w:val="DefaultParagraphFont"/>
    <w:uiPriority w:val="99"/>
    <w:unhideWhenUsed/>
    <w:rsid w:val="00AD3D3F"/>
    <w:rPr>
      <w:color w:val="0563C1" w:themeColor="hyperlink"/>
      <w:u w:val="single"/>
    </w:rPr>
  </w:style>
  <w:style w:type="character" w:styleId="UnresolvedMention">
    <w:name w:val="Unresolved Mention"/>
    <w:basedOn w:val="DefaultParagraphFont"/>
    <w:uiPriority w:val="99"/>
    <w:semiHidden/>
    <w:unhideWhenUsed/>
    <w:rsid w:val="00AD3D3F"/>
    <w:rPr>
      <w:color w:val="605E5C"/>
      <w:shd w:val="clear" w:color="auto" w:fill="E1DFDD"/>
    </w:rPr>
  </w:style>
  <w:style w:type="paragraph" w:styleId="NormalWeb">
    <w:name w:val="Normal (Web)"/>
    <w:basedOn w:val="Normal"/>
    <w:uiPriority w:val="99"/>
    <w:semiHidden/>
    <w:unhideWhenUsed/>
    <w:rsid w:val="0039717D"/>
    <w:rPr>
      <w:rFonts w:ascii="Times New Roman" w:hAnsi="Times New Roman" w:cs="Times New Roman"/>
    </w:rPr>
  </w:style>
  <w:style w:type="character" w:styleId="FollowedHyperlink">
    <w:name w:val="FollowedHyperlink"/>
    <w:basedOn w:val="DefaultParagraphFont"/>
    <w:uiPriority w:val="99"/>
    <w:semiHidden/>
    <w:unhideWhenUsed/>
    <w:rsid w:val="00432500"/>
    <w:rPr>
      <w:color w:val="954F72" w:themeColor="followedHyperlink"/>
      <w:u w:val="single"/>
    </w:rPr>
  </w:style>
  <w:style w:type="character" w:styleId="Strong">
    <w:name w:val="Strong"/>
    <w:basedOn w:val="DefaultParagraphFont"/>
    <w:uiPriority w:val="22"/>
    <w:qFormat/>
    <w:rsid w:val="00772B23"/>
    <w:rPr>
      <w:b/>
      <w:bCs/>
    </w:rPr>
  </w:style>
  <w:style w:type="paragraph" w:styleId="Header">
    <w:name w:val="header"/>
    <w:basedOn w:val="Normal"/>
    <w:link w:val="HeaderChar"/>
    <w:uiPriority w:val="99"/>
    <w:unhideWhenUsed/>
    <w:rsid w:val="00160E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EDA"/>
  </w:style>
  <w:style w:type="paragraph" w:styleId="Footer">
    <w:name w:val="footer"/>
    <w:basedOn w:val="Normal"/>
    <w:link w:val="FooterChar"/>
    <w:uiPriority w:val="99"/>
    <w:unhideWhenUsed/>
    <w:rsid w:val="00160E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EDA"/>
  </w:style>
  <w:style w:type="paragraph" w:styleId="TOCHeading">
    <w:name w:val="TOC Heading"/>
    <w:basedOn w:val="Heading1"/>
    <w:next w:val="Normal"/>
    <w:uiPriority w:val="39"/>
    <w:unhideWhenUsed/>
    <w:qFormat/>
    <w:rsid w:val="00D81C5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1C52"/>
    <w:pPr>
      <w:spacing w:after="100"/>
    </w:pPr>
  </w:style>
  <w:style w:type="paragraph" w:styleId="TOC2">
    <w:name w:val="toc 2"/>
    <w:basedOn w:val="Normal"/>
    <w:next w:val="Normal"/>
    <w:autoRedefine/>
    <w:uiPriority w:val="39"/>
    <w:unhideWhenUsed/>
    <w:rsid w:val="00D81C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618979">
      <w:bodyDiv w:val="1"/>
      <w:marLeft w:val="0"/>
      <w:marRight w:val="0"/>
      <w:marTop w:val="0"/>
      <w:marBottom w:val="0"/>
      <w:divBdr>
        <w:top w:val="none" w:sz="0" w:space="0" w:color="auto"/>
        <w:left w:val="none" w:sz="0" w:space="0" w:color="auto"/>
        <w:bottom w:val="none" w:sz="0" w:space="0" w:color="auto"/>
        <w:right w:val="none" w:sz="0" w:space="0" w:color="auto"/>
      </w:divBdr>
    </w:div>
    <w:div w:id="18076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vestors.volvocars.com/en" TargetMode="External"/><Relationship Id="rId18" Type="http://schemas.openxmlformats.org/officeDocument/2006/relationships/image" Target="media/image7.jpeg"/><Relationship Id="rId26" Type="http://schemas.openxmlformats.org/officeDocument/2006/relationships/image" Target="media/image14.emf"/><Relationship Id="rId21" Type="http://schemas.openxmlformats.org/officeDocument/2006/relationships/image" Target="media/image9.png"/><Relationship Id="rId34" Type="http://schemas.openxmlformats.org/officeDocument/2006/relationships/hyperlink" Target="https://investors.volvocars.com/en/news-and-events/sustainability-update-2024?utm_source=chatgpt.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investors.volvocars.com/en" TargetMode="External"/><Relationship Id="rId25" Type="http://schemas.openxmlformats.org/officeDocument/2006/relationships/image" Target="media/image13.emf"/><Relationship Id="rId33" Type="http://schemas.openxmlformats.org/officeDocument/2006/relationships/hyperlink" Target="https://investors.volvocars.com/en/news-and-events/sustainability-update-2024?utm_source=chatgpt.com"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hyperlink" Target="https://investors.volvocars.com/en/results-and-report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s.volvocars.com/en" TargetMode="External"/><Relationship Id="rId24" Type="http://schemas.openxmlformats.org/officeDocument/2006/relationships/image" Target="media/image12.emf"/><Relationship Id="rId32" Type="http://schemas.openxmlformats.org/officeDocument/2006/relationships/hyperlink" Target="https://investors.volvocars.com/en/results-and-reports?utm_source=chatgpt.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nvestors.volvocars.com/en" TargetMode="External"/><Relationship Id="rId23" Type="http://schemas.openxmlformats.org/officeDocument/2006/relationships/image" Target="media/image11.jpeg"/><Relationship Id="rId28" Type="http://schemas.openxmlformats.org/officeDocument/2006/relationships/hyperlink" Target="https://investors.volvocars.com/en/results-and-reports?utm_source=chatgpt.com"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investors.volvocars.com/en" TargetMode="External"/><Relationship Id="rId31" Type="http://schemas.openxmlformats.org/officeDocument/2006/relationships/hyperlink" Target="https://investors.volvocars.com/en/results-and-reports?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0.emf"/><Relationship Id="rId27" Type="http://schemas.openxmlformats.org/officeDocument/2006/relationships/hyperlink" Target="https://www.iea.org" TargetMode="External"/><Relationship Id="rId30" Type="http://schemas.openxmlformats.org/officeDocument/2006/relationships/hyperlink" Target="https://investors.volvocars.com/en/results-and-reports?utm_source=chatgpt.com"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E9C85-44A0-4FBA-B957-34B92B0B4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28</Pages>
  <Words>7307</Words>
  <Characters>41651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133</cp:revision>
  <dcterms:created xsi:type="dcterms:W3CDTF">2026-04-18T10:33:00Z</dcterms:created>
  <dcterms:modified xsi:type="dcterms:W3CDTF">2026-04-23T16:24:00Z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d3b45e0c-5224-4aa6-b338-12687df3d70c</vt:lpwstr>
  </property>
</Properties>
</file>