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48E49A" w14:textId="77777777" w:rsidR="00A25DE7" w:rsidRPr="00745BDD" w:rsidRDefault="00A25DE7" w:rsidP="00A972F6">
      <w:pPr>
        <w:jc w:val="center"/>
        <w:rPr>
          <w:rFonts w:ascii="Arial" w:hAnsi="Arial" w:cs="Arial"/>
        </w:rPr>
      </w:pPr>
    </w:p>
    <w:p w14:paraId="3476B473" w14:textId="77777777" w:rsidR="00A25DE7" w:rsidRPr="00745BDD" w:rsidRDefault="00A25DE7" w:rsidP="00A972F6">
      <w:pPr>
        <w:jc w:val="center"/>
        <w:rPr>
          <w:rFonts w:ascii="Arial" w:hAnsi="Arial" w:cs="Arial"/>
        </w:rPr>
      </w:pPr>
    </w:p>
    <w:p w14:paraId="48F564B6" w14:textId="77777777" w:rsidR="00A25DE7" w:rsidRPr="00745BDD" w:rsidRDefault="00A25DE7" w:rsidP="00A972F6">
      <w:pPr>
        <w:jc w:val="center"/>
        <w:rPr>
          <w:rFonts w:ascii="Arial" w:hAnsi="Arial" w:cs="Arial"/>
        </w:rPr>
      </w:pPr>
    </w:p>
    <w:p w14:paraId="09257828" w14:textId="77777777" w:rsidR="00A25DE7" w:rsidRPr="00745BDD" w:rsidRDefault="00A25DE7" w:rsidP="00A972F6">
      <w:pPr>
        <w:jc w:val="center"/>
        <w:rPr>
          <w:rFonts w:ascii="Arial" w:hAnsi="Arial" w:cs="Arial"/>
        </w:rPr>
      </w:pPr>
    </w:p>
    <w:p w14:paraId="7D7F486E" w14:textId="77777777" w:rsidR="00A25DE7" w:rsidRPr="00745BDD" w:rsidRDefault="00A25DE7" w:rsidP="00A972F6">
      <w:pPr>
        <w:jc w:val="center"/>
        <w:rPr>
          <w:rFonts w:ascii="Arial" w:hAnsi="Arial" w:cs="Arial"/>
        </w:rPr>
      </w:pPr>
    </w:p>
    <w:p w14:paraId="170AA31E" w14:textId="77777777" w:rsidR="00A25DE7" w:rsidRPr="00745BDD" w:rsidRDefault="00A25DE7" w:rsidP="00A972F6">
      <w:pPr>
        <w:jc w:val="center"/>
        <w:rPr>
          <w:rFonts w:ascii="Arial" w:hAnsi="Arial" w:cs="Arial"/>
          <w:sz w:val="24"/>
        </w:rPr>
      </w:pPr>
    </w:p>
    <w:p w14:paraId="0E2072D2" w14:textId="77777777" w:rsidR="00A25DE7" w:rsidRPr="00745BDD" w:rsidRDefault="00A25DE7" w:rsidP="00A972F6">
      <w:pPr>
        <w:jc w:val="center"/>
        <w:rPr>
          <w:rFonts w:ascii="Arial" w:hAnsi="Arial" w:cs="Arial"/>
          <w:sz w:val="24"/>
        </w:rPr>
      </w:pPr>
    </w:p>
    <w:p w14:paraId="0DE18941" w14:textId="77777777" w:rsidR="00A25DE7" w:rsidRPr="00745BDD" w:rsidRDefault="00A25DE7" w:rsidP="00A972F6">
      <w:pPr>
        <w:jc w:val="center"/>
        <w:rPr>
          <w:rFonts w:ascii="Arial" w:hAnsi="Arial" w:cs="Arial"/>
          <w:b/>
          <w:sz w:val="24"/>
        </w:rPr>
      </w:pPr>
      <w:r w:rsidRPr="00745BDD">
        <w:rPr>
          <w:rFonts w:ascii="Arial" w:hAnsi="Arial" w:cs="Arial"/>
          <w:b/>
          <w:sz w:val="24"/>
        </w:rPr>
        <w:t xml:space="preserve">'REFLECTING ONASTRONOMY ANDHOROLOGYIN THE LITERARY MYTHOLOGIES OF WESTERN ASIAAND ARCHAIC </w:t>
      </w:r>
      <w:smartTag w:uri="urn:schemas-microsoft-com:office:smarttags" w:element="country-region">
        <w:smartTag w:uri="urn:schemas-microsoft-com:office:smarttags" w:element="place">
          <w:r w:rsidRPr="00745BDD">
            <w:rPr>
              <w:rFonts w:ascii="Arial" w:hAnsi="Arial" w:cs="Arial"/>
              <w:b/>
              <w:sz w:val="24"/>
            </w:rPr>
            <w:t>GREECE</w:t>
          </w:r>
        </w:smartTag>
      </w:smartTag>
      <w:r w:rsidRPr="00745BDD">
        <w:rPr>
          <w:rFonts w:ascii="Arial" w:hAnsi="Arial" w:cs="Arial"/>
          <w:b/>
          <w:sz w:val="24"/>
        </w:rPr>
        <w:t xml:space="preserve">: </w:t>
      </w:r>
    </w:p>
    <w:p w14:paraId="205B477A" w14:textId="77777777" w:rsidR="00A25DE7" w:rsidRPr="00745BDD" w:rsidRDefault="00A25DE7" w:rsidP="00A972F6">
      <w:pPr>
        <w:jc w:val="center"/>
        <w:rPr>
          <w:rFonts w:ascii="Arial" w:hAnsi="Arial" w:cs="Arial"/>
          <w:b/>
          <w:sz w:val="24"/>
        </w:rPr>
      </w:pPr>
      <w:r w:rsidRPr="00745BDD">
        <w:rPr>
          <w:rFonts w:ascii="Arial" w:hAnsi="Arial" w:cs="Arial"/>
          <w:b/>
          <w:sz w:val="24"/>
        </w:rPr>
        <w:t xml:space="preserve">TO WHAT EXTENT IS THE COSMOLOGY OF HOMER’S </w:t>
      </w:r>
      <w:r w:rsidRPr="00745BDD">
        <w:rPr>
          <w:rFonts w:ascii="Arial" w:hAnsi="Arial" w:cs="Arial"/>
          <w:b/>
          <w:i/>
          <w:sz w:val="24"/>
        </w:rPr>
        <w:t xml:space="preserve">ODYSSEY </w:t>
      </w:r>
      <w:r w:rsidRPr="00745BDD">
        <w:rPr>
          <w:rFonts w:ascii="Arial" w:hAnsi="Arial" w:cs="Arial"/>
          <w:b/>
          <w:sz w:val="24"/>
        </w:rPr>
        <w:t>INFLUENCED BY MESOPOTAMIAN LITERATURE?’</w:t>
      </w:r>
    </w:p>
    <w:p w14:paraId="68D1C406" w14:textId="77777777" w:rsidR="00A25DE7" w:rsidRPr="00745BDD" w:rsidRDefault="00A25DE7" w:rsidP="0073153C">
      <w:pPr>
        <w:rPr>
          <w:rFonts w:ascii="Arial" w:hAnsi="Arial" w:cs="Arial"/>
          <w:b/>
          <w:sz w:val="24"/>
        </w:rPr>
      </w:pPr>
    </w:p>
    <w:p w14:paraId="5259F691" w14:textId="77777777" w:rsidR="00A25DE7" w:rsidRPr="00745BDD" w:rsidRDefault="00A25DE7" w:rsidP="0073153C">
      <w:pPr>
        <w:jc w:val="center"/>
        <w:rPr>
          <w:rFonts w:ascii="Arial" w:hAnsi="Arial" w:cs="Arial"/>
        </w:rPr>
      </w:pPr>
      <w:r w:rsidRPr="00745BDD">
        <w:rPr>
          <w:rFonts w:ascii="Arial" w:hAnsi="Arial" w:cs="Arial"/>
          <w:b/>
          <w:sz w:val="24"/>
        </w:rPr>
        <w:t xml:space="preserve">Safari Grey </w:t>
      </w:r>
      <w:r w:rsidRPr="00745BDD">
        <w:rPr>
          <w:rFonts w:ascii="Arial" w:hAnsi="Arial" w:cs="Arial"/>
          <w:b/>
          <w:sz w:val="18"/>
        </w:rPr>
        <w:t>BA (Hons) BA (Hons) PG CERT</w:t>
      </w:r>
    </w:p>
    <w:p w14:paraId="6054F117" w14:textId="77777777" w:rsidR="00A25DE7" w:rsidRPr="00745BDD" w:rsidRDefault="00A25DE7" w:rsidP="00A972F6">
      <w:pPr>
        <w:jc w:val="center"/>
        <w:rPr>
          <w:rFonts w:ascii="Arial" w:hAnsi="Arial" w:cs="Arial"/>
        </w:rPr>
      </w:pPr>
    </w:p>
    <w:p w14:paraId="35B1E615" w14:textId="77777777" w:rsidR="00A25DE7" w:rsidRPr="00745BDD" w:rsidRDefault="00A25DE7" w:rsidP="00A972F6">
      <w:pPr>
        <w:jc w:val="center"/>
        <w:rPr>
          <w:rFonts w:ascii="Arial" w:hAnsi="Arial" w:cs="Arial"/>
        </w:rPr>
      </w:pPr>
    </w:p>
    <w:p w14:paraId="04D48E99" w14:textId="77777777" w:rsidR="00A25DE7" w:rsidRPr="00745BDD" w:rsidRDefault="00A25DE7" w:rsidP="0073153C">
      <w:pPr>
        <w:jc w:val="center"/>
        <w:rPr>
          <w:rFonts w:ascii="Arial" w:hAnsi="Arial" w:cs="Arial"/>
          <w:i/>
          <w:iCs/>
          <w:color w:val="000000"/>
          <w:sz w:val="20"/>
        </w:rPr>
      </w:pPr>
      <w:r w:rsidRPr="00745BDD">
        <w:rPr>
          <w:rFonts w:ascii="Arial" w:hAnsi="Arial" w:cs="Arial"/>
          <w:i/>
          <w:iCs/>
          <w:color w:val="000000"/>
          <w:sz w:val="20"/>
        </w:rPr>
        <w:t xml:space="preserve">Dissertation submitted in partial fulfilment of an </w:t>
      </w:r>
      <w:r w:rsidRPr="00745BDD">
        <w:rPr>
          <w:rFonts w:ascii="Arial" w:hAnsi="Arial" w:cs="Arial"/>
          <w:i/>
          <w:iCs/>
          <w:color w:val="000000"/>
          <w:sz w:val="20"/>
        </w:rPr>
        <w:br/>
        <w:t>M.A. in Cultural Astronomy and Astrology</w:t>
      </w:r>
    </w:p>
    <w:p w14:paraId="696F2453" w14:textId="77777777" w:rsidR="00A25DE7" w:rsidRPr="00745BDD" w:rsidRDefault="00A25DE7" w:rsidP="0073153C">
      <w:pPr>
        <w:jc w:val="center"/>
        <w:rPr>
          <w:rFonts w:ascii="Arial" w:hAnsi="Arial" w:cs="Arial"/>
          <w:i/>
          <w:iCs/>
          <w:color w:val="000000"/>
          <w:sz w:val="20"/>
        </w:rPr>
      </w:pPr>
      <w:r w:rsidRPr="00745BDD">
        <w:rPr>
          <w:rFonts w:ascii="Arial" w:hAnsi="Arial" w:cs="Arial"/>
          <w:i/>
          <w:iCs/>
          <w:color w:val="000000"/>
          <w:sz w:val="20"/>
        </w:rPr>
        <w:br/>
      </w:r>
      <w:smartTag w:uri="urn:schemas-microsoft-com:office:smarttags" w:element="PlaceType">
        <w:smartTag w:uri="urn:schemas-microsoft-com:office:smarttags" w:element="place">
          <w:r w:rsidRPr="00745BDD">
            <w:rPr>
              <w:rFonts w:ascii="Arial" w:hAnsi="Arial" w:cs="Arial"/>
              <w:i/>
              <w:iCs/>
              <w:color w:val="000000"/>
              <w:sz w:val="20"/>
            </w:rPr>
            <w:t>University</w:t>
          </w:r>
        </w:smartTag>
        <w:r w:rsidRPr="00745BDD">
          <w:rPr>
            <w:rFonts w:ascii="Arial" w:hAnsi="Arial" w:cs="Arial"/>
            <w:i/>
            <w:iCs/>
            <w:color w:val="000000"/>
            <w:sz w:val="20"/>
          </w:rPr>
          <w:t xml:space="preserve"> of </w:t>
        </w:r>
        <w:smartTag w:uri="urn:schemas-microsoft-com:office:smarttags" w:element="PlaceName">
          <w:r w:rsidRPr="00745BDD">
            <w:rPr>
              <w:rFonts w:ascii="Arial" w:hAnsi="Arial" w:cs="Arial"/>
              <w:i/>
              <w:iCs/>
              <w:color w:val="000000"/>
              <w:sz w:val="20"/>
            </w:rPr>
            <w:t>Wales</w:t>
          </w:r>
        </w:smartTag>
      </w:smartTag>
      <w:r w:rsidRPr="00745BDD">
        <w:rPr>
          <w:rFonts w:ascii="Arial" w:hAnsi="Arial" w:cs="Arial"/>
          <w:i/>
          <w:iCs/>
          <w:color w:val="000000"/>
          <w:sz w:val="20"/>
        </w:rPr>
        <w:t>: Trinity St. David</w:t>
      </w:r>
      <w:r w:rsidRPr="00745BDD">
        <w:rPr>
          <w:rFonts w:ascii="Arial" w:hAnsi="Arial" w:cs="Arial"/>
          <w:i/>
          <w:iCs/>
          <w:color w:val="000000"/>
          <w:sz w:val="20"/>
        </w:rPr>
        <w:br/>
        <w:t>September 2015</w:t>
      </w:r>
    </w:p>
    <w:p w14:paraId="67D16C73" w14:textId="77777777" w:rsidR="00A25DE7" w:rsidRPr="00745BDD" w:rsidRDefault="00A25DE7" w:rsidP="00A972F6">
      <w:pPr>
        <w:jc w:val="center"/>
        <w:rPr>
          <w:rFonts w:ascii="Arial" w:hAnsi="Arial" w:cs="Arial"/>
          <w:i/>
          <w:iCs/>
          <w:color w:val="000000"/>
          <w:sz w:val="20"/>
        </w:rPr>
      </w:pPr>
    </w:p>
    <w:p w14:paraId="683A71FC" w14:textId="77777777" w:rsidR="00A25DE7" w:rsidRPr="00745BDD" w:rsidRDefault="00A25DE7" w:rsidP="00A972F6">
      <w:pPr>
        <w:jc w:val="center"/>
        <w:rPr>
          <w:rFonts w:ascii="Arial" w:hAnsi="Arial" w:cs="Arial"/>
          <w:i/>
          <w:iCs/>
          <w:color w:val="000000"/>
          <w:sz w:val="20"/>
        </w:rPr>
      </w:pPr>
    </w:p>
    <w:p w14:paraId="2533B434" w14:textId="77777777" w:rsidR="00A25DE7" w:rsidRPr="00745BDD" w:rsidRDefault="00A25DE7" w:rsidP="00B838A7">
      <w:pPr>
        <w:rPr>
          <w:rFonts w:ascii="Arial" w:hAnsi="Arial" w:cs="Arial"/>
          <w:i/>
          <w:iCs/>
          <w:color w:val="000000"/>
          <w:sz w:val="20"/>
        </w:rPr>
      </w:pPr>
    </w:p>
    <w:p w14:paraId="4B94F8B2" w14:textId="77777777" w:rsidR="00A25DE7" w:rsidRPr="00745BDD" w:rsidRDefault="00A25DE7" w:rsidP="00B838A7">
      <w:pPr>
        <w:rPr>
          <w:rFonts w:ascii="Arial" w:hAnsi="Arial" w:cs="Arial"/>
          <w:i/>
          <w:iCs/>
          <w:color w:val="000000"/>
          <w:sz w:val="20"/>
        </w:rPr>
      </w:pPr>
    </w:p>
    <w:p w14:paraId="2D159B48" w14:textId="77777777" w:rsidR="00A25DE7" w:rsidRPr="00745BDD" w:rsidRDefault="00A25DE7" w:rsidP="00B838A7">
      <w:pPr>
        <w:rPr>
          <w:rFonts w:ascii="Arial" w:hAnsi="Arial" w:cs="Arial"/>
          <w:i/>
          <w:iCs/>
          <w:color w:val="000000"/>
          <w:sz w:val="20"/>
        </w:rPr>
      </w:pPr>
    </w:p>
    <w:p w14:paraId="30F2F219" w14:textId="77777777" w:rsidR="00A25DE7" w:rsidRPr="00745BDD" w:rsidRDefault="00A25DE7" w:rsidP="00B838A7">
      <w:pPr>
        <w:rPr>
          <w:rFonts w:ascii="Arial" w:hAnsi="Arial" w:cs="Arial"/>
          <w:i/>
          <w:iCs/>
          <w:color w:val="000000"/>
          <w:sz w:val="20"/>
        </w:rPr>
      </w:pPr>
    </w:p>
    <w:p w14:paraId="733E73DC" w14:textId="77777777" w:rsidR="00A25DE7" w:rsidRPr="00745BDD" w:rsidRDefault="00A25DE7" w:rsidP="00B838A7">
      <w:pPr>
        <w:rPr>
          <w:rFonts w:ascii="Arial" w:hAnsi="Arial" w:cs="Arial"/>
          <w:i/>
          <w:iCs/>
          <w:color w:val="000000"/>
          <w:sz w:val="20"/>
        </w:rPr>
      </w:pPr>
    </w:p>
    <w:p w14:paraId="3DEFA367" w14:textId="77777777" w:rsidR="00A25DE7" w:rsidRPr="00745BDD" w:rsidRDefault="00A25DE7" w:rsidP="00B838A7">
      <w:pPr>
        <w:rPr>
          <w:rFonts w:ascii="Arial" w:hAnsi="Arial" w:cs="Arial"/>
          <w:i/>
          <w:iCs/>
          <w:color w:val="000000"/>
          <w:sz w:val="20"/>
        </w:rPr>
      </w:pPr>
    </w:p>
    <w:p w14:paraId="2D5C7039" w14:textId="77777777" w:rsidR="00A25DE7" w:rsidRPr="00745BDD" w:rsidRDefault="00A25DE7" w:rsidP="00B838A7">
      <w:pPr>
        <w:rPr>
          <w:rFonts w:ascii="Arial" w:hAnsi="Arial" w:cs="Arial"/>
          <w:i/>
          <w:iCs/>
          <w:color w:val="000000"/>
          <w:sz w:val="20"/>
        </w:rPr>
      </w:pPr>
    </w:p>
    <w:p w14:paraId="4E4A1153" w14:textId="77777777" w:rsidR="00A25DE7" w:rsidRDefault="00A25DE7" w:rsidP="00B838A7">
      <w:pPr>
        <w:rPr>
          <w:rFonts w:ascii="Arial" w:hAnsi="Arial" w:cs="Arial"/>
          <w:i/>
          <w:iCs/>
          <w:color w:val="000000"/>
          <w:sz w:val="20"/>
        </w:rPr>
      </w:pPr>
    </w:p>
    <w:p w14:paraId="0A877619" w14:textId="77777777" w:rsidR="00A25DE7" w:rsidRDefault="00A25DE7" w:rsidP="00B838A7">
      <w:pPr>
        <w:rPr>
          <w:rFonts w:ascii="Arial" w:hAnsi="Arial" w:cs="Arial"/>
          <w:i/>
          <w:iCs/>
          <w:color w:val="000000"/>
          <w:sz w:val="20"/>
        </w:rPr>
      </w:pPr>
    </w:p>
    <w:p w14:paraId="09CA4180" w14:textId="77777777" w:rsidR="00A25DE7" w:rsidRPr="00951BBF" w:rsidRDefault="005B3668" w:rsidP="0081390D">
      <w:pPr>
        <w:spacing w:after="120"/>
        <w:ind w:left="720"/>
        <w:rPr>
          <w:rFonts w:ascii="Arial" w:hAnsi="Arial" w:cs="Arial"/>
        </w:rPr>
      </w:pPr>
      <w:r>
        <w:rPr>
          <w:rFonts w:ascii="Arial" w:hAnsi="Arial" w:cs="Arial"/>
          <w:noProof/>
          <w:lang w:val="en-US"/>
        </w:rPr>
        <w:lastRenderedPageBreak/>
        <w:pict w14:anchorId="35B9825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i1025" type="#_x0000_t75" alt="TSD_logo2010" style="width:146.5pt;height:60.1pt;visibility:visible">
            <v:imagedata r:id="rId8" o:title=""/>
          </v:shape>
        </w:pict>
      </w:r>
    </w:p>
    <w:p w14:paraId="2F3F899E"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338F3C21"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19028DA4"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2008347"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IMOGEN SAFARI FLEUR GREY</w:t>
      </w:r>
      <w:r w:rsidRPr="00951BBF">
        <w:rPr>
          <w:rFonts w:ascii="Arial" w:hAnsi="Arial" w:cs="Arial"/>
        </w:rPr>
        <w:t xml:space="preserve"> ………...</w:t>
      </w:r>
    </w:p>
    <w:p w14:paraId="38B90533"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 xml:space="preserve"> 22 / 09 / 2015 </w:t>
      </w:r>
      <w:r w:rsidRPr="00951BBF">
        <w:rPr>
          <w:rFonts w:ascii="Arial" w:hAnsi="Arial" w:cs="Arial"/>
        </w:rPr>
        <w:t>…………………………………...</w:t>
      </w:r>
    </w:p>
    <w:p w14:paraId="2D09372A"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5962497"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w:t>
      </w:r>
      <w:r>
        <w:rPr>
          <w:rFonts w:ascii="Arial" w:hAnsi="Arial" w:cs="Arial"/>
        </w:rPr>
        <w:t>quirements for the degree of ……MASTERS IN CULTURAL ASTRONOMY AND ASTROLOGY</w:t>
      </w:r>
      <w:r w:rsidRPr="00951BBF">
        <w:rPr>
          <w:rFonts w:ascii="Arial" w:hAnsi="Arial" w:cs="Arial"/>
        </w:rPr>
        <w:t>.............</w:t>
      </w:r>
    </w:p>
    <w:p w14:paraId="7C06A8FE"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 …</w:t>
      </w:r>
      <w:r>
        <w:rPr>
          <w:rFonts w:ascii="Arial" w:hAnsi="Arial" w:cs="Arial"/>
        </w:rPr>
        <w:t>IMOGEN SAFARI FLEUR GREY</w:t>
      </w:r>
      <w:r w:rsidRPr="00951BBF">
        <w:rPr>
          <w:rFonts w:ascii="Arial" w:hAnsi="Arial" w:cs="Arial"/>
        </w:rPr>
        <w:t>……………………….</w:t>
      </w:r>
    </w:p>
    <w:p w14:paraId="268E06F2"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 xml:space="preserve"> 22 / 09 / 2015 </w:t>
      </w:r>
      <w:r w:rsidRPr="00951BBF">
        <w:rPr>
          <w:rFonts w:ascii="Arial" w:hAnsi="Arial" w:cs="Arial"/>
        </w:rPr>
        <w:t>……………….…………..…………...</w:t>
      </w:r>
    </w:p>
    <w:p w14:paraId="31AD3055"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C23EC1E"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6926206D"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76B6D427"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5EF5E536"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Name……………:  </w:t>
      </w:r>
      <w:r>
        <w:rPr>
          <w:rFonts w:ascii="Arial" w:hAnsi="Arial" w:cs="Arial"/>
        </w:rPr>
        <w:t xml:space="preserve">IMOGEN SAFARI FLEUR GREY </w:t>
      </w:r>
      <w:r w:rsidRPr="00951BBF">
        <w:rPr>
          <w:rFonts w:ascii="Arial" w:hAnsi="Arial" w:cs="Arial"/>
        </w:rPr>
        <w:t>……………….……………….</w:t>
      </w:r>
    </w:p>
    <w:p w14:paraId="1A672B00"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 xml:space="preserve"> 22 / 09 / 2015</w:t>
      </w:r>
      <w:r w:rsidRPr="00951BBF">
        <w:rPr>
          <w:rFonts w:ascii="Arial" w:hAnsi="Arial" w:cs="Arial"/>
        </w:rPr>
        <w:t>……...……………………….</w:t>
      </w:r>
    </w:p>
    <w:p w14:paraId="02E96570"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rPr>
          <w:rFonts w:ascii="Arial" w:hAnsi="Arial" w:cs="Arial"/>
        </w:rPr>
      </w:pPr>
    </w:p>
    <w:p w14:paraId="4EE52346"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47870701"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IMOGEN SAFARI FLEUR GREY </w:t>
      </w:r>
      <w:r w:rsidRPr="00951BBF">
        <w:rPr>
          <w:rFonts w:ascii="Arial" w:hAnsi="Arial" w:cs="Arial"/>
        </w:rPr>
        <w:t>………………….</w:t>
      </w:r>
    </w:p>
    <w:p w14:paraId="2224824A"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xml:space="preserve"> 22 / 09 / 2015 </w:t>
      </w:r>
      <w:r w:rsidRPr="00951BBF">
        <w:rPr>
          <w:rFonts w:ascii="Arial" w:hAnsi="Arial" w:cs="Arial"/>
        </w:rPr>
        <w:t>.……………………………..</w:t>
      </w:r>
    </w:p>
    <w:p w14:paraId="6DA70AF3"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3C5C03B7"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31074BA3" w14:textId="77777777" w:rsidR="00A25DE7" w:rsidRPr="00951BBF" w:rsidRDefault="00A25DE7" w:rsidP="008139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7FED82FA" w14:textId="77777777" w:rsidR="00A25DE7" w:rsidRDefault="00A25DE7" w:rsidP="0081390D">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55C6BE0F" w14:textId="77777777" w:rsidR="00A25DE7" w:rsidRDefault="00A25DE7" w:rsidP="0081390D"/>
    <w:p w14:paraId="44762E6C" w14:textId="77777777" w:rsidR="00A25DE7" w:rsidRPr="00745BDD" w:rsidRDefault="00A25DE7" w:rsidP="00B838A7">
      <w:pPr>
        <w:rPr>
          <w:rFonts w:ascii="Arial" w:hAnsi="Arial" w:cs="Arial"/>
          <w:i/>
          <w:iCs/>
          <w:color w:val="000000"/>
          <w:sz w:val="20"/>
        </w:rPr>
      </w:pPr>
    </w:p>
    <w:p w14:paraId="04DFD16F" w14:textId="77777777" w:rsidR="00A25DE7" w:rsidRPr="00745BDD" w:rsidRDefault="00A25DE7" w:rsidP="003367F1">
      <w:pPr>
        <w:jc w:val="center"/>
        <w:rPr>
          <w:rFonts w:ascii="Arial" w:hAnsi="Arial" w:cs="Arial"/>
          <w:sz w:val="28"/>
          <w:szCs w:val="24"/>
          <w:u w:val="single"/>
        </w:rPr>
      </w:pPr>
      <w:r w:rsidRPr="00745BDD">
        <w:rPr>
          <w:rFonts w:ascii="Arial" w:hAnsi="Arial" w:cs="Arial"/>
          <w:sz w:val="28"/>
          <w:szCs w:val="24"/>
          <w:u w:val="single"/>
        </w:rPr>
        <w:lastRenderedPageBreak/>
        <w:t xml:space="preserve">Abstract </w:t>
      </w:r>
    </w:p>
    <w:p w14:paraId="19724DE4" w14:textId="77777777" w:rsidR="00A25DE7" w:rsidRDefault="00A25DE7" w:rsidP="00745BDD">
      <w:pPr>
        <w:spacing w:line="240" w:lineRule="auto"/>
        <w:contextualSpacing/>
        <w:jc w:val="both"/>
        <w:rPr>
          <w:rFonts w:ascii="Arial" w:hAnsi="Arial" w:cs="Arial"/>
          <w:sz w:val="24"/>
        </w:rPr>
      </w:pPr>
      <w:r w:rsidRPr="00745BDD">
        <w:rPr>
          <w:rFonts w:ascii="Arial" w:hAnsi="Arial" w:cs="Arial"/>
          <w:sz w:val="24"/>
        </w:rPr>
        <w:t xml:space="preserve">There has been a trend in scholarship, especially over the past two decades, examining the substantial influence of Mesopotamian culture and its literary tradition upon the writings of Homer. Whilst Homer’s </w:t>
      </w:r>
      <w:r w:rsidRPr="00745BDD">
        <w:rPr>
          <w:rFonts w:ascii="Arial" w:hAnsi="Arial" w:cs="Arial"/>
          <w:i/>
          <w:sz w:val="24"/>
        </w:rPr>
        <w:t>Odyssey</w:t>
      </w:r>
      <w:r w:rsidRPr="00745BDD">
        <w:rPr>
          <w:rFonts w:ascii="Arial" w:hAnsi="Arial" w:cs="Arial"/>
          <w:sz w:val="24"/>
        </w:rPr>
        <w:t xml:space="preserve"> is widely recognised as one of the earliest pieces of Western literature, its written form represents a long oral tradition which, according to this recent scholarship, is likely to have been influenced by the culture of the </w:t>
      </w:r>
      <w:smartTag w:uri="urn:schemas-microsoft-com:office:smarttags" w:element="place">
        <w:r w:rsidRPr="00745BDD">
          <w:rPr>
            <w:rFonts w:ascii="Arial" w:hAnsi="Arial" w:cs="Arial"/>
            <w:sz w:val="24"/>
          </w:rPr>
          <w:t>Near East</w:t>
        </w:r>
      </w:smartTag>
      <w:r w:rsidRPr="00745BDD">
        <w:rPr>
          <w:rFonts w:ascii="Arial" w:hAnsi="Arial" w:cs="Arial"/>
          <w:sz w:val="24"/>
        </w:rPr>
        <w:t xml:space="preserve">. </w:t>
      </w:r>
    </w:p>
    <w:p w14:paraId="5122F101" w14:textId="77777777" w:rsidR="00A25DE7" w:rsidRPr="00745BDD" w:rsidRDefault="00A25DE7" w:rsidP="00745BDD">
      <w:pPr>
        <w:spacing w:line="240" w:lineRule="auto"/>
        <w:contextualSpacing/>
        <w:jc w:val="both"/>
        <w:rPr>
          <w:rFonts w:ascii="Arial" w:hAnsi="Arial" w:cs="Arial"/>
          <w:sz w:val="24"/>
        </w:rPr>
      </w:pPr>
    </w:p>
    <w:p w14:paraId="448490A6" w14:textId="77777777" w:rsidR="00A25DE7" w:rsidRPr="00745BDD" w:rsidRDefault="00A25DE7" w:rsidP="00745BDD">
      <w:pPr>
        <w:spacing w:line="240" w:lineRule="auto"/>
        <w:contextualSpacing/>
        <w:jc w:val="both"/>
        <w:rPr>
          <w:rFonts w:ascii="Arial" w:hAnsi="Arial" w:cs="Arial"/>
          <w:sz w:val="24"/>
        </w:rPr>
      </w:pPr>
      <w:r w:rsidRPr="00745BDD">
        <w:rPr>
          <w:rFonts w:ascii="Arial" w:hAnsi="Arial" w:cs="Arial"/>
          <w:sz w:val="24"/>
        </w:rPr>
        <w:t xml:space="preserve">However, one of the key features of Mesopotamian culture, for which it was famed throughout antiquity, was its sophisticated and sacred astronomical knowledge. This has been demonstrated as extending beyond the bounds of technical practice and into various poetic forms of the Near Eastern cultures. It therefore seems likely that if Homer’s epics were influenced by Near Eastern culture, and if Near Eastern poetry contained astronomical content imbedded within a mythical context, that there should also be astronomical or cosmological content within Homer’s works as well. This paper examines Homer’s </w:t>
      </w:r>
      <w:r w:rsidRPr="00745BDD">
        <w:rPr>
          <w:rFonts w:ascii="Arial" w:hAnsi="Arial" w:cs="Arial"/>
          <w:i/>
          <w:sz w:val="24"/>
        </w:rPr>
        <w:t>Odyssey</w:t>
      </w:r>
      <w:r w:rsidRPr="00745BDD">
        <w:rPr>
          <w:rFonts w:ascii="Arial" w:hAnsi="Arial" w:cs="Arial"/>
          <w:sz w:val="24"/>
        </w:rPr>
        <w:t xml:space="preserve"> in conjunction with the </w:t>
      </w:r>
      <w:r w:rsidRPr="00745BDD">
        <w:rPr>
          <w:rFonts w:ascii="Arial" w:hAnsi="Arial" w:cs="Arial"/>
          <w:i/>
          <w:sz w:val="24"/>
        </w:rPr>
        <w:t xml:space="preserve">Epic of Gilgamesh </w:t>
      </w:r>
      <w:r w:rsidRPr="00745BDD">
        <w:rPr>
          <w:rFonts w:ascii="Arial" w:hAnsi="Arial" w:cs="Arial"/>
          <w:sz w:val="24"/>
        </w:rPr>
        <w:t xml:space="preserve">and various other Mesopotamian literary texts in order to explore the possibility that </w:t>
      </w:r>
      <w:commentRangeStart w:id="0"/>
      <w:r w:rsidRPr="00745BDD">
        <w:rPr>
          <w:rFonts w:ascii="Arial" w:hAnsi="Arial" w:cs="Arial"/>
          <w:sz w:val="24"/>
        </w:rPr>
        <w:t>the Homers cosmos</w:t>
      </w:r>
      <w:commentRangeEnd w:id="0"/>
      <w:r>
        <w:rPr>
          <w:rStyle w:val="CommentReference"/>
        </w:rPr>
        <w:commentReference w:id="0"/>
      </w:r>
      <w:r w:rsidRPr="00745BDD">
        <w:rPr>
          <w:rFonts w:ascii="Arial" w:hAnsi="Arial" w:cs="Arial"/>
          <w:sz w:val="24"/>
        </w:rPr>
        <w:t xml:space="preserve"> and characters may have been influenced by the traditions and astronomical practices of the Western Asiatic.   </w:t>
      </w:r>
    </w:p>
    <w:p w14:paraId="2CAE0F9D" w14:textId="77777777" w:rsidR="00A25DE7" w:rsidRPr="00745BDD" w:rsidRDefault="00A25DE7" w:rsidP="00A972F6">
      <w:pPr>
        <w:jc w:val="center"/>
        <w:rPr>
          <w:rFonts w:ascii="Arial" w:hAnsi="Arial" w:cs="Arial"/>
          <w:sz w:val="28"/>
          <w:szCs w:val="24"/>
          <w:u w:val="single"/>
        </w:rPr>
      </w:pPr>
    </w:p>
    <w:p w14:paraId="2C99D5AD" w14:textId="77777777" w:rsidR="00A25DE7" w:rsidRPr="00745BDD" w:rsidRDefault="00A25DE7" w:rsidP="00A972F6">
      <w:pPr>
        <w:jc w:val="center"/>
        <w:rPr>
          <w:rFonts w:ascii="Arial" w:hAnsi="Arial" w:cs="Arial"/>
          <w:sz w:val="28"/>
          <w:szCs w:val="24"/>
          <w:u w:val="single"/>
        </w:rPr>
      </w:pPr>
    </w:p>
    <w:p w14:paraId="24A706F2" w14:textId="77777777" w:rsidR="00A25DE7" w:rsidRPr="00745BDD" w:rsidRDefault="00A25DE7" w:rsidP="00A972F6">
      <w:pPr>
        <w:jc w:val="center"/>
        <w:rPr>
          <w:rFonts w:ascii="Arial" w:hAnsi="Arial" w:cs="Arial"/>
          <w:sz w:val="28"/>
          <w:szCs w:val="24"/>
          <w:u w:val="single"/>
        </w:rPr>
      </w:pPr>
    </w:p>
    <w:p w14:paraId="36C23520" w14:textId="77777777" w:rsidR="00A25DE7" w:rsidRPr="00745BDD" w:rsidRDefault="00A25DE7" w:rsidP="00A972F6">
      <w:pPr>
        <w:jc w:val="center"/>
        <w:rPr>
          <w:rFonts w:ascii="Arial" w:hAnsi="Arial" w:cs="Arial"/>
          <w:sz w:val="28"/>
          <w:szCs w:val="24"/>
          <w:u w:val="single"/>
        </w:rPr>
      </w:pPr>
    </w:p>
    <w:p w14:paraId="537CE3D7" w14:textId="77777777" w:rsidR="00A25DE7" w:rsidRPr="00745BDD" w:rsidRDefault="00A25DE7" w:rsidP="00A972F6">
      <w:pPr>
        <w:jc w:val="center"/>
        <w:rPr>
          <w:rFonts w:ascii="Arial" w:hAnsi="Arial" w:cs="Arial"/>
          <w:sz w:val="28"/>
          <w:szCs w:val="24"/>
          <w:u w:val="single"/>
        </w:rPr>
      </w:pPr>
    </w:p>
    <w:p w14:paraId="793D996D" w14:textId="77777777" w:rsidR="00A25DE7" w:rsidRPr="00745BDD" w:rsidRDefault="00A25DE7" w:rsidP="00A972F6">
      <w:pPr>
        <w:jc w:val="center"/>
        <w:rPr>
          <w:rFonts w:ascii="Arial" w:hAnsi="Arial" w:cs="Arial"/>
          <w:sz w:val="28"/>
          <w:szCs w:val="24"/>
          <w:u w:val="single"/>
        </w:rPr>
      </w:pPr>
    </w:p>
    <w:p w14:paraId="4B33E122" w14:textId="77777777" w:rsidR="00A25DE7" w:rsidRPr="00745BDD" w:rsidRDefault="00A25DE7" w:rsidP="00A972F6">
      <w:pPr>
        <w:jc w:val="center"/>
        <w:rPr>
          <w:rFonts w:ascii="Arial" w:hAnsi="Arial" w:cs="Arial"/>
          <w:sz w:val="28"/>
          <w:szCs w:val="24"/>
          <w:u w:val="single"/>
        </w:rPr>
      </w:pPr>
    </w:p>
    <w:p w14:paraId="2050BCFB" w14:textId="77777777" w:rsidR="00A25DE7" w:rsidRPr="00745BDD" w:rsidRDefault="00A25DE7" w:rsidP="00A972F6">
      <w:pPr>
        <w:jc w:val="center"/>
        <w:rPr>
          <w:rFonts w:ascii="Arial" w:hAnsi="Arial" w:cs="Arial"/>
          <w:sz w:val="28"/>
          <w:szCs w:val="24"/>
          <w:u w:val="single"/>
        </w:rPr>
      </w:pPr>
    </w:p>
    <w:p w14:paraId="546EA4AD" w14:textId="77777777" w:rsidR="00A25DE7" w:rsidRPr="00745BDD" w:rsidRDefault="00A25DE7" w:rsidP="00A972F6">
      <w:pPr>
        <w:jc w:val="center"/>
        <w:rPr>
          <w:rFonts w:ascii="Arial" w:hAnsi="Arial" w:cs="Arial"/>
          <w:sz w:val="28"/>
          <w:szCs w:val="24"/>
          <w:u w:val="single"/>
        </w:rPr>
      </w:pPr>
    </w:p>
    <w:p w14:paraId="33B0633B" w14:textId="77777777" w:rsidR="00A25DE7" w:rsidRPr="00745BDD" w:rsidRDefault="00A25DE7" w:rsidP="00A972F6">
      <w:pPr>
        <w:jc w:val="center"/>
        <w:rPr>
          <w:rFonts w:ascii="Arial" w:hAnsi="Arial" w:cs="Arial"/>
          <w:sz w:val="28"/>
          <w:szCs w:val="24"/>
          <w:u w:val="single"/>
        </w:rPr>
      </w:pPr>
    </w:p>
    <w:p w14:paraId="10DB94DF" w14:textId="77777777" w:rsidR="00A25DE7" w:rsidRPr="00745BDD" w:rsidRDefault="00A25DE7" w:rsidP="00A00328">
      <w:pPr>
        <w:rPr>
          <w:rFonts w:ascii="Arial" w:hAnsi="Arial" w:cs="Arial"/>
          <w:sz w:val="28"/>
          <w:szCs w:val="24"/>
          <w:u w:val="single"/>
        </w:rPr>
      </w:pPr>
    </w:p>
    <w:p w14:paraId="52EAD899" w14:textId="77777777" w:rsidR="00A25DE7" w:rsidRPr="00745BDD" w:rsidRDefault="00A25DE7" w:rsidP="00A00328">
      <w:pPr>
        <w:rPr>
          <w:rFonts w:ascii="Arial" w:hAnsi="Arial" w:cs="Arial"/>
          <w:sz w:val="28"/>
          <w:szCs w:val="24"/>
          <w:u w:val="single"/>
        </w:rPr>
      </w:pPr>
    </w:p>
    <w:p w14:paraId="16843828" w14:textId="77777777" w:rsidR="00A25DE7" w:rsidRPr="00745BDD" w:rsidRDefault="00A25DE7" w:rsidP="00A00328">
      <w:pPr>
        <w:rPr>
          <w:rFonts w:ascii="Arial" w:hAnsi="Arial" w:cs="Arial"/>
          <w:sz w:val="28"/>
          <w:szCs w:val="24"/>
          <w:u w:val="single"/>
        </w:rPr>
      </w:pPr>
    </w:p>
    <w:p w14:paraId="696B1073" w14:textId="77777777" w:rsidR="00A25DE7" w:rsidRDefault="00A25DE7" w:rsidP="00A972F6">
      <w:pPr>
        <w:jc w:val="center"/>
        <w:rPr>
          <w:rFonts w:ascii="Arial" w:hAnsi="Arial" w:cs="Arial"/>
          <w:sz w:val="28"/>
          <w:szCs w:val="24"/>
          <w:u w:val="single"/>
        </w:rPr>
      </w:pPr>
    </w:p>
    <w:p w14:paraId="4B62F547" w14:textId="77777777" w:rsidR="00A25DE7" w:rsidRPr="00745BDD" w:rsidRDefault="00A25DE7" w:rsidP="00A972F6">
      <w:pPr>
        <w:jc w:val="center"/>
        <w:rPr>
          <w:rFonts w:ascii="Arial" w:hAnsi="Arial" w:cs="Arial"/>
          <w:sz w:val="28"/>
          <w:szCs w:val="24"/>
          <w:u w:val="single"/>
        </w:rPr>
      </w:pPr>
      <w:r w:rsidRPr="00745BDD">
        <w:rPr>
          <w:rFonts w:ascii="Arial" w:hAnsi="Arial" w:cs="Arial"/>
          <w:sz w:val="28"/>
          <w:szCs w:val="24"/>
          <w:u w:val="single"/>
        </w:rPr>
        <w:lastRenderedPageBreak/>
        <w:t>Acknowledgements</w:t>
      </w:r>
    </w:p>
    <w:p w14:paraId="2E68750B" w14:textId="77777777" w:rsidR="00A25DE7" w:rsidRPr="00745BDD" w:rsidRDefault="00A25DE7" w:rsidP="00745BDD">
      <w:pPr>
        <w:spacing w:line="240" w:lineRule="auto"/>
        <w:jc w:val="both"/>
        <w:rPr>
          <w:rFonts w:ascii="Arial" w:hAnsi="Arial" w:cs="Arial"/>
          <w:sz w:val="24"/>
          <w:szCs w:val="24"/>
        </w:rPr>
      </w:pPr>
      <w:r w:rsidRPr="00745BDD">
        <w:rPr>
          <w:rFonts w:ascii="Arial" w:hAnsi="Arial" w:cs="Arial"/>
          <w:sz w:val="24"/>
          <w:szCs w:val="24"/>
        </w:rPr>
        <w:t xml:space="preserve">I would like to offer a sizeable and sincere thank you toDr. Nicholas Campion from the Sophia Centre, University of </w:t>
      </w:r>
      <w:smartTag w:uri="urn:schemas-microsoft-com:office:smarttags" w:element="country-region">
        <w:smartTag w:uri="urn:schemas-microsoft-com:office:smarttags" w:element="place">
          <w:r w:rsidRPr="00745BDD">
            <w:rPr>
              <w:rFonts w:ascii="Arial" w:hAnsi="Arial" w:cs="Arial"/>
              <w:sz w:val="24"/>
              <w:szCs w:val="24"/>
            </w:rPr>
            <w:t>Wales</w:t>
          </w:r>
        </w:smartTag>
      </w:smartTag>
      <w:r w:rsidRPr="00745BDD">
        <w:rPr>
          <w:rFonts w:ascii="Arial" w:hAnsi="Arial" w:cs="Arial"/>
          <w:sz w:val="24"/>
          <w:szCs w:val="24"/>
        </w:rPr>
        <w:t xml:space="preserve">: Trinity Saint David. His patience, kindness, and attentiveness have allowed me to complete a Masters programme despite the various and sometimes complicated setbacks imposed upon me by chronic poor health. Without his advice and guidance I would not be embarking upon my life-long goal of Doctoral study, and I will be forever grateful to him for this.Dr. Bernadette Brady also deserves my solemn gratitude for stepping in to guide me through the dissertation process despite the very narrow deadline I had at the time. Furthermore I wish to offer fellow MA CAA student Caroline Denby my most heartfelt and deepest thanks for offering continual moral support and assistance, for keeping me in good cheer, and for providing a shoulder to cry on throughout this final year of my Masters course – despite the small matter of the </w:t>
      </w:r>
      <w:smartTag w:uri="urn:schemas-microsoft-com:office:smarttags" w:element="place">
        <w:r w:rsidRPr="00745BDD">
          <w:rPr>
            <w:rFonts w:ascii="Arial" w:hAnsi="Arial" w:cs="Arial"/>
            <w:sz w:val="24"/>
            <w:szCs w:val="24"/>
          </w:rPr>
          <w:t>Atlantic Ocean</w:t>
        </w:r>
      </w:smartTag>
      <w:r w:rsidRPr="00745BDD">
        <w:rPr>
          <w:rFonts w:ascii="Arial" w:hAnsi="Arial" w:cs="Arial"/>
          <w:sz w:val="24"/>
          <w:szCs w:val="24"/>
        </w:rPr>
        <w:t xml:space="preserve"> separating us. Finally I also would like to thank my dear friend Patricia Wilson from the bottom of my heart for providing me with the means to retain my independence and pursue my dreams during a time of great personal distress and hardship. Without Patricia and Caroline the journey to my aspirations would have seemed insurmountable, and I cannot thank them enough.</w:t>
      </w:r>
      <w:r>
        <w:rPr>
          <w:rFonts w:ascii="Arial" w:hAnsi="Arial" w:cs="Arial"/>
          <w:sz w:val="24"/>
          <w:szCs w:val="24"/>
        </w:rPr>
        <w:t xml:space="preserve">Thanks also to the </w:t>
      </w:r>
      <w:smartTag w:uri="urn:schemas-microsoft-com:office:smarttags" w:element="PlaceType">
        <w:smartTag w:uri="urn:schemas-microsoft-com:office:smarttags" w:element="place">
          <w:r>
            <w:rPr>
              <w:rFonts w:ascii="Arial" w:hAnsi="Arial" w:cs="Arial"/>
              <w:sz w:val="24"/>
              <w:szCs w:val="24"/>
            </w:rPr>
            <w:t>University</w:t>
          </w:r>
        </w:smartTag>
        <w:r>
          <w:rPr>
            <w:rFonts w:ascii="Arial" w:hAnsi="Arial" w:cs="Arial"/>
            <w:sz w:val="24"/>
            <w:szCs w:val="24"/>
          </w:rPr>
          <w:t xml:space="preserve"> of </w:t>
        </w:r>
        <w:smartTag w:uri="urn:schemas-microsoft-com:office:smarttags" w:element="PlaceName">
          <w:r>
            <w:rPr>
              <w:rFonts w:ascii="Arial" w:hAnsi="Arial" w:cs="Arial"/>
              <w:sz w:val="24"/>
              <w:szCs w:val="24"/>
            </w:rPr>
            <w:t>Birmingham Library</w:t>
          </w:r>
        </w:smartTag>
      </w:smartTag>
      <w:r>
        <w:rPr>
          <w:rFonts w:ascii="Arial" w:hAnsi="Arial" w:cs="Arial"/>
          <w:sz w:val="24"/>
          <w:szCs w:val="24"/>
        </w:rPr>
        <w:t xml:space="preserve"> for access to materials, and to Dr. Niall Livingstone for his guidance and encouragement. </w:t>
      </w:r>
    </w:p>
    <w:p w14:paraId="785EEF13" w14:textId="77777777" w:rsidR="00A25DE7" w:rsidRPr="00745BDD" w:rsidRDefault="00A25DE7" w:rsidP="00A972F6">
      <w:pPr>
        <w:jc w:val="center"/>
        <w:rPr>
          <w:rFonts w:ascii="Arial" w:hAnsi="Arial" w:cs="Arial"/>
          <w:sz w:val="28"/>
          <w:szCs w:val="24"/>
          <w:u w:val="single"/>
        </w:rPr>
      </w:pPr>
    </w:p>
    <w:p w14:paraId="6D06A210" w14:textId="77777777" w:rsidR="00A25DE7" w:rsidRPr="00745BDD" w:rsidRDefault="00A25DE7" w:rsidP="00A972F6">
      <w:pPr>
        <w:jc w:val="center"/>
        <w:rPr>
          <w:rFonts w:ascii="Arial" w:hAnsi="Arial" w:cs="Arial"/>
          <w:sz w:val="28"/>
          <w:szCs w:val="24"/>
          <w:u w:val="single"/>
        </w:rPr>
      </w:pPr>
    </w:p>
    <w:p w14:paraId="32842AE3" w14:textId="77777777" w:rsidR="00A25DE7" w:rsidRPr="00745BDD" w:rsidRDefault="00A25DE7" w:rsidP="00A972F6">
      <w:pPr>
        <w:jc w:val="center"/>
        <w:rPr>
          <w:rFonts w:ascii="Arial" w:hAnsi="Arial" w:cs="Arial"/>
          <w:sz w:val="28"/>
          <w:szCs w:val="24"/>
          <w:u w:val="single"/>
        </w:rPr>
      </w:pPr>
    </w:p>
    <w:p w14:paraId="136E0FAC" w14:textId="77777777" w:rsidR="00A25DE7" w:rsidRPr="00745BDD" w:rsidRDefault="00A25DE7" w:rsidP="00A972F6">
      <w:pPr>
        <w:jc w:val="center"/>
        <w:rPr>
          <w:rFonts w:ascii="Arial" w:hAnsi="Arial" w:cs="Arial"/>
          <w:sz w:val="28"/>
          <w:szCs w:val="24"/>
          <w:u w:val="single"/>
        </w:rPr>
      </w:pPr>
    </w:p>
    <w:p w14:paraId="005BFEB9" w14:textId="77777777" w:rsidR="00A25DE7" w:rsidRPr="00745BDD" w:rsidRDefault="00A25DE7" w:rsidP="00A972F6">
      <w:pPr>
        <w:jc w:val="center"/>
        <w:rPr>
          <w:rFonts w:ascii="Arial" w:hAnsi="Arial" w:cs="Arial"/>
          <w:sz w:val="28"/>
          <w:szCs w:val="24"/>
          <w:u w:val="single"/>
        </w:rPr>
      </w:pPr>
    </w:p>
    <w:p w14:paraId="6447AC63" w14:textId="77777777" w:rsidR="00A25DE7" w:rsidRPr="00745BDD" w:rsidRDefault="00A25DE7" w:rsidP="00A972F6">
      <w:pPr>
        <w:jc w:val="center"/>
        <w:rPr>
          <w:rFonts w:ascii="Arial" w:hAnsi="Arial" w:cs="Arial"/>
          <w:sz w:val="28"/>
          <w:szCs w:val="24"/>
          <w:u w:val="single"/>
        </w:rPr>
      </w:pPr>
    </w:p>
    <w:p w14:paraId="2CAD401D" w14:textId="77777777" w:rsidR="00A25DE7" w:rsidRPr="00745BDD" w:rsidRDefault="00A25DE7" w:rsidP="00A972F6">
      <w:pPr>
        <w:jc w:val="center"/>
        <w:rPr>
          <w:rFonts w:ascii="Arial" w:hAnsi="Arial" w:cs="Arial"/>
          <w:sz w:val="28"/>
          <w:szCs w:val="24"/>
          <w:u w:val="single"/>
        </w:rPr>
      </w:pPr>
    </w:p>
    <w:p w14:paraId="0D815ADA" w14:textId="77777777" w:rsidR="00A25DE7" w:rsidRPr="00745BDD" w:rsidRDefault="00A25DE7" w:rsidP="00A972F6">
      <w:pPr>
        <w:jc w:val="center"/>
        <w:rPr>
          <w:rFonts w:ascii="Arial" w:hAnsi="Arial" w:cs="Arial"/>
          <w:sz w:val="28"/>
          <w:szCs w:val="24"/>
          <w:u w:val="single"/>
        </w:rPr>
      </w:pPr>
    </w:p>
    <w:p w14:paraId="36870728" w14:textId="77777777" w:rsidR="00A25DE7" w:rsidRPr="00745BDD" w:rsidRDefault="00A25DE7" w:rsidP="00A972F6">
      <w:pPr>
        <w:jc w:val="center"/>
        <w:rPr>
          <w:rFonts w:ascii="Arial" w:hAnsi="Arial" w:cs="Arial"/>
          <w:sz w:val="28"/>
          <w:szCs w:val="24"/>
          <w:u w:val="single"/>
        </w:rPr>
      </w:pPr>
    </w:p>
    <w:p w14:paraId="752A5894" w14:textId="77777777" w:rsidR="00A25DE7" w:rsidRPr="00745BDD" w:rsidRDefault="00A25DE7" w:rsidP="00A972F6">
      <w:pPr>
        <w:jc w:val="center"/>
        <w:rPr>
          <w:rFonts w:ascii="Arial" w:hAnsi="Arial" w:cs="Arial"/>
          <w:sz w:val="28"/>
          <w:szCs w:val="24"/>
          <w:u w:val="single"/>
        </w:rPr>
      </w:pPr>
    </w:p>
    <w:p w14:paraId="749517CE" w14:textId="77777777" w:rsidR="00A25DE7" w:rsidRPr="00745BDD" w:rsidRDefault="00A25DE7" w:rsidP="00737174">
      <w:pPr>
        <w:rPr>
          <w:rFonts w:ascii="Arial" w:hAnsi="Arial" w:cs="Arial"/>
          <w:sz w:val="28"/>
          <w:szCs w:val="24"/>
          <w:u w:val="single"/>
        </w:rPr>
      </w:pPr>
    </w:p>
    <w:p w14:paraId="16BF255C" w14:textId="77777777" w:rsidR="00A25DE7" w:rsidRDefault="00A25DE7" w:rsidP="00737174">
      <w:pPr>
        <w:rPr>
          <w:rFonts w:ascii="Arial" w:hAnsi="Arial" w:cs="Arial"/>
          <w:sz w:val="28"/>
          <w:szCs w:val="24"/>
          <w:u w:val="single"/>
        </w:rPr>
      </w:pPr>
    </w:p>
    <w:p w14:paraId="3E090713" w14:textId="77777777" w:rsidR="00A25DE7" w:rsidRPr="00745BDD" w:rsidRDefault="00A25DE7" w:rsidP="00737174">
      <w:pPr>
        <w:rPr>
          <w:rFonts w:ascii="Arial" w:hAnsi="Arial" w:cs="Arial"/>
          <w:sz w:val="28"/>
          <w:szCs w:val="24"/>
          <w:u w:val="single"/>
        </w:rPr>
      </w:pPr>
    </w:p>
    <w:p w14:paraId="7B6136C5" w14:textId="77777777" w:rsidR="00A25DE7" w:rsidRPr="00745BDD" w:rsidRDefault="00A25DE7" w:rsidP="00A972F6">
      <w:pPr>
        <w:jc w:val="center"/>
        <w:rPr>
          <w:rFonts w:ascii="Arial" w:hAnsi="Arial" w:cs="Arial"/>
          <w:sz w:val="28"/>
          <w:szCs w:val="24"/>
          <w:u w:val="single"/>
        </w:rPr>
      </w:pPr>
      <w:r w:rsidRPr="00745BDD">
        <w:rPr>
          <w:rFonts w:ascii="Arial" w:hAnsi="Arial" w:cs="Arial"/>
          <w:sz w:val="28"/>
          <w:szCs w:val="24"/>
          <w:u w:val="single"/>
        </w:rPr>
        <w:lastRenderedPageBreak/>
        <w:t>Table of Contents</w:t>
      </w:r>
    </w:p>
    <w:p w14:paraId="5B7F1FB9" w14:textId="77777777" w:rsidR="00A25DE7" w:rsidRPr="00745BDD" w:rsidRDefault="00A25DE7" w:rsidP="00282213">
      <w:pPr>
        <w:rPr>
          <w:rFonts w:ascii="Arial" w:hAnsi="Arial" w:cs="Arial"/>
          <w:sz w:val="24"/>
          <w:szCs w:val="26"/>
        </w:rPr>
      </w:pPr>
      <w:r w:rsidRPr="00745BDD">
        <w:rPr>
          <w:rFonts w:ascii="Arial" w:hAnsi="Arial" w:cs="Arial"/>
          <w:sz w:val="24"/>
          <w:szCs w:val="26"/>
        </w:rPr>
        <w:t>List of Abbreviations</w:t>
      </w:r>
      <w:r w:rsidRPr="00745BDD">
        <w:rPr>
          <w:rFonts w:ascii="Arial" w:hAnsi="Arial" w:cs="Arial"/>
          <w:sz w:val="24"/>
          <w:szCs w:val="26"/>
        </w:rPr>
        <w:tab/>
      </w:r>
      <w:r w:rsidRPr="00745BDD">
        <w:rPr>
          <w:rFonts w:ascii="Arial" w:hAnsi="Arial" w:cs="Arial"/>
          <w:sz w:val="24"/>
          <w:szCs w:val="26"/>
        </w:rPr>
        <w:tab/>
      </w:r>
      <w:r w:rsidRPr="00745BDD">
        <w:rPr>
          <w:rFonts w:ascii="Arial" w:hAnsi="Arial" w:cs="Arial"/>
          <w:sz w:val="24"/>
          <w:szCs w:val="26"/>
        </w:rPr>
        <w:tab/>
      </w:r>
      <w:r w:rsidRPr="00745BDD">
        <w:rPr>
          <w:rFonts w:ascii="Arial" w:hAnsi="Arial" w:cs="Arial"/>
          <w:sz w:val="24"/>
          <w:szCs w:val="26"/>
        </w:rPr>
        <w:tab/>
      </w:r>
      <w:r w:rsidRPr="00745BDD">
        <w:rPr>
          <w:rFonts w:ascii="Arial" w:hAnsi="Arial" w:cs="Arial"/>
          <w:sz w:val="24"/>
          <w:szCs w:val="26"/>
        </w:rPr>
        <w:tab/>
      </w:r>
      <w:r w:rsidRPr="00745BDD">
        <w:rPr>
          <w:rFonts w:ascii="Arial" w:hAnsi="Arial" w:cs="Arial"/>
          <w:sz w:val="24"/>
          <w:szCs w:val="26"/>
        </w:rPr>
        <w:tab/>
      </w:r>
      <w:r w:rsidRPr="00745BDD">
        <w:rPr>
          <w:rFonts w:ascii="Arial" w:hAnsi="Arial" w:cs="Arial"/>
          <w:sz w:val="24"/>
          <w:szCs w:val="26"/>
        </w:rPr>
        <w:tab/>
      </w:r>
      <w:r w:rsidRPr="00745BDD">
        <w:rPr>
          <w:rFonts w:ascii="Arial" w:hAnsi="Arial" w:cs="Arial"/>
          <w:sz w:val="24"/>
          <w:szCs w:val="26"/>
        </w:rPr>
        <w:tab/>
        <w:t>i</w:t>
      </w:r>
      <w:r>
        <w:rPr>
          <w:rFonts w:ascii="Arial" w:hAnsi="Arial" w:cs="Arial"/>
          <w:sz w:val="24"/>
          <w:szCs w:val="26"/>
        </w:rPr>
        <w:t>.</w:t>
      </w:r>
    </w:p>
    <w:p w14:paraId="36F0D54C" w14:textId="77777777" w:rsidR="00A25DE7" w:rsidRPr="00745BDD" w:rsidRDefault="00A25DE7" w:rsidP="002F3FDD">
      <w:pPr>
        <w:rPr>
          <w:rFonts w:ascii="Arial" w:hAnsi="Arial" w:cs="Arial"/>
          <w:sz w:val="24"/>
          <w:szCs w:val="24"/>
        </w:rPr>
      </w:pPr>
      <w:r w:rsidRPr="00745BDD">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ii.</w:t>
      </w:r>
    </w:p>
    <w:p w14:paraId="50339D53" w14:textId="77777777" w:rsidR="00A25DE7" w:rsidRPr="00745BDD" w:rsidRDefault="00A25DE7" w:rsidP="002F3FDD">
      <w:pPr>
        <w:rPr>
          <w:rFonts w:ascii="Arial" w:hAnsi="Arial" w:cs="Arial"/>
          <w:sz w:val="24"/>
          <w:szCs w:val="24"/>
        </w:rPr>
      </w:pPr>
      <w:r w:rsidRPr="00745BDD">
        <w:rPr>
          <w:rFonts w:ascii="Arial" w:hAnsi="Arial" w:cs="Arial"/>
          <w:sz w:val="24"/>
          <w:szCs w:val="24"/>
        </w:rPr>
        <w:t>Chronological Chart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v.</w:t>
      </w:r>
    </w:p>
    <w:p w14:paraId="67275563" w14:textId="77777777" w:rsidR="00A25DE7" w:rsidRPr="00745BDD" w:rsidRDefault="00A25DE7" w:rsidP="002F3FDD">
      <w:pPr>
        <w:rPr>
          <w:rFonts w:ascii="Arial" w:hAnsi="Arial" w:cs="Arial"/>
          <w:sz w:val="24"/>
          <w:szCs w:val="24"/>
        </w:rPr>
      </w:pPr>
      <w:r w:rsidRPr="00745BDD">
        <w:rPr>
          <w:rFonts w:ascii="Arial" w:hAnsi="Arial" w:cs="Arial"/>
          <w:sz w:val="24"/>
          <w:szCs w:val="24"/>
        </w:rPr>
        <w:t>Chapter One: Background Sources and Methodology</w:t>
      </w:r>
      <w:r w:rsidRPr="00745BDD">
        <w:rPr>
          <w:rFonts w:ascii="Arial" w:hAnsi="Arial" w:cs="Arial"/>
          <w:sz w:val="24"/>
          <w:szCs w:val="24"/>
        </w:rPr>
        <w:tab/>
      </w:r>
      <w:r w:rsidRPr="00745BDD">
        <w:rPr>
          <w:rFonts w:ascii="Arial" w:hAnsi="Arial" w:cs="Arial"/>
          <w:sz w:val="24"/>
          <w:szCs w:val="24"/>
        </w:rPr>
        <w:tab/>
      </w:r>
      <w:r w:rsidRPr="00745BDD">
        <w:rPr>
          <w:rFonts w:ascii="Arial" w:hAnsi="Arial" w:cs="Arial"/>
          <w:sz w:val="24"/>
          <w:szCs w:val="24"/>
        </w:rPr>
        <w:tab/>
      </w:r>
      <w:r w:rsidRPr="00745BDD">
        <w:rPr>
          <w:rFonts w:ascii="Arial" w:hAnsi="Arial" w:cs="Arial"/>
          <w:sz w:val="24"/>
          <w:szCs w:val="24"/>
        </w:rPr>
        <w:tab/>
        <w:t>1</w:t>
      </w:r>
    </w:p>
    <w:p w14:paraId="6B03A7CE" w14:textId="77777777" w:rsidR="00A25DE7" w:rsidRPr="00745BDD" w:rsidRDefault="00A25DE7" w:rsidP="008571B2">
      <w:pPr>
        <w:ind w:firstLine="284"/>
        <w:rPr>
          <w:rFonts w:ascii="Arial" w:hAnsi="Arial" w:cs="Arial"/>
          <w:szCs w:val="24"/>
        </w:rPr>
      </w:pPr>
      <w:r w:rsidRPr="00745BDD">
        <w:rPr>
          <w:rFonts w:ascii="Arial" w:hAnsi="Arial" w:cs="Arial"/>
          <w:szCs w:val="24"/>
        </w:rPr>
        <w:t xml:space="preserve">Section One: Influences on Early Archaic </w:t>
      </w:r>
      <w:smartTag w:uri="urn:schemas-microsoft-com:office:smarttags" w:element="country-region">
        <w:smartTag w:uri="urn:schemas-microsoft-com:office:smarttags" w:element="place">
          <w:r w:rsidRPr="00745BDD">
            <w:rPr>
              <w:rFonts w:ascii="Arial" w:hAnsi="Arial" w:cs="Arial"/>
              <w:szCs w:val="24"/>
            </w:rPr>
            <w:t>Greece</w:t>
          </w:r>
        </w:smartTag>
      </w:smartTag>
      <w:r w:rsidRPr="00745BDD">
        <w:rPr>
          <w:rFonts w:ascii="Arial" w:hAnsi="Arial" w:cs="Arial"/>
          <w:szCs w:val="24"/>
        </w:rPr>
        <w:t xml:space="preserve"> from the Western Asiatic </w:t>
      </w:r>
      <w:r>
        <w:rPr>
          <w:rFonts w:ascii="Arial" w:hAnsi="Arial" w:cs="Arial"/>
          <w:szCs w:val="24"/>
        </w:rPr>
        <w:tab/>
        <w:t xml:space="preserve">    1</w:t>
      </w:r>
    </w:p>
    <w:p w14:paraId="064978CF" w14:textId="77777777" w:rsidR="00A25DE7" w:rsidRPr="00745BDD" w:rsidRDefault="00A25DE7" w:rsidP="008571B2">
      <w:pPr>
        <w:pStyle w:val="ListParagraph"/>
        <w:numPr>
          <w:ilvl w:val="0"/>
          <w:numId w:val="19"/>
          <w:numberingChange w:id="1" w:author="Dorian" w:date="2015-11-20T19:28:00Z" w:original="%1:1:4:."/>
        </w:numPr>
        <w:ind w:left="567" w:hanging="283"/>
        <w:rPr>
          <w:rFonts w:ascii="Arial" w:hAnsi="Arial" w:cs="Arial"/>
          <w:szCs w:val="24"/>
        </w:rPr>
      </w:pPr>
      <w:r w:rsidRPr="00745BDD">
        <w:rPr>
          <w:rFonts w:ascii="Arial" w:hAnsi="Arial" w:cs="Arial"/>
          <w:szCs w:val="24"/>
        </w:rPr>
        <w:t xml:space="preserve">Cultural contact </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1</w:t>
      </w:r>
    </w:p>
    <w:p w14:paraId="4BAC5120" w14:textId="77777777" w:rsidR="00A25DE7" w:rsidRPr="00745BDD" w:rsidRDefault="00A25DE7" w:rsidP="008571B2">
      <w:pPr>
        <w:pStyle w:val="ListParagraph"/>
        <w:numPr>
          <w:ilvl w:val="0"/>
          <w:numId w:val="19"/>
          <w:numberingChange w:id="2" w:author="Dorian" w:date="2015-11-20T19:28:00Z" w:original="%1:1:4:."/>
        </w:numPr>
        <w:ind w:left="567" w:hanging="283"/>
        <w:rPr>
          <w:rFonts w:ascii="Arial" w:hAnsi="Arial" w:cs="Arial"/>
          <w:szCs w:val="24"/>
        </w:rPr>
      </w:pPr>
      <w:r w:rsidRPr="00745BDD">
        <w:rPr>
          <w:rFonts w:ascii="Arial" w:hAnsi="Arial" w:cs="Arial"/>
          <w:szCs w:val="24"/>
        </w:rPr>
        <w:t xml:space="preserve">Literary influence </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3</w:t>
      </w:r>
    </w:p>
    <w:p w14:paraId="2CB10DBF" w14:textId="77777777" w:rsidR="00A25DE7" w:rsidRPr="00745BDD" w:rsidRDefault="00A25DE7" w:rsidP="008571B2">
      <w:pPr>
        <w:pStyle w:val="ListParagraph"/>
        <w:numPr>
          <w:ilvl w:val="0"/>
          <w:numId w:val="20"/>
          <w:numberingChange w:id="3" w:author="Dorian" w:date="2015-11-20T19:28:00Z" w:original="%1:1:2:."/>
        </w:numPr>
        <w:ind w:hanging="306"/>
        <w:rPr>
          <w:rFonts w:ascii="Arial" w:hAnsi="Arial" w:cs="Arial"/>
          <w:szCs w:val="24"/>
        </w:rPr>
      </w:pPr>
      <w:r w:rsidRPr="00745BDD">
        <w:rPr>
          <w:rFonts w:ascii="Arial" w:hAnsi="Arial" w:cs="Arial"/>
          <w:szCs w:val="24"/>
        </w:rPr>
        <w:t>Transmission</w:t>
      </w:r>
    </w:p>
    <w:p w14:paraId="1F69190D" w14:textId="77777777" w:rsidR="00A25DE7" w:rsidRPr="00745BDD" w:rsidRDefault="00A25DE7" w:rsidP="008571B2">
      <w:pPr>
        <w:pStyle w:val="ListParagraph"/>
        <w:numPr>
          <w:ilvl w:val="0"/>
          <w:numId w:val="20"/>
          <w:numberingChange w:id="4" w:author="Dorian" w:date="2015-11-20T19:28:00Z" w:original="%1:1:2:."/>
        </w:numPr>
        <w:ind w:hanging="306"/>
        <w:rPr>
          <w:rFonts w:ascii="Arial" w:hAnsi="Arial" w:cs="Arial"/>
          <w:szCs w:val="24"/>
        </w:rPr>
      </w:pPr>
      <w:r w:rsidRPr="00745BDD">
        <w:rPr>
          <w:rFonts w:ascii="Arial" w:hAnsi="Arial" w:cs="Arial"/>
          <w:szCs w:val="24"/>
        </w:rPr>
        <w:t>Influence on Greek Literature</w:t>
      </w:r>
    </w:p>
    <w:p w14:paraId="1DF2D833" w14:textId="77777777" w:rsidR="00A25DE7" w:rsidRPr="00745BDD" w:rsidRDefault="00A25DE7" w:rsidP="008571B2">
      <w:pPr>
        <w:ind w:firstLine="284"/>
        <w:rPr>
          <w:rFonts w:ascii="Arial" w:hAnsi="Arial" w:cs="Arial"/>
          <w:szCs w:val="24"/>
        </w:rPr>
      </w:pPr>
      <w:r w:rsidRPr="00745BDD">
        <w:rPr>
          <w:rFonts w:ascii="Arial" w:hAnsi="Arial" w:cs="Arial"/>
          <w:szCs w:val="24"/>
        </w:rPr>
        <w:t>Section Two: Astronomy in Western Asiatic literature</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9</w:t>
      </w:r>
    </w:p>
    <w:p w14:paraId="085CD327" w14:textId="77777777" w:rsidR="00A25DE7" w:rsidRPr="00745BDD" w:rsidRDefault="00A25DE7" w:rsidP="00EC7E8F">
      <w:pPr>
        <w:pStyle w:val="ListParagraph"/>
        <w:numPr>
          <w:ilvl w:val="0"/>
          <w:numId w:val="18"/>
          <w:numberingChange w:id="5" w:author="Dorian" w:date="2015-11-20T19:28:00Z" w:original="%1:1:4:."/>
        </w:numPr>
        <w:rPr>
          <w:rFonts w:ascii="Arial" w:hAnsi="Arial" w:cs="Arial"/>
          <w:szCs w:val="24"/>
        </w:rPr>
      </w:pPr>
      <w:r w:rsidRPr="00745BDD">
        <w:rPr>
          <w:rFonts w:ascii="Arial" w:hAnsi="Arial" w:cs="Arial"/>
          <w:szCs w:val="24"/>
        </w:rPr>
        <w:t>Western Asiatic Astronomy: An overview</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9</w:t>
      </w:r>
    </w:p>
    <w:p w14:paraId="6C1D429A" w14:textId="77777777" w:rsidR="00A25DE7" w:rsidRPr="00745BDD" w:rsidRDefault="00A25DE7" w:rsidP="00EC7E8F">
      <w:pPr>
        <w:pStyle w:val="ListParagraph"/>
        <w:numPr>
          <w:ilvl w:val="0"/>
          <w:numId w:val="18"/>
          <w:numberingChange w:id="6" w:author="Dorian" w:date="2015-11-20T19:28:00Z" w:original="%1:2:4:."/>
        </w:numPr>
        <w:tabs>
          <w:tab w:val="left" w:pos="993"/>
        </w:tabs>
        <w:rPr>
          <w:rFonts w:ascii="Arial" w:hAnsi="Arial" w:cs="Arial"/>
          <w:szCs w:val="24"/>
        </w:rPr>
      </w:pPr>
      <w:r w:rsidRPr="00745BDD">
        <w:rPr>
          <w:rFonts w:ascii="Arial" w:hAnsi="Arial" w:cs="Arial"/>
          <w:szCs w:val="24"/>
        </w:rPr>
        <w:t xml:space="preserve">Jeffrey Cooley: </w:t>
      </w:r>
      <w:r w:rsidRPr="00745BDD">
        <w:rPr>
          <w:rFonts w:ascii="Arial" w:hAnsi="Arial" w:cs="Arial"/>
          <w:i/>
          <w:szCs w:val="24"/>
        </w:rPr>
        <w:t>Poetic Astronomy in the Ancient Near East</w:t>
      </w:r>
      <w:r>
        <w:rPr>
          <w:rFonts w:ascii="Arial" w:hAnsi="Arial" w:cs="Arial"/>
          <w:i/>
          <w:szCs w:val="24"/>
        </w:rPr>
        <w:tab/>
      </w:r>
      <w:r>
        <w:rPr>
          <w:rFonts w:ascii="Arial" w:hAnsi="Arial" w:cs="Arial"/>
          <w:i/>
          <w:szCs w:val="24"/>
        </w:rPr>
        <w:tab/>
      </w:r>
      <w:r>
        <w:rPr>
          <w:rFonts w:ascii="Arial" w:hAnsi="Arial" w:cs="Arial"/>
          <w:i/>
          <w:szCs w:val="24"/>
        </w:rPr>
        <w:tab/>
      </w:r>
      <w:r>
        <w:rPr>
          <w:rFonts w:ascii="Arial" w:hAnsi="Arial" w:cs="Arial"/>
          <w:szCs w:val="24"/>
        </w:rPr>
        <w:t xml:space="preserve">   12</w:t>
      </w:r>
    </w:p>
    <w:p w14:paraId="3990FA11" w14:textId="77777777" w:rsidR="00A25DE7" w:rsidRPr="00745BDD" w:rsidRDefault="00A25DE7" w:rsidP="003B7FA5">
      <w:pPr>
        <w:tabs>
          <w:tab w:val="left" w:pos="284"/>
        </w:tabs>
        <w:rPr>
          <w:rFonts w:ascii="Arial" w:hAnsi="Arial" w:cs="Arial"/>
          <w:szCs w:val="24"/>
        </w:rPr>
      </w:pPr>
      <w:r w:rsidRPr="00745BDD">
        <w:rPr>
          <w:rFonts w:ascii="Arial" w:hAnsi="Arial" w:cs="Arial"/>
          <w:szCs w:val="24"/>
        </w:rPr>
        <w:t>Section Three: Methodology and Sources</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14</w:t>
      </w:r>
    </w:p>
    <w:p w14:paraId="09D63C37" w14:textId="77777777" w:rsidR="00A25DE7" w:rsidRPr="00745BDD" w:rsidRDefault="00A25DE7" w:rsidP="00C66F32">
      <w:pPr>
        <w:pStyle w:val="ListParagraph"/>
        <w:numPr>
          <w:ilvl w:val="0"/>
          <w:numId w:val="21"/>
          <w:numberingChange w:id="7" w:author="Dorian" w:date="2015-11-20T19:28:00Z" w:original="%1:1:4:."/>
        </w:numPr>
        <w:rPr>
          <w:rFonts w:ascii="Arial" w:hAnsi="Arial" w:cs="Arial"/>
          <w:szCs w:val="24"/>
        </w:rPr>
      </w:pPr>
      <w:r w:rsidRPr="00745BDD">
        <w:rPr>
          <w:rFonts w:ascii="Arial" w:hAnsi="Arial" w:cs="Arial"/>
          <w:szCs w:val="24"/>
        </w:rPr>
        <w:t>Methodology</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14</w:t>
      </w:r>
    </w:p>
    <w:p w14:paraId="7AD0BBE1" w14:textId="77777777" w:rsidR="00A25DE7" w:rsidRPr="00745BDD" w:rsidRDefault="00A25DE7" w:rsidP="00C66F32">
      <w:pPr>
        <w:pStyle w:val="ListParagraph"/>
        <w:numPr>
          <w:ilvl w:val="0"/>
          <w:numId w:val="21"/>
          <w:numberingChange w:id="8" w:author="Dorian" w:date="2015-11-20T19:28:00Z" w:original="%1:1:4:."/>
        </w:numPr>
        <w:rPr>
          <w:rFonts w:ascii="Arial" w:hAnsi="Arial" w:cs="Arial"/>
          <w:szCs w:val="24"/>
        </w:rPr>
      </w:pPr>
      <w:r w:rsidRPr="00745BDD">
        <w:rPr>
          <w:rFonts w:ascii="Arial" w:hAnsi="Arial" w:cs="Arial"/>
          <w:szCs w:val="24"/>
        </w:rPr>
        <w:t>Notes on Sources</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15</w:t>
      </w:r>
    </w:p>
    <w:p w14:paraId="34C4A5E5" w14:textId="77777777" w:rsidR="00A25DE7" w:rsidRPr="00745BDD" w:rsidRDefault="00A25DE7" w:rsidP="00B4379B">
      <w:pPr>
        <w:pStyle w:val="ListParagraph"/>
        <w:numPr>
          <w:ilvl w:val="1"/>
          <w:numId w:val="22"/>
          <w:numberingChange w:id="9" w:author="Dorian" w:date="2015-11-20T19:28:00Z" w:original="%2:1:2:."/>
        </w:numPr>
        <w:rPr>
          <w:rFonts w:ascii="Arial" w:hAnsi="Arial" w:cs="Arial"/>
          <w:szCs w:val="24"/>
        </w:rPr>
      </w:pPr>
      <w:r w:rsidRPr="00745BDD">
        <w:rPr>
          <w:rFonts w:ascii="Arial" w:hAnsi="Arial" w:cs="Arial"/>
          <w:szCs w:val="24"/>
        </w:rPr>
        <w:t xml:space="preserve">Homer’s </w:t>
      </w:r>
      <w:r w:rsidRPr="00745BDD">
        <w:rPr>
          <w:rFonts w:ascii="Arial" w:hAnsi="Arial" w:cs="Arial"/>
          <w:i/>
          <w:szCs w:val="24"/>
        </w:rPr>
        <w:t>Odyssey</w:t>
      </w:r>
    </w:p>
    <w:p w14:paraId="771CFF1B" w14:textId="77777777" w:rsidR="00A25DE7" w:rsidRPr="00745BDD" w:rsidRDefault="00A25DE7" w:rsidP="00C66F32">
      <w:pPr>
        <w:pStyle w:val="ListParagraph"/>
        <w:numPr>
          <w:ilvl w:val="1"/>
          <w:numId w:val="22"/>
          <w:numberingChange w:id="10" w:author="Dorian" w:date="2015-11-20T19:28:00Z" w:original="%2:2:2:."/>
        </w:numPr>
        <w:rPr>
          <w:rFonts w:ascii="Arial" w:hAnsi="Arial" w:cs="Arial"/>
          <w:szCs w:val="24"/>
        </w:rPr>
      </w:pPr>
      <w:r w:rsidRPr="00745BDD">
        <w:rPr>
          <w:rFonts w:ascii="Arial" w:hAnsi="Arial" w:cs="Arial"/>
          <w:szCs w:val="24"/>
        </w:rPr>
        <w:t xml:space="preserve">The Epic of </w:t>
      </w:r>
      <w:r w:rsidRPr="00745BDD">
        <w:rPr>
          <w:rFonts w:ascii="Arial" w:hAnsi="Arial" w:cs="Arial"/>
          <w:i/>
          <w:szCs w:val="24"/>
        </w:rPr>
        <w:t>Gilgamesh</w:t>
      </w:r>
      <w:r w:rsidRPr="00745BDD">
        <w:rPr>
          <w:rFonts w:ascii="Arial" w:hAnsi="Arial" w:cs="Arial"/>
          <w:szCs w:val="24"/>
        </w:rPr>
        <w:t xml:space="preserve">and </w:t>
      </w:r>
      <w:r w:rsidRPr="00745BDD">
        <w:rPr>
          <w:rFonts w:ascii="Arial" w:hAnsi="Arial" w:cs="Arial"/>
          <w:i/>
          <w:szCs w:val="24"/>
        </w:rPr>
        <w:t>Miscellanea Orientalia</w:t>
      </w:r>
    </w:p>
    <w:p w14:paraId="2E73A280" w14:textId="77777777" w:rsidR="00A25DE7" w:rsidRPr="00745BDD" w:rsidRDefault="00A25DE7" w:rsidP="00C66F32">
      <w:pPr>
        <w:pStyle w:val="ListParagraph"/>
        <w:ind w:left="1440"/>
        <w:rPr>
          <w:rFonts w:ascii="Arial" w:hAnsi="Arial" w:cs="Arial"/>
          <w:szCs w:val="24"/>
        </w:rPr>
      </w:pPr>
    </w:p>
    <w:p w14:paraId="252DCD5C" w14:textId="77777777" w:rsidR="00A25DE7" w:rsidRPr="00F034DE" w:rsidRDefault="00A25DE7" w:rsidP="003B7FA5">
      <w:pPr>
        <w:rPr>
          <w:rFonts w:ascii="Arial" w:hAnsi="Arial" w:cs="Arial"/>
          <w:sz w:val="24"/>
          <w:szCs w:val="24"/>
        </w:rPr>
      </w:pPr>
      <w:r w:rsidRPr="00745BDD">
        <w:rPr>
          <w:rFonts w:ascii="Arial" w:hAnsi="Arial" w:cs="Arial"/>
          <w:sz w:val="24"/>
          <w:szCs w:val="24"/>
        </w:rPr>
        <w:t xml:space="preserve">Chapter Two: Constellations, characters, and calendars in Homer’s </w:t>
      </w:r>
      <w:r w:rsidRPr="00745BDD">
        <w:rPr>
          <w:rFonts w:ascii="Arial" w:hAnsi="Arial" w:cs="Arial"/>
          <w:i/>
          <w:sz w:val="24"/>
          <w:szCs w:val="24"/>
        </w:rPr>
        <w:t>Odyssey</w:t>
      </w:r>
      <w:r w:rsidRPr="00745BDD">
        <w:rPr>
          <w:rFonts w:ascii="Arial" w:hAnsi="Arial" w:cs="Arial"/>
          <w:sz w:val="24"/>
          <w:szCs w:val="24"/>
        </w:rPr>
        <w:t xml:space="preserve"> and the Epic of </w:t>
      </w:r>
      <w:r w:rsidRPr="00745BDD">
        <w:rPr>
          <w:rFonts w:ascii="Arial" w:hAnsi="Arial" w:cs="Arial"/>
          <w:i/>
          <w:sz w:val="24"/>
          <w:szCs w:val="24"/>
        </w:rPr>
        <w:t>Gilgamesh</w:t>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sz w:val="24"/>
          <w:szCs w:val="24"/>
        </w:rPr>
        <w:t>18</w:t>
      </w:r>
    </w:p>
    <w:p w14:paraId="692C197D" w14:textId="77777777" w:rsidR="00A25DE7" w:rsidRPr="00745BDD" w:rsidRDefault="00A25DE7" w:rsidP="00FF7EC0">
      <w:pPr>
        <w:ind w:left="284"/>
        <w:rPr>
          <w:rFonts w:ascii="Arial" w:hAnsi="Arial" w:cs="Arial"/>
          <w:szCs w:val="24"/>
        </w:rPr>
      </w:pPr>
      <w:r w:rsidRPr="00745BDD">
        <w:rPr>
          <w:rFonts w:ascii="Arial" w:hAnsi="Arial" w:cs="Arial"/>
          <w:szCs w:val="24"/>
        </w:rPr>
        <w:t>Section One: Extended sequences – Constellation Narratives</w:t>
      </w:r>
      <w:r>
        <w:rPr>
          <w:rFonts w:ascii="Arial" w:hAnsi="Arial" w:cs="Arial"/>
          <w:szCs w:val="24"/>
        </w:rPr>
        <w:tab/>
      </w:r>
      <w:r>
        <w:rPr>
          <w:rFonts w:ascii="Arial" w:hAnsi="Arial" w:cs="Arial"/>
          <w:szCs w:val="24"/>
        </w:rPr>
        <w:tab/>
      </w:r>
      <w:r>
        <w:rPr>
          <w:rFonts w:ascii="Arial" w:hAnsi="Arial" w:cs="Arial"/>
          <w:szCs w:val="24"/>
        </w:rPr>
        <w:tab/>
        <w:t xml:space="preserve">    19</w:t>
      </w:r>
    </w:p>
    <w:p w14:paraId="5BDAACCC" w14:textId="77777777" w:rsidR="00A25DE7" w:rsidRPr="00745BDD" w:rsidRDefault="00A25DE7" w:rsidP="00FF7EC0">
      <w:pPr>
        <w:pStyle w:val="ListParagraph"/>
        <w:numPr>
          <w:ilvl w:val="0"/>
          <w:numId w:val="28"/>
          <w:numberingChange w:id="11" w:author="Dorian" w:date="2015-11-20T19:28:00Z" w:original="%1:1:4:."/>
        </w:numPr>
        <w:ind w:left="284" w:firstLine="0"/>
        <w:rPr>
          <w:rFonts w:ascii="Arial" w:hAnsi="Arial" w:cs="Arial"/>
          <w:szCs w:val="24"/>
        </w:rPr>
      </w:pPr>
      <w:r w:rsidRPr="00745BDD">
        <w:rPr>
          <w:rFonts w:ascii="Arial" w:hAnsi="Arial" w:cs="Arial"/>
          <w:szCs w:val="24"/>
        </w:rPr>
        <w:t>The Bull of Heaven</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19</w:t>
      </w:r>
    </w:p>
    <w:p w14:paraId="6F23E686" w14:textId="77777777" w:rsidR="00A25DE7" w:rsidRPr="00745BDD" w:rsidRDefault="00A25DE7" w:rsidP="00FF7EC0">
      <w:pPr>
        <w:ind w:left="284"/>
        <w:rPr>
          <w:rFonts w:ascii="Arial" w:hAnsi="Arial" w:cs="Arial"/>
          <w:szCs w:val="24"/>
        </w:rPr>
      </w:pPr>
      <w:r w:rsidRPr="00745BDD">
        <w:rPr>
          <w:rFonts w:ascii="Arial" w:hAnsi="Arial" w:cs="Arial"/>
          <w:szCs w:val="24"/>
        </w:rPr>
        <w:t>Section Two: Character study – Celestial Goddesses</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23</w:t>
      </w:r>
    </w:p>
    <w:p w14:paraId="4F4F8968" w14:textId="77777777" w:rsidR="00A25DE7" w:rsidRPr="00745BDD" w:rsidRDefault="00A25DE7" w:rsidP="00C66F32">
      <w:pPr>
        <w:pStyle w:val="ListParagraph"/>
        <w:numPr>
          <w:ilvl w:val="0"/>
          <w:numId w:val="42"/>
          <w:numberingChange w:id="12" w:author="Dorian" w:date="2015-11-20T19:28:00Z" w:original="%1:1:4:."/>
        </w:numPr>
        <w:rPr>
          <w:rFonts w:ascii="Arial" w:hAnsi="Arial" w:cs="Arial"/>
          <w:szCs w:val="24"/>
        </w:rPr>
      </w:pPr>
      <w:r w:rsidRPr="00745BDD">
        <w:rPr>
          <w:rFonts w:ascii="Arial" w:hAnsi="Arial" w:cs="Arial"/>
          <w:szCs w:val="24"/>
        </w:rPr>
        <w:t>Ishtar/Siduri and Calypso/Circe</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23</w:t>
      </w:r>
    </w:p>
    <w:p w14:paraId="395735D2" w14:textId="77777777" w:rsidR="00A25DE7" w:rsidRPr="00745BDD" w:rsidRDefault="00A25DE7" w:rsidP="00FF7EC0">
      <w:pPr>
        <w:ind w:left="284"/>
        <w:rPr>
          <w:rFonts w:ascii="Arial" w:hAnsi="Arial" w:cs="Arial"/>
          <w:szCs w:val="24"/>
        </w:rPr>
      </w:pPr>
      <w:r w:rsidRPr="00745BDD">
        <w:rPr>
          <w:rFonts w:ascii="Arial" w:hAnsi="Arial" w:cs="Arial"/>
          <w:szCs w:val="24"/>
        </w:rPr>
        <w:t xml:space="preserve">Section Three: Literary techniques and tropes – Calendars and Chronology </w:t>
      </w:r>
      <w:r>
        <w:rPr>
          <w:rFonts w:ascii="Arial" w:hAnsi="Arial" w:cs="Arial"/>
          <w:szCs w:val="24"/>
        </w:rPr>
        <w:tab/>
        <w:t xml:space="preserve">    25</w:t>
      </w:r>
    </w:p>
    <w:p w14:paraId="61B8875D" w14:textId="77777777" w:rsidR="00A25DE7" w:rsidRPr="00745BDD" w:rsidRDefault="00A25DE7" w:rsidP="00C42FBB">
      <w:pPr>
        <w:pStyle w:val="ListParagraph"/>
        <w:numPr>
          <w:ilvl w:val="0"/>
          <w:numId w:val="43"/>
          <w:numberingChange w:id="13" w:author="Dorian" w:date="2015-11-20T19:28:00Z" w:original="%1:1:4:."/>
        </w:numPr>
        <w:rPr>
          <w:rFonts w:ascii="Arial" w:hAnsi="Arial" w:cs="Arial"/>
          <w:szCs w:val="24"/>
        </w:rPr>
      </w:pPr>
      <w:r w:rsidRPr="00745BDD">
        <w:rPr>
          <w:rFonts w:ascii="Arial" w:hAnsi="Arial" w:cs="Arial"/>
          <w:szCs w:val="24"/>
        </w:rPr>
        <w:t>The division of night</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26</w:t>
      </w:r>
    </w:p>
    <w:p w14:paraId="7F2DDEF6" w14:textId="77777777" w:rsidR="00A25DE7" w:rsidRPr="00745BDD" w:rsidRDefault="00A25DE7" w:rsidP="00C42FBB">
      <w:pPr>
        <w:pStyle w:val="ListParagraph"/>
        <w:numPr>
          <w:ilvl w:val="0"/>
          <w:numId w:val="43"/>
          <w:numberingChange w:id="14" w:author="Dorian" w:date="2015-11-20T19:28:00Z" w:original="%1:1:4:."/>
        </w:numPr>
        <w:rPr>
          <w:rFonts w:ascii="Arial" w:hAnsi="Arial" w:cs="Arial"/>
          <w:szCs w:val="24"/>
        </w:rPr>
      </w:pPr>
      <w:r w:rsidRPr="00745BDD">
        <w:rPr>
          <w:rFonts w:ascii="Arial" w:hAnsi="Arial" w:cs="Arial"/>
          <w:szCs w:val="24"/>
        </w:rPr>
        <w:t>The passing of days</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27</w:t>
      </w:r>
    </w:p>
    <w:p w14:paraId="1DCF7DF4" w14:textId="77777777" w:rsidR="00A25DE7" w:rsidRPr="00745BDD" w:rsidRDefault="00A25DE7" w:rsidP="00C42FBB">
      <w:pPr>
        <w:pStyle w:val="ListParagraph"/>
        <w:numPr>
          <w:ilvl w:val="0"/>
          <w:numId w:val="43"/>
          <w:numberingChange w:id="15" w:author="Dorian" w:date="2015-11-20T19:28:00Z" w:original="%1:1:4:."/>
        </w:numPr>
        <w:rPr>
          <w:rFonts w:ascii="Arial" w:hAnsi="Arial" w:cs="Arial"/>
          <w:szCs w:val="24"/>
        </w:rPr>
      </w:pPr>
      <w:r w:rsidRPr="00745BDD">
        <w:rPr>
          <w:rFonts w:ascii="Arial" w:hAnsi="Arial" w:cs="Arial"/>
          <w:szCs w:val="24"/>
        </w:rPr>
        <w:t>The making of calendars</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29</w:t>
      </w:r>
    </w:p>
    <w:p w14:paraId="3C1FB369" w14:textId="77777777" w:rsidR="00A25DE7" w:rsidRPr="00745BDD" w:rsidRDefault="00A25DE7" w:rsidP="00C42FBB">
      <w:pPr>
        <w:pStyle w:val="ListParagraph"/>
        <w:ind w:left="644"/>
        <w:rPr>
          <w:rFonts w:ascii="Arial" w:hAnsi="Arial" w:cs="Arial"/>
          <w:szCs w:val="24"/>
        </w:rPr>
      </w:pPr>
    </w:p>
    <w:p w14:paraId="27329EB5" w14:textId="77777777" w:rsidR="00A25DE7" w:rsidRPr="00745BDD" w:rsidRDefault="00A25DE7" w:rsidP="007536E1">
      <w:pPr>
        <w:rPr>
          <w:rFonts w:ascii="Arial" w:hAnsi="Arial" w:cs="Arial"/>
          <w:szCs w:val="24"/>
        </w:rPr>
      </w:pPr>
      <w:r w:rsidRPr="00745BDD">
        <w:rPr>
          <w:rFonts w:ascii="Arial" w:hAnsi="Arial" w:cs="Arial"/>
          <w:sz w:val="24"/>
          <w:szCs w:val="24"/>
        </w:rPr>
        <w:t>Chapter Three: Western Asiatic influences on Homeric cosmology</w:t>
      </w:r>
      <w:r>
        <w:rPr>
          <w:rFonts w:ascii="Arial" w:hAnsi="Arial" w:cs="Arial"/>
          <w:sz w:val="24"/>
          <w:szCs w:val="24"/>
        </w:rPr>
        <w:tab/>
      </w:r>
      <w:r>
        <w:rPr>
          <w:rFonts w:ascii="Arial" w:hAnsi="Arial" w:cs="Arial"/>
          <w:sz w:val="24"/>
          <w:szCs w:val="24"/>
        </w:rPr>
        <w:tab/>
        <w:t xml:space="preserve">    32</w:t>
      </w:r>
    </w:p>
    <w:p w14:paraId="5BFF5E3E" w14:textId="77777777" w:rsidR="00A25DE7" w:rsidRPr="00745BDD" w:rsidRDefault="00A25DE7" w:rsidP="007536E1">
      <w:pPr>
        <w:ind w:left="284"/>
        <w:rPr>
          <w:rFonts w:ascii="Arial" w:hAnsi="Arial" w:cs="Arial"/>
          <w:szCs w:val="24"/>
        </w:rPr>
      </w:pPr>
      <w:r w:rsidRPr="00745BDD">
        <w:rPr>
          <w:rFonts w:ascii="Arial" w:hAnsi="Arial" w:cs="Arial"/>
          <w:szCs w:val="24"/>
        </w:rPr>
        <w:t>Section One: Extended Sequences – Cosmic Narratives</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32</w:t>
      </w:r>
    </w:p>
    <w:p w14:paraId="6ECF5E37" w14:textId="77777777" w:rsidR="00A25DE7" w:rsidRPr="00745BDD" w:rsidRDefault="00A25DE7" w:rsidP="007536E1">
      <w:pPr>
        <w:pStyle w:val="ListParagraph"/>
        <w:numPr>
          <w:ilvl w:val="0"/>
          <w:numId w:val="25"/>
          <w:numberingChange w:id="16" w:author="Dorian" w:date="2015-11-20T19:28:00Z" w:original="%1:1:4:."/>
        </w:numPr>
        <w:ind w:left="567" w:hanging="283"/>
        <w:rPr>
          <w:rFonts w:ascii="Arial" w:hAnsi="Arial" w:cs="Arial"/>
          <w:szCs w:val="24"/>
        </w:rPr>
      </w:pPr>
      <w:r w:rsidRPr="00745BDD">
        <w:rPr>
          <w:rFonts w:ascii="Arial" w:hAnsi="Arial" w:cs="Arial"/>
          <w:i/>
          <w:szCs w:val="24"/>
        </w:rPr>
        <w:lastRenderedPageBreak/>
        <w:t>Dios Apate</w:t>
      </w:r>
      <w:r w:rsidRPr="00745BDD">
        <w:rPr>
          <w:rFonts w:ascii="Arial" w:hAnsi="Arial" w:cs="Arial"/>
          <w:szCs w:val="24"/>
        </w:rPr>
        <w:t>and the Division of the Cosmos</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32</w:t>
      </w:r>
    </w:p>
    <w:p w14:paraId="245E6130" w14:textId="77777777" w:rsidR="00A25DE7" w:rsidRPr="00745BDD" w:rsidRDefault="00A25DE7" w:rsidP="007536E1">
      <w:pPr>
        <w:ind w:firstLine="284"/>
        <w:rPr>
          <w:rFonts w:ascii="Arial" w:hAnsi="Arial" w:cs="Arial"/>
          <w:szCs w:val="24"/>
        </w:rPr>
      </w:pPr>
      <w:r w:rsidRPr="00745BDD">
        <w:rPr>
          <w:rFonts w:ascii="Arial" w:hAnsi="Arial" w:cs="Arial"/>
          <w:szCs w:val="24"/>
        </w:rPr>
        <w:t>Section Two: Literary techniques and tropes – Doorways and Journeys</w:t>
      </w:r>
      <w:r>
        <w:rPr>
          <w:rFonts w:ascii="Arial" w:hAnsi="Arial" w:cs="Arial"/>
          <w:szCs w:val="24"/>
        </w:rPr>
        <w:tab/>
      </w:r>
      <w:r>
        <w:rPr>
          <w:rFonts w:ascii="Arial" w:hAnsi="Arial" w:cs="Arial"/>
          <w:szCs w:val="24"/>
        </w:rPr>
        <w:tab/>
        <w:t xml:space="preserve">   37</w:t>
      </w:r>
    </w:p>
    <w:p w14:paraId="53C335FE" w14:textId="77777777" w:rsidR="00A25DE7" w:rsidRPr="00745BDD" w:rsidRDefault="00A25DE7" w:rsidP="007536E1">
      <w:pPr>
        <w:pStyle w:val="ListParagraph"/>
        <w:numPr>
          <w:ilvl w:val="0"/>
          <w:numId w:val="26"/>
          <w:numberingChange w:id="17" w:author="Dorian" w:date="2015-11-20T19:28:00Z" w:original="%1:1:4:."/>
        </w:numPr>
        <w:tabs>
          <w:tab w:val="left" w:pos="284"/>
          <w:tab w:val="left" w:pos="993"/>
        </w:tabs>
        <w:ind w:left="567" w:hanging="283"/>
        <w:rPr>
          <w:rFonts w:ascii="Arial" w:hAnsi="Arial" w:cs="Arial"/>
          <w:szCs w:val="24"/>
        </w:rPr>
      </w:pPr>
      <w:r w:rsidRPr="00745BDD">
        <w:rPr>
          <w:rFonts w:ascii="Arial" w:hAnsi="Arial" w:cs="Arial"/>
          <w:szCs w:val="24"/>
        </w:rPr>
        <w:t>Gates and Pillars of the Sky and Netherworld</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37</w:t>
      </w:r>
    </w:p>
    <w:p w14:paraId="02FB3D06" w14:textId="77777777" w:rsidR="00A25DE7" w:rsidRPr="00745BDD" w:rsidRDefault="00A25DE7" w:rsidP="000B4F73">
      <w:pPr>
        <w:pStyle w:val="ListParagraph"/>
        <w:numPr>
          <w:ilvl w:val="0"/>
          <w:numId w:val="26"/>
          <w:numberingChange w:id="18" w:author="Dorian" w:date="2015-11-20T19:28:00Z" w:original="%1:2:4:."/>
        </w:numPr>
        <w:tabs>
          <w:tab w:val="left" w:pos="284"/>
          <w:tab w:val="left" w:pos="993"/>
        </w:tabs>
        <w:ind w:left="567" w:hanging="283"/>
        <w:rPr>
          <w:rFonts w:ascii="Arial" w:hAnsi="Arial" w:cs="Arial"/>
          <w:szCs w:val="24"/>
        </w:rPr>
      </w:pPr>
      <w:r w:rsidRPr="00745BDD">
        <w:rPr>
          <w:rFonts w:ascii="Arial" w:hAnsi="Arial" w:cs="Arial"/>
          <w:i/>
          <w:szCs w:val="24"/>
        </w:rPr>
        <w:t>Katabasis</w:t>
      </w:r>
      <w:r w:rsidRPr="00745BDD">
        <w:rPr>
          <w:rFonts w:ascii="Arial" w:hAnsi="Arial" w:cs="Arial"/>
          <w:szCs w:val="24"/>
        </w:rPr>
        <w:t xml:space="preserve"> and the Solar Cycle</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38</w:t>
      </w:r>
    </w:p>
    <w:p w14:paraId="7B60CA4B" w14:textId="77777777" w:rsidR="00A25DE7" w:rsidRPr="00745BDD" w:rsidRDefault="00A25DE7" w:rsidP="000B4F73">
      <w:pPr>
        <w:tabs>
          <w:tab w:val="left" w:pos="284"/>
          <w:tab w:val="left" w:pos="993"/>
        </w:tabs>
        <w:rPr>
          <w:rFonts w:ascii="Arial" w:hAnsi="Arial" w:cs="Arial"/>
          <w:szCs w:val="24"/>
        </w:rPr>
      </w:pPr>
      <w:r w:rsidRPr="00745BDD">
        <w:rPr>
          <w:rFonts w:ascii="Arial" w:hAnsi="Arial" w:cs="Arial"/>
          <w:szCs w:val="24"/>
        </w:rPr>
        <w:t xml:space="preserve">    Section Three: Character study – Solar Gods and Mythic Heroes</w:t>
      </w:r>
      <w:r>
        <w:rPr>
          <w:rFonts w:ascii="Arial" w:hAnsi="Arial" w:cs="Arial"/>
          <w:szCs w:val="24"/>
        </w:rPr>
        <w:tab/>
      </w:r>
      <w:r>
        <w:rPr>
          <w:rFonts w:ascii="Arial" w:hAnsi="Arial" w:cs="Arial"/>
          <w:szCs w:val="24"/>
        </w:rPr>
        <w:tab/>
        <w:t xml:space="preserve">   40</w:t>
      </w:r>
    </w:p>
    <w:p w14:paraId="4B3DAB84" w14:textId="77777777" w:rsidR="00A25DE7" w:rsidRPr="00745BDD" w:rsidRDefault="00A25DE7" w:rsidP="000B4F73">
      <w:pPr>
        <w:pStyle w:val="ListParagraph"/>
        <w:numPr>
          <w:ilvl w:val="0"/>
          <w:numId w:val="27"/>
          <w:numberingChange w:id="19" w:author="Dorian" w:date="2015-11-20T19:28:00Z" w:original="%1:1:4:."/>
        </w:numPr>
        <w:ind w:left="567" w:hanging="283"/>
        <w:rPr>
          <w:rFonts w:ascii="Arial" w:hAnsi="Arial" w:cs="Arial"/>
          <w:szCs w:val="24"/>
        </w:rPr>
      </w:pPr>
      <w:r w:rsidRPr="00745BDD">
        <w:rPr>
          <w:rFonts w:ascii="Arial" w:hAnsi="Arial" w:cs="Arial"/>
          <w:szCs w:val="24"/>
        </w:rPr>
        <w:t>Odysseus and the Sun</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 xml:space="preserve">   40</w:t>
      </w:r>
    </w:p>
    <w:p w14:paraId="17E9B2B5" w14:textId="77777777" w:rsidR="00A25DE7" w:rsidRPr="00745BDD" w:rsidRDefault="00A25DE7" w:rsidP="00EC2F57">
      <w:pPr>
        <w:pStyle w:val="ListParagraph"/>
        <w:ind w:left="567"/>
        <w:rPr>
          <w:rFonts w:ascii="Arial" w:hAnsi="Arial" w:cs="Arial"/>
          <w:szCs w:val="24"/>
        </w:rPr>
      </w:pPr>
    </w:p>
    <w:p w14:paraId="7B7995BA" w14:textId="77777777" w:rsidR="00A25DE7" w:rsidRPr="00745BDD" w:rsidRDefault="00A25DE7" w:rsidP="00A972F6">
      <w:pPr>
        <w:rPr>
          <w:rFonts w:ascii="Arial" w:hAnsi="Arial" w:cs="Arial"/>
          <w:sz w:val="24"/>
          <w:szCs w:val="24"/>
        </w:rPr>
      </w:pPr>
      <w:r w:rsidRPr="00745BDD">
        <w:rPr>
          <w:rFonts w:ascii="Arial" w:hAnsi="Arial" w:cs="Arial"/>
          <w:sz w:val="24"/>
          <w:szCs w:val="24"/>
        </w:rPr>
        <w:t>Conclusion: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47</w:t>
      </w:r>
    </w:p>
    <w:p w14:paraId="027207D2" w14:textId="77777777" w:rsidR="00A25DE7" w:rsidRPr="00745BDD" w:rsidRDefault="00A25DE7" w:rsidP="00A972F6">
      <w:pPr>
        <w:rPr>
          <w:rFonts w:ascii="Arial" w:hAnsi="Arial" w:cs="Arial"/>
          <w:sz w:val="24"/>
          <w:szCs w:val="24"/>
        </w:rPr>
      </w:pPr>
      <w:r w:rsidRPr="00745BDD">
        <w:rPr>
          <w:rFonts w:ascii="Arial" w:hAnsi="Arial" w:cs="Arial"/>
          <w:sz w:val="24"/>
          <w:szCs w:val="24"/>
        </w:rPr>
        <w:t>Appendices: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49</w:t>
      </w:r>
    </w:p>
    <w:p w14:paraId="6BA2B184" w14:textId="77777777" w:rsidR="00A25DE7" w:rsidRPr="00745BDD" w:rsidRDefault="00A25DE7" w:rsidP="00A972F6">
      <w:pPr>
        <w:rPr>
          <w:rFonts w:ascii="Arial" w:hAnsi="Arial" w:cs="Arial"/>
          <w:sz w:val="24"/>
          <w:szCs w:val="24"/>
        </w:rPr>
      </w:pPr>
      <w:r w:rsidRPr="00745BDD">
        <w:rPr>
          <w:rFonts w:ascii="Arial" w:hAnsi="Arial" w:cs="Arial"/>
          <w:sz w:val="24"/>
          <w:szCs w:val="24"/>
        </w:rPr>
        <w:t xml:space="preserve">Bibliography: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53</w:t>
      </w:r>
    </w:p>
    <w:p w14:paraId="5B8117EE" w14:textId="77777777" w:rsidR="00A25DE7" w:rsidRPr="00745BDD" w:rsidRDefault="00A25DE7" w:rsidP="00A972F6">
      <w:pPr>
        <w:rPr>
          <w:rFonts w:ascii="Arial" w:hAnsi="Arial" w:cs="Arial"/>
          <w:sz w:val="24"/>
          <w:szCs w:val="26"/>
        </w:rPr>
      </w:pPr>
    </w:p>
    <w:p w14:paraId="027FE380" w14:textId="77777777" w:rsidR="00A25DE7" w:rsidRPr="00745BDD" w:rsidRDefault="00A25DE7" w:rsidP="00A972F6">
      <w:pPr>
        <w:rPr>
          <w:rFonts w:ascii="Arial" w:hAnsi="Arial" w:cs="Arial"/>
          <w:sz w:val="24"/>
          <w:szCs w:val="26"/>
        </w:rPr>
      </w:pPr>
    </w:p>
    <w:p w14:paraId="7F475766" w14:textId="77777777" w:rsidR="00A25DE7" w:rsidRPr="00745BDD" w:rsidRDefault="00A25DE7" w:rsidP="00A972F6">
      <w:pPr>
        <w:rPr>
          <w:rFonts w:ascii="Arial" w:hAnsi="Arial" w:cs="Arial"/>
          <w:sz w:val="24"/>
          <w:szCs w:val="24"/>
        </w:rPr>
      </w:pPr>
    </w:p>
    <w:p w14:paraId="6EF0E335" w14:textId="77777777" w:rsidR="00A25DE7" w:rsidRPr="00745BDD" w:rsidRDefault="00A25DE7" w:rsidP="00A972F6">
      <w:pPr>
        <w:rPr>
          <w:rFonts w:ascii="Arial" w:hAnsi="Arial" w:cs="Arial"/>
          <w:sz w:val="24"/>
          <w:szCs w:val="24"/>
        </w:rPr>
      </w:pPr>
    </w:p>
    <w:p w14:paraId="2A496277" w14:textId="77777777" w:rsidR="00A25DE7" w:rsidRPr="00745BDD" w:rsidRDefault="00A25DE7" w:rsidP="00A972F6">
      <w:pPr>
        <w:rPr>
          <w:rFonts w:ascii="Arial" w:hAnsi="Arial" w:cs="Arial"/>
          <w:sz w:val="24"/>
          <w:szCs w:val="24"/>
        </w:rPr>
      </w:pPr>
    </w:p>
    <w:p w14:paraId="5C532C98" w14:textId="77777777" w:rsidR="00A25DE7" w:rsidRPr="00745BDD" w:rsidRDefault="00A25DE7" w:rsidP="00A972F6">
      <w:pPr>
        <w:rPr>
          <w:rFonts w:ascii="Arial" w:hAnsi="Arial" w:cs="Arial"/>
          <w:sz w:val="24"/>
          <w:szCs w:val="24"/>
        </w:rPr>
      </w:pPr>
    </w:p>
    <w:p w14:paraId="7DE2BA5A" w14:textId="77777777" w:rsidR="00A25DE7" w:rsidRPr="00745BDD" w:rsidRDefault="00A25DE7" w:rsidP="00A972F6">
      <w:pPr>
        <w:rPr>
          <w:rFonts w:ascii="Arial" w:hAnsi="Arial" w:cs="Arial"/>
          <w:sz w:val="24"/>
          <w:szCs w:val="24"/>
        </w:rPr>
      </w:pPr>
    </w:p>
    <w:p w14:paraId="7E14078D" w14:textId="77777777" w:rsidR="00A25DE7" w:rsidRPr="00745BDD" w:rsidRDefault="00A25DE7" w:rsidP="00A972F6">
      <w:pPr>
        <w:rPr>
          <w:rFonts w:ascii="Arial" w:hAnsi="Arial" w:cs="Arial"/>
          <w:sz w:val="24"/>
          <w:szCs w:val="24"/>
        </w:rPr>
      </w:pPr>
    </w:p>
    <w:p w14:paraId="6172ABF9" w14:textId="77777777" w:rsidR="00A25DE7" w:rsidRPr="00745BDD" w:rsidRDefault="00A25DE7" w:rsidP="00A972F6">
      <w:pPr>
        <w:rPr>
          <w:rFonts w:ascii="Arial" w:hAnsi="Arial" w:cs="Arial"/>
          <w:sz w:val="24"/>
          <w:szCs w:val="24"/>
        </w:rPr>
      </w:pPr>
    </w:p>
    <w:p w14:paraId="073C6420" w14:textId="77777777" w:rsidR="00A25DE7" w:rsidRPr="00745BDD" w:rsidRDefault="00A25DE7" w:rsidP="00A972F6">
      <w:pPr>
        <w:rPr>
          <w:rFonts w:ascii="Arial" w:hAnsi="Arial" w:cs="Arial"/>
          <w:sz w:val="24"/>
          <w:szCs w:val="24"/>
        </w:rPr>
      </w:pPr>
    </w:p>
    <w:p w14:paraId="32D9CBFC" w14:textId="77777777" w:rsidR="00A25DE7" w:rsidRPr="00745BDD" w:rsidRDefault="00A25DE7" w:rsidP="00A972F6">
      <w:pPr>
        <w:rPr>
          <w:rFonts w:ascii="Arial" w:hAnsi="Arial" w:cs="Arial"/>
          <w:sz w:val="24"/>
          <w:szCs w:val="24"/>
        </w:rPr>
      </w:pPr>
    </w:p>
    <w:p w14:paraId="68734A67" w14:textId="77777777" w:rsidR="00A25DE7" w:rsidRPr="00745BDD" w:rsidRDefault="00A25DE7" w:rsidP="00A972F6">
      <w:pPr>
        <w:rPr>
          <w:rFonts w:ascii="Arial" w:hAnsi="Arial" w:cs="Arial"/>
          <w:sz w:val="24"/>
          <w:szCs w:val="24"/>
        </w:rPr>
      </w:pPr>
    </w:p>
    <w:p w14:paraId="29FA32AD" w14:textId="77777777" w:rsidR="00A25DE7" w:rsidRPr="00745BDD" w:rsidRDefault="00A25DE7" w:rsidP="00A972F6">
      <w:pPr>
        <w:rPr>
          <w:rFonts w:ascii="Arial" w:hAnsi="Arial" w:cs="Arial"/>
          <w:sz w:val="24"/>
          <w:szCs w:val="24"/>
        </w:rPr>
      </w:pPr>
    </w:p>
    <w:p w14:paraId="7E76E7D7" w14:textId="77777777" w:rsidR="00A25DE7" w:rsidRPr="00745BDD" w:rsidRDefault="00A25DE7" w:rsidP="00A972F6">
      <w:pPr>
        <w:rPr>
          <w:rFonts w:ascii="Arial" w:hAnsi="Arial" w:cs="Arial"/>
          <w:sz w:val="24"/>
          <w:szCs w:val="24"/>
        </w:rPr>
      </w:pPr>
    </w:p>
    <w:p w14:paraId="32A930DF" w14:textId="77777777" w:rsidR="00A25DE7" w:rsidRPr="00745BDD" w:rsidRDefault="00A25DE7" w:rsidP="00A972F6">
      <w:pPr>
        <w:rPr>
          <w:rFonts w:ascii="Arial" w:hAnsi="Arial" w:cs="Arial"/>
          <w:sz w:val="24"/>
          <w:szCs w:val="24"/>
        </w:rPr>
      </w:pPr>
    </w:p>
    <w:p w14:paraId="1FC4A7F7" w14:textId="77777777" w:rsidR="00A25DE7" w:rsidRPr="00745BDD" w:rsidRDefault="00A25DE7" w:rsidP="00A972F6">
      <w:pPr>
        <w:rPr>
          <w:rFonts w:ascii="Arial" w:hAnsi="Arial" w:cs="Arial"/>
          <w:sz w:val="24"/>
          <w:szCs w:val="24"/>
        </w:rPr>
      </w:pPr>
    </w:p>
    <w:p w14:paraId="566C771C" w14:textId="77777777" w:rsidR="00A25DE7" w:rsidRPr="00745BDD" w:rsidRDefault="00A25DE7" w:rsidP="00A972F6">
      <w:pPr>
        <w:rPr>
          <w:rFonts w:ascii="Arial" w:hAnsi="Arial" w:cs="Arial"/>
          <w:sz w:val="24"/>
          <w:szCs w:val="24"/>
        </w:rPr>
      </w:pPr>
    </w:p>
    <w:p w14:paraId="1A2258D9" w14:textId="77777777" w:rsidR="00A25DE7" w:rsidRPr="00745BDD" w:rsidRDefault="00A25DE7" w:rsidP="00A972F6">
      <w:pPr>
        <w:rPr>
          <w:rFonts w:ascii="Arial" w:hAnsi="Arial" w:cs="Arial"/>
          <w:sz w:val="24"/>
          <w:szCs w:val="24"/>
        </w:rPr>
      </w:pPr>
    </w:p>
    <w:p w14:paraId="32B730FC" w14:textId="77777777" w:rsidR="00A25DE7" w:rsidRPr="00745BDD" w:rsidRDefault="00A25DE7" w:rsidP="00A972F6">
      <w:pPr>
        <w:rPr>
          <w:rFonts w:ascii="Arial" w:hAnsi="Arial" w:cs="Arial"/>
          <w:sz w:val="24"/>
          <w:szCs w:val="24"/>
        </w:rPr>
      </w:pPr>
    </w:p>
    <w:p w14:paraId="38DEF735" w14:textId="77777777" w:rsidR="00A25DE7" w:rsidRPr="00745BDD" w:rsidRDefault="00A25DE7" w:rsidP="00A972F6">
      <w:pPr>
        <w:rPr>
          <w:rFonts w:ascii="Arial" w:hAnsi="Arial" w:cs="Arial"/>
          <w:sz w:val="24"/>
          <w:szCs w:val="24"/>
        </w:rPr>
        <w:sectPr w:rsidR="00A25DE7" w:rsidRPr="00745BDD" w:rsidSect="005C34D4">
          <w:pgSz w:w="11906" w:h="16838"/>
          <w:pgMar w:top="1440" w:right="1133" w:bottom="1440" w:left="2268" w:header="708" w:footer="708" w:gutter="0"/>
          <w:pgNumType w:start="1"/>
          <w:cols w:space="708"/>
          <w:rtlGutter/>
          <w:docGrid w:linePitch="360"/>
        </w:sectPr>
      </w:pPr>
    </w:p>
    <w:p w14:paraId="5CBE86EA" w14:textId="77777777" w:rsidR="00A25DE7" w:rsidRPr="00745BDD" w:rsidRDefault="00A25DE7" w:rsidP="006212CA">
      <w:pPr>
        <w:jc w:val="center"/>
        <w:rPr>
          <w:rFonts w:ascii="Arial" w:hAnsi="Arial" w:cs="Arial"/>
          <w:sz w:val="28"/>
          <w:szCs w:val="24"/>
          <w:u w:val="single"/>
        </w:rPr>
      </w:pPr>
      <w:r w:rsidRPr="00745BDD">
        <w:rPr>
          <w:rFonts w:ascii="Arial" w:hAnsi="Arial" w:cs="Arial"/>
          <w:sz w:val="28"/>
          <w:szCs w:val="24"/>
          <w:u w:val="single"/>
        </w:rPr>
        <w:lastRenderedPageBreak/>
        <w:t>List of Abbreviations</w:t>
      </w:r>
    </w:p>
    <w:p w14:paraId="144AB6F9" w14:textId="77777777" w:rsidR="00A25DE7" w:rsidRPr="00745BDD" w:rsidRDefault="00A25DE7" w:rsidP="00940BFD">
      <w:pPr>
        <w:rPr>
          <w:rFonts w:ascii="Arial" w:hAnsi="Arial" w:cs="Arial"/>
          <w:sz w:val="28"/>
          <w:szCs w:val="24"/>
          <w:u w:val="single"/>
        </w:rPr>
      </w:pPr>
    </w:p>
    <w:p w14:paraId="115A1A85" w14:textId="77777777" w:rsidR="00A25DE7" w:rsidRPr="00745BDD" w:rsidRDefault="00A25DE7" w:rsidP="001D683A">
      <w:pPr>
        <w:ind w:left="1440" w:hanging="1440"/>
        <w:rPr>
          <w:rFonts w:ascii="Arial" w:hAnsi="Arial" w:cs="Arial"/>
        </w:rPr>
      </w:pPr>
      <w:r w:rsidRPr="00745BDD">
        <w:rPr>
          <w:rFonts w:ascii="Arial" w:hAnsi="Arial" w:cs="Arial"/>
          <w:i/>
        </w:rPr>
        <w:t xml:space="preserve">ANET </w:t>
      </w:r>
      <w:r w:rsidRPr="00745BDD">
        <w:rPr>
          <w:rFonts w:ascii="Arial" w:hAnsi="Arial" w:cs="Arial"/>
          <w:i/>
        </w:rPr>
        <w:tab/>
      </w:r>
      <w:r w:rsidRPr="00745BDD">
        <w:rPr>
          <w:rFonts w:ascii="Arial" w:hAnsi="Arial" w:cs="Arial"/>
        </w:rPr>
        <w:t xml:space="preserve">Pritchard, J. B. (1969) (ed.) </w:t>
      </w:r>
      <w:r w:rsidRPr="00745BDD">
        <w:rPr>
          <w:rFonts w:ascii="Arial" w:hAnsi="Arial" w:cs="Arial"/>
          <w:i/>
        </w:rPr>
        <w:t xml:space="preserve">Ancient Near Eastern Texts Relating to the Old Testament, </w:t>
      </w:r>
      <w:r w:rsidRPr="00745BDD">
        <w:rPr>
          <w:rFonts w:ascii="Arial" w:hAnsi="Arial" w:cs="Arial"/>
        </w:rPr>
        <w:t>3</w:t>
      </w:r>
      <w:r w:rsidRPr="00745BDD">
        <w:rPr>
          <w:rFonts w:ascii="Arial" w:hAnsi="Arial" w:cs="Arial"/>
          <w:vertAlign w:val="superscript"/>
        </w:rPr>
        <w:t>rd</w:t>
      </w:r>
      <w:r w:rsidRPr="00745BDD">
        <w:rPr>
          <w:rFonts w:ascii="Arial" w:hAnsi="Arial" w:cs="Arial"/>
        </w:rPr>
        <w:t xml:space="preserve"> Edition, </w:t>
      </w:r>
      <w:smartTag w:uri="urn:schemas-microsoft-com:office:smarttags" w:element="place">
        <w:r w:rsidRPr="00745BDD">
          <w:rPr>
            <w:rFonts w:ascii="Arial" w:hAnsi="Arial" w:cs="Arial"/>
          </w:rPr>
          <w:t>Princeton</w:t>
        </w:r>
      </w:smartTag>
      <w:r w:rsidRPr="00745BDD">
        <w:rPr>
          <w:rFonts w:ascii="Arial" w:hAnsi="Arial" w:cs="Arial"/>
        </w:rPr>
        <w:t xml:space="preserve"> </w:t>
      </w:r>
    </w:p>
    <w:p w14:paraId="48B80C4D" w14:textId="77777777" w:rsidR="00A25DE7" w:rsidRPr="00745BDD" w:rsidRDefault="00A25DE7" w:rsidP="00BE0AAD">
      <w:pPr>
        <w:rPr>
          <w:rFonts w:ascii="Arial" w:hAnsi="Arial" w:cs="Arial"/>
        </w:rPr>
      </w:pPr>
      <w:r w:rsidRPr="00745BDD">
        <w:rPr>
          <w:rFonts w:ascii="Arial" w:hAnsi="Arial" w:cs="Arial"/>
          <w:i/>
        </w:rPr>
        <w:t>Atr.</w:t>
      </w:r>
      <w:r w:rsidRPr="00745BDD">
        <w:rPr>
          <w:rFonts w:ascii="Arial" w:hAnsi="Arial" w:cs="Arial"/>
        </w:rPr>
        <w:tab/>
      </w:r>
      <w:r w:rsidRPr="00745BDD">
        <w:rPr>
          <w:rFonts w:ascii="Arial" w:hAnsi="Arial" w:cs="Arial"/>
        </w:rPr>
        <w:tab/>
      </w:r>
      <w:r w:rsidRPr="00745BDD">
        <w:rPr>
          <w:rFonts w:ascii="Arial" w:hAnsi="Arial" w:cs="Arial"/>
          <w:i/>
        </w:rPr>
        <w:t>Atrahasis</w:t>
      </w:r>
      <w:r w:rsidRPr="00745BDD">
        <w:rPr>
          <w:rFonts w:ascii="Arial" w:hAnsi="Arial" w:cs="Arial"/>
        </w:rPr>
        <w:t>(trans. Dalley unless otherwise stated)</w:t>
      </w:r>
    </w:p>
    <w:p w14:paraId="57BCB159" w14:textId="77777777" w:rsidR="00A25DE7" w:rsidRPr="00745BDD" w:rsidRDefault="00A25DE7" w:rsidP="001D683A">
      <w:pPr>
        <w:ind w:left="1440" w:hanging="1440"/>
        <w:rPr>
          <w:rFonts w:ascii="Arial" w:hAnsi="Arial" w:cs="Arial"/>
        </w:rPr>
      </w:pPr>
      <w:r w:rsidRPr="00745BDD">
        <w:rPr>
          <w:rFonts w:ascii="Arial" w:hAnsi="Arial" w:cs="Arial"/>
          <w:i/>
        </w:rPr>
        <w:t>CAD</w:t>
      </w:r>
      <w:r w:rsidRPr="00745BDD">
        <w:rPr>
          <w:rFonts w:ascii="Arial" w:hAnsi="Arial" w:cs="Arial"/>
          <w:i/>
        </w:rPr>
        <w:tab/>
        <w:t xml:space="preserve">The Assyrian Dictionary of the Oriental Institute of the </w:t>
      </w:r>
      <w:smartTag w:uri="urn:schemas-microsoft-com:office:smarttags" w:element="PlaceType">
        <w:r w:rsidRPr="00745BDD">
          <w:rPr>
            <w:rFonts w:ascii="Arial" w:hAnsi="Arial" w:cs="Arial"/>
            <w:i/>
          </w:rPr>
          <w:t>University</w:t>
        </w:r>
      </w:smartTag>
      <w:r w:rsidRPr="00745BDD">
        <w:rPr>
          <w:rFonts w:ascii="Arial" w:hAnsi="Arial" w:cs="Arial"/>
          <w:i/>
        </w:rPr>
        <w:t xml:space="preserve"> of </w:t>
      </w:r>
      <w:smartTag w:uri="urn:schemas-microsoft-com:office:smarttags" w:element="PlaceName">
        <w:r w:rsidRPr="00745BDD">
          <w:rPr>
            <w:rFonts w:ascii="Arial" w:hAnsi="Arial" w:cs="Arial"/>
            <w:i/>
          </w:rPr>
          <w:t>Chicago</w:t>
        </w:r>
      </w:smartTag>
      <w:r w:rsidRPr="00745BDD">
        <w:rPr>
          <w:rFonts w:ascii="Arial" w:hAnsi="Arial" w:cs="Arial"/>
          <w:i/>
        </w:rPr>
        <w:t xml:space="preserve"> </w:t>
      </w:r>
      <w:smartTag w:uri="urn:schemas-microsoft-com:office:smarttags" w:element="City">
        <w:smartTag w:uri="urn:schemas-microsoft-com:office:smarttags" w:element="place">
          <w:r w:rsidRPr="00745BDD">
            <w:rPr>
              <w:rFonts w:ascii="Arial" w:hAnsi="Arial" w:cs="Arial"/>
            </w:rPr>
            <w:t>Chicago</w:t>
          </w:r>
        </w:smartTag>
      </w:smartTag>
      <w:r w:rsidRPr="00745BDD">
        <w:rPr>
          <w:rFonts w:ascii="Arial" w:hAnsi="Arial" w:cs="Arial"/>
        </w:rPr>
        <w:t xml:space="preserve"> 1956 – </w:t>
      </w:r>
    </w:p>
    <w:p w14:paraId="7CEC9931" w14:textId="77777777" w:rsidR="00A25DE7" w:rsidRPr="00745BDD" w:rsidRDefault="00A25DE7" w:rsidP="001D683A">
      <w:pPr>
        <w:ind w:left="1440" w:hanging="1440"/>
        <w:rPr>
          <w:rFonts w:ascii="Arial" w:hAnsi="Arial" w:cs="Arial"/>
        </w:rPr>
      </w:pPr>
      <w:r w:rsidRPr="00745BDD">
        <w:rPr>
          <w:rFonts w:ascii="Arial" w:hAnsi="Arial" w:cs="Arial"/>
          <w:i/>
        </w:rPr>
        <w:t>CPLM</w:t>
      </w:r>
      <w:r w:rsidRPr="00745BDD">
        <w:rPr>
          <w:rFonts w:ascii="Arial" w:hAnsi="Arial" w:cs="Arial"/>
          <w:i/>
        </w:rPr>
        <w:tab/>
      </w:r>
      <w:r w:rsidRPr="00745BDD">
        <w:rPr>
          <w:rFonts w:ascii="Arial" w:hAnsi="Arial" w:cs="Arial"/>
        </w:rPr>
        <w:t xml:space="preserve">Livinsgtone, A. (1989) </w:t>
      </w:r>
      <w:r w:rsidRPr="00745BDD">
        <w:rPr>
          <w:rFonts w:ascii="Arial" w:hAnsi="Arial" w:cs="Arial"/>
          <w:i/>
        </w:rPr>
        <w:t xml:space="preserve">Court Poetry and Literary Miscellanea </w:t>
      </w:r>
      <w:r w:rsidRPr="00745BDD">
        <w:rPr>
          <w:rFonts w:ascii="Arial" w:hAnsi="Arial" w:cs="Arial"/>
        </w:rPr>
        <w:t>(</w:t>
      </w:r>
      <w:r w:rsidRPr="00745BDD">
        <w:rPr>
          <w:rFonts w:ascii="Arial" w:hAnsi="Arial" w:cs="Arial"/>
          <w:i/>
        </w:rPr>
        <w:t>State Archives of Assyria</w:t>
      </w:r>
      <w:r w:rsidRPr="00745BDD">
        <w:rPr>
          <w:rFonts w:ascii="Arial" w:hAnsi="Arial" w:cs="Arial"/>
        </w:rPr>
        <w:t xml:space="preserve">, iii) </w:t>
      </w:r>
      <w:smartTag w:uri="urn:schemas-microsoft-com:office:smarttags" w:element="City">
        <w:smartTag w:uri="urn:schemas-microsoft-com:office:smarttags" w:element="place">
          <w:r w:rsidRPr="00745BDD">
            <w:rPr>
              <w:rFonts w:ascii="Arial" w:hAnsi="Arial" w:cs="Arial"/>
            </w:rPr>
            <w:t>Warsaw</w:t>
          </w:r>
        </w:smartTag>
      </w:smartTag>
      <w:r w:rsidRPr="00745BDD">
        <w:rPr>
          <w:rFonts w:ascii="Arial" w:hAnsi="Arial" w:cs="Arial"/>
        </w:rPr>
        <w:t>: Eisenbrauns</w:t>
      </w:r>
    </w:p>
    <w:p w14:paraId="1BBDE24A" w14:textId="77777777" w:rsidR="00A25DE7" w:rsidRPr="00745BDD" w:rsidRDefault="00A25DE7" w:rsidP="00BE0AAD">
      <w:pPr>
        <w:rPr>
          <w:rFonts w:ascii="Arial" w:hAnsi="Arial" w:cs="Arial"/>
        </w:rPr>
      </w:pPr>
      <w:r w:rsidRPr="00745BDD">
        <w:rPr>
          <w:rFonts w:ascii="Arial" w:hAnsi="Arial" w:cs="Arial"/>
          <w:i/>
        </w:rPr>
        <w:t xml:space="preserve">En.el. </w:t>
      </w:r>
      <w:r w:rsidRPr="00745BDD">
        <w:rPr>
          <w:rFonts w:ascii="Arial" w:hAnsi="Arial" w:cs="Arial"/>
          <w:i/>
        </w:rPr>
        <w:tab/>
      </w:r>
      <w:r w:rsidRPr="00745BDD">
        <w:rPr>
          <w:rFonts w:ascii="Arial" w:hAnsi="Arial" w:cs="Arial"/>
          <w:i/>
        </w:rPr>
        <w:tab/>
        <w:t>Enūmaeliš</w:t>
      </w:r>
      <w:r w:rsidRPr="00745BDD">
        <w:rPr>
          <w:rFonts w:ascii="Arial" w:hAnsi="Arial" w:cs="Arial"/>
        </w:rPr>
        <w:t>(trans. Dalley unless otherwise stated)</w:t>
      </w:r>
    </w:p>
    <w:p w14:paraId="5E9F0387" w14:textId="77777777" w:rsidR="00A25DE7" w:rsidRPr="00745BDD" w:rsidRDefault="00A25DE7" w:rsidP="00BE0AAD">
      <w:pPr>
        <w:rPr>
          <w:rFonts w:ascii="Arial" w:hAnsi="Arial" w:cs="Arial"/>
        </w:rPr>
      </w:pPr>
      <w:r w:rsidRPr="00745BDD">
        <w:rPr>
          <w:rFonts w:ascii="Arial" w:hAnsi="Arial" w:cs="Arial"/>
          <w:i/>
        </w:rPr>
        <w:t>Gilg.</w:t>
      </w:r>
      <w:r w:rsidRPr="00745BDD">
        <w:rPr>
          <w:rFonts w:ascii="Arial" w:hAnsi="Arial" w:cs="Arial"/>
        </w:rPr>
        <w:tab/>
      </w:r>
      <w:r w:rsidRPr="00745BDD">
        <w:rPr>
          <w:rFonts w:ascii="Arial" w:hAnsi="Arial" w:cs="Arial"/>
        </w:rPr>
        <w:tab/>
        <w:t xml:space="preserve">The </w:t>
      </w:r>
      <w:r w:rsidRPr="00745BDD">
        <w:rPr>
          <w:rFonts w:ascii="Arial" w:hAnsi="Arial" w:cs="Arial"/>
          <w:i/>
        </w:rPr>
        <w:t xml:space="preserve">Gilgamesh </w:t>
      </w:r>
      <w:r w:rsidRPr="00745BDD">
        <w:rPr>
          <w:rFonts w:ascii="Arial" w:hAnsi="Arial" w:cs="Arial"/>
        </w:rPr>
        <w:t>Epic (trans. George unless otherwise stated)</w:t>
      </w:r>
    </w:p>
    <w:p w14:paraId="1557394C" w14:textId="77777777" w:rsidR="00A25DE7" w:rsidRPr="00745BDD" w:rsidRDefault="00A25DE7" w:rsidP="00BE0AAD">
      <w:pPr>
        <w:rPr>
          <w:rFonts w:ascii="Arial" w:hAnsi="Arial" w:cs="Arial"/>
        </w:rPr>
      </w:pPr>
      <w:r w:rsidRPr="00745BDD">
        <w:rPr>
          <w:rFonts w:ascii="Arial" w:hAnsi="Arial" w:cs="Arial"/>
          <w:i/>
        </w:rPr>
        <w:t xml:space="preserve">Il. </w:t>
      </w:r>
      <w:r w:rsidRPr="00745BDD">
        <w:rPr>
          <w:rFonts w:ascii="Arial" w:hAnsi="Arial" w:cs="Arial"/>
        </w:rPr>
        <w:tab/>
      </w:r>
      <w:r w:rsidRPr="00745BDD">
        <w:rPr>
          <w:rFonts w:ascii="Arial" w:hAnsi="Arial" w:cs="Arial"/>
        </w:rPr>
        <w:tab/>
        <w:t xml:space="preserve">Homer </w:t>
      </w:r>
      <w:r w:rsidRPr="00745BDD">
        <w:rPr>
          <w:rFonts w:ascii="Arial" w:hAnsi="Arial" w:cs="Arial"/>
          <w:i/>
        </w:rPr>
        <w:t>Iliad</w:t>
      </w:r>
      <w:r w:rsidRPr="00745BDD">
        <w:rPr>
          <w:rFonts w:ascii="Arial" w:hAnsi="Arial" w:cs="Arial"/>
        </w:rPr>
        <w:t>(trans. Nagy unless otherwise stated)</w:t>
      </w:r>
    </w:p>
    <w:p w14:paraId="4E3DD7A0" w14:textId="77777777" w:rsidR="00A25DE7" w:rsidRPr="00745BDD" w:rsidRDefault="00A25DE7" w:rsidP="00BE0AAD">
      <w:pPr>
        <w:rPr>
          <w:rFonts w:ascii="Arial" w:hAnsi="Arial" w:cs="Arial"/>
          <w:i/>
        </w:rPr>
      </w:pPr>
      <w:r w:rsidRPr="00745BDD">
        <w:rPr>
          <w:rFonts w:ascii="Arial" w:hAnsi="Arial" w:cs="Arial"/>
          <w:i/>
        </w:rPr>
        <w:t xml:space="preserve">JHS </w:t>
      </w:r>
      <w:r w:rsidRPr="00745BDD">
        <w:rPr>
          <w:rFonts w:ascii="Arial" w:hAnsi="Arial" w:cs="Arial"/>
          <w:i/>
        </w:rPr>
        <w:tab/>
      </w:r>
      <w:r w:rsidRPr="00745BDD">
        <w:rPr>
          <w:rFonts w:ascii="Arial" w:hAnsi="Arial" w:cs="Arial"/>
          <w:i/>
        </w:rPr>
        <w:tab/>
        <w:t xml:space="preserve">Journal of Hellenic Studies </w:t>
      </w:r>
    </w:p>
    <w:p w14:paraId="3585E5C0" w14:textId="77777777" w:rsidR="00A25DE7" w:rsidRPr="00745BDD" w:rsidRDefault="00A25DE7" w:rsidP="001D683A">
      <w:pPr>
        <w:ind w:left="1440" w:hanging="1440"/>
        <w:rPr>
          <w:rFonts w:ascii="Arial" w:hAnsi="Arial" w:cs="Arial"/>
        </w:rPr>
      </w:pPr>
      <w:r w:rsidRPr="00745BDD">
        <w:rPr>
          <w:rFonts w:ascii="Arial" w:hAnsi="Arial" w:cs="Arial"/>
          <w:i/>
        </w:rPr>
        <w:t xml:space="preserve">LSJ </w:t>
      </w:r>
      <w:r w:rsidRPr="00745BDD">
        <w:rPr>
          <w:rFonts w:ascii="Arial" w:hAnsi="Arial" w:cs="Arial"/>
          <w:i/>
        </w:rPr>
        <w:tab/>
      </w:r>
      <w:r w:rsidRPr="00745BDD">
        <w:rPr>
          <w:rFonts w:ascii="Arial" w:hAnsi="Arial" w:cs="Arial"/>
        </w:rPr>
        <w:t xml:space="preserve">Liddell, H. G. and Scott, R. (1940) </w:t>
      </w:r>
      <w:r w:rsidRPr="00745BDD">
        <w:rPr>
          <w:rFonts w:ascii="Arial" w:hAnsi="Arial" w:cs="Arial"/>
          <w:i/>
        </w:rPr>
        <w:t>A Greek-English Lexicon</w:t>
      </w:r>
      <w:r w:rsidRPr="00745BDD">
        <w:rPr>
          <w:rFonts w:ascii="Arial" w:hAnsi="Arial" w:cs="Arial"/>
        </w:rPr>
        <w:t xml:space="preserve"> with a Revised Supplement: Ninth Edition, </w:t>
      </w:r>
      <w:smartTag w:uri="urn:schemas-microsoft-com:office:smarttags" w:element="City">
        <w:smartTag w:uri="urn:schemas-microsoft-com:office:smarttags" w:element="place">
          <w:r w:rsidRPr="00745BDD">
            <w:rPr>
              <w:rFonts w:ascii="Arial" w:hAnsi="Arial" w:cs="Arial"/>
            </w:rPr>
            <w:t>Oxford</w:t>
          </w:r>
        </w:smartTag>
      </w:smartTag>
      <w:r w:rsidRPr="00745BDD">
        <w:rPr>
          <w:rFonts w:ascii="Arial" w:hAnsi="Arial" w:cs="Arial"/>
        </w:rPr>
        <w:t>: Clarendon Press</w:t>
      </w:r>
    </w:p>
    <w:p w14:paraId="6CCBBB4F" w14:textId="77777777" w:rsidR="00A25DE7" w:rsidRPr="00745BDD" w:rsidRDefault="00A25DE7" w:rsidP="001D683A">
      <w:pPr>
        <w:ind w:left="1440" w:hanging="1440"/>
        <w:rPr>
          <w:rFonts w:ascii="Arial" w:hAnsi="Arial" w:cs="Arial"/>
          <w:i/>
        </w:rPr>
      </w:pPr>
      <w:r w:rsidRPr="00745BDD">
        <w:rPr>
          <w:rFonts w:ascii="Arial" w:hAnsi="Arial" w:cs="Arial"/>
          <w:bCs/>
          <w:i/>
        </w:rPr>
        <w:t>MUL.APIN</w:t>
      </w:r>
      <w:r w:rsidRPr="00745BDD">
        <w:rPr>
          <w:rFonts w:ascii="Arial" w:hAnsi="Arial" w:cs="Arial"/>
          <w:bCs/>
          <w:i/>
        </w:rPr>
        <w:tab/>
      </w:r>
      <w:r w:rsidRPr="00745BDD">
        <w:rPr>
          <w:rFonts w:ascii="Arial" w:hAnsi="Arial" w:cs="Arial"/>
          <w:bCs/>
        </w:rPr>
        <w:t>Hunger, H. &amp;Pingree, P. (1989)</w:t>
      </w:r>
      <w:r w:rsidRPr="00745BDD">
        <w:rPr>
          <w:rFonts w:ascii="Arial" w:hAnsi="Arial" w:cs="Arial"/>
          <w:bCs/>
          <w:i/>
        </w:rPr>
        <w:t xml:space="preserve">A transliteration and English translation of the first two tablets is presented in "Mul.Apin, An Astronomical Compendium in Cuneiform" </w:t>
      </w:r>
      <w:smartTag w:uri="urn:schemas-microsoft-com:office:smarttags" w:element="country-region">
        <w:smartTag w:uri="urn:schemas-microsoft-com:office:smarttags" w:element="place">
          <w:r w:rsidRPr="00745BDD">
            <w:rPr>
              <w:rFonts w:ascii="Arial" w:hAnsi="Arial" w:cs="Arial"/>
              <w:bCs/>
            </w:rPr>
            <w:t>Austria</w:t>
          </w:r>
        </w:smartTag>
      </w:smartTag>
      <w:r w:rsidRPr="00745BDD">
        <w:rPr>
          <w:rFonts w:ascii="Arial" w:hAnsi="Arial" w:cs="Arial"/>
          <w:bCs/>
        </w:rPr>
        <w:t>: Verlag Ferdinand Berger &amp;Sohne</w:t>
      </w:r>
    </w:p>
    <w:p w14:paraId="5EDDA741" w14:textId="77777777" w:rsidR="00A25DE7" w:rsidRPr="00745BDD" w:rsidRDefault="00A25DE7" w:rsidP="00BE0AAD">
      <w:pPr>
        <w:rPr>
          <w:rFonts w:ascii="Arial" w:hAnsi="Arial" w:cs="Arial"/>
        </w:rPr>
      </w:pPr>
      <w:r w:rsidRPr="00745BDD">
        <w:rPr>
          <w:rFonts w:ascii="Arial" w:hAnsi="Arial" w:cs="Arial"/>
        </w:rPr>
        <w:t xml:space="preserve">OBV </w:t>
      </w:r>
      <w:r w:rsidRPr="00745BDD">
        <w:rPr>
          <w:rFonts w:ascii="Arial" w:hAnsi="Arial" w:cs="Arial"/>
        </w:rPr>
        <w:tab/>
      </w:r>
      <w:r w:rsidRPr="00745BDD">
        <w:rPr>
          <w:rFonts w:ascii="Arial" w:hAnsi="Arial" w:cs="Arial"/>
        </w:rPr>
        <w:tab/>
        <w:t>Old Babylonian Version</w:t>
      </w:r>
    </w:p>
    <w:p w14:paraId="786655A1" w14:textId="77777777" w:rsidR="00A25DE7" w:rsidRPr="00745BDD" w:rsidRDefault="00A25DE7" w:rsidP="00BE0AAD">
      <w:pPr>
        <w:rPr>
          <w:rFonts w:ascii="Arial" w:hAnsi="Arial" w:cs="Arial"/>
        </w:rPr>
      </w:pPr>
      <w:r w:rsidRPr="00745BDD">
        <w:rPr>
          <w:rFonts w:ascii="Arial" w:hAnsi="Arial" w:cs="Arial"/>
          <w:i/>
        </w:rPr>
        <w:t>Od</w:t>
      </w:r>
      <w:r w:rsidRPr="00745BDD">
        <w:rPr>
          <w:rFonts w:ascii="Arial" w:hAnsi="Arial" w:cs="Arial"/>
        </w:rPr>
        <w:t xml:space="preserve">. </w:t>
      </w:r>
      <w:r w:rsidRPr="00745BDD">
        <w:rPr>
          <w:rFonts w:ascii="Arial" w:hAnsi="Arial" w:cs="Arial"/>
        </w:rPr>
        <w:tab/>
      </w:r>
      <w:r w:rsidRPr="00745BDD">
        <w:rPr>
          <w:rFonts w:ascii="Arial" w:hAnsi="Arial" w:cs="Arial"/>
        </w:rPr>
        <w:tab/>
        <w:t xml:space="preserve">Homer </w:t>
      </w:r>
      <w:r w:rsidRPr="00745BDD">
        <w:rPr>
          <w:rFonts w:ascii="Arial" w:hAnsi="Arial" w:cs="Arial"/>
          <w:i/>
        </w:rPr>
        <w:t>Odyssey</w:t>
      </w:r>
      <w:r w:rsidRPr="00745BDD">
        <w:rPr>
          <w:rFonts w:ascii="Arial" w:hAnsi="Arial" w:cs="Arial"/>
        </w:rPr>
        <w:t>(trans. Lattimore unless otherwise stated)</w:t>
      </w:r>
    </w:p>
    <w:p w14:paraId="08F00CB5" w14:textId="77777777" w:rsidR="00A25DE7" w:rsidRPr="00745BDD" w:rsidRDefault="00A25DE7" w:rsidP="00995C47">
      <w:pPr>
        <w:ind w:left="1440" w:hanging="1440"/>
        <w:rPr>
          <w:rFonts w:ascii="Arial" w:hAnsi="Arial" w:cs="Arial"/>
          <w:i/>
        </w:rPr>
      </w:pPr>
      <w:r w:rsidRPr="00745BDD">
        <w:rPr>
          <w:rFonts w:ascii="Arial" w:hAnsi="Arial" w:cs="Arial"/>
          <w:i/>
          <w:shd w:val="clear" w:color="auto" w:fill="FFFFFF"/>
        </w:rPr>
        <w:t xml:space="preserve">PGM </w:t>
      </w:r>
      <w:r w:rsidRPr="00745BDD">
        <w:rPr>
          <w:rFonts w:ascii="Arial" w:hAnsi="Arial" w:cs="Arial"/>
          <w:i/>
          <w:shd w:val="clear" w:color="auto" w:fill="FFFFFF"/>
        </w:rPr>
        <w:tab/>
      </w:r>
      <w:r w:rsidRPr="00745BDD">
        <w:rPr>
          <w:rFonts w:ascii="Arial" w:hAnsi="Arial" w:cs="Arial"/>
          <w:shd w:val="clear" w:color="auto" w:fill="FFFFFF"/>
        </w:rPr>
        <w:t>Preisendanz, K.</w:t>
      </w:r>
      <w:r w:rsidRPr="00745BDD">
        <w:rPr>
          <w:rFonts w:ascii="Arial" w:hAnsi="Arial" w:cs="Arial"/>
          <w:i/>
          <w:shd w:val="clear" w:color="auto" w:fill="FFFFFF"/>
        </w:rPr>
        <w:t xml:space="preserve">et. al. </w:t>
      </w:r>
      <w:r w:rsidRPr="00745BDD">
        <w:rPr>
          <w:rFonts w:ascii="Arial" w:hAnsi="Arial" w:cs="Arial"/>
          <w:shd w:val="clear" w:color="auto" w:fill="FFFFFF"/>
        </w:rPr>
        <w:t>(1973-4) (eds.)</w:t>
      </w:r>
      <w:r w:rsidRPr="00745BDD">
        <w:rPr>
          <w:rFonts w:ascii="Arial" w:hAnsi="Arial" w:cs="Arial"/>
          <w:i/>
          <w:shd w:val="clear" w:color="auto" w:fill="FFFFFF"/>
        </w:rPr>
        <w:t>, Papyri GraecaeMagicae: Die griechischen</w:t>
      </w:r>
      <w:r w:rsidRPr="00745BDD">
        <w:rPr>
          <w:rFonts w:ascii="Arial" w:hAnsi="Arial" w:cs="Arial"/>
          <w:i/>
        </w:rPr>
        <w:t>Zauberpapyri</w:t>
      </w:r>
      <w:r w:rsidRPr="00745BDD">
        <w:rPr>
          <w:rFonts w:ascii="Arial" w:hAnsi="Arial" w:cs="Arial"/>
          <w:shd w:val="clear" w:color="auto" w:fill="FFFFFF"/>
        </w:rPr>
        <w:t>2 vols. 2nd ed</w:t>
      </w:r>
      <w:r w:rsidRPr="00745BDD">
        <w:rPr>
          <w:rFonts w:ascii="Arial" w:hAnsi="Arial" w:cs="Arial"/>
          <w:i/>
          <w:shd w:val="clear" w:color="auto" w:fill="FFFFFF"/>
        </w:rPr>
        <w:t>.</w:t>
      </w:r>
      <w:r w:rsidRPr="00745BDD">
        <w:rPr>
          <w:rFonts w:ascii="Arial" w:hAnsi="Arial" w:cs="Arial"/>
          <w:shd w:val="clear" w:color="auto" w:fill="FFFFFF"/>
        </w:rPr>
        <w:t xml:space="preserve"> </w:t>
      </w:r>
      <w:smartTag w:uri="urn:schemas-microsoft-com:office:smarttags" w:element="City">
        <w:smartTag w:uri="urn:schemas-microsoft-com:office:smarttags" w:element="place">
          <w:r w:rsidRPr="00745BDD">
            <w:rPr>
              <w:rFonts w:ascii="Arial" w:hAnsi="Arial" w:cs="Arial"/>
              <w:shd w:val="clear" w:color="auto" w:fill="FFFFFF"/>
            </w:rPr>
            <w:t>Stuttgart</w:t>
          </w:r>
        </w:smartTag>
      </w:smartTag>
      <w:r w:rsidRPr="00745BDD">
        <w:rPr>
          <w:rFonts w:ascii="Arial" w:hAnsi="Arial" w:cs="Arial"/>
          <w:shd w:val="clear" w:color="auto" w:fill="FFFFFF"/>
        </w:rPr>
        <w:t>: Teubner.</w:t>
      </w:r>
    </w:p>
    <w:p w14:paraId="7C24421C" w14:textId="77777777" w:rsidR="00A25DE7" w:rsidRPr="00745BDD" w:rsidRDefault="00A25DE7" w:rsidP="00BE0AAD">
      <w:pPr>
        <w:rPr>
          <w:rFonts w:ascii="Arial" w:hAnsi="Arial" w:cs="Arial"/>
          <w:i/>
        </w:rPr>
      </w:pPr>
      <w:r w:rsidRPr="00745BDD">
        <w:rPr>
          <w:rFonts w:ascii="Arial" w:hAnsi="Arial" w:cs="Arial"/>
          <w:i/>
        </w:rPr>
        <w:t xml:space="preserve">PMGF </w:t>
      </w:r>
      <w:r w:rsidRPr="00745BDD">
        <w:rPr>
          <w:rFonts w:ascii="Arial" w:hAnsi="Arial" w:cs="Arial"/>
          <w:i/>
        </w:rPr>
        <w:tab/>
      </w:r>
      <w:r w:rsidRPr="00745BDD">
        <w:rPr>
          <w:rFonts w:ascii="Arial" w:hAnsi="Arial" w:cs="Arial"/>
          <w:i/>
        </w:rPr>
        <w:tab/>
      </w:r>
      <w:commentRangeStart w:id="20"/>
      <w:r w:rsidRPr="00745BDD">
        <w:rPr>
          <w:rFonts w:ascii="Arial" w:hAnsi="Arial" w:cs="Arial"/>
          <w:i/>
        </w:rPr>
        <w:t>PoetarumMelicorumGraecorumFragmenta</w:t>
      </w:r>
      <w:commentRangeEnd w:id="20"/>
      <w:r>
        <w:rPr>
          <w:rStyle w:val="CommentReference"/>
        </w:rPr>
        <w:commentReference w:id="20"/>
      </w:r>
    </w:p>
    <w:p w14:paraId="16091B85" w14:textId="77777777" w:rsidR="00A25DE7" w:rsidRPr="00745BDD" w:rsidRDefault="00A25DE7" w:rsidP="00033555">
      <w:pPr>
        <w:ind w:left="1440" w:hanging="1440"/>
        <w:rPr>
          <w:rFonts w:ascii="Arial" w:hAnsi="Arial" w:cs="Arial"/>
        </w:rPr>
      </w:pPr>
      <w:r w:rsidRPr="00745BDD">
        <w:rPr>
          <w:rFonts w:ascii="Arial" w:hAnsi="Arial" w:cs="Arial"/>
          <w:i/>
        </w:rPr>
        <w:t>SIG</w:t>
      </w:r>
      <w:r w:rsidRPr="00745BDD">
        <w:rPr>
          <w:rFonts w:ascii="Arial" w:hAnsi="Arial" w:cs="Arial"/>
          <w:i/>
        </w:rPr>
        <w:tab/>
      </w:r>
      <w:r w:rsidRPr="00745BDD">
        <w:rPr>
          <w:rFonts w:ascii="Arial" w:hAnsi="Arial" w:cs="Arial"/>
        </w:rPr>
        <w:t xml:space="preserve">Dittenberger, W. (1915-1924) </w:t>
      </w:r>
      <w:r w:rsidRPr="00745BDD">
        <w:rPr>
          <w:rFonts w:ascii="Arial" w:hAnsi="Arial" w:cs="Arial"/>
          <w:i/>
        </w:rPr>
        <w:t>SyllogeInscriptionumGraecarum</w:t>
      </w:r>
      <w:r w:rsidRPr="00745BDD">
        <w:rPr>
          <w:rFonts w:ascii="Arial" w:hAnsi="Arial" w:cs="Arial"/>
        </w:rPr>
        <w:t xml:space="preserve"> 3</w:t>
      </w:r>
      <w:r w:rsidRPr="00745BDD">
        <w:rPr>
          <w:rFonts w:ascii="Arial" w:hAnsi="Arial" w:cs="Arial"/>
          <w:vertAlign w:val="superscript"/>
        </w:rPr>
        <w:t>rd</w:t>
      </w:r>
      <w:r w:rsidRPr="00745BDD">
        <w:rPr>
          <w:rFonts w:ascii="Arial" w:hAnsi="Arial" w:cs="Arial"/>
        </w:rPr>
        <w:t xml:space="preserve"> Ed. Lepizig: S. Hirzel.</w:t>
      </w:r>
    </w:p>
    <w:p w14:paraId="76716DCB" w14:textId="77777777" w:rsidR="00A25DE7" w:rsidRPr="00745BDD" w:rsidRDefault="00A25DE7" w:rsidP="00BE0AAD">
      <w:pPr>
        <w:rPr>
          <w:rFonts w:ascii="Arial" w:hAnsi="Arial" w:cs="Arial"/>
        </w:rPr>
      </w:pPr>
      <w:r w:rsidRPr="00745BDD">
        <w:rPr>
          <w:rFonts w:ascii="Arial" w:hAnsi="Arial" w:cs="Arial"/>
        </w:rPr>
        <w:t xml:space="preserve">SBV </w:t>
      </w:r>
      <w:r w:rsidRPr="00745BDD">
        <w:rPr>
          <w:rFonts w:ascii="Arial" w:hAnsi="Arial" w:cs="Arial"/>
        </w:rPr>
        <w:tab/>
      </w:r>
      <w:r w:rsidRPr="00745BDD">
        <w:rPr>
          <w:rFonts w:ascii="Arial" w:hAnsi="Arial" w:cs="Arial"/>
        </w:rPr>
        <w:tab/>
        <w:t>Standard Babylonian Version</w:t>
      </w:r>
    </w:p>
    <w:p w14:paraId="788DF296" w14:textId="77777777" w:rsidR="00A25DE7" w:rsidRPr="00745BDD" w:rsidRDefault="00A25DE7" w:rsidP="00BE0AAD">
      <w:pPr>
        <w:rPr>
          <w:rFonts w:ascii="Arial" w:hAnsi="Arial" w:cs="Arial"/>
        </w:rPr>
      </w:pPr>
    </w:p>
    <w:p w14:paraId="78A06FC8" w14:textId="77777777" w:rsidR="00A25DE7" w:rsidRPr="00745BDD" w:rsidRDefault="00A25DE7" w:rsidP="00BE0AAD">
      <w:pPr>
        <w:rPr>
          <w:rFonts w:ascii="Arial" w:hAnsi="Arial" w:cs="Arial"/>
        </w:rPr>
      </w:pPr>
    </w:p>
    <w:p w14:paraId="3DED3F45" w14:textId="77777777" w:rsidR="00A25DE7" w:rsidRPr="00745BDD" w:rsidRDefault="00A25DE7" w:rsidP="00BE0AAD">
      <w:pPr>
        <w:rPr>
          <w:rFonts w:ascii="Arial" w:hAnsi="Arial" w:cs="Arial"/>
        </w:rPr>
      </w:pPr>
    </w:p>
    <w:p w14:paraId="51A11E65" w14:textId="77777777" w:rsidR="00A25DE7" w:rsidRPr="00745BDD" w:rsidRDefault="00A25DE7" w:rsidP="00940BFD">
      <w:pPr>
        <w:ind w:right="-24"/>
        <w:rPr>
          <w:rFonts w:ascii="Arial" w:hAnsi="Arial" w:cs="Arial"/>
        </w:rPr>
      </w:pPr>
    </w:p>
    <w:p w14:paraId="2D17EAD9" w14:textId="77777777" w:rsidR="00A25DE7" w:rsidRPr="00745BDD" w:rsidRDefault="00A25DE7" w:rsidP="00940BFD">
      <w:pPr>
        <w:ind w:right="-24"/>
        <w:rPr>
          <w:rFonts w:ascii="Arial" w:hAnsi="Arial" w:cs="Arial"/>
          <w:sz w:val="28"/>
          <w:szCs w:val="24"/>
          <w:u w:val="single"/>
        </w:rPr>
      </w:pPr>
    </w:p>
    <w:p w14:paraId="09995EBA" w14:textId="77777777" w:rsidR="00A25DE7" w:rsidRPr="00745BDD" w:rsidRDefault="00A25DE7" w:rsidP="00615198">
      <w:pPr>
        <w:ind w:right="-24"/>
        <w:jc w:val="center"/>
        <w:rPr>
          <w:rFonts w:ascii="Arial" w:hAnsi="Arial" w:cs="Arial"/>
          <w:sz w:val="28"/>
          <w:szCs w:val="24"/>
          <w:u w:val="single"/>
        </w:rPr>
      </w:pPr>
      <w:r w:rsidRPr="00745BDD">
        <w:rPr>
          <w:rFonts w:ascii="Arial" w:hAnsi="Arial" w:cs="Arial"/>
          <w:sz w:val="28"/>
          <w:szCs w:val="24"/>
          <w:u w:val="single"/>
        </w:rPr>
        <w:t>Introduction</w:t>
      </w:r>
    </w:p>
    <w:p w14:paraId="5BD3BB84" w14:textId="77777777" w:rsidR="00A25DE7" w:rsidRPr="00745BDD" w:rsidRDefault="00A25DE7" w:rsidP="005C371B">
      <w:pPr>
        <w:spacing w:line="240" w:lineRule="auto"/>
        <w:contextualSpacing/>
        <w:jc w:val="center"/>
        <w:rPr>
          <w:rFonts w:ascii="Arial" w:hAnsi="Arial" w:cs="Arial"/>
          <w:sz w:val="20"/>
          <w:szCs w:val="24"/>
        </w:rPr>
      </w:pPr>
      <w:r w:rsidRPr="00745BDD">
        <w:rPr>
          <w:rFonts w:ascii="Arial" w:hAnsi="Arial" w:cs="Arial"/>
          <w:sz w:val="20"/>
          <w:szCs w:val="24"/>
        </w:rPr>
        <w:t>‘Where other animals walk on all fours and look to the ground</w:t>
      </w:r>
    </w:p>
    <w:p w14:paraId="64CDAEC3" w14:textId="77777777" w:rsidR="00A25DE7" w:rsidRPr="00745BDD" w:rsidRDefault="00A25DE7" w:rsidP="005C371B">
      <w:pPr>
        <w:spacing w:line="240" w:lineRule="auto"/>
        <w:contextualSpacing/>
        <w:jc w:val="center"/>
        <w:rPr>
          <w:rFonts w:ascii="Arial" w:hAnsi="Arial" w:cs="Arial"/>
          <w:sz w:val="20"/>
          <w:szCs w:val="24"/>
        </w:rPr>
      </w:pPr>
      <w:r w:rsidRPr="00745BDD">
        <w:rPr>
          <w:rFonts w:ascii="Arial" w:hAnsi="Arial" w:cs="Arial"/>
          <w:sz w:val="20"/>
          <w:szCs w:val="24"/>
        </w:rPr>
        <w:t xml:space="preserve">Man was given a towering head and commanded to stand erect </w:t>
      </w:r>
    </w:p>
    <w:p w14:paraId="41B659B0" w14:textId="77777777" w:rsidR="00A25DE7" w:rsidRPr="00745BDD" w:rsidRDefault="00A25DE7" w:rsidP="00F61498">
      <w:pPr>
        <w:spacing w:line="240" w:lineRule="auto"/>
        <w:contextualSpacing/>
        <w:jc w:val="center"/>
        <w:rPr>
          <w:rFonts w:ascii="Arial" w:hAnsi="Arial" w:cs="Arial"/>
          <w:sz w:val="20"/>
          <w:szCs w:val="24"/>
        </w:rPr>
      </w:pPr>
      <w:r w:rsidRPr="00745BDD">
        <w:rPr>
          <w:rFonts w:ascii="Arial" w:hAnsi="Arial" w:cs="Arial"/>
          <w:sz w:val="20"/>
          <w:szCs w:val="24"/>
        </w:rPr>
        <w:t>with his face uplifted to gaze on the stars of heaven.’</w:t>
      </w:r>
      <w:r w:rsidRPr="00745BDD">
        <w:rPr>
          <w:rStyle w:val="FootnoteReference"/>
          <w:rFonts w:ascii="Arial" w:hAnsi="Arial" w:cs="Arial"/>
          <w:sz w:val="20"/>
          <w:szCs w:val="24"/>
        </w:rPr>
        <w:footnoteReference w:id="1"/>
      </w:r>
    </w:p>
    <w:p w14:paraId="0B9B8F88" w14:textId="77777777" w:rsidR="00A25DE7" w:rsidRPr="00745BDD" w:rsidRDefault="00A25DE7" w:rsidP="00F61498">
      <w:pPr>
        <w:spacing w:line="240" w:lineRule="auto"/>
        <w:contextualSpacing/>
        <w:jc w:val="center"/>
        <w:rPr>
          <w:rFonts w:ascii="Arial" w:hAnsi="Arial" w:cs="Arial"/>
          <w:sz w:val="20"/>
          <w:szCs w:val="24"/>
        </w:rPr>
      </w:pPr>
    </w:p>
    <w:p w14:paraId="69DDF8AB" w14:textId="77777777" w:rsidR="00A25DE7" w:rsidRPr="00745BDD" w:rsidRDefault="00A25DE7" w:rsidP="00745BDD">
      <w:pPr>
        <w:spacing w:line="360" w:lineRule="auto"/>
        <w:jc w:val="both"/>
        <w:rPr>
          <w:rFonts w:ascii="Arial" w:hAnsi="Arial" w:cs="Arial"/>
          <w:b/>
          <w:i/>
          <w:color w:val="000000"/>
          <w:sz w:val="24"/>
          <w:szCs w:val="24"/>
        </w:rPr>
      </w:pPr>
      <w:commentRangeStart w:id="22"/>
      <w:r w:rsidRPr="00745BDD">
        <w:rPr>
          <w:rFonts w:ascii="Arial" w:hAnsi="Arial" w:cs="Arial"/>
          <w:color w:val="000000"/>
          <w:sz w:val="24"/>
          <w:szCs w:val="24"/>
        </w:rPr>
        <w:t xml:space="preserve">Soon after the Neolithic Revolution, the Mesopotamian civilisation of </w:t>
      </w:r>
      <w:smartTag w:uri="urn:schemas-microsoft-com:office:smarttags" w:element="country-region">
        <w:smartTag w:uri="urn:schemas-microsoft-com:office:smarttags" w:element="place">
          <w:r w:rsidRPr="00745BDD">
            <w:rPr>
              <w:rFonts w:ascii="Arial" w:hAnsi="Arial" w:cs="Arial"/>
              <w:color w:val="000000"/>
              <w:sz w:val="24"/>
              <w:szCs w:val="24"/>
            </w:rPr>
            <w:t>Sumer</w:t>
          </w:r>
        </w:smartTag>
      </w:smartTag>
      <w:r w:rsidRPr="00745BDD">
        <w:rPr>
          <w:rFonts w:ascii="Arial" w:hAnsi="Arial" w:cs="Arial"/>
          <w:color w:val="000000"/>
          <w:sz w:val="24"/>
          <w:szCs w:val="24"/>
        </w:rPr>
        <w:t xml:space="preserve"> began to materialise during an era known as the Ubaid period (6500 – 3800BCE) through the later Uruk period (4000 – 3100BCE), and culminating </w:t>
      </w:r>
      <w:r w:rsidRPr="00745BDD">
        <w:rPr>
          <w:rFonts w:ascii="Arial" w:hAnsi="Arial" w:cs="Arial"/>
          <w:i/>
          <w:color w:val="000000"/>
          <w:sz w:val="24"/>
          <w:szCs w:val="24"/>
        </w:rPr>
        <w:t>c</w:t>
      </w:r>
      <w:r w:rsidRPr="00745BDD">
        <w:rPr>
          <w:rFonts w:ascii="Arial" w:hAnsi="Arial" w:cs="Arial"/>
          <w:color w:val="000000"/>
          <w:sz w:val="24"/>
          <w:szCs w:val="24"/>
        </w:rPr>
        <w:t xml:space="preserve">.2500BCE before giving </w:t>
      </w:r>
      <w:commentRangeEnd w:id="22"/>
      <w:r w:rsidR="005B3668">
        <w:rPr>
          <w:rStyle w:val="CommentReference"/>
        </w:rPr>
        <w:commentReference w:id="22"/>
      </w:r>
      <w:r w:rsidRPr="00745BDD">
        <w:rPr>
          <w:rFonts w:ascii="Arial" w:hAnsi="Arial" w:cs="Arial"/>
          <w:color w:val="000000"/>
          <w:sz w:val="24"/>
          <w:szCs w:val="24"/>
        </w:rPr>
        <w:t>way to the Akkadian Empire (</w:t>
      </w:r>
      <w:r w:rsidRPr="00745BDD">
        <w:rPr>
          <w:rFonts w:ascii="Arial" w:hAnsi="Arial" w:cs="Arial"/>
          <w:bCs/>
          <w:color w:val="000000"/>
          <w:sz w:val="24"/>
          <w:szCs w:val="24"/>
        </w:rPr>
        <w:t xml:space="preserve">2334 – </w:t>
      </w:r>
      <w:r w:rsidRPr="00745BDD">
        <w:rPr>
          <w:rFonts w:ascii="Arial" w:hAnsi="Arial" w:cs="Arial"/>
          <w:bCs/>
          <w:iCs/>
          <w:color w:val="000000"/>
          <w:sz w:val="24"/>
          <w:szCs w:val="24"/>
        </w:rPr>
        <w:t>2</w:t>
      </w:r>
      <w:r w:rsidRPr="00745BDD">
        <w:rPr>
          <w:rFonts w:ascii="Arial" w:hAnsi="Arial" w:cs="Arial"/>
          <w:bCs/>
          <w:color w:val="000000"/>
          <w:sz w:val="24"/>
          <w:szCs w:val="24"/>
        </w:rPr>
        <w:t>154 BCE). Following the collapse of the Akkadian Empire, the peoples of Mesopotamia eventually formed two major Akkadian-speaking nations: Assyria in the north and Babylonia in the sou</w:t>
      </w:r>
      <w:commentRangeStart w:id="23"/>
      <w:r w:rsidRPr="00745BDD">
        <w:rPr>
          <w:rFonts w:ascii="Arial" w:hAnsi="Arial" w:cs="Arial"/>
          <w:bCs/>
          <w:color w:val="000000"/>
          <w:sz w:val="24"/>
          <w:szCs w:val="24"/>
        </w:rPr>
        <w:t>th.</w:t>
      </w:r>
      <w:r w:rsidRPr="00745BDD">
        <w:rPr>
          <w:rFonts w:ascii="Arial" w:hAnsi="Arial" w:cs="Arial"/>
          <w:bCs/>
          <w:color w:val="000000"/>
          <w:sz w:val="24"/>
          <w:szCs w:val="24"/>
          <w:vertAlign w:val="superscript"/>
        </w:rPr>
        <w:footnoteReference w:id="2"/>
      </w:r>
      <w:r w:rsidRPr="00745BDD">
        <w:rPr>
          <w:rFonts w:ascii="Arial" w:hAnsi="Arial" w:cs="Arial"/>
          <w:color w:val="000000"/>
          <w:sz w:val="24"/>
          <w:szCs w:val="24"/>
        </w:rPr>
        <w:t xml:space="preserve"> </w:t>
      </w:r>
      <w:commentRangeEnd w:id="23"/>
      <w:r w:rsidR="005B3668">
        <w:rPr>
          <w:rStyle w:val="CommentReference"/>
        </w:rPr>
        <w:commentReference w:id="23"/>
      </w:r>
      <w:r w:rsidRPr="00745BDD">
        <w:rPr>
          <w:rFonts w:ascii="Arial" w:hAnsi="Arial" w:cs="Arial"/>
          <w:color w:val="000000"/>
          <w:sz w:val="24"/>
          <w:szCs w:val="24"/>
        </w:rPr>
        <w:t>The success of the Western Asiatic civilisations is ascribed to the establishment of non-nomadic agrarian societies amongst the Fertile Crescent formed by the Tigris and Euphrates rivers, a climactic moment of history which earnt Mesopotamia the title ‘Cradle of Civilisation’.</w:t>
      </w:r>
      <w:r w:rsidRPr="00745BDD">
        <w:rPr>
          <w:rFonts w:ascii="Arial" w:hAnsi="Arial" w:cs="Arial"/>
          <w:color w:val="000000"/>
          <w:sz w:val="24"/>
          <w:szCs w:val="24"/>
          <w:vertAlign w:val="superscript"/>
        </w:rPr>
        <w:footnoteReference w:id="3"/>
      </w:r>
      <w:r w:rsidRPr="00745BDD">
        <w:rPr>
          <w:rFonts w:ascii="Arial" w:hAnsi="Arial" w:cs="Arial"/>
          <w:color w:val="000000"/>
          <w:sz w:val="24"/>
          <w:szCs w:val="24"/>
        </w:rPr>
        <w:t xml:space="preserve"> </w:t>
      </w:r>
      <w:commentRangeStart w:id="24"/>
      <w:r w:rsidRPr="00745BDD">
        <w:rPr>
          <w:rFonts w:ascii="Arial" w:hAnsi="Arial" w:cs="Arial"/>
          <w:color w:val="000000"/>
          <w:sz w:val="24"/>
          <w:szCs w:val="24"/>
        </w:rPr>
        <w:t xml:space="preserve">Yet alongside this distinction Mesopotamia can also claim the accolade ‘birthplace of astronomy’ in part due to the innovation of cuneiform writing which allowed records of their extensive celestial observations to </w:t>
      </w:r>
      <w:commentRangeStart w:id="25"/>
      <w:r w:rsidRPr="00745BDD">
        <w:rPr>
          <w:rFonts w:ascii="Arial" w:hAnsi="Arial" w:cs="Arial"/>
          <w:color w:val="000000"/>
          <w:sz w:val="24"/>
          <w:szCs w:val="24"/>
        </w:rPr>
        <w:t>survive.</w:t>
      </w:r>
      <w:r w:rsidRPr="00745BDD">
        <w:rPr>
          <w:rFonts w:ascii="Arial" w:hAnsi="Arial" w:cs="Arial"/>
          <w:color w:val="000000"/>
          <w:sz w:val="24"/>
          <w:szCs w:val="24"/>
          <w:vertAlign w:val="superscript"/>
        </w:rPr>
        <w:footnoteReference w:id="4"/>
      </w:r>
      <w:r w:rsidRPr="00745BDD">
        <w:rPr>
          <w:rFonts w:ascii="Arial" w:hAnsi="Arial" w:cs="Arial"/>
          <w:bCs/>
          <w:color w:val="000000"/>
          <w:sz w:val="24"/>
          <w:szCs w:val="24"/>
        </w:rPr>
        <w:t>[</w:t>
      </w:r>
      <w:commentRangeEnd w:id="24"/>
      <w:r w:rsidR="005B3668">
        <w:rPr>
          <w:rStyle w:val="CommentReference"/>
        </w:rPr>
        <w:commentReference w:id="24"/>
      </w:r>
      <w:commentRangeEnd w:id="25"/>
      <w:r w:rsidR="00276438">
        <w:rPr>
          <w:rStyle w:val="CommentReference"/>
        </w:rPr>
        <w:commentReference w:id="25"/>
      </w:r>
      <w:r w:rsidRPr="00745BDD">
        <w:rPr>
          <w:rFonts w:ascii="Arial" w:hAnsi="Arial" w:cs="Arial"/>
          <w:bCs/>
          <w:color w:val="000000"/>
          <w:sz w:val="24"/>
          <w:szCs w:val="24"/>
        </w:rPr>
        <w:t xml:space="preserve">N.B. The term </w:t>
      </w:r>
      <w:commentRangeStart w:id="26"/>
      <w:r w:rsidRPr="00745BDD">
        <w:rPr>
          <w:rFonts w:ascii="Arial" w:hAnsi="Arial" w:cs="Arial"/>
          <w:bCs/>
          <w:color w:val="000000"/>
          <w:sz w:val="24"/>
          <w:szCs w:val="24"/>
        </w:rPr>
        <w:t xml:space="preserve">Western Asiatic </w:t>
      </w:r>
      <w:commentRangeEnd w:id="26"/>
      <w:r w:rsidR="002D3CD4">
        <w:rPr>
          <w:rStyle w:val="CommentReference"/>
        </w:rPr>
        <w:commentReference w:id="26"/>
      </w:r>
      <w:r w:rsidRPr="00745BDD">
        <w:rPr>
          <w:rFonts w:ascii="Arial" w:hAnsi="Arial" w:cs="Arial"/>
          <w:bCs/>
          <w:color w:val="000000"/>
          <w:sz w:val="24"/>
          <w:szCs w:val="24"/>
        </w:rPr>
        <w:t xml:space="preserve">is employed throughout this paper in order to distinguish these cultures from those of Egypt, a region which is often included under the broader idiom ‘Near Eastern’. </w:t>
      </w:r>
      <w:commentRangeStart w:id="27"/>
      <w:r w:rsidRPr="00745BDD">
        <w:rPr>
          <w:rFonts w:ascii="Arial" w:hAnsi="Arial" w:cs="Arial"/>
          <w:bCs/>
          <w:color w:val="000000"/>
          <w:sz w:val="24"/>
          <w:szCs w:val="24"/>
        </w:rPr>
        <w:t>Similarly, the term ‘Mesopotamian’ is employed in synonym with Western Asiatic, to encapsulate the various cultures of the region].</w:t>
      </w:r>
      <w:commentRangeEnd w:id="27"/>
      <w:r w:rsidR="002D3CD4">
        <w:rPr>
          <w:rStyle w:val="CommentReference"/>
        </w:rPr>
        <w:commentReference w:id="27"/>
      </w:r>
      <w:r w:rsidRPr="00745BDD">
        <w:rPr>
          <w:rFonts w:ascii="Arial" w:hAnsi="Arial" w:cs="Arial"/>
          <w:color w:val="000000"/>
          <w:sz w:val="24"/>
          <w:szCs w:val="24"/>
        </w:rPr>
        <w:t xml:space="preserve"> It was during these thousands of years that the ancient city states of </w:t>
      </w:r>
      <w:r w:rsidRPr="00745BDD">
        <w:rPr>
          <w:rFonts w:ascii="Arial" w:hAnsi="Arial" w:cs="Arial"/>
          <w:color w:val="000000"/>
          <w:sz w:val="24"/>
          <w:szCs w:val="24"/>
        </w:rPr>
        <w:lastRenderedPageBreak/>
        <w:t>Mesopotamia spread their arts, technologies and luxuries into the Western world.</w:t>
      </w:r>
      <w:r w:rsidRPr="00745BDD">
        <w:rPr>
          <w:rFonts w:ascii="Arial" w:hAnsi="Arial" w:cs="Arial"/>
          <w:color w:val="000000"/>
          <w:sz w:val="24"/>
          <w:szCs w:val="24"/>
          <w:vertAlign w:val="superscript"/>
        </w:rPr>
        <w:footnoteReference w:id="5"/>
      </w:r>
    </w:p>
    <w:p w14:paraId="0399B508" w14:textId="77777777" w:rsidR="00A25DE7" w:rsidRPr="00745BDD" w:rsidRDefault="00A25DE7" w:rsidP="00745BDD">
      <w:pPr>
        <w:spacing w:line="360" w:lineRule="auto"/>
        <w:jc w:val="both"/>
        <w:rPr>
          <w:rFonts w:ascii="Arial" w:hAnsi="Arial" w:cs="Arial"/>
          <w:bCs/>
          <w:color w:val="000000"/>
          <w:sz w:val="24"/>
          <w:szCs w:val="24"/>
        </w:rPr>
      </w:pPr>
      <w:r w:rsidRPr="00745BDD">
        <w:rPr>
          <w:rFonts w:ascii="Arial" w:hAnsi="Arial" w:cs="Arial"/>
          <w:bCs/>
          <w:color w:val="000000"/>
          <w:sz w:val="24"/>
          <w:szCs w:val="24"/>
        </w:rPr>
        <w:t xml:space="preserve">Amongst the various material items and abilities spread from East to West was the </w:t>
      </w:r>
      <w:commentRangeStart w:id="28"/>
      <w:r w:rsidRPr="00745BDD">
        <w:rPr>
          <w:rFonts w:ascii="Arial" w:hAnsi="Arial" w:cs="Arial"/>
          <w:bCs/>
          <w:color w:val="000000"/>
          <w:sz w:val="24"/>
          <w:szCs w:val="24"/>
        </w:rPr>
        <w:t xml:space="preserve">innovation of alphabetic writing, </w:t>
      </w:r>
      <w:commentRangeEnd w:id="28"/>
      <w:r w:rsidR="002D3CD4">
        <w:rPr>
          <w:rStyle w:val="CommentReference"/>
        </w:rPr>
        <w:commentReference w:id="28"/>
      </w:r>
      <w:commentRangeStart w:id="29"/>
      <w:r w:rsidRPr="00745BDD">
        <w:rPr>
          <w:rFonts w:ascii="Arial" w:hAnsi="Arial" w:cs="Arial"/>
          <w:bCs/>
          <w:color w:val="000000"/>
          <w:sz w:val="24"/>
          <w:szCs w:val="24"/>
        </w:rPr>
        <w:t>which the Greeks themselves called Phoenician.</w:t>
      </w:r>
      <w:r w:rsidRPr="00745BDD">
        <w:rPr>
          <w:rFonts w:ascii="Arial" w:hAnsi="Arial" w:cs="Arial"/>
          <w:bCs/>
          <w:color w:val="000000"/>
          <w:sz w:val="24"/>
          <w:szCs w:val="24"/>
          <w:vertAlign w:val="superscript"/>
        </w:rPr>
        <w:footnoteReference w:id="6"/>
      </w:r>
      <w:commentRangeEnd w:id="29"/>
      <w:r>
        <w:rPr>
          <w:rStyle w:val="CommentReference"/>
        </w:rPr>
        <w:commentReference w:id="29"/>
      </w:r>
      <w:r w:rsidRPr="00745BDD">
        <w:rPr>
          <w:rFonts w:ascii="Arial" w:hAnsi="Arial" w:cs="Arial"/>
          <w:bCs/>
          <w:color w:val="000000"/>
          <w:sz w:val="24"/>
          <w:szCs w:val="24"/>
        </w:rPr>
        <w:t xml:space="preserve"> Yet, alongside the written construct itself </w:t>
      </w:r>
      <w:commentRangeStart w:id="30"/>
      <w:r w:rsidRPr="00745BDD">
        <w:rPr>
          <w:rFonts w:ascii="Arial" w:hAnsi="Arial" w:cs="Arial"/>
          <w:bCs/>
          <w:color w:val="000000"/>
          <w:sz w:val="24"/>
          <w:szCs w:val="24"/>
        </w:rPr>
        <w:t>stem</w:t>
      </w:r>
      <w:commentRangeEnd w:id="30"/>
      <w:r>
        <w:rPr>
          <w:rStyle w:val="CommentReference"/>
        </w:rPr>
        <w:commentReference w:id="30"/>
      </w:r>
      <w:r w:rsidRPr="00745BDD">
        <w:rPr>
          <w:rFonts w:ascii="Arial" w:hAnsi="Arial" w:cs="Arial"/>
          <w:bCs/>
          <w:color w:val="000000"/>
          <w:sz w:val="24"/>
          <w:szCs w:val="24"/>
        </w:rPr>
        <w:t>s the spread of cultural, mythic, and scientific ideas and ideals – though their presence is perhaps less immediately tangible, they are nonetheless present in the works of the Greeks.</w:t>
      </w:r>
      <w:r w:rsidRPr="00745BDD">
        <w:rPr>
          <w:rFonts w:ascii="Arial" w:hAnsi="Arial" w:cs="Arial"/>
          <w:bCs/>
          <w:color w:val="000000"/>
          <w:sz w:val="24"/>
          <w:szCs w:val="24"/>
          <w:vertAlign w:val="superscript"/>
        </w:rPr>
        <w:footnoteReference w:id="7"/>
      </w:r>
      <w:r w:rsidRPr="00745BDD">
        <w:rPr>
          <w:rFonts w:ascii="Arial" w:hAnsi="Arial" w:cs="Arial"/>
          <w:bCs/>
          <w:color w:val="000000"/>
          <w:sz w:val="24"/>
          <w:szCs w:val="24"/>
        </w:rPr>
        <w:t xml:space="preserve"> It was the combination of </w:t>
      </w:r>
      <w:commentRangeStart w:id="31"/>
      <w:r w:rsidRPr="00745BDD">
        <w:rPr>
          <w:rFonts w:ascii="Arial" w:hAnsi="Arial" w:cs="Arial"/>
          <w:bCs/>
          <w:color w:val="000000"/>
          <w:sz w:val="24"/>
          <w:szCs w:val="24"/>
        </w:rPr>
        <w:t xml:space="preserve">Mesopotamia’s comprehensive cosmological knowledge and the documented transmission of their myths and beliefs through the medium of writing and literature which birthed the inspiration behind this paper. </w:t>
      </w:r>
      <w:commentRangeEnd w:id="31"/>
      <w:r w:rsidR="00E85D21">
        <w:rPr>
          <w:rStyle w:val="CommentReference"/>
        </w:rPr>
        <w:commentReference w:id="31"/>
      </w:r>
      <w:commentRangeStart w:id="32"/>
      <w:r w:rsidRPr="00745BDD">
        <w:rPr>
          <w:rFonts w:ascii="Arial" w:hAnsi="Arial" w:cs="Arial"/>
          <w:bCs/>
          <w:color w:val="000000"/>
          <w:sz w:val="24"/>
          <w:szCs w:val="24"/>
        </w:rPr>
        <w:t xml:space="preserve">As such, this paper seeks to examine the possible contribution of astral and cosmological elements of Western Asiatic literature – specifically </w:t>
      </w:r>
      <w:commentRangeStart w:id="33"/>
      <w:r w:rsidRPr="00745BDD">
        <w:rPr>
          <w:rFonts w:ascii="Arial" w:hAnsi="Arial" w:cs="Arial"/>
          <w:bCs/>
          <w:color w:val="000000"/>
          <w:sz w:val="24"/>
          <w:szCs w:val="24"/>
        </w:rPr>
        <w:t xml:space="preserve">from Anatolia and the Semitic </w:t>
      </w:r>
      <w:commentRangeEnd w:id="33"/>
      <w:r w:rsidR="008868F6">
        <w:rPr>
          <w:rStyle w:val="CommentReference"/>
        </w:rPr>
        <w:commentReference w:id="33"/>
      </w:r>
      <w:r w:rsidRPr="00745BDD">
        <w:rPr>
          <w:rFonts w:ascii="Arial" w:hAnsi="Arial" w:cs="Arial"/>
          <w:bCs/>
          <w:color w:val="000000"/>
          <w:sz w:val="24"/>
          <w:szCs w:val="24"/>
        </w:rPr>
        <w:t>areas – within the Archaic Greek poetry of Homer (</w:t>
      </w:r>
      <w:r w:rsidRPr="00745BDD">
        <w:rPr>
          <w:rFonts w:ascii="Arial" w:hAnsi="Arial" w:cs="Arial"/>
          <w:bCs/>
          <w:i/>
          <w:color w:val="000000"/>
          <w:sz w:val="24"/>
          <w:szCs w:val="24"/>
        </w:rPr>
        <w:t>c.</w:t>
      </w:r>
      <w:r w:rsidRPr="00745BDD">
        <w:rPr>
          <w:rFonts w:ascii="Arial" w:hAnsi="Arial" w:cs="Arial"/>
          <w:bCs/>
          <w:color w:val="000000"/>
          <w:sz w:val="24"/>
          <w:szCs w:val="24"/>
        </w:rPr>
        <w:t xml:space="preserve">750BCE). </w:t>
      </w:r>
      <w:commentRangeEnd w:id="32"/>
      <w:r w:rsidR="008868F6">
        <w:rPr>
          <w:rStyle w:val="CommentReference"/>
        </w:rPr>
        <w:commentReference w:id="32"/>
      </w:r>
    </w:p>
    <w:p w14:paraId="3AC29F84" w14:textId="77777777" w:rsidR="00A25DE7" w:rsidRPr="00745BDD" w:rsidRDefault="00A25DE7" w:rsidP="00745BDD">
      <w:pPr>
        <w:spacing w:line="360" w:lineRule="auto"/>
        <w:jc w:val="both"/>
        <w:rPr>
          <w:rFonts w:ascii="Arial" w:hAnsi="Arial" w:cs="Arial"/>
          <w:i/>
          <w:color w:val="000000"/>
          <w:sz w:val="24"/>
          <w:szCs w:val="24"/>
        </w:rPr>
      </w:pPr>
      <w:commentRangeStart w:id="34"/>
      <w:r w:rsidRPr="00745BDD">
        <w:rPr>
          <w:rFonts w:ascii="Arial" w:hAnsi="Arial" w:cs="Arial"/>
          <w:i/>
          <w:color w:val="000000"/>
          <w:sz w:val="24"/>
          <w:szCs w:val="24"/>
        </w:rPr>
        <w:t>Methodology</w:t>
      </w:r>
      <w:commentRangeEnd w:id="34"/>
      <w:r w:rsidR="00230AF2">
        <w:rPr>
          <w:rStyle w:val="CommentReference"/>
        </w:rPr>
        <w:commentReference w:id="34"/>
      </w:r>
    </w:p>
    <w:p w14:paraId="576E59DA" w14:textId="77777777" w:rsidR="00A25DE7" w:rsidRPr="00745BDD" w:rsidRDefault="00A25DE7" w:rsidP="00745BDD">
      <w:pPr>
        <w:spacing w:line="360" w:lineRule="auto"/>
        <w:jc w:val="both"/>
        <w:rPr>
          <w:rFonts w:ascii="Arial" w:hAnsi="Arial" w:cs="Arial"/>
          <w:color w:val="000000"/>
          <w:sz w:val="24"/>
          <w:szCs w:val="24"/>
        </w:rPr>
      </w:pPr>
      <w:r w:rsidRPr="00745BDD">
        <w:rPr>
          <w:rFonts w:ascii="Arial" w:hAnsi="Arial" w:cs="Arial"/>
          <w:color w:val="000000"/>
          <w:sz w:val="24"/>
          <w:szCs w:val="24"/>
        </w:rPr>
        <w:t xml:space="preserve">For any comparative study examining the possibility of influence from one culture to another the most obvious pitfall of parallelomania must be avoided. In order to assert the likelihood of influence the following criteria need to be considered. It is imperative to first establish the chronological possibility of commercial contact between the cultures in question, and secondly that the literary material considered in this paper </w:t>
      </w:r>
      <w:commentRangeStart w:id="35"/>
      <w:r w:rsidRPr="00745BDD">
        <w:rPr>
          <w:rFonts w:ascii="Arial" w:hAnsi="Arial" w:cs="Arial"/>
          <w:color w:val="000000"/>
          <w:sz w:val="24"/>
          <w:szCs w:val="24"/>
        </w:rPr>
        <w:t xml:space="preserve">existed at the time of contact. </w:t>
      </w:r>
      <w:commentRangeEnd w:id="35"/>
      <w:r w:rsidR="00035117">
        <w:rPr>
          <w:rStyle w:val="CommentReference"/>
        </w:rPr>
        <w:commentReference w:id="35"/>
      </w:r>
      <w:r w:rsidRPr="00745BDD">
        <w:rPr>
          <w:rFonts w:ascii="Arial" w:hAnsi="Arial" w:cs="Arial"/>
          <w:color w:val="000000"/>
          <w:sz w:val="24"/>
          <w:szCs w:val="24"/>
        </w:rPr>
        <w:t>Evidence of cultural contact is provided in Chapter One. As for the literature, Kirk argues that as there are established similarities between the art, architecture, and administration of Achaean palaces in Greece and Western Asiatic centres such as Mari, and Ugarit, this cultural influence must have extended to poetry.</w:t>
      </w:r>
      <w:r w:rsidRPr="00745BDD">
        <w:rPr>
          <w:rFonts w:ascii="Arial" w:hAnsi="Arial" w:cs="Arial"/>
          <w:color w:val="000000"/>
          <w:sz w:val="24"/>
          <w:szCs w:val="24"/>
          <w:vertAlign w:val="superscript"/>
        </w:rPr>
        <w:footnoteReference w:id="8"/>
      </w:r>
      <w:r w:rsidRPr="00745BDD">
        <w:rPr>
          <w:rFonts w:ascii="Arial" w:hAnsi="Arial" w:cs="Arial"/>
          <w:color w:val="000000"/>
          <w:sz w:val="24"/>
          <w:szCs w:val="24"/>
        </w:rPr>
        <w:t xml:space="preserve">Burkert and West are among the many scholars who have </w:t>
      </w:r>
      <w:r w:rsidRPr="00745BDD">
        <w:rPr>
          <w:rFonts w:ascii="Arial" w:hAnsi="Arial" w:cs="Arial"/>
          <w:color w:val="000000"/>
          <w:sz w:val="24"/>
          <w:szCs w:val="24"/>
        </w:rPr>
        <w:lastRenderedPageBreak/>
        <w:t>demonstrated poetic similarities between the Hellenic and Near Eastern literature, and provide a wealth of scholarship cited throughout the following chapters. Finally, the literary parallels themselves must fulfil a rigorous criteria, both for ideas and language, covering the number, complexity, and detail of the similarities, enough to rule out the possibility of chance resemblance.</w:t>
      </w:r>
      <w:r w:rsidRPr="00745BDD">
        <w:rPr>
          <w:rFonts w:ascii="Arial" w:hAnsi="Arial" w:cs="Arial"/>
          <w:color w:val="000000"/>
          <w:sz w:val="24"/>
          <w:szCs w:val="24"/>
          <w:vertAlign w:val="superscript"/>
        </w:rPr>
        <w:footnoteReference w:id="9"/>
      </w:r>
      <w:r w:rsidRPr="00745BDD">
        <w:rPr>
          <w:rFonts w:ascii="Arial" w:hAnsi="Arial" w:cs="Arial"/>
          <w:color w:val="000000"/>
          <w:sz w:val="24"/>
          <w:szCs w:val="24"/>
        </w:rPr>
        <w:t xml:space="preserve"> The works of Burkert, West, and Penglase go far toward the fulfilment of these criteria, and their methodologies are discussed in more detail in Chapter One. However, one important proviso: to show influence is not to show origin, and to show origin is not to show fundamental influence. If sufficient parallels can be established as per the criteria outlined here and in Chapter One: Section Three, then the possibility of influence could be argued. But that is not to say that the influence is merely uni-directional from East to West, but that these cultures which shared so much for so long, may have also shared astronomical or calendrical data which was incorporated into their poetic literature.</w:t>
      </w:r>
    </w:p>
    <w:p w14:paraId="3F79E44D" w14:textId="77777777" w:rsidR="00A25DE7" w:rsidRPr="00745BDD" w:rsidRDefault="00A25DE7" w:rsidP="00745BDD">
      <w:pPr>
        <w:spacing w:line="360" w:lineRule="auto"/>
        <w:jc w:val="both"/>
        <w:rPr>
          <w:rFonts w:ascii="Arial" w:hAnsi="Arial" w:cs="Arial"/>
          <w:i/>
          <w:color w:val="000000"/>
          <w:sz w:val="24"/>
          <w:szCs w:val="24"/>
        </w:rPr>
      </w:pPr>
      <w:commentRangeStart w:id="36"/>
      <w:r w:rsidRPr="00745BDD">
        <w:rPr>
          <w:rFonts w:ascii="Arial" w:hAnsi="Arial" w:cs="Arial"/>
          <w:i/>
          <w:color w:val="000000"/>
          <w:sz w:val="24"/>
          <w:szCs w:val="24"/>
        </w:rPr>
        <w:t>Structure</w:t>
      </w:r>
      <w:commentRangeEnd w:id="36"/>
      <w:r w:rsidR="00035117">
        <w:rPr>
          <w:rStyle w:val="CommentReference"/>
        </w:rPr>
        <w:commentReference w:id="36"/>
      </w:r>
    </w:p>
    <w:p w14:paraId="42382B39" w14:textId="77777777" w:rsidR="00A25DE7" w:rsidRDefault="00A25DE7" w:rsidP="00745BDD">
      <w:pPr>
        <w:spacing w:line="360" w:lineRule="auto"/>
        <w:jc w:val="both"/>
        <w:rPr>
          <w:rFonts w:ascii="Arial" w:hAnsi="Arial" w:cs="Arial"/>
          <w:color w:val="000000"/>
          <w:sz w:val="24"/>
          <w:szCs w:val="24"/>
        </w:rPr>
      </w:pPr>
      <w:r w:rsidRPr="00745BDD">
        <w:rPr>
          <w:rFonts w:ascii="Arial" w:hAnsi="Arial" w:cs="Arial"/>
          <w:color w:val="000000"/>
          <w:sz w:val="24"/>
          <w:szCs w:val="24"/>
        </w:rPr>
        <w:t xml:space="preserve">This paper will now go on to provide the evidence for these criteria. Chapter One presents evidence for cultural contact, and both the transmission and influence of Near Eastern literature upon the Homeric and Hesiodic corpora. It then examines the astronomical </w:t>
      </w:r>
      <w:commentRangeStart w:id="37"/>
      <w:r w:rsidRPr="00745BDD">
        <w:rPr>
          <w:rFonts w:ascii="Arial" w:hAnsi="Arial" w:cs="Arial"/>
          <w:color w:val="000000"/>
          <w:sz w:val="24"/>
          <w:szCs w:val="24"/>
        </w:rPr>
        <w:t xml:space="preserve">knowledge of Mesopotamia, and evidence for its transmission into the literary works of the Near East. </w:t>
      </w:r>
      <w:commentRangeEnd w:id="37"/>
      <w:r w:rsidR="00035117">
        <w:rPr>
          <w:rStyle w:val="CommentReference"/>
        </w:rPr>
        <w:commentReference w:id="37"/>
      </w:r>
      <w:r w:rsidRPr="00745BDD">
        <w:rPr>
          <w:rFonts w:ascii="Arial" w:hAnsi="Arial" w:cs="Arial"/>
          <w:color w:val="000000"/>
          <w:sz w:val="24"/>
          <w:szCs w:val="24"/>
        </w:rPr>
        <w:t xml:space="preserve">Finally the methodology of the paper is outlined in full, drawing on the influences of Jeffrey Cooley and Martin West. Chapter Two goes on to explore the possibility of celestial imagery in </w:t>
      </w:r>
      <w:r w:rsidRPr="00745BDD">
        <w:rPr>
          <w:rFonts w:ascii="Arial" w:hAnsi="Arial" w:cs="Arial"/>
          <w:i/>
          <w:color w:val="000000"/>
          <w:sz w:val="24"/>
          <w:szCs w:val="24"/>
        </w:rPr>
        <w:t>Gilgamesh</w:t>
      </w:r>
      <w:r w:rsidRPr="00745BDD">
        <w:rPr>
          <w:rFonts w:ascii="Arial" w:hAnsi="Arial" w:cs="Arial"/>
          <w:color w:val="000000"/>
          <w:sz w:val="24"/>
          <w:szCs w:val="24"/>
        </w:rPr>
        <w:t xml:space="preserve"> and Homer’s </w:t>
      </w:r>
      <w:r w:rsidRPr="00745BDD">
        <w:rPr>
          <w:rFonts w:ascii="Arial" w:hAnsi="Arial" w:cs="Arial"/>
          <w:i/>
          <w:color w:val="000000"/>
          <w:sz w:val="24"/>
          <w:szCs w:val="24"/>
        </w:rPr>
        <w:t>Odyssey</w:t>
      </w:r>
      <w:r w:rsidRPr="00745BDD">
        <w:rPr>
          <w:rFonts w:ascii="Arial" w:hAnsi="Arial" w:cs="Arial"/>
          <w:color w:val="000000"/>
          <w:sz w:val="24"/>
          <w:szCs w:val="24"/>
        </w:rPr>
        <w:t>, focusing on narrative sections such as the Bull of Heaven (</w:t>
      </w:r>
      <w:r w:rsidRPr="00745BDD">
        <w:rPr>
          <w:rFonts w:ascii="Arial" w:hAnsi="Arial" w:cs="Arial"/>
          <w:i/>
          <w:color w:val="000000"/>
          <w:sz w:val="24"/>
          <w:szCs w:val="24"/>
        </w:rPr>
        <w:t xml:space="preserve">Gilgamesh </w:t>
      </w:r>
      <w:r w:rsidRPr="00745BDD">
        <w:rPr>
          <w:rFonts w:ascii="Arial" w:hAnsi="Arial" w:cs="Arial"/>
          <w:color w:val="000000"/>
          <w:sz w:val="24"/>
          <w:szCs w:val="24"/>
        </w:rPr>
        <w:t xml:space="preserve">Tablet VI), characters such as Ishtar and Circe, and literary formulae such as tropes concerning horology, and other calendrical information. Chapter Three then builds on the astronomical parallels from Chapter Two to present an overview of Homeric cosmology, and the possibility of Western Asiatic influence on this. It concentrates first of all on extended narratives concerning the structure of the cosmos, and moves on to consider formulaic descriptions of cosmic features such as the gates of heaven, and cosmic phenomena such as the </w:t>
      </w:r>
      <w:r w:rsidRPr="00745BDD">
        <w:rPr>
          <w:rFonts w:ascii="Arial" w:hAnsi="Arial" w:cs="Arial"/>
          <w:i/>
          <w:color w:val="000000"/>
          <w:sz w:val="24"/>
          <w:szCs w:val="24"/>
        </w:rPr>
        <w:t>katabasis</w:t>
      </w:r>
      <w:r w:rsidRPr="00745BDD">
        <w:rPr>
          <w:rFonts w:ascii="Arial" w:hAnsi="Arial" w:cs="Arial"/>
          <w:color w:val="000000"/>
          <w:sz w:val="24"/>
          <w:szCs w:val="24"/>
        </w:rPr>
        <w:t xml:space="preserve"> of the solar hero. Finally it examines </w:t>
      </w:r>
      <w:r w:rsidRPr="00745BDD">
        <w:rPr>
          <w:rFonts w:ascii="Arial" w:hAnsi="Arial" w:cs="Arial"/>
          <w:color w:val="000000"/>
          <w:sz w:val="24"/>
          <w:szCs w:val="24"/>
        </w:rPr>
        <w:lastRenderedPageBreak/>
        <w:t>evidence concerning Odysseus’ relationships with both the sun and the cosmos. The thesis ends with concluding statements and areas for further study.</w:t>
      </w:r>
    </w:p>
    <w:p w14:paraId="7FDF0DF5" w14:textId="77777777" w:rsidR="00A25DE7" w:rsidRPr="00745BDD" w:rsidRDefault="00A25DE7" w:rsidP="00745BDD">
      <w:pPr>
        <w:spacing w:line="360" w:lineRule="auto"/>
        <w:jc w:val="center"/>
        <w:rPr>
          <w:rFonts w:ascii="Arial" w:hAnsi="Arial" w:cs="Arial"/>
          <w:color w:val="000000"/>
          <w:sz w:val="24"/>
          <w:szCs w:val="24"/>
        </w:rPr>
      </w:pPr>
      <w:commentRangeStart w:id="38"/>
      <w:r w:rsidRPr="00745BDD">
        <w:rPr>
          <w:rFonts w:ascii="Arial" w:hAnsi="Arial" w:cs="Arial"/>
          <w:sz w:val="28"/>
          <w:szCs w:val="24"/>
          <w:u w:val="single"/>
        </w:rPr>
        <w:t>Chronological Chart</w:t>
      </w:r>
      <w:commentRangeEnd w:id="38"/>
      <w:r>
        <w:rPr>
          <w:rStyle w:val="CommentReference"/>
        </w:rPr>
        <w:commentReference w:id="38"/>
      </w: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818"/>
        <w:gridCol w:w="1984"/>
        <w:gridCol w:w="2267"/>
        <w:gridCol w:w="1844"/>
        <w:gridCol w:w="1842"/>
      </w:tblGrid>
      <w:tr w:rsidR="00A25DE7" w:rsidRPr="00464E79" w14:paraId="1E1D4DC2" w14:textId="77777777" w:rsidTr="00464E79">
        <w:tc>
          <w:tcPr>
            <w:tcW w:w="818" w:type="dxa"/>
          </w:tcPr>
          <w:p w14:paraId="2B27718E" w14:textId="77777777" w:rsidR="00A25DE7" w:rsidRPr="00464E79" w:rsidRDefault="00A25DE7" w:rsidP="00464E79">
            <w:pPr>
              <w:spacing w:after="0" w:line="240" w:lineRule="auto"/>
              <w:rPr>
                <w:rFonts w:ascii="Arial" w:hAnsi="Arial" w:cs="Arial"/>
                <w:b/>
              </w:rPr>
            </w:pPr>
            <w:r w:rsidRPr="00464E79">
              <w:rPr>
                <w:rFonts w:ascii="Arial" w:hAnsi="Arial" w:cs="Arial"/>
                <w:b/>
              </w:rPr>
              <w:t>BCE</w:t>
            </w:r>
          </w:p>
        </w:tc>
        <w:tc>
          <w:tcPr>
            <w:tcW w:w="1984" w:type="dxa"/>
          </w:tcPr>
          <w:p w14:paraId="233C30AD" w14:textId="77777777" w:rsidR="00A25DE7" w:rsidRPr="00464E79" w:rsidRDefault="00A25DE7" w:rsidP="00464E79">
            <w:pPr>
              <w:spacing w:after="0" w:line="240" w:lineRule="auto"/>
              <w:jc w:val="center"/>
              <w:rPr>
                <w:rFonts w:ascii="Arial" w:hAnsi="Arial" w:cs="Arial"/>
                <w:b/>
              </w:rPr>
            </w:pPr>
            <w:r w:rsidRPr="00464E79">
              <w:rPr>
                <w:rFonts w:ascii="Arial" w:hAnsi="Arial" w:cs="Arial"/>
                <w:b/>
              </w:rPr>
              <w:t>Periods in Assyria and Babylonia</w:t>
            </w:r>
          </w:p>
        </w:tc>
        <w:tc>
          <w:tcPr>
            <w:tcW w:w="2267" w:type="dxa"/>
          </w:tcPr>
          <w:p w14:paraId="57241963" w14:textId="77777777" w:rsidR="00A25DE7" w:rsidRPr="00464E79" w:rsidRDefault="00A25DE7" w:rsidP="00464E79">
            <w:pPr>
              <w:spacing w:after="0" w:line="240" w:lineRule="auto"/>
              <w:jc w:val="center"/>
              <w:rPr>
                <w:rFonts w:ascii="Arial" w:hAnsi="Arial" w:cs="Arial"/>
                <w:b/>
              </w:rPr>
            </w:pPr>
            <w:r w:rsidRPr="00464E79">
              <w:rPr>
                <w:rFonts w:ascii="Arial" w:hAnsi="Arial" w:cs="Arial"/>
                <w:b/>
              </w:rPr>
              <w:t>Periods outside Mesopotamia</w:t>
            </w:r>
          </w:p>
        </w:tc>
        <w:tc>
          <w:tcPr>
            <w:tcW w:w="1844" w:type="dxa"/>
          </w:tcPr>
          <w:p w14:paraId="1EEEE22E" w14:textId="77777777" w:rsidR="00A25DE7" w:rsidRPr="00464E79" w:rsidRDefault="00A25DE7" w:rsidP="00464E79">
            <w:pPr>
              <w:spacing w:after="0" w:line="240" w:lineRule="auto"/>
              <w:jc w:val="center"/>
              <w:rPr>
                <w:rFonts w:ascii="Arial" w:hAnsi="Arial" w:cs="Arial"/>
                <w:b/>
              </w:rPr>
            </w:pPr>
            <w:r w:rsidRPr="00464E79">
              <w:rPr>
                <w:rFonts w:ascii="Arial" w:hAnsi="Arial" w:cs="Arial"/>
                <w:b/>
              </w:rPr>
              <w:t>Estimates for composition of text</w:t>
            </w:r>
          </w:p>
        </w:tc>
        <w:tc>
          <w:tcPr>
            <w:tcW w:w="1842" w:type="dxa"/>
          </w:tcPr>
          <w:p w14:paraId="4D67B1D0" w14:textId="77777777" w:rsidR="00A25DE7" w:rsidRPr="00464E79" w:rsidRDefault="00A25DE7" w:rsidP="00464E79">
            <w:pPr>
              <w:spacing w:after="0" w:line="240" w:lineRule="auto"/>
              <w:jc w:val="center"/>
              <w:rPr>
                <w:rFonts w:ascii="Arial" w:hAnsi="Arial" w:cs="Arial"/>
                <w:b/>
              </w:rPr>
            </w:pPr>
            <w:r w:rsidRPr="00464E79">
              <w:rPr>
                <w:rFonts w:ascii="Arial" w:hAnsi="Arial" w:cs="Arial"/>
                <w:b/>
              </w:rPr>
              <w:t>Events relevant for literary transmission</w:t>
            </w:r>
          </w:p>
        </w:tc>
      </w:tr>
      <w:tr w:rsidR="00A25DE7" w:rsidRPr="00464E79" w14:paraId="4B0A0E57" w14:textId="77777777" w:rsidTr="00464E79">
        <w:tc>
          <w:tcPr>
            <w:tcW w:w="818" w:type="dxa"/>
            <w:vMerge w:val="restart"/>
          </w:tcPr>
          <w:p w14:paraId="653CD31B" w14:textId="77777777" w:rsidR="00A25DE7" w:rsidRPr="00464E79" w:rsidRDefault="00A25DE7" w:rsidP="00464E79">
            <w:pPr>
              <w:spacing w:after="0" w:line="240" w:lineRule="auto"/>
              <w:rPr>
                <w:rFonts w:ascii="Arial" w:hAnsi="Arial" w:cs="Arial"/>
                <w:b/>
              </w:rPr>
            </w:pPr>
            <w:r w:rsidRPr="00464E79">
              <w:rPr>
                <w:rFonts w:ascii="Arial" w:hAnsi="Arial" w:cs="Arial"/>
                <w:b/>
              </w:rPr>
              <w:t>3000</w:t>
            </w:r>
          </w:p>
          <w:p w14:paraId="697BA586" w14:textId="77777777" w:rsidR="00A25DE7" w:rsidRPr="00464E79" w:rsidRDefault="00A25DE7" w:rsidP="00464E79">
            <w:pPr>
              <w:spacing w:after="0" w:line="240" w:lineRule="auto"/>
              <w:rPr>
                <w:rFonts w:ascii="Arial" w:hAnsi="Arial" w:cs="Arial"/>
                <w:b/>
              </w:rPr>
            </w:pPr>
          </w:p>
          <w:p w14:paraId="4789E30A" w14:textId="77777777" w:rsidR="00A25DE7" w:rsidRPr="00464E79" w:rsidRDefault="00A25DE7" w:rsidP="00464E79">
            <w:pPr>
              <w:spacing w:after="0" w:line="240" w:lineRule="auto"/>
              <w:rPr>
                <w:rFonts w:ascii="Arial" w:hAnsi="Arial" w:cs="Arial"/>
                <w:b/>
              </w:rPr>
            </w:pPr>
            <w:r w:rsidRPr="00464E79">
              <w:rPr>
                <w:rFonts w:ascii="Arial" w:hAnsi="Arial" w:cs="Arial"/>
                <w:b/>
              </w:rPr>
              <w:t>2500</w:t>
            </w:r>
          </w:p>
          <w:p w14:paraId="0FD7DCEA" w14:textId="77777777" w:rsidR="00A25DE7" w:rsidRPr="00464E79" w:rsidRDefault="00A25DE7" w:rsidP="00464E79">
            <w:pPr>
              <w:spacing w:after="0" w:line="240" w:lineRule="auto"/>
              <w:rPr>
                <w:rFonts w:ascii="Arial" w:hAnsi="Arial" w:cs="Arial"/>
                <w:b/>
              </w:rPr>
            </w:pPr>
          </w:p>
          <w:p w14:paraId="6742AE29" w14:textId="77777777" w:rsidR="00A25DE7" w:rsidRPr="00464E79" w:rsidRDefault="00A25DE7" w:rsidP="00464E79">
            <w:pPr>
              <w:spacing w:after="0" w:line="240" w:lineRule="auto"/>
              <w:rPr>
                <w:rFonts w:ascii="Arial" w:hAnsi="Arial" w:cs="Arial"/>
                <w:b/>
              </w:rPr>
            </w:pPr>
          </w:p>
          <w:p w14:paraId="04203ABB" w14:textId="77777777" w:rsidR="00A25DE7" w:rsidRPr="00464E79" w:rsidRDefault="00A25DE7" w:rsidP="00464E79">
            <w:pPr>
              <w:spacing w:after="0" w:line="240" w:lineRule="auto"/>
              <w:rPr>
                <w:rFonts w:ascii="Arial" w:hAnsi="Arial" w:cs="Arial"/>
                <w:b/>
              </w:rPr>
            </w:pPr>
          </w:p>
          <w:p w14:paraId="6379D79F" w14:textId="77777777" w:rsidR="00A25DE7" w:rsidRPr="00464E79" w:rsidRDefault="00A25DE7" w:rsidP="00464E79">
            <w:pPr>
              <w:spacing w:after="0" w:line="240" w:lineRule="auto"/>
              <w:rPr>
                <w:rFonts w:ascii="Arial" w:hAnsi="Arial" w:cs="Arial"/>
                <w:b/>
              </w:rPr>
            </w:pPr>
          </w:p>
          <w:p w14:paraId="5451D7BC" w14:textId="77777777" w:rsidR="00A25DE7" w:rsidRPr="00464E79" w:rsidRDefault="00A25DE7" w:rsidP="00464E79">
            <w:pPr>
              <w:spacing w:after="0" w:line="240" w:lineRule="auto"/>
              <w:rPr>
                <w:rFonts w:ascii="Arial" w:hAnsi="Arial" w:cs="Arial"/>
                <w:b/>
              </w:rPr>
            </w:pPr>
          </w:p>
          <w:p w14:paraId="62CE337E" w14:textId="77777777" w:rsidR="00A25DE7" w:rsidRPr="00464E79" w:rsidRDefault="00A25DE7" w:rsidP="00464E79">
            <w:pPr>
              <w:spacing w:after="0" w:line="240" w:lineRule="auto"/>
              <w:rPr>
                <w:rFonts w:ascii="Arial" w:hAnsi="Arial" w:cs="Arial"/>
                <w:b/>
              </w:rPr>
            </w:pPr>
            <w:r w:rsidRPr="00464E79">
              <w:rPr>
                <w:rFonts w:ascii="Arial" w:hAnsi="Arial" w:cs="Arial"/>
                <w:b/>
              </w:rPr>
              <w:t>2000</w:t>
            </w:r>
          </w:p>
          <w:p w14:paraId="1B9A4DB4" w14:textId="77777777" w:rsidR="00A25DE7" w:rsidRPr="00464E79" w:rsidRDefault="00A25DE7" w:rsidP="00464E79">
            <w:pPr>
              <w:spacing w:after="0" w:line="240" w:lineRule="auto"/>
              <w:rPr>
                <w:rFonts w:ascii="Arial" w:hAnsi="Arial" w:cs="Arial"/>
                <w:b/>
              </w:rPr>
            </w:pPr>
          </w:p>
          <w:p w14:paraId="09A3BF92" w14:textId="77777777" w:rsidR="00A25DE7" w:rsidRPr="00464E79" w:rsidRDefault="00A25DE7" w:rsidP="00464E79">
            <w:pPr>
              <w:spacing w:after="0" w:line="240" w:lineRule="auto"/>
              <w:rPr>
                <w:rFonts w:ascii="Arial" w:hAnsi="Arial" w:cs="Arial"/>
                <w:b/>
              </w:rPr>
            </w:pPr>
          </w:p>
          <w:p w14:paraId="69F8FAF6" w14:textId="77777777" w:rsidR="00A25DE7" w:rsidRPr="00464E79" w:rsidRDefault="00A25DE7" w:rsidP="00464E79">
            <w:pPr>
              <w:spacing w:after="0" w:line="240" w:lineRule="auto"/>
              <w:rPr>
                <w:rFonts w:ascii="Arial" w:hAnsi="Arial" w:cs="Arial"/>
                <w:b/>
              </w:rPr>
            </w:pPr>
          </w:p>
          <w:p w14:paraId="0FC08EAE" w14:textId="77777777" w:rsidR="00A25DE7" w:rsidRPr="00464E79" w:rsidRDefault="00A25DE7" w:rsidP="00464E79">
            <w:pPr>
              <w:spacing w:after="0" w:line="240" w:lineRule="auto"/>
              <w:rPr>
                <w:rFonts w:ascii="Arial" w:hAnsi="Arial" w:cs="Arial"/>
                <w:b/>
              </w:rPr>
            </w:pPr>
            <w:r w:rsidRPr="00464E79">
              <w:rPr>
                <w:rFonts w:ascii="Arial" w:hAnsi="Arial" w:cs="Arial"/>
                <w:b/>
              </w:rPr>
              <w:t>1500</w:t>
            </w:r>
          </w:p>
          <w:p w14:paraId="692E5E7C" w14:textId="77777777" w:rsidR="00A25DE7" w:rsidRPr="00464E79" w:rsidRDefault="00A25DE7" w:rsidP="00464E79">
            <w:pPr>
              <w:spacing w:after="0" w:line="240" w:lineRule="auto"/>
              <w:rPr>
                <w:rFonts w:ascii="Arial" w:hAnsi="Arial" w:cs="Arial"/>
                <w:b/>
              </w:rPr>
            </w:pPr>
          </w:p>
          <w:p w14:paraId="32EB9A82" w14:textId="77777777" w:rsidR="00A25DE7" w:rsidRPr="00464E79" w:rsidRDefault="00A25DE7" w:rsidP="00464E79">
            <w:pPr>
              <w:spacing w:after="0" w:line="240" w:lineRule="auto"/>
              <w:rPr>
                <w:rFonts w:ascii="Arial" w:hAnsi="Arial" w:cs="Arial"/>
                <w:b/>
              </w:rPr>
            </w:pPr>
          </w:p>
          <w:p w14:paraId="13933071" w14:textId="77777777" w:rsidR="00A25DE7" w:rsidRPr="00464E79" w:rsidRDefault="00A25DE7" w:rsidP="00464E79">
            <w:pPr>
              <w:spacing w:after="0" w:line="240" w:lineRule="auto"/>
              <w:rPr>
                <w:rFonts w:ascii="Arial" w:hAnsi="Arial" w:cs="Arial"/>
                <w:b/>
              </w:rPr>
            </w:pPr>
          </w:p>
          <w:p w14:paraId="10B60FE8" w14:textId="77777777" w:rsidR="00A25DE7" w:rsidRPr="00464E79" w:rsidRDefault="00A25DE7" w:rsidP="00464E79">
            <w:pPr>
              <w:spacing w:after="0" w:line="240" w:lineRule="auto"/>
              <w:rPr>
                <w:rFonts w:ascii="Arial" w:hAnsi="Arial" w:cs="Arial"/>
                <w:b/>
              </w:rPr>
            </w:pPr>
            <w:r w:rsidRPr="00464E79">
              <w:rPr>
                <w:rFonts w:ascii="Arial" w:hAnsi="Arial" w:cs="Arial"/>
                <w:b/>
              </w:rPr>
              <w:t>1000</w:t>
            </w:r>
          </w:p>
          <w:p w14:paraId="338CFB3E" w14:textId="77777777" w:rsidR="00A25DE7" w:rsidRPr="00464E79" w:rsidRDefault="00A25DE7" w:rsidP="00464E79">
            <w:pPr>
              <w:spacing w:after="0" w:line="240" w:lineRule="auto"/>
              <w:rPr>
                <w:rFonts w:ascii="Arial" w:hAnsi="Arial" w:cs="Arial"/>
                <w:b/>
              </w:rPr>
            </w:pPr>
          </w:p>
          <w:p w14:paraId="428F49B2" w14:textId="77777777" w:rsidR="00A25DE7" w:rsidRPr="00464E79" w:rsidRDefault="00A25DE7" w:rsidP="00464E79">
            <w:pPr>
              <w:spacing w:after="0" w:line="240" w:lineRule="auto"/>
              <w:rPr>
                <w:rFonts w:ascii="Arial" w:hAnsi="Arial" w:cs="Arial"/>
                <w:b/>
              </w:rPr>
            </w:pPr>
          </w:p>
          <w:p w14:paraId="0E0B1925" w14:textId="77777777" w:rsidR="00A25DE7" w:rsidRPr="00464E79" w:rsidRDefault="00A25DE7" w:rsidP="00464E79">
            <w:pPr>
              <w:spacing w:after="0" w:line="240" w:lineRule="auto"/>
              <w:rPr>
                <w:rFonts w:ascii="Arial" w:hAnsi="Arial" w:cs="Arial"/>
                <w:b/>
              </w:rPr>
            </w:pPr>
          </w:p>
          <w:p w14:paraId="5AD04DFF" w14:textId="77777777" w:rsidR="00A25DE7" w:rsidRPr="00464E79" w:rsidRDefault="00A25DE7" w:rsidP="00464E79">
            <w:pPr>
              <w:spacing w:after="0" w:line="240" w:lineRule="auto"/>
              <w:rPr>
                <w:rFonts w:ascii="Arial" w:hAnsi="Arial" w:cs="Arial"/>
                <w:b/>
              </w:rPr>
            </w:pPr>
          </w:p>
          <w:p w14:paraId="044D1A43" w14:textId="77777777" w:rsidR="00A25DE7" w:rsidRPr="00464E79" w:rsidRDefault="00A25DE7" w:rsidP="00464E79">
            <w:pPr>
              <w:spacing w:after="0" w:line="240" w:lineRule="auto"/>
              <w:rPr>
                <w:rFonts w:ascii="Arial" w:hAnsi="Arial" w:cs="Arial"/>
                <w:b/>
              </w:rPr>
            </w:pPr>
          </w:p>
          <w:p w14:paraId="1CF54207" w14:textId="77777777" w:rsidR="00A25DE7" w:rsidRPr="00464E79" w:rsidRDefault="00A25DE7" w:rsidP="00464E79">
            <w:pPr>
              <w:spacing w:after="0" w:line="240" w:lineRule="auto"/>
              <w:rPr>
                <w:rFonts w:ascii="Arial" w:hAnsi="Arial" w:cs="Arial"/>
                <w:b/>
              </w:rPr>
            </w:pPr>
            <w:r w:rsidRPr="00464E79">
              <w:rPr>
                <w:rFonts w:ascii="Arial" w:hAnsi="Arial" w:cs="Arial"/>
                <w:b/>
              </w:rPr>
              <w:t>500</w:t>
            </w:r>
          </w:p>
        </w:tc>
        <w:tc>
          <w:tcPr>
            <w:tcW w:w="1984" w:type="dxa"/>
          </w:tcPr>
          <w:p w14:paraId="07F2B72D" w14:textId="77777777" w:rsidR="00A25DE7" w:rsidRPr="00464E79" w:rsidRDefault="00A25DE7" w:rsidP="00464E79">
            <w:pPr>
              <w:spacing w:after="0" w:line="240" w:lineRule="auto"/>
              <w:rPr>
                <w:rFonts w:ascii="Arial" w:hAnsi="Arial" w:cs="Arial"/>
              </w:rPr>
            </w:pPr>
          </w:p>
          <w:p w14:paraId="0569E868" w14:textId="77777777" w:rsidR="00A25DE7" w:rsidRPr="00464E79" w:rsidRDefault="00A25DE7" w:rsidP="00464E79">
            <w:pPr>
              <w:spacing w:after="0" w:line="240" w:lineRule="auto"/>
              <w:rPr>
                <w:rFonts w:ascii="Arial" w:hAnsi="Arial" w:cs="Arial"/>
              </w:rPr>
            </w:pPr>
            <w:r w:rsidRPr="00464E79">
              <w:rPr>
                <w:rFonts w:ascii="Arial" w:hAnsi="Arial" w:cs="Arial"/>
              </w:rPr>
              <w:t>Early Dynastic</w:t>
            </w:r>
          </w:p>
          <w:p w14:paraId="4B0593F4" w14:textId="77777777" w:rsidR="00A25DE7" w:rsidRPr="00464E79" w:rsidRDefault="00A25DE7" w:rsidP="00464E79">
            <w:pPr>
              <w:spacing w:after="0" w:line="240" w:lineRule="auto"/>
              <w:rPr>
                <w:rFonts w:ascii="Arial" w:hAnsi="Arial" w:cs="Arial"/>
              </w:rPr>
            </w:pPr>
          </w:p>
        </w:tc>
        <w:tc>
          <w:tcPr>
            <w:tcW w:w="2267" w:type="dxa"/>
          </w:tcPr>
          <w:p w14:paraId="3009DDFE" w14:textId="77777777" w:rsidR="00A25DE7" w:rsidRPr="00464E79" w:rsidRDefault="00A25DE7" w:rsidP="00464E79">
            <w:pPr>
              <w:spacing w:after="0" w:line="240" w:lineRule="auto"/>
              <w:rPr>
                <w:rFonts w:ascii="Arial" w:hAnsi="Arial" w:cs="Arial"/>
              </w:rPr>
            </w:pPr>
          </w:p>
          <w:p w14:paraId="059637C3" w14:textId="77777777" w:rsidR="00A25DE7" w:rsidRPr="00464E79" w:rsidRDefault="00A25DE7" w:rsidP="00464E79">
            <w:pPr>
              <w:spacing w:after="0" w:line="240" w:lineRule="auto"/>
              <w:rPr>
                <w:rFonts w:ascii="Arial" w:hAnsi="Arial" w:cs="Arial"/>
              </w:rPr>
            </w:pPr>
          </w:p>
          <w:p w14:paraId="6EE5E930" w14:textId="77777777" w:rsidR="00A25DE7" w:rsidRPr="00464E79" w:rsidRDefault="00A25DE7" w:rsidP="00464E79">
            <w:pPr>
              <w:spacing w:after="0" w:line="240" w:lineRule="auto"/>
              <w:rPr>
                <w:rFonts w:ascii="Arial" w:hAnsi="Arial" w:cs="Arial"/>
              </w:rPr>
            </w:pPr>
            <w:r w:rsidRPr="00464E79">
              <w:rPr>
                <w:rFonts w:ascii="Arial" w:hAnsi="Arial" w:cs="Arial"/>
              </w:rPr>
              <w:t>Egyptian Pyramids</w:t>
            </w:r>
          </w:p>
        </w:tc>
        <w:tc>
          <w:tcPr>
            <w:tcW w:w="1844" w:type="dxa"/>
          </w:tcPr>
          <w:p w14:paraId="052FBCDE" w14:textId="77777777" w:rsidR="00A25DE7" w:rsidRPr="00464E79" w:rsidRDefault="00A25DE7" w:rsidP="00464E79">
            <w:pPr>
              <w:spacing w:after="0" w:line="240" w:lineRule="auto"/>
              <w:rPr>
                <w:rFonts w:ascii="Arial" w:hAnsi="Arial" w:cs="Arial"/>
              </w:rPr>
            </w:pPr>
          </w:p>
        </w:tc>
        <w:tc>
          <w:tcPr>
            <w:tcW w:w="1842" w:type="dxa"/>
            <w:vMerge w:val="restart"/>
          </w:tcPr>
          <w:p w14:paraId="136D4FD1" w14:textId="77777777" w:rsidR="00A25DE7" w:rsidRPr="00464E79" w:rsidRDefault="00A25DE7" w:rsidP="00464E79">
            <w:pPr>
              <w:spacing w:after="0" w:line="240" w:lineRule="auto"/>
              <w:rPr>
                <w:rFonts w:ascii="Arial" w:hAnsi="Arial" w:cs="Arial"/>
              </w:rPr>
            </w:pPr>
          </w:p>
          <w:p w14:paraId="639BBD1F" w14:textId="77777777" w:rsidR="00A25DE7" w:rsidRPr="00464E79" w:rsidRDefault="00A25DE7" w:rsidP="00464E79">
            <w:pPr>
              <w:spacing w:after="0" w:line="240" w:lineRule="auto"/>
              <w:rPr>
                <w:rFonts w:ascii="Arial" w:hAnsi="Arial" w:cs="Arial"/>
              </w:rPr>
            </w:pPr>
          </w:p>
          <w:p w14:paraId="68B330F1" w14:textId="77777777" w:rsidR="00A25DE7" w:rsidRPr="00464E79" w:rsidRDefault="00A25DE7" w:rsidP="00464E79">
            <w:pPr>
              <w:spacing w:after="0" w:line="240" w:lineRule="auto"/>
              <w:rPr>
                <w:rFonts w:ascii="Arial" w:hAnsi="Arial" w:cs="Arial"/>
                <w:sz w:val="18"/>
              </w:rPr>
            </w:pPr>
            <w:r w:rsidRPr="00464E79">
              <w:rPr>
                <w:rFonts w:ascii="Arial" w:hAnsi="Arial" w:cs="Arial"/>
                <w:sz w:val="18"/>
              </w:rPr>
              <w:t>Akkadian influx (?)</w:t>
            </w:r>
          </w:p>
          <w:p w14:paraId="3D696FDB" w14:textId="77777777" w:rsidR="00A25DE7" w:rsidRPr="00464E79" w:rsidRDefault="00A25DE7" w:rsidP="00464E79">
            <w:pPr>
              <w:spacing w:after="0" w:line="240" w:lineRule="auto"/>
              <w:rPr>
                <w:rFonts w:ascii="Arial" w:hAnsi="Arial" w:cs="Arial"/>
                <w:sz w:val="18"/>
              </w:rPr>
            </w:pPr>
          </w:p>
          <w:p w14:paraId="10F50A64" w14:textId="77777777" w:rsidR="00A25DE7" w:rsidRPr="00464E79" w:rsidRDefault="00A25DE7" w:rsidP="00464E79">
            <w:pPr>
              <w:spacing w:after="0" w:line="240" w:lineRule="auto"/>
              <w:rPr>
                <w:rFonts w:ascii="Arial" w:hAnsi="Arial" w:cs="Arial"/>
                <w:sz w:val="18"/>
              </w:rPr>
            </w:pPr>
          </w:p>
          <w:p w14:paraId="239C4C09" w14:textId="77777777" w:rsidR="00A25DE7" w:rsidRPr="00464E79" w:rsidRDefault="00A25DE7" w:rsidP="00464E79">
            <w:pPr>
              <w:spacing w:after="0" w:line="240" w:lineRule="auto"/>
              <w:rPr>
                <w:rFonts w:ascii="Arial" w:hAnsi="Arial" w:cs="Arial"/>
                <w:sz w:val="18"/>
              </w:rPr>
            </w:pPr>
          </w:p>
          <w:p w14:paraId="3E1DC777" w14:textId="77777777" w:rsidR="00A25DE7" w:rsidRPr="00464E79" w:rsidRDefault="00A25DE7" w:rsidP="00464E79">
            <w:pPr>
              <w:spacing w:after="0" w:line="240" w:lineRule="auto"/>
              <w:rPr>
                <w:rFonts w:ascii="Arial" w:hAnsi="Arial" w:cs="Arial"/>
                <w:sz w:val="18"/>
              </w:rPr>
            </w:pPr>
          </w:p>
          <w:p w14:paraId="177A040A" w14:textId="77777777" w:rsidR="00A25DE7" w:rsidRPr="00464E79" w:rsidRDefault="00A25DE7" w:rsidP="00464E79">
            <w:pPr>
              <w:spacing w:after="0" w:line="240" w:lineRule="auto"/>
              <w:rPr>
                <w:rFonts w:ascii="Arial" w:hAnsi="Arial" w:cs="Arial"/>
                <w:sz w:val="18"/>
              </w:rPr>
            </w:pPr>
            <w:r w:rsidRPr="00464E79">
              <w:rPr>
                <w:rFonts w:ascii="Arial" w:hAnsi="Arial" w:cs="Arial"/>
                <w:sz w:val="18"/>
              </w:rPr>
              <w:t>Amorite influx</w:t>
            </w:r>
          </w:p>
          <w:p w14:paraId="3EF9A503" w14:textId="77777777" w:rsidR="00A25DE7" w:rsidRPr="00464E79" w:rsidRDefault="00A25DE7" w:rsidP="00464E79">
            <w:pPr>
              <w:spacing w:after="0" w:line="240" w:lineRule="auto"/>
              <w:rPr>
                <w:rFonts w:ascii="Arial" w:hAnsi="Arial" w:cs="Arial"/>
                <w:sz w:val="18"/>
              </w:rPr>
            </w:pPr>
          </w:p>
          <w:p w14:paraId="0A3C3278" w14:textId="77777777" w:rsidR="00A25DE7" w:rsidRPr="00464E79" w:rsidRDefault="00A25DE7" w:rsidP="00464E79">
            <w:pPr>
              <w:spacing w:after="0" w:line="240" w:lineRule="auto"/>
              <w:rPr>
                <w:rFonts w:ascii="Arial" w:hAnsi="Arial" w:cs="Arial"/>
                <w:sz w:val="18"/>
              </w:rPr>
            </w:pPr>
          </w:p>
          <w:p w14:paraId="4268D8EB" w14:textId="77777777" w:rsidR="00A25DE7" w:rsidRPr="00464E79" w:rsidRDefault="00A25DE7" w:rsidP="00464E79">
            <w:pPr>
              <w:spacing w:after="0" w:line="240" w:lineRule="auto"/>
              <w:rPr>
                <w:rFonts w:ascii="Arial" w:hAnsi="Arial" w:cs="Arial"/>
                <w:sz w:val="18"/>
              </w:rPr>
            </w:pPr>
          </w:p>
          <w:p w14:paraId="4B569978" w14:textId="77777777" w:rsidR="00A25DE7" w:rsidRPr="00464E79" w:rsidRDefault="00A25DE7" w:rsidP="00464E79">
            <w:pPr>
              <w:spacing w:after="0" w:line="240" w:lineRule="auto"/>
              <w:rPr>
                <w:rFonts w:ascii="Arial" w:hAnsi="Arial" w:cs="Arial"/>
                <w:sz w:val="18"/>
              </w:rPr>
            </w:pPr>
          </w:p>
          <w:p w14:paraId="544A7239" w14:textId="77777777" w:rsidR="00A25DE7" w:rsidRPr="00464E79" w:rsidRDefault="00A25DE7" w:rsidP="00464E79">
            <w:pPr>
              <w:spacing w:after="0" w:line="240" w:lineRule="auto"/>
              <w:rPr>
                <w:rFonts w:ascii="Arial" w:hAnsi="Arial" w:cs="Arial"/>
                <w:sz w:val="18"/>
              </w:rPr>
            </w:pPr>
          </w:p>
          <w:p w14:paraId="470CE88C" w14:textId="77777777" w:rsidR="00A25DE7" w:rsidRPr="00464E79" w:rsidRDefault="00A25DE7" w:rsidP="00464E79">
            <w:pPr>
              <w:spacing w:after="0" w:line="240" w:lineRule="auto"/>
              <w:rPr>
                <w:rFonts w:ascii="Arial" w:hAnsi="Arial" w:cs="Arial"/>
                <w:sz w:val="18"/>
              </w:rPr>
            </w:pPr>
          </w:p>
          <w:p w14:paraId="554215A7" w14:textId="77777777" w:rsidR="00A25DE7" w:rsidRPr="00464E79" w:rsidRDefault="00A25DE7" w:rsidP="00464E79">
            <w:pPr>
              <w:spacing w:after="0" w:line="240" w:lineRule="auto"/>
              <w:rPr>
                <w:rFonts w:ascii="Arial" w:hAnsi="Arial" w:cs="Arial"/>
                <w:sz w:val="18"/>
              </w:rPr>
            </w:pPr>
            <w:r w:rsidRPr="00464E79">
              <w:rPr>
                <w:rFonts w:ascii="Arial" w:hAnsi="Arial" w:cs="Arial"/>
                <w:sz w:val="18"/>
              </w:rPr>
              <w:t xml:space="preserve">Hittites raid Babylon </w:t>
            </w:r>
            <w:r w:rsidRPr="00464E79">
              <w:rPr>
                <w:rFonts w:ascii="Arial" w:hAnsi="Arial" w:cs="Arial"/>
                <w:i/>
                <w:sz w:val="18"/>
              </w:rPr>
              <w:t>c.</w:t>
            </w:r>
            <w:r w:rsidRPr="00464E79">
              <w:rPr>
                <w:rFonts w:ascii="Arial" w:hAnsi="Arial" w:cs="Arial"/>
                <w:sz w:val="18"/>
              </w:rPr>
              <w:t>1651</w:t>
            </w:r>
          </w:p>
          <w:p w14:paraId="63459CDB" w14:textId="77777777" w:rsidR="00A25DE7" w:rsidRPr="00464E79" w:rsidRDefault="00A25DE7" w:rsidP="00464E79">
            <w:pPr>
              <w:spacing w:after="0" w:line="240" w:lineRule="auto"/>
              <w:rPr>
                <w:rFonts w:ascii="Arial" w:hAnsi="Arial" w:cs="Arial"/>
                <w:sz w:val="18"/>
              </w:rPr>
            </w:pPr>
            <w:r w:rsidRPr="00464E79">
              <w:rPr>
                <w:rFonts w:ascii="Arial" w:hAnsi="Arial" w:cs="Arial"/>
                <w:sz w:val="18"/>
              </w:rPr>
              <w:t xml:space="preserve">Hanigalbat rules Assyria; Akkadian is </w:t>
            </w:r>
            <w:r w:rsidRPr="00464E79">
              <w:rPr>
                <w:rFonts w:ascii="Arial" w:hAnsi="Arial" w:cs="Arial"/>
                <w:i/>
                <w:sz w:val="18"/>
              </w:rPr>
              <w:t>lingua franca</w:t>
            </w:r>
            <w:r w:rsidRPr="00464E79">
              <w:rPr>
                <w:rFonts w:ascii="Arial" w:hAnsi="Arial" w:cs="Arial"/>
                <w:sz w:val="18"/>
              </w:rPr>
              <w:t>; Assyrians conquer Hanigalbat</w:t>
            </w:r>
            <w:r w:rsidRPr="00464E79">
              <w:rPr>
                <w:rFonts w:ascii="Arial" w:hAnsi="Arial" w:cs="Arial"/>
                <w:i/>
                <w:sz w:val="18"/>
              </w:rPr>
              <w:t>c.</w:t>
            </w:r>
            <w:r w:rsidRPr="00464E79">
              <w:rPr>
                <w:rFonts w:ascii="Arial" w:hAnsi="Arial" w:cs="Arial"/>
                <w:sz w:val="18"/>
              </w:rPr>
              <w:t xml:space="preserve">1250; Assyrians conquer Babylon </w:t>
            </w:r>
            <w:r w:rsidRPr="00464E79">
              <w:rPr>
                <w:rFonts w:ascii="Arial" w:hAnsi="Arial" w:cs="Arial"/>
                <w:i/>
                <w:sz w:val="18"/>
              </w:rPr>
              <w:t>c.</w:t>
            </w:r>
            <w:r w:rsidRPr="00464E79">
              <w:rPr>
                <w:rFonts w:ascii="Arial" w:hAnsi="Arial" w:cs="Arial"/>
                <w:sz w:val="18"/>
              </w:rPr>
              <w:t>1225</w:t>
            </w:r>
          </w:p>
          <w:p w14:paraId="009F5AB3" w14:textId="77777777" w:rsidR="00A25DE7" w:rsidRPr="00464E79" w:rsidRDefault="00A25DE7" w:rsidP="00464E79">
            <w:pPr>
              <w:spacing w:after="0" w:line="240" w:lineRule="auto"/>
              <w:rPr>
                <w:rFonts w:ascii="Arial" w:hAnsi="Arial" w:cs="Arial"/>
                <w:sz w:val="18"/>
              </w:rPr>
            </w:pPr>
          </w:p>
          <w:p w14:paraId="7C673008" w14:textId="77777777" w:rsidR="00A25DE7" w:rsidRPr="00464E79" w:rsidRDefault="00A25DE7" w:rsidP="00464E79">
            <w:pPr>
              <w:spacing w:after="0" w:line="240" w:lineRule="auto"/>
              <w:rPr>
                <w:rFonts w:ascii="Arial" w:hAnsi="Arial" w:cs="Arial"/>
                <w:sz w:val="18"/>
              </w:rPr>
            </w:pPr>
            <w:r w:rsidRPr="00464E79">
              <w:rPr>
                <w:rFonts w:ascii="Arial" w:hAnsi="Arial" w:cs="Arial"/>
                <w:sz w:val="18"/>
              </w:rPr>
              <w:t>Aramaean influx</w:t>
            </w:r>
          </w:p>
          <w:p w14:paraId="1DAAAD27" w14:textId="77777777" w:rsidR="00A25DE7" w:rsidRPr="00464E79" w:rsidRDefault="00A25DE7" w:rsidP="00464E79">
            <w:pPr>
              <w:spacing w:after="0" w:line="240" w:lineRule="auto"/>
              <w:rPr>
                <w:rFonts w:ascii="Arial" w:hAnsi="Arial" w:cs="Arial"/>
                <w:sz w:val="18"/>
              </w:rPr>
            </w:pPr>
            <w:r w:rsidRPr="00464E79">
              <w:rPr>
                <w:rFonts w:ascii="Arial" w:hAnsi="Arial" w:cs="Arial"/>
                <w:sz w:val="18"/>
              </w:rPr>
              <w:t>Phoenician expansion</w:t>
            </w:r>
          </w:p>
          <w:p w14:paraId="37C17521" w14:textId="77777777" w:rsidR="00A25DE7" w:rsidRPr="00464E79" w:rsidRDefault="00A25DE7" w:rsidP="00464E79">
            <w:pPr>
              <w:spacing w:after="0" w:line="240" w:lineRule="auto"/>
              <w:rPr>
                <w:rFonts w:ascii="Arial" w:hAnsi="Arial" w:cs="Arial"/>
                <w:sz w:val="18"/>
              </w:rPr>
            </w:pPr>
            <w:r w:rsidRPr="00464E79">
              <w:rPr>
                <w:rFonts w:ascii="Arial" w:hAnsi="Arial" w:cs="Arial"/>
                <w:sz w:val="18"/>
              </w:rPr>
              <w:t>Syrians conquer Babylon 728</w:t>
            </w:r>
          </w:p>
          <w:p w14:paraId="13B7432A" w14:textId="77777777" w:rsidR="00A25DE7" w:rsidRPr="00464E79" w:rsidRDefault="00A25DE7" w:rsidP="00464E79">
            <w:pPr>
              <w:spacing w:after="0" w:line="240" w:lineRule="auto"/>
              <w:rPr>
                <w:rFonts w:ascii="Arial" w:hAnsi="Arial" w:cs="Arial"/>
                <w:sz w:val="18"/>
              </w:rPr>
            </w:pPr>
            <w:r w:rsidRPr="00464E79">
              <w:rPr>
                <w:rFonts w:ascii="Arial" w:hAnsi="Arial" w:cs="Arial"/>
                <w:sz w:val="18"/>
              </w:rPr>
              <w:t>Fall of Ninevah to Medes</w:t>
            </w:r>
          </w:p>
          <w:p w14:paraId="7898635E" w14:textId="77777777" w:rsidR="00A25DE7" w:rsidRPr="00464E79" w:rsidRDefault="00A25DE7" w:rsidP="00464E79">
            <w:pPr>
              <w:spacing w:after="0" w:line="240" w:lineRule="auto"/>
              <w:rPr>
                <w:rFonts w:ascii="Arial" w:hAnsi="Arial" w:cs="Arial"/>
                <w:sz w:val="18"/>
              </w:rPr>
            </w:pPr>
            <w:r w:rsidRPr="00464E79">
              <w:rPr>
                <w:rFonts w:ascii="Arial" w:hAnsi="Arial" w:cs="Arial"/>
                <w:sz w:val="18"/>
              </w:rPr>
              <w:t>Fall of Babylon to Cyrus</w:t>
            </w:r>
          </w:p>
          <w:p w14:paraId="0929076F" w14:textId="77777777" w:rsidR="00A25DE7" w:rsidRPr="00464E79" w:rsidRDefault="00A25DE7" w:rsidP="00464E79">
            <w:pPr>
              <w:spacing w:after="0" w:line="240" w:lineRule="auto"/>
              <w:rPr>
                <w:rFonts w:ascii="Arial" w:hAnsi="Arial" w:cs="Arial"/>
                <w:sz w:val="18"/>
              </w:rPr>
            </w:pPr>
            <w:r w:rsidRPr="00464E79">
              <w:rPr>
                <w:rFonts w:ascii="Arial" w:hAnsi="Arial" w:cs="Arial"/>
                <w:sz w:val="18"/>
              </w:rPr>
              <w:t>Return of Jews to Judah</w:t>
            </w:r>
          </w:p>
          <w:p w14:paraId="060EF196" w14:textId="77777777" w:rsidR="00A25DE7" w:rsidRPr="00464E79" w:rsidRDefault="00A25DE7" w:rsidP="00464E79">
            <w:pPr>
              <w:spacing w:after="0" w:line="240" w:lineRule="auto"/>
              <w:rPr>
                <w:rFonts w:ascii="Arial" w:hAnsi="Arial" w:cs="Arial"/>
                <w:sz w:val="18"/>
              </w:rPr>
            </w:pPr>
            <w:r w:rsidRPr="00464E79">
              <w:rPr>
                <w:rFonts w:ascii="Arial" w:hAnsi="Arial" w:cs="Arial"/>
                <w:sz w:val="18"/>
              </w:rPr>
              <w:t>Fall of Babylon to Alexander 331</w:t>
            </w:r>
          </w:p>
          <w:p w14:paraId="0656CD2E" w14:textId="77777777" w:rsidR="00A25DE7" w:rsidRPr="00464E79" w:rsidRDefault="00A25DE7" w:rsidP="00464E79">
            <w:pPr>
              <w:spacing w:after="0" w:line="240" w:lineRule="auto"/>
              <w:rPr>
                <w:rFonts w:ascii="Arial" w:hAnsi="Arial" w:cs="Arial"/>
              </w:rPr>
            </w:pPr>
            <w:r w:rsidRPr="00464E79">
              <w:rPr>
                <w:rFonts w:ascii="Arial" w:hAnsi="Arial" w:cs="Arial"/>
                <w:sz w:val="18"/>
              </w:rPr>
              <w:t xml:space="preserve">Berossus writes </w:t>
            </w:r>
            <w:r w:rsidRPr="00464E79">
              <w:rPr>
                <w:rFonts w:ascii="Arial" w:hAnsi="Arial" w:cs="Arial"/>
                <w:i/>
                <w:sz w:val="18"/>
              </w:rPr>
              <w:t>Babylonicac.</w:t>
            </w:r>
            <w:r w:rsidRPr="00464E79">
              <w:rPr>
                <w:rFonts w:ascii="Arial" w:hAnsi="Arial" w:cs="Arial"/>
                <w:sz w:val="18"/>
              </w:rPr>
              <w:t>281</w:t>
            </w:r>
          </w:p>
        </w:tc>
      </w:tr>
      <w:tr w:rsidR="00A25DE7" w:rsidRPr="00464E79" w14:paraId="4EB1292D" w14:textId="77777777" w:rsidTr="00464E79">
        <w:tc>
          <w:tcPr>
            <w:tcW w:w="818" w:type="dxa"/>
            <w:vMerge/>
          </w:tcPr>
          <w:p w14:paraId="5BD4F506" w14:textId="77777777" w:rsidR="00A25DE7" w:rsidRPr="00464E79" w:rsidRDefault="00A25DE7" w:rsidP="00464E79">
            <w:pPr>
              <w:spacing w:after="0" w:line="240" w:lineRule="auto"/>
              <w:rPr>
                <w:rFonts w:ascii="Arial" w:hAnsi="Arial" w:cs="Arial"/>
                <w:b/>
              </w:rPr>
            </w:pPr>
          </w:p>
        </w:tc>
        <w:tc>
          <w:tcPr>
            <w:tcW w:w="1984" w:type="dxa"/>
          </w:tcPr>
          <w:p w14:paraId="13C8C3B8" w14:textId="77777777" w:rsidR="00A25DE7" w:rsidRPr="00464E79" w:rsidRDefault="00A25DE7" w:rsidP="00464E79">
            <w:pPr>
              <w:spacing w:after="0" w:line="240" w:lineRule="auto"/>
              <w:rPr>
                <w:rFonts w:ascii="Arial" w:hAnsi="Arial" w:cs="Arial"/>
              </w:rPr>
            </w:pPr>
            <w:r w:rsidRPr="00464E79">
              <w:rPr>
                <w:rFonts w:ascii="Arial" w:hAnsi="Arial" w:cs="Arial"/>
              </w:rPr>
              <w:t xml:space="preserve">Dynasty of the Agade </w:t>
            </w:r>
          </w:p>
          <w:p w14:paraId="180929D6" w14:textId="77777777" w:rsidR="00A25DE7" w:rsidRPr="00464E79" w:rsidRDefault="00A25DE7" w:rsidP="00464E79">
            <w:pPr>
              <w:spacing w:after="0" w:line="240" w:lineRule="auto"/>
              <w:rPr>
                <w:rFonts w:ascii="Arial" w:hAnsi="Arial" w:cs="Arial"/>
              </w:rPr>
            </w:pPr>
            <w:r w:rsidRPr="00464E79">
              <w:rPr>
                <w:rFonts w:ascii="Arial" w:hAnsi="Arial" w:cs="Arial"/>
              </w:rPr>
              <w:t>Gutian Raids</w:t>
            </w:r>
          </w:p>
          <w:p w14:paraId="3296AEDD" w14:textId="77777777" w:rsidR="00A25DE7" w:rsidRPr="00464E79" w:rsidRDefault="00A25DE7" w:rsidP="00464E79">
            <w:pPr>
              <w:spacing w:after="0" w:line="240" w:lineRule="auto"/>
              <w:rPr>
                <w:rFonts w:ascii="Arial" w:hAnsi="Arial" w:cs="Arial"/>
              </w:rPr>
            </w:pPr>
            <w:r w:rsidRPr="00464E79">
              <w:rPr>
                <w:rFonts w:ascii="Arial" w:hAnsi="Arial" w:cs="Arial"/>
              </w:rPr>
              <w:t>3</w:t>
            </w:r>
            <w:r w:rsidRPr="00464E79">
              <w:rPr>
                <w:rFonts w:ascii="Arial" w:hAnsi="Arial" w:cs="Arial"/>
                <w:vertAlign w:val="superscript"/>
              </w:rPr>
              <w:t>rd</w:t>
            </w:r>
            <w:r w:rsidRPr="00464E79">
              <w:rPr>
                <w:rFonts w:ascii="Arial" w:hAnsi="Arial" w:cs="Arial"/>
              </w:rPr>
              <w:t xml:space="preserve"> Dynasty of Ur</w:t>
            </w:r>
          </w:p>
          <w:p w14:paraId="59BF2FFF" w14:textId="77777777" w:rsidR="00A25DE7" w:rsidRPr="00464E79" w:rsidRDefault="00A25DE7" w:rsidP="00464E79">
            <w:pPr>
              <w:spacing w:after="0" w:line="240" w:lineRule="auto"/>
              <w:rPr>
                <w:rFonts w:ascii="Arial" w:hAnsi="Arial" w:cs="Arial"/>
              </w:rPr>
            </w:pPr>
          </w:p>
          <w:p w14:paraId="16A13011" w14:textId="77777777" w:rsidR="00A25DE7" w:rsidRPr="00464E79" w:rsidRDefault="00A25DE7" w:rsidP="00464E79">
            <w:pPr>
              <w:spacing w:after="0" w:line="240" w:lineRule="auto"/>
              <w:rPr>
                <w:rFonts w:ascii="Arial" w:hAnsi="Arial" w:cs="Arial"/>
              </w:rPr>
            </w:pPr>
            <w:r w:rsidRPr="00464E79">
              <w:rPr>
                <w:rFonts w:ascii="Arial" w:hAnsi="Arial" w:cs="Arial"/>
              </w:rPr>
              <w:t>Isin-Larsa</w:t>
            </w:r>
          </w:p>
          <w:p w14:paraId="40BDBB44" w14:textId="77777777" w:rsidR="00A25DE7" w:rsidRPr="00464E79" w:rsidRDefault="00A25DE7" w:rsidP="00464E79">
            <w:pPr>
              <w:spacing w:after="0" w:line="240" w:lineRule="auto"/>
              <w:rPr>
                <w:rFonts w:ascii="Arial" w:hAnsi="Arial" w:cs="Arial"/>
              </w:rPr>
            </w:pPr>
          </w:p>
        </w:tc>
        <w:tc>
          <w:tcPr>
            <w:tcW w:w="2267" w:type="dxa"/>
          </w:tcPr>
          <w:p w14:paraId="49C5F74B" w14:textId="77777777" w:rsidR="00A25DE7" w:rsidRPr="00464E79" w:rsidRDefault="00A25DE7" w:rsidP="00464E79">
            <w:pPr>
              <w:spacing w:after="0" w:line="240" w:lineRule="auto"/>
              <w:rPr>
                <w:rFonts w:ascii="Arial" w:hAnsi="Arial" w:cs="Arial"/>
              </w:rPr>
            </w:pPr>
          </w:p>
          <w:p w14:paraId="4AACDF0C" w14:textId="77777777" w:rsidR="00A25DE7" w:rsidRPr="00464E79" w:rsidRDefault="00A25DE7" w:rsidP="00464E79">
            <w:pPr>
              <w:spacing w:after="0" w:line="240" w:lineRule="auto"/>
              <w:rPr>
                <w:rFonts w:ascii="Arial" w:hAnsi="Arial" w:cs="Arial"/>
              </w:rPr>
            </w:pPr>
          </w:p>
          <w:p w14:paraId="64F5B14A" w14:textId="77777777" w:rsidR="00A25DE7" w:rsidRPr="00464E79" w:rsidRDefault="00A25DE7" w:rsidP="00464E79">
            <w:pPr>
              <w:spacing w:after="0" w:line="240" w:lineRule="auto"/>
              <w:rPr>
                <w:rFonts w:ascii="Arial" w:hAnsi="Arial" w:cs="Arial"/>
              </w:rPr>
            </w:pPr>
          </w:p>
          <w:p w14:paraId="409F4D3B" w14:textId="77777777" w:rsidR="00A25DE7" w:rsidRPr="00464E79" w:rsidRDefault="00A25DE7" w:rsidP="00464E79">
            <w:pPr>
              <w:spacing w:after="0" w:line="240" w:lineRule="auto"/>
              <w:rPr>
                <w:rFonts w:ascii="Arial" w:hAnsi="Arial" w:cs="Arial"/>
              </w:rPr>
            </w:pPr>
            <w:r w:rsidRPr="00464E79">
              <w:rPr>
                <w:rFonts w:ascii="Arial" w:hAnsi="Arial" w:cs="Arial"/>
              </w:rPr>
              <w:t>Old Assyrian trading colonies in Anatolia</w:t>
            </w:r>
          </w:p>
        </w:tc>
        <w:tc>
          <w:tcPr>
            <w:tcW w:w="1844" w:type="dxa"/>
          </w:tcPr>
          <w:p w14:paraId="3A62B91C" w14:textId="77777777" w:rsidR="00A25DE7" w:rsidRPr="00464E79" w:rsidRDefault="00A25DE7" w:rsidP="00464E79">
            <w:pPr>
              <w:spacing w:after="0" w:line="240" w:lineRule="auto"/>
              <w:rPr>
                <w:rFonts w:ascii="Arial" w:hAnsi="Arial" w:cs="Arial"/>
              </w:rPr>
            </w:pPr>
          </w:p>
          <w:p w14:paraId="7864377E" w14:textId="77777777" w:rsidR="00A25DE7" w:rsidRPr="00464E79" w:rsidRDefault="00A25DE7" w:rsidP="00464E79">
            <w:pPr>
              <w:spacing w:after="0" w:line="240" w:lineRule="auto"/>
              <w:rPr>
                <w:rFonts w:ascii="Arial" w:hAnsi="Arial" w:cs="Arial"/>
              </w:rPr>
            </w:pPr>
          </w:p>
          <w:p w14:paraId="37B1D230" w14:textId="77777777" w:rsidR="00A25DE7" w:rsidRPr="00464E79" w:rsidRDefault="00A25DE7" w:rsidP="00464E79">
            <w:pPr>
              <w:spacing w:after="0" w:line="240" w:lineRule="auto"/>
              <w:rPr>
                <w:rFonts w:ascii="Arial" w:hAnsi="Arial" w:cs="Arial"/>
              </w:rPr>
            </w:pPr>
            <w:r w:rsidRPr="00464E79">
              <w:rPr>
                <w:rFonts w:ascii="Arial" w:hAnsi="Arial" w:cs="Arial"/>
                <w:i/>
              </w:rPr>
              <w:t xml:space="preserve">Gilgamesh </w:t>
            </w:r>
            <w:r w:rsidRPr="00464E79">
              <w:rPr>
                <w:rFonts w:ascii="Arial" w:hAnsi="Arial" w:cs="Arial"/>
              </w:rPr>
              <w:t>Sumerian version</w:t>
            </w:r>
          </w:p>
          <w:p w14:paraId="3BD94731" w14:textId="77777777" w:rsidR="00A25DE7" w:rsidRPr="00464E79" w:rsidRDefault="00A25DE7" w:rsidP="00464E79">
            <w:pPr>
              <w:spacing w:after="0" w:line="240" w:lineRule="auto"/>
              <w:rPr>
                <w:rFonts w:ascii="Arial" w:hAnsi="Arial" w:cs="Arial"/>
              </w:rPr>
            </w:pPr>
            <w:r w:rsidRPr="00464E79">
              <w:rPr>
                <w:rFonts w:ascii="Arial" w:hAnsi="Arial" w:cs="Arial"/>
                <w:i/>
              </w:rPr>
              <w:t xml:space="preserve">Descent of Ishtar </w:t>
            </w:r>
            <w:r w:rsidRPr="00464E79">
              <w:rPr>
                <w:rFonts w:ascii="Arial" w:hAnsi="Arial" w:cs="Arial"/>
              </w:rPr>
              <w:t>Sumerian version</w:t>
            </w:r>
          </w:p>
        </w:tc>
        <w:tc>
          <w:tcPr>
            <w:tcW w:w="1842" w:type="dxa"/>
            <w:vMerge/>
          </w:tcPr>
          <w:p w14:paraId="198CEEC8" w14:textId="77777777" w:rsidR="00A25DE7" w:rsidRPr="00464E79" w:rsidRDefault="00A25DE7" w:rsidP="00464E79">
            <w:pPr>
              <w:spacing w:after="0" w:line="240" w:lineRule="auto"/>
              <w:rPr>
                <w:rFonts w:ascii="Arial" w:hAnsi="Arial" w:cs="Arial"/>
              </w:rPr>
            </w:pPr>
          </w:p>
        </w:tc>
      </w:tr>
      <w:tr w:rsidR="00A25DE7" w:rsidRPr="00464E79" w14:paraId="6EE01A12" w14:textId="77777777" w:rsidTr="00464E79">
        <w:tc>
          <w:tcPr>
            <w:tcW w:w="818" w:type="dxa"/>
            <w:vMerge/>
          </w:tcPr>
          <w:p w14:paraId="7D8577DD" w14:textId="77777777" w:rsidR="00A25DE7" w:rsidRPr="00464E79" w:rsidRDefault="00A25DE7" w:rsidP="00464E79">
            <w:pPr>
              <w:spacing w:after="0" w:line="240" w:lineRule="auto"/>
              <w:rPr>
                <w:rFonts w:ascii="Arial" w:hAnsi="Arial" w:cs="Arial"/>
                <w:b/>
              </w:rPr>
            </w:pPr>
          </w:p>
        </w:tc>
        <w:tc>
          <w:tcPr>
            <w:tcW w:w="1984" w:type="dxa"/>
          </w:tcPr>
          <w:p w14:paraId="0454554C" w14:textId="77777777" w:rsidR="00A25DE7" w:rsidRPr="00464E79" w:rsidRDefault="00A25DE7" w:rsidP="00464E79">
            <w:pPr>
              <w:spacing w:after="0" w:line="240" w:lineRule="auto"/>
              <w:rPr>
                <w:rFonts w:ascii="Arial" w:hAnsi="Arial" w:cs="Arial"/>
              </w:rPr>
            </w:pPr>
          </w:p>
          <w:p w14:paraId="3258E966" w14:textId="77777777" w:rsidR="00A25DE7" w:rsidRPr="00464E79" w:rsidRDefault="00A25DE7" w:rsidP="00464E79">
            <w:pPr>
              <w:spacing w:after="0" w:line="240" w:lineRule="auto"/>
              <w:rPr>
                <w:rFonts w:ascii="Arial" w:hAnsi="Arial" w:cs="Arial"/>
              </w:rPr>
            </w:pPr>
            <w:r w:rsidRPr="00464E79">
              <w:rPr>
                <w:rFonts w:ascii="Arial" w:hAnsi="Arial" w:cs="Arial"/>
              </w:rPr>
              <w:t>Old Babylonian</w:t>
            </w:r>
          </w:p>
          <w:p w14:paraId="17FECF04" w14:textId="77777777" w:rsidR="00A25DE7" w:rsidRPr="00464E79" w:rsidRDefault="00A25DE7" w:rsidP="00464E79">
            <w:pPr>
              <w:spacing w:after="0" w:line="240" w:lineRule="auto"/>
              <w:rPr>
                <w:rFonts w:ascii="Arial" w:hAnsi="Arial" w:cs="Arial"/>
              </w:rPr>
            </w:pPr>
          </w:p>
          <w:p w14:paraId="25588194" w14:textId="77777777" w:rsidR="00A25DE7" w:rsidRPr="00464E79" w:rsidRDefault="00A25DE7" w:rsidP="00464E79">
            <w:pPr>
              <w:spacing w:after="0" w:line="240" w:lineRule="auto"/>
              <w:rPr>
                <w:rFonts w:ascii="Arial" w:hAnsi="Arial" w:cs="Arial"/>
              </w:rPr>
            </w:pPr>
            <w:r w:rsidRPr="00464E79">
              <w:rPr>
                <w:rFonts w:ascii="Arial" w:hAnsi="Arial" w:cs="Arial"/>
              </w:rPr>
              <w:t>Kassite</w:t>
            </w:r>
          </w:p>
          <w:p w14:paraId="4F6FDC49" w14:textId="77777777" w:rsidR="00A25DE7" w:rsidRPr="00464E79" w:rsidRDefault="00A25DE7" w:rsidP="00464E79">
            <w:pPr>
              <w:spacing w:after="0" w:line="240" w:lineRule="auto"/>
              <w:rPr>
                <w:rFonts w:ascii="Arial" w:hAnsi="Arial" w:cs="Arial"/>
              </w:rPr>
            </w:pPr>
          </w:p>
        </w:tc>
        <w:tc>
          <w:tcPr>
            <w:tcW w:w="2267" w:type="dxa"/>
            <w:vMerge w:val="restart"/>
          </w:tcPr>
          <w:p w14:paraId="1162CE57" w14:textId="77777777" w:rsidR="00A25DE7" w:rsidRPr="00464E79" w:rsidRDefault="00A25DE7" w:rsidP="00464E79">
            <w:pPr>
              <w:spacing w:after="0" w:line="240" w:lineRule="auto"/>
              <w:rPr>
                <w:rFonts w:ascii="Arial" w:hAnsi="Arial" w:cs="Arial"/>
              </w:rPr>
            </w:pPr>
          </w:p>
          <w:p w14:paraId="16928FB6" w14:textId="77777777" w:rsidR="00A25DE7" w:rsidRPr="00464E79" w:rsidRDefault="00A25DE7" w:rsidP="00464E79">
            <w:pPr>
              <w:spacing w:after="0" w:line="240" w:lineRule="auto"/>
              <w:rPr>
                <w:rFonts w:ascii="Arial" w:hAnsi="Arial" w:cs="Arial"/>
              </w:rPr>
            </w:pPr>
            <w:r w:rsidRPr="00464E79">
              <w:rPr>
                <w:rFonts w:ascii="Arial" w:hAnsi="Arial" w:cs="Arial"/>
              </w:rPr>
              <w:t>Hittite Old Kingdom</w:t>
            </w:r>
          </w:p>
          <w:p w14:paraId="0FA00420" w14:textId="77777777" w:rsidR="00A25DE7" w:rsidRPr="00464E79" w:rsidRDefault="00A25DE7" w:rsidP="00464E79">
            <w:pPr>
              <w:spacing w:after="0" w:line="240" w:lineRule="auto"/>
              <w:rPr>
                <w:rFonts w:ascii="Arial" w:hAnsi="Arial" w:cs="Arial"/>
              </w:rPr>
            </w:pPr>
          </w:p>
          <w:p w14:paraId="08CAEC49" w14:textId="77777777" w:rsidR="00A25DE7" w:rsidRPr="00464E79" w:rsidRDefault="00A25DE7" w:rsidP="00464E79">
            <w:pPr>
              <w:spacing w:after="0" w:line="240" w:lineRule="auto"/>
              <w:rPr>
                <w:rFonts w:ascii="Arial" w:hAnsi="Arial" w:cs="Arial"/>
              </w:rPr>
            </w:pPr>
            <w:r w:rsidRPr="00464E79">
              <w:rPr>
                <w:rFonts w:ascii="Arial" w:hAnsi="Arial" w:cs="Arial"/>
              </w:rPr>
              <w:t>Hittite Empire</w:t>
            </w:r>
          </w:p>
          <w:p w14:paraId="6BD769E2" w14:textId="77777777" w:rsidR="00A25DE7" w:rsidRPr="00464E79" w:rsidRDefault="00A25DE7" w:rsidP="00464E79">
            <w:pPr>
              <w:spacing w:after="0" w:line="240" w:lineRule="auto"/>
              <w:rPr>
                <w:rFonts w:ascii="Arial" w:hAnsi="Arial" w:cs="Arial"/>
              </w:rPr>
            </w:pPr>
            <w:r w:rsidRPr="00464E79">
              <w:rPr>
                <w:rFonts w:ascii="Arial" w:hAnsi="Arial" w:cs="Arial"/>
              </w:rPr>
              <w:t>Mittani Empire</w:t>
            </w:r>
          </w:p>
          <w:p w14:paraId="4205FA3D" w14:textId="77777777" w:rsidR="00A25DE7" w:rsidRPr="00464E79" w:rsidRDefault="00A25DE7" w:rsidP="00464E79">
            <w:pPr>
              <w:spacing w:after="0" w:line="240" w:lineRule="auto"/>
              <w:rPr>
                <w:rFonts w:ascii="Arial" w:hAnsi="Arial" w:cs="Arial"/>
              </w:rPr>
            </w:pPr>
            <w:r w:rsidRPr="00464E79">
              <w:rPr>
                <w:rFonts w:ascii="Arial" w:hAnsi="Arial" w:cs="Arial"/>
              </w:rPr>
              <w:t>(Hanigalbat)</w:t>
            </w:r>
          </w:p>
          <w:p w14:paraId="7A5DC8CE" w14:textId="77777777" w:rsidR="00A25DE7" w:rsidRPr="00464E79" w:rsidRDefault="00A25DE7" w:rsidP="00464E79">
            <w:pPr>
              <w:spacing w:after="0" w:line="240" w:lineRule="auto"/>
              <w:rPr>
                <w:rFonts w:ascii="Arial" w:hAnsi="Arial" w:cs="Arial"/>
              </w:rPr>
            </w:pPr>
            <w:r w:rsidRPr="00464E79">
              <w:rPr>
                <w:rFonts w:ascii="Arial" w:hAnsi="Arial" w:cs="Arial"/>
              </w:rPr>
              <w:t>Amarna Age</w:t>
            </w:r>
          </w:p>
          <w:p w14:paraId="7AED6E15" w14:textId="77777777" w:rsidR="00A25DE7" w:rsidRPr="00464E79" w:rsidRDefault="00A25DE7" w:rsidP="00464E79">
            <w:pPr>
              <w:spacing w:after="0" w:line="240" w:lineRule="auto"/>
              <w:rPr>
                <w:rFonts w:ascii="Arial" w:hAnsi="Arial" w:cs="Arial"/>
              </w:rPr>
            </w:pPr>
            <w:r w:rsidRPr="00464E79">
              <w:rPr>
                <w:rFonts w:ascii="Arial" w:hAnsi="Arial" w:cs="Arial"/>
              </w:rPr>
              <w:t>Mycenaean Greece collapses; Greek Dark Ages</w:t>
            </w:r>
          </w:p>
        </w:tc>
        <w:tc>
          <w:tcPr>
            <w:tcW w:w="1844" w:type="dxa"/>
          </w:tcPr>
          <w:p w14:paraId="01A52786" w14:textId="77777777" w:rsidR="00A25DE7" w:rsidRPr="00464E79" w:rsidRDefault="00A25DE7" w:rsidP="00464E79">
            <w:pPr>
              <w:spacing w:after="0" w:line="240" w:lineRule="auto"/>
              <w:rPr>
                <w:rFonts w:ascii="Arial" w:hAnsi="Arial" w:cs="Arial"/>
              </w:rPr>
            </w:pPr>
            <w:r w:rsidRPr="00464E79">
              <w:rPr>
                <w:rFonts w:ascii="Arial" w:hAnsi="Arial" w:cs="Arial"/>
                <w:i/>
              </w:rPr>
              <w:t>EnumaElish</w:t>
            </w:r>
            <w:r w:rsidRPr="00464E79">
              <w:rPr>
                <w:rFonts w:ascii="Arial" w:hAnsi="Arial" w:cs="Arial"/>
              </w:rPr>
              <w:t>(?)</w:t>
            </w:r>
            <w:r w:rsidRPr="00464E79">
              <w:rPr>
                <w:rStyle w:val="FootnoteReference"/>
                <w:rFonts w:ascii="Arial" w:hAnsi="Arial" w:cs="Arial"/>
              </w:rPr>
              <w:footnoteReference w:id="10"/>
            </w:r>
          </w:p>
          <w:p w14:paraId="37E9F7F4" w14:textId="77777777" w:rsidR="00A25DE7" w:rsidRPr="00464E79" w:rsidRDefault="00A25DE7" w:rsidP="00464E79">
            <w:pPr>
              <w:spacing w:after="0" w:line="240" w:lineRule="auto"/>
              <w:rPr>
                <w:rFonts w:ascii="Arial" w:hAnsi="Arial" w:cs="Arial"/>
              </w:rPr>
            </w:pPr>
            <w:r w:rsidRPr="00464E79">
              <w:rPr>
                <w:rFonts w:ascii="Arial" w:hAnsi="Arial" w:cs="Arial"/>
                <w:i/>
              </w:rPr>
              <w:t>Atrahasis c.</w:t>
            </w:r>
            <w:r w:rsidRPr="00464E79">
              <w:rPr>
                <w:rFonts w:ascii="Arial" w:hAnsi="Arial" w:cs="Arial"/>
              </w:rPr>
              <w:t>1700</w:t>
            </w:r>
          </w:p>
          <w:p w14:paraId="25DA0EEE" w14:textId="77777777" w:rsidR="00A25DE7" w:rsidRPr="00464E79" w:rsidRDefault="00A25DE7" w:rsidP="00464E79">
            <w:pPr>
              <w:spacing w:after="0" w:line="240" w:lineRule="auto"/>
              <w:rPr>
                <w:rFonts w:ascii="Arial" w:hAnsi="Arial" w:cs="Arial"/>
              </w:rPr>
            </w:pPr>
          </w:p>
          <w:p w14:paraId="397B83BF" w14:textId="77777777" w:rsidR="00A25DE7" w:rsidRPr="00464E79" w:rsidRDefault="00A25DE7" w:rsidP="00464E79">
            <w:pPr>
              <w:spacing w:after="0" w:line="240" w:lineRule="auto"/>
              <w:rPr>
                <w:rFonts w:ascii="Arial" w:hAnsi="Arial" w:cs="Arial"/>
              </w:rPr>
            </w:pPr>
            <w:r w:rsidRPr="00464E79">
              <w:rPr>
                <w:rFonts w:ascii="Arial" w:hAnsi="Arial" w:cs="Arial"/>
                <w:i/>
              </w:rPr>
              <w:t xml:space="preserve">Gilgamesh </w:t>
            </w:r>
            <w:r w:rsidRPr="00464E79">
              <w:rPr>
                <w:rFonts w:ascii="Arial" w:hAnsi="Arial" w:cs="Arial"/>
              </w:rPr>
              <w:t>(SAV)</w:t>
            </w:r>
          </w:p>
          <w:p w14:paraId="527A1492" w14:textId="77777777" w:rsidR="00A25DE7" w:rsidRPr="00464E79" w:rsidRDefault="00A25DE7" w:rsidP="00464E79">
            <w:pPr>
              <w:spacing w:after="0" w:line="240" w:lineRule="auto"/>
              <w:rPr>
                <w:rFonts w:ascii="Arial" w:hAnsi="Arial" w:cs="Arial"/>
              </w:rPr>
            </w:pPr>
            <w:r w:rsidRPr="00464E79">
              <w:rPr>
                <w:rFonts w:ascii="Arial" w:hAnsi="Arial" w:cs="Arial"/>
                <w:i/>
              </w:rPr>
              <w:t>EnumaElish</w:t>
            </w:r>
            <w:r w:rsidRPr="00464E79">
              <w:rPr>
                <w:rFonts w:ascii="Arial" w:hAnsi="Arial" w:cs="Arial"/>
              </w:rPr>
              <w:t>(?)</w:t>
            </w:r>
          </w:p>
        </w:tc>
        <w:tc>
          <w:tcPr>
            <w:tcW w:w="1842" w:type="dxa"/>
            <w:vMerge/>
          </w:tcPr>
          <w:p w14:paraId="30740B3E" w14:textId="77777777" w:rsidR="00A25DE7" w:rsidRPr="00464E79" w:rsidRDefault="00A25DE7" w:rsidP="00464E79">
            <w:pPr>
              <w:spacing w:after="0" w:line="240" w:lineRule="auto"/>
              <w:rPr>
                <w:rFonts w:ascii="Arial" w:hAnsi="Arial" w:cs="Arial"/>
              </w:rPr>
            </w:pPr>
          </w:p>
        </w:tc>
      </w:tr>
      <w:tr w:rsidR="00A25DE7" w:rsidRPr="00464E79" w14:paraId="4635C1D1" w14:textId="77777777" w:rsidTr="00464E79">
        <w:tc>
          <w:tcPr>
            <w:tcW w:w="818" w:type="dxa"/>
            <w:vMerge/>
          </w:tcPr>
          <w:p w14:paraId="2655087F" w14:textId="77777777" w:rsidR="00A25DE7" w:rsidRPr="00464E79" w:rsidRDefault="00A25DE7" w:rsidP="00464E79">
            <w:pPr>
              <w:spacing w:after="0" w:line="240" w:lineRule="auto"/>
              <w:rPr>
                <w:rFonts w:ascii="Arial" w:hAnsi="Arial" w:cs="Arial"/>
                <w:b/>
              </w:rPr>
            </w:pPr>
          </w:p>
        </w:tc>
        <w:tc>
          <w:tcPr>
            <w:tcW w:w="1984" w:type="dxa"/>
          </w:tcPr>
          <w:p w14:paraId="2733AF9A" w14:textId="77777777" w:rsidR="00A25DE7" w:rsidRPr="00464E79" w:rsidRDefault="00A25DE7" w:rsidP="00464E79">
            <w:pPr>
              <w:spacing w:after="0" w:line="240" w:lineRule="auto"/>
              <w:rPr>
                <w:rFonts w:ascii="Arial" w:hAnsi="Arial" w:cs="Arial"/>
              </w:rPr>
            </w:pPr>
          </w:p>
          <w:p w14:paraId="04E47B05" w14:textId="77777777" w:rsidR="00A25DE7" w:rsidRPr="00464E79" w:rsidRDefault="00A25DE7" w:rsidP="00464E79">
            <w:pPr>
              <w:spacing w:after="0" w:line="240" w:lineRule="auto"/>
              <w:rPr>
                <w:rFonts w:ascii="Arial" w:hAnsi="Arial" w:cs="Arial"/>
              </w:rPr>
            </w:pPr>
          </w:p>
          <w:p w14:paraId="4C501AA6" w14:textId="77777777" w:rsidR="00A25DE7" w:rsidRPr="00464E79" w:rsidRDefault="00A25DE7" w:rsidP="00464E79">
            <w:pPr>
              <w:spacing w:after="0" w:line="240" w:lineRule="auto"/>
              <w:rPr>
                <w:rFonts w:ascii="Arial" w:hAnsi="Arial" w:cs="Arial"/>
              </w:rPr>
            </w:pPr>
            <w:r w:rsidRPr="00464E79">
              <w:rPr>
                <w:rFonts w:ascii="Arial" w:hAnsi="Arial" w:cs="Arial"/>
              </w:rPr>
              <w:t>Middle Assyrian</w:t>
            </w:r>
          </w:p>
          <w:p w14:paraId="381B361C" w14:textId="77777777" w:rsidR="00A25DE7" w:rsidRPr="00464E79" w:rsidRDefault="00A25DE7" w:rsidP="00464E79">
            <w:pPr>
              <w:spacing w:after="0" w:line="240" w:lineRule="auto"/>
              <w:rPr>
                <w:rFonts w:ascii="Arial" w:hAnsi="Arial" w:cs="Arial"/>
              </w:rPr>
            </w:pPr>
          </w:p>
        </w:tc>
        <w:tc>
          <w:tcPr>
            <w:tcW w:w="2267" w:type="dxa"/>
            <w:vMerge/>
          </w:tcPr>
          <w:p w14:paraId="06F7A7EB" w14:textId="77777777" w:rsidR="00A25DE7" w:rsidRPr="00464E79" w:rsidRDefault="00A25DE7" w:rsidP="00464E79">
            <w:pPr>
              <w:spacing w:after="0" w:line="240" w:lineRule="auto"/>
              <w:rPr>
                <w:rFonts w:ascii="Arial" w:hAnsi="Arial" w:cs="Arial"/>
              </w:rPr>
            </w:pPr>
          </w:p>
        </w:tc>
        <w:tc>
          <w:tcPr>
            <w:tcW w:w="1844" w:type="dxa"/>
          </w:tcPr>
          <w:p w14:paraId="65F18A61" w14:textId="77777777" w:rsidR="00A25DE7" w:rsidRPr="00464E79" w:rsidRDefault="00A25DE7" w:rsidP="00464E79">
            <w:pPr>
              <w:spacing w:after="0" w:line="240" w:lineRule="auto"/>
              <w:rPr>
                <w:rFonts w:ascii="Arial" w:hAnsi="Arial" w:cs="Arial"/>
              </w:rPr>
            </w:pPr>
          </w:p>
          <w:p w14:paraId="7E56AB4A" w14:textId="77777777" w:rsidR="00A25DE7" w:rsidRPr="00464E79" w:rsidRDefault="00A25DE7" w:rsidP="00464E79">
            <w:pPr>
              <w:spacing w:after="0" w:line="240" w:lineRule="auto"/>
              <w:rPr>
                <w:rFonts w:ascii="Arial" w:hAnsi="Arial" w:cs="Arial"/>
              </w:rPr>
            </w:pPr>
            <w:r w:rsidRPr="00464E79">
              <w:rPr>
                <w:rFonts w:ascii="Arial" w:hAnsi="Arial" w:cs="Arial"/>
                <w:i/>
              </w:rPr>
              <w:t>EnumaElish</w:t>
            </w:r>
            <w:r w:rsidRPr="00464E79">
              <w:rPr>
                <w:rFonts w:ascii="Arial" w:hAnsi="Arial" w:cs="Arial"/>
              </w:rPr>
              <w:t xml:space="preserve"> (?)</w:t>
            </w:r>
          </w:p>
        </w:tc>
        <w:tc>
          <w:tcPr>
            <w:tcW w:w="1842" w:type="dxa"/>
            <w:vMerge/>
          </w:tcPr>
          <w:p w14:paraId="5DF61FFB" w14:textId="77777777" w:rsidR="00A25DE7" w:rsidRPr="00464E79" w:rsidRDefault="00A25DE7" w:rsidP="00464E79">
            <w:pPr>
              <w:spacing w:after="0" w:line="240" w:lineRule="auto"/>
              <w:rPr>
                <w:rFonts w:ascii="Arial" w:hAnsi="Arial" w:cs="Arial"/>
              </w:rPr>
            </w:pPr>
          </w:p>
        </w:tc>
      </w:tr>
      <w:tr w:rsidR="00A25DE7" w:rsidRPr="00464E79" w14:paraId="72380C84" w14:textId="77777777" w:rsidTr="00464E79">
        <w:tc>
          <w:tcPr>
            <w:tcW w:w="818" w:type="dxa"/>
            <w:vMerge/>
          </w:tcPr>
          <w:p w14:paraId="17593C68" w14:textId="77777777" w:rsidR="00A25DE7" w:rsidRPr="00464E79" w:rsidRDefault="00A25DE7" w:rsidP="00464E79">
            <w:pPr>
              <w:spacing w:after="0" w:line="240" w:lineRule="auto"/>
              <w:rPr>
                <w:rFonts w:ascii="Arial" w:hAnsi="Arial" w:cs="Arial"/>
                <w:b/>
              </w:rPr>
            </w:pPr>
          </w:p>
        </w:tc>
        <w:tc>
          <w:tcPr>
            <w:tcW w:w="1984" w:type="dxa"/>
          </w:tcPr>
          <w:p w14:paraId="556F0E36" w14:textId="77777777" w:rsidR="00A25DE7" w:rsidRPr="00464E79" w:rsidRDefault="00A25DE7" w:rsidP="00464E79">
            <w:pPr>
              <w:spacing w:after="0" w:line="240" w:lineRule="auto"/>
              <w:rPr>
                <w:rFonts w:ascii="Arial" w:hAnsi="Arial" w:cs="Arial"/>
              </w:rPr>
            </w:pPr>
          </w:p>
          <w:p w14:paraId="208122CF" w14:textId="77777777" w:rsidR="00A25DE7" w:rsidRPr="00464E79" w:rsidRDefault="00A25DE7" w:rsidP="00464E79">
            <w:pPr>
              <w:spacing w:after="0" w:line="240" w:lineRule="auto"/>
              <w:rPr>
                <w:rFonts w:ascii="Arial" w:hAnsi="Arial" w:cs="Arial"/>
              </w:rPr>
            </w:pPr>
            <w:r w:rsidRPr="00464E79">
              <w:rPr>
                <w:rFonts w:ascii="Arial" w:hAnsi="Arial" w:cs="Arial"/>
              </w:rPr>
              <w:t>Neo-Assyrian</w:t>
            </w:r>
          </w:p>
          <w:p w14:paraId="152115FA" w14:textId="77777777" w:rsidR="00A25DE7" w:rsidRPr="00464E79" w:rsidRDefault="00A25DE7" w:rsidP="00464E79">
            <w:pPr>
              <w:spacing w:after="0" w:line="240" w:lineRule="auto"/>
              <w:rPr>
                <w:rFonts w:ascii="Arial" w:hAnsi="Arial" w:cs="Arial"/>
              </w:rPr>
            </w:pPr>
          </w:p>
          <w:p w14:paraId="3154C2D5" w14:textId="77777777" w:rsidR="00A25DE7" w:rsidRPr="00464E79" w:rsidRDefault="00A25DE7" w:rsidP="00464E79">
            <w:pPr>
              <w:spacing w:after="0" w:line="240" w:lineRule="auto"/>
              <w:rPr>
                <w:rFonts w:ascii="Arial" w:hAnsi="Arial" w:cs="Arial"/>
              </w:rPr>
            </w:pPr>
          </w:p>
          <w:p w14:paraId="1BC322E6" w14:textId="77777777" w:rsidR="00A25DE7" w:rsidRPr="00464E79" w:rsidRDefault="00A25DE7" w:rsidP="00464E79">
            <w:pPr>
              <w:spacing w:after="0" w:line="240" w:lineRule="auto"/>
              <w:rPr>
                <w:rFonts w:ascii="Arial" w:hAnsi="Arial" w:cs="Arial"/>
              </w:rPr>
            </w:pPr>
            <w:r w:rsidRPr="00464E79">
              <w:rPr>
                <w:rFonts w:ascii="Arial" w:hAnsi="Arial" w:cs="Arial"/>
              </w:rPr>
              <w:t>Neo-Babylonian</w:t>
            </w:r>
          </w:p>
          <w:p w14:paraId="281E89E7" w14:textId="77777777" w:rsidR="00A25DE7" w:rsidRPr="00464E79" w:rsidRDefault="00A25DE7" w:rsidP="00464E79">
            <w:pPr>
              <w:spacing w:after="0" w:line="240" w:lineRule="auto"/>
              <w:rPr>
                <w:rFonts w:ascii="Arial" w:hAnsi="Arial" w:cs="Arial"/>
              </w:rPr>
            </w:pPr>
          </w:p>
        </w:tc>
        <w:tc>
          <w:tcPr>
            <w:tcW w:w="2267" w:type="dxa"/>
          </w:tcPr>
          <w:p w14:paraId="369D2D2C" w14:textId="77777777" w:rsidR="00A25DE7" w:rsidRPr="00464E79" w:rsidRDefault="00A25DE7" w:rsidP="00464E79">
            <w:pPr>
              <w:spacing w:after="0" w:line="240" w:lineRule="auto"/>
              <w:rPr>
                <w:rFonts w:ascii="Arial" w:hAnsi="Arial" w:cs="Arial"/>
              </w:rPr>
            </w:pPr>
            <w:r w:rsidRPr="00464E79">
              <w:rPr>
                <w:rFonts w:ascii="Arial" w:hAnsi="Arial" w:cs="Arial"/>
              </w:rPr>
              <w:t>Archaic Greece</w:t>
            </w:r>
          </w:p>
          <w:p w14:paraId="46DACB0C" w14:textId="77777777" w:rsidR="00A25DE7" w:rsidRPr="00464E79" w:rsidRDefault="00A25DE7" w:rsidP="00464E79">
            <w:pPr>
              <w:spacing w:after="0" w:line="240" w:lineRule="auto"/>
              <w:rPr>
                <w:rFonts w:ascii="Arial" w:hAnsi="Arial" w:cs="Arial"/>
              </w:rPr>
            </w:pPr>
          </w:p>
          <w:p w14:paraId="52AC71EF" w14:textId="77777777" w:rsidR="00A25DE7" w:rsidRPr="00464E79" w:rsidRDefault="00A25DE7" w:rsidP="00464E79">
            <w:pPr>
              <w:spacing w:after="0" w:line="240" w:lineRule="auto"/>
              <w:rPr>
                <w:rFonts w:ascii="Arial" w:hAnsi="Arial" w:cs="Arial"/>
              </w:rPr>
            </w:pPr>
          </w:p>
          <w:p w14:paraId="3C9BD137" w14:textId="77777777" w:rsidR="00A25DE7" w:rsidRPr="00464E79" w:rsidRDefault="00A25DE7" w:rsidP="00464E79">
            <w:pPr>
              <w:spacing w:after="0" w:line="240" w:lineRule="auto"/>
              <w:rPr>
                <w:rFonts w:ascii="Arial" w:hAnsi="Arial" w:cs="Arial"/>
              </w:rPr>
            </w:pPr>
            <w:r w:rsidRPr="00464E79">
              <w:rPr>
                <w:rFonts w:ascii="Arial" w:hAnsi="Arial" w:cs="Arial"/>
              </w:rPr>
              <w:t>Classical Greece</w:t>
            </w:r>
          </w:p>
        </w:tc>
        <w:tc>
          <w:tcPr>
            <w:tcW w:w="1844" w:type="dxa"/>
          </w:tcPr>
          <w:p w14:paraId="40B5FA54" w14:textId="77777777" w:rsidR="00A25DE7" w:rsidRPr="00464E79" w:rsidRDefault="00A25DE7" w:rsidP="00464E79">
            <w:pPr>
              <w:spacing w:after="0" w:line="240" w:lineRule="auto"/>
              <w:rPr>
                <w:rFonts w:ascii="Arial" w:hAnsi="Arial" w:cs="Arial"/>
              </w:rPr>
            </w:pPr>
          </w:p>
          <w:p w14:paraId="20515012" w14:textId="77777777" w:rsidR="00A25DE7" w:rsidRPr="00464E79" w:rsidRDefault="00A25DE7" w:rsidP="00464E79">
            <w:pPr>
              <w:spacing w:after="0" w:line="240" w:lineRule="auto"/>
              <w:rPr>
                <w:rFonts w:ascii="Arial" w:hAnsi="Arial" w:cs="Arial"/>
              </w:rPr>
            </w:pPr>
            <w:r w:rsidRPr="00464E79">
              <w:rPr>
                <w:rFonts w:ascii="Arial" w:hAnsi="Arial" w:cs="Arial"/>
              </w:rPr>
              <w:t xml:space="preserve">Homeric Epics </w:t>
            </w:r>
            <w:r w:rsidRPr="00464E79">
              <w:rPr>
                <w:rFonts w:ascii="Arial" w:hAnsi="Arial" w:cs="Arial"/>
                <w:i/>
              </w:rPr>
              <w:t>c.</w:t>
            </w:r>
            <w:r w:rsidRPr="00464E79">
              <w:rPr>
                <w:rFonts w:ascii="Arial" w:hAnsi="Arial" w:cs="Arial"/>
              </w:rPr>
              <w:t>750</w:t>
            </w:r>
          </w:p>
          <w:p w14:paraId="6A797710" w14:textId="77777777" w:rsidR="00A25DE7" w:rsidRPr="00464E79" w:rsidRDefault="00A25DE7" w:rsidP="00464E79">
            <w:pPr>
              <w:spacing w:after="0" w:line="240" w:lineRule="auto"/>
              <w:rPr>
                <w:rFonts w:ascii="Arial" w:hAnsi="Arial" w:cs="Arial"/>
              </w:rPr>
            </w:pPr>
            <w:r w:rsidRPr="00464E79">
              <w:rPr>
                <w:rFonts w:ascii="Arial" w:hAnsi="Arial" w:cs="Arial"/>
              </w:rPr>
              <w:t xml:space="preserve">Hesiod </w:t>
            </w:r>
            <w:r w:rsidRPr="00464E79">
              <w:rPr>
                <w:rFonts w:ascii="Arial" w:hAnsi="Arial" w:cs="Arial"/>
                <w:i/>
              </w:rPr>
              <w:t>c.</w:t>
            </w:r>
            <w:r w:rsidRPr="00464E79">
              <w:rPr>
                <w:rFonts w:ascii="Arial" w:hAnsi="Arial" w:cs="Arial"/>
              </w:rPr>
              <w:t>700</w:t>
            </w:r>
          </w:p>
          <w:p w14:paraId="50D98750" w14:textId="77777777" w:rsidR="00A25DE7" w:rsidRPr="00464E79" w:rsidRDefault="00A25DE7" w:rsidP="00464E79">
            <w:pPr>
              <w:spacing w:after="0" w:line="240" w:lineRule="auto"/>
              <w:rPr>
                <w:rFonts w:ascii="Arial" w:hAnsi="Arial" w:cs="Arial"/>
              </w:rPr>
            </w:pPr>
            <w:r w:rsidRPr="00464E79">
              <w:rPr>
                <w:rFonts w:ascii="Arial" w:hAnsi="Arial" w:cs="Arial"/>
              </w:rPr>
              <w:t xml:space="preserve">Homeric Hymns </w:t>
            </w:r>
            <w:r w:rsidRPr="00464E79">
              <w:rPr>
                <w:rFonts w:ascii="Arial" w:hAnsi="Arial" w:cs="Arial"/>
                <w:i/>
              </w:rPr>
              <w:t>c.</w:t>
            </w:r>
            <w:r w:rsidRPr="00464E79">
              <w:rPr>
                <w:rFonts w:ascii="Arial" w:hAnsi="Arial" w:cs="Arial"/>
              </w:rPr>
              <w:t>700 onwards</w:t>
            </w:r>
          </w:p>
        </w:tc>
        <w:tc>
          <w:tcPr>
            <w:tcW w:w="1842" w:type="dxa"/>
            <w:vMerge/>
          </w:tcPr>
          <w:p w14:paraId="4428F47C" w14:textId="77777777" w:rsidR="00A25DE7" w:rsidRPr="00464E79" w:rsidRDefault="00A25DE7" w:rsidP="00464E79">
            <w:pPr>
              <w:spacing w:after="0" w:line="240" w:lineRule="auto"/>
              <w:rPr>
                <w:rFonts w:ascii="Arial" w:hAnsi="Arial" w:cs="Arial"/>
              </w:rPr>
            </w:pPr>
          </w:p>
        </w:tc>
      </w:tr>
      <w:tr w:rsidR="00A25DE7" w:rsidRPr="00464E79" w14:paraId="05B112A6" w14:textId="77777777" w:rsidTr="00464E79">
        <w:tc>
          <w:tcPr>
            <w:tcW w:w="818" w:type="dxa"/>
            <w:vMerge/>
          </w:tcPr>
          <w:p w14:paraId="6B450B21" w14:textId="77777777" w:rsidR="00A25DE7" w:rsidRPr="00464E79" w:rsidRDefault="00A25DE7" w:rsidP="00464E79">
            <w:pPr>
              <w:spacing w:after="0" w:line="240" w:lineRule="auto"/>
              <w:rPr>
                <w:rFonts w:ascii="Arial" w:hAnsi="Arial" w:cs="Arial"/>
                <w:b/>
              </w:rPr>
            </w:pPr>
          </w:p>
        </w:tc>
        <w:tc>
          <w:tcPr>
            <w:tcW w:w="1984" w:type="dxa"/>
          </w:tcPr>
          <w:p w14:paraId="52C8CF79" w14:textId="77777777" w:rsidR="00A25DE7" w:rsidRPr="00464E79" w:rsidRDefault="00A25DE7" w:rsidP="00464E79">
            <w:pPr>
              <w:spacing w:after="0" w:line="240" w:lineRule="auto"/>
              <w:rPr>
                <w:rFonts w:ascii="Arial" w:hAnsi="Arial" w:cs="Arial"/>
              </w:rPr>
            </w:pPr>
            <w:r w:rsidRPr="00464E79">
              <w:rPr>
                <w:rFonts w:ascii="Arial" w:hAnsi="Arial" w:cs="Arial"/>
              </w:rPr>
              <w:t>Achaemenid Persian</w:t>
            </w:r>
          </w:p>
          <w:p w14:paraId="7CCC30BE" w14:textId="77777777" w:rsidR="00A25DE7" w:rsidRPr="00464E79" w:rsidRDefault="00A25DE7" w:rsidP="00464E79">
            <w:pPr>
              <w:spacing w:after="0" w:line="240" w:lineRule="auto"/>
              <w:rPr>
                <w:rFonts w:ascii="Arial" w:hAnsi="Arial" w:cs="Arial"/>
              </w:rPr>
            </w:pPr>
          </w:p>
          <w:p w14:paraId="4076D66B" w14:textId="77777777" w:rsidR="00A25DE7" w:rsidRPr="00464E79" w:rsidRDefault="00A25DE7" w:rsidP="00464E79">
            <w:pPr>
              <w:spacing w:after="0" w:line="240" w:lineRule="auto"/>
              <w:rPr>
                <w:rFonts w:ascii="Arial" w:hAnsi="Arial" w:cs="Arial"/>
              </w:rPr>
            </w:pPr>
            <w:r w:rsidRPr="00464E79">
              <w:rPr>
                <w:rFonts w:ascii="Arial" w:hAnsi="Arial" w:cs="Arial"/>
              </w:rPr>
              <w:t>Seleucid Greek</w:t>
            </w:r>
          </w:p>
          <w:p w14:paraId="2A0CA834" w14:textId="77777777" w:rsidR="00A25DE7" w:rsidRPr="00464E79" w:rsidRDefault="00A25DE7" w:rsidP="00464E79">
            <w:pPr>
              <w:spacing w:after="0" w:line="240" w:lineRule="auto"/>
              <w:rPr>
                <w:rFonts w:ascii="Arial" w:hAnsi="Arial" w:cs="Arial"/>
              </w:rPr>
            </w:pPr>
            <w:r w:rsidRPr="00464E79">
              <w:rPr>
                <w:rFonts w:ascii="Arial" w:hAnsi="Arial" w:cs="Arial"/>
              </w:rPr>
              <w:t>Parthian</w:t>
            </w:r>
          </w:p>
        </w:tc>
        <w:tc>
          <w:tcPr>
            <w:tcW w:w="2267" w:type="dxa"/>
          </w:tcPr>
          <w:p w14:paraId="429DAADB" w14:textId="77777777" w:rsidR="00A25DE7" w:rsidRPr="00464E79" w:rsidRDefault="00A25DE7" w:rsidP="00464E79">
            <w:pPr>
              <w:spacing w:after="0" w:line="240" w:lineRule="auto"/>
              <w:rPr>
                <w:rFonts w:ascii="Arial" w:hAnsi="Arial" w:cs="Arial"/>
              </w:rPr>
            </w:pPr>
          </w:p>
          <w:p w14:paraId="35B076D7" w14:textId="77777777" w:rsidR="00A25DE7" w:rsidRPr="00464E79" w:rsidRDefault="00A25DE7" w:rsidP="00464E79">
            <w:pPr>
              <w:spacing w:after="0" w:line="240" w:lineRule="auto"/>
              <w:rPr>
                <w:rFonts w:ascii="Arial" w:hAnsi="Arial" w:cs="Arial"/>
              </w:rPr>
            </w:pPr>
            <w:r w:rsidRPr="00464E79">
              <w:rPr>
                <w:rFonts w:ascii="Arial" w:hAnsi="Arial" w:cs="Arial"/>
              </w:rPr>
              <w:t>Hellenistic Greece</w:t>
            </w:r>
          </w:p>
          <w:p w14:paraId="4DCBE36E" w14:textId="77777777" w:rsidR="00A25DE7" w:rsidRPr="00464E79" w:rsidRDefault="00A25DE7" w:rsidP="00464E79">
            <w:pPr>
              <w:spacing w:after="0" w:line="240" w:lineRule="auto"/>
              <w:rPr>
                <w:rFonts w:ascii="Arial" w:hAnsi="Arial" w:cs="Arial"/>
              </w:rPr>
            </w:pPr>
          </w:p>
          <w:p w14:paraId="21E0DE2F" w14:textId="77777777" w:rsidR="00A25DE7" w:rsidRPr="00464E79" w:rsidRDefault="00A25DE7" w:rsidP="00464E79">
            <w:pPr>
              <w:spacing w:after="0" w:line="240" w:lineRule="auto"/>
              <w:rPr>
                <w:rFonts w:ascii="Arial" w:hAnsi="Arial" w:cs="Arial"/>
              </w:rPr>
            </w:pPr>
            <w:r w:rsidRPr="00464E79">
              <w:rPr>
                <w:rFonts w:ascii="Arial" w:hAnsi="Arial" w:cs="Arial"/>
              </w:rPr>
              <w:t>Roman</w:t>
            </w:r>
          </w:p>
        </w:tc>
        <w:tc>
          <w:tcPr>
            <w:tcW w:w="1844" w:type="dxa"/>
          </w:tcPr>
          <w:p w14:paraId="4AB88824" w14:textId="77777777" w:rsidR="00A25DE7" w:rsidRPr="00464E79" w:rsidRDefault="00A25DE7" w:rsidP="00464E79">
            <w:pPr>
              <w:spacing w:after="0" w:line="240" w:lineRule="auto"/>
              <w:rPr>
                <w:rFonts w:ascii="Arial" w:hAnsi="Arial" w:cs="Arial"/>
              </w:rPr>
            </w:pPr>
          </w:p>
        </w:tc>
        <w:tc>
          <w:tcPr>
            <w:tcW w:w="1842" w:type="dxa"/>
            <w:vMerge/>
          </w:tcPr>
          <w:p w14:paraId="244BA977" w14:textId="77777777" w:rsidR="00A25DE7" w:rsidRPr="00464E79" w:rsidRDefault="00A25DE7" w:rsidP="00464E79">
            <w:pPr>
              <w:spacing w:after="0" w:line="240" w:lineRule="auto"/>
              <w:rPr>
                <w:rFonts w:ascii="Arial" w:hAnsi="Arial" w:cs="Arial"/>
              </w:rPr>
            </w:pPr>
          </w:p>
        </w:tc>
      </w:tr>
      <w:tr w:rsidR="00A25DE7" w:rsidRPr="00464E79" w14:paraId="43DABB37" w14:textId="77777777" w:rsidTr="00464E79">
        <w:tc>
          <w:tcPr>
            <w:tcW w:w="818" w:type="dxa"/>
          </w:tcPr>
          <w:p w14:paraId="75252AAA" w14:textId="77777777" w:rsidR="00A25DE7" w:rsidRPr="00464E79" w:rsidRDefault="00A25DE7" w:rsidP="00464E79">
            <w:pPr>
              <w:spacing w:after="0" w:line="240" w:lineRule="auto"/>
              <w:rPr>
                <w:rFonts w:ascii="Arial" w:hAnsi="Arial" w:cs="Arial"/>
                <w:b/>
              </w:rPr>
            </w:pPr>
            <w:r w:rsidRPr="00464E79">
              <w:rPr>
                <w:rFonts w:ascii="Arial" w:hAnsi="Arial" w:cs="Arial"/>
                <w:b/>
              </w:rPr>
              <w:t>CE</w:t>
            </w:r>
          </w:p>
        </w:tc>
        <w:tc>
          <w:tcPr>
            <w:tcW w:w="1984" w:type="dxa"/>
          </w:tcPr>
          <w:p w14:paraId="2DE2BD16" w14:textId="77777777" w:rsidR="00A25DE7" w:rsidRPr="00464E79" w:rsidRDefault="00A25DE7" w:rsidP="00464E79">
            <w:pPr>
              <w:spacing w:after="0" w:line="240" w:lineRule="auto"/>
              <w:rPr>
                <w:rFonts w:ascii="Arial" w:hAnsi="Arial" w:cs="Arial"/>
              </w:rPr>
            </w:pPr>
          </w:p>
        </w:tc>
        <w:tc>
          <w:tcPr>
            <w:tcW w:w="2267" w:type="dxa"/>
          </w:tcPr>
          <w:p w14:paraId="6E7CBC3F" w14:textId="77777777" w:rsidR="00A25DE7" w:rsidRPr="00464E79" w:rsidRDefault="00A25DE7" w:rsidP="00464E79">
            <w:pPr>
              <w:spacing w:after="0" w:line="240" w:lineRule="auto"/>
              <w:rPr>
                <w:rFonts w:ascii="Arial" w:hAnsi="Arial" w:cs="Arial"/>
              </w:rPr>
            </w:pPr>
          </w:p>
        </w:tc>
        <w:tc>
          <w:tcPr>
            <w:tcW w:w="1844" w:type="dxa"/>
          </w:tcPr>
          <w:p w14:paraId="424EB320" w14:textId="77777777" w:rsidR="00A25DE7" w:rsidRPr="00464E79" w:rsidRDefault="00A25DE7" w:rsidP="00464E79">
            <w:pPr>
              <w:spacing w:after="0" w:line="240" w:lineRule="auto"/>
              <w:rPr>
                <w:rFonts w:ascii="Arial" w:hAnsi="Arial" w:cs="Arial"/>
              </w:rPr>
            </w:pPr>
          </w:p>
        </w:tc>
        <w:tc>
          <w:tcPr>
            <w:tcW w:w="1842" w:type="dxa"/>
          </w:tcPr>
          <w:p w14:paraId="603A9E60" w14:textId="77777777" w:rsidR="00A25DE7" w:rsidRPr="00464E79" w:rsidRDefault="00A25DE7" w:rsidP="00464E79">
            <w:pPr>
              <w:spacing w:after="0" w:line="240" w:lineRule="auto"/>
              <w:rPr>
                <w:rFonts w:ascii="Arial" w:hAnsi="Arial" w:cs="Arial"/>
              </w:rPr>
            </w:pPr>
          </w:p>
        </w:tc>
      </w:tr>
      <w:tr w:rsidR="00A25DE7" w:rsidRPr="00464E79" w14:paraId="7FD7F36E" w14:textId="77777777" w:rsidTr="00464E79">
        <w:tc>
          <w:tcPr>
            <w:tcW w:w="818" w:type="dxa"/>
          </w:tcPr>
          <w:p w14:paraId="394D0DDD" w14:textId="77777777" w:rsidR="00A25DE7" w:rsidRPr="00464E79" w:rsidRDefault="00A25DE7" w:rsidP="00464E79">
            <w:pPr>
              <w:spacing w:after="0" w:line="240" w:lineRule="auto"/>
              <w:rPr>
                <w:rFonts w:ascii="Arial" w:hAnsi="Arial" w:cs="Arial"/>
                <w:b/>
              </w:rPr>
            </w:pPr>
          </w:p>
          <w:p w14:paraId="5C19ABCE" w14:textId="77777777" w:rsidR="00A25DE7" w:rsidRPr="00464E79" w:rsidRDefault="00A25DE7" w:rsidP="00464E79">
            <w:pPr>
              <w:spacing w:after="0" w:line="240" w:lineRule="auto"/>
              <w:rPr>
                <w:rFonts w:ascii="Arial" w:hAnsi="Arial" w:cs="Arial"/>
                <w:b/>
              </w:rPr>
            </w:pPr>
          </w:p>
          <w:p w14:paraId="5FE0D37A" w14:textId="77777777" w:rsidR="00A25DE7" w:rsidRPr="00464E79" w:rsidRDefault="00A25DE7" w:rsidP="00464E79">
            <w:pPr>
              <w:spacing w:after="0" w:line="240" w:lineRule="auto"/>
              <w:rPr>
                <w:rFonts w:ascii="Arial" w:hAnsi="Arial" w:cs="Arial"/>
                <w:b/>
              </w:rPr>
            </w:pPr>
            <w:r w:rsidRPr="00464E79">
              <w:rPr>
                <w:rFonts w:ascii="Arial" w:hAnsi="Arial" w:cs="Arial"/>
                <w:b/>
              </w:rPr>
              <w:t>500</w:t>
            </w:r>
          </w:p>
        </w:tc>
        <w:tc>
          <w:tcPr>
            <w:tcW w:w="1984" w:type="dxa"/>
          </w:tcPr>
          <w:p w14:paraId="4F1DE0C3" w14:textId="77777777" w:rsidR="00A25DE7" w:rsidRPr="00464E79" w:rsidRDefault="00A25DE7" w:rsidP="00464E79">
            <w:pPr>
              <w:spacing w:after="0" w:line="240" w:lineRule="auto"/>
              <w:rPr>
                <w:rFonts w:ascii="Arial" w:hAnsi="Arial" w:cs="Arial"/>
              </w:rPr>
            </w:pPr>
            <w:r w:rsidRPr="00464E79">
              <w:rPr>
                <w:rFonts w:ascii="Arial" w:hAnsi="Arial" w:cs="Arial"/>
              </w:rPr>
              <w:t>Sassanian</w:t>
            </w:r>
          </w:p>
          <w:p w14:paraId="484472D4" w14:textId="77777777" w:rsidR="00A25DE7" w:rsidRPr="00464E79" w:rsidRDefault="00A25DE7" w:rsidP="00464E79">
            <w:pPr>
              <w:spacing w:after="0" w:line="240" w:lineRule="auto"/>
              <w:rPr>
                <w:rFonts w:ascii="Arial" w:hAnsi="Arial" w:cs="Arial"/>
              </w:rPr>
            </w:pPr>
          </w:p>
          <w:p w14:paraId="04F60EA1" w14:textId="77777777" w:rsidR="00A25DE7" w:rsidRPr="00464E79" w:rsidRDefault="00A25DE7" w:rsidP="00464E79">
            <w:pPr>
              <w:spacing w:after="0" w:line="240" w:lineRule="auto"/>
              <w:rPr>
                <w:rFonts w:ascii="Arial" w:hAnsi="Arial" w:cs="Arial"/>
              </w:rPr>
            </w:pPr>
          </w:p>
          <w:p w14:paraId="6E9BE145" w14:textId="77777777" w:rsidR="00A25DE7" w:rsidRPr="00464E79" w:rsidRDefault="00A25DE7" w:rsidP="00464E79">
            <w:pPr>
              <w:spacing w:after="0" w:line="240" w:lineRule="auto"/>
              <w:rPr>
                <w:rFonts w:ascii="Arial" w:hAnsi="Arial" w:cs="Arial"/>
              </w:rPr>
            </w:pPr>
            <w:r w:rsidRPr="00464E79">
              <w:rPr>
                <w:rFonts w:ascii="Arial" w:hAnsi="Arial" w:cs="Arial"/>
              </w:rPr>
              <w:t>Islamic</w:t>
            </w:r>
          </w:p>
        </w:tc>
        <w:tc>
          <w:tcPr>
            <w:tcW w:w="2267" w:type="dxa"/>
          </w:tcPr>
          <w:p w14:paraId="6D1E0967" w14:textId="77777777" w:rsidR="00A25DE7" w:rsidRPr="00464E79" w:rsidRDefault="00A25DE7" w:rsidP="00464E79">
            <w:pPr>
              <w:spacing w:after="0" w:line="240" w:lineRule="auto"/>
              <w:rPr>
                <w:rFonts w:ascii="Arial" w:hAnsi="Arial" w:cs="Arial"/>
              </w:rPr>
            </w:pPr>
          </w:p>
          <w:p w14:paraId="345B9FA4" w14:textId="77777777" w:rsidR="00A25DE7" w:rsidRPr="00464E79" w:rsidRDefault="00A25DE7" w:rsidP="00464E79">
            <w:pPr>
              <w:spacing w:after="0" w:line="240" w:lineRule="auto"/>
              <w:rPr>
                <w:rFonts w:ascii="Arial" w:hAnsi="Arial" w:cs="Arial"/>
              </w:rPr>
            </w:pPr>
            <w:r w:rsidRPr="00464E79">
              <w:rPr>
                <w:rFonts w:ascii="Arial" w:hAnsi="Arial" w:cs="Arial"/>
              </w:rPr>
              <w:t>Byzantine</w:t>
            </w:r>
          </w:p>
        </w:tc>
        <w:tc>
          <w:tcPr>
            <w:tcW w:w="1844" w:type="dxa"/>
          </w:tcPr>
          <w:p w14:paraId="3A082DB8" w14:textId="77777777" w:rsidR="00A25DE7" w:rsidRPr="00464E79" w:rsidRDefault="00A25DE7" w:rsidP="00464E79">
            <w:pPr>
              <w:spacing w:after="0" w:line="240" w:lineRule="auto"/>
              <w:rPr>
                <w:rFonts w:ascii="Arial" w:hAnsi="Arial" w:cs="Arial"/>
              </w:rPr>
            </w:pPr>
          </w:p>
        </w:tc>
        <w:tc>
          <w:tcPr>
            <w:tcW w:w="1842" w:type="dxa"/>
          </w:tcPr>
          <w:p w14:paraId="66CECF32" w14:textId="77777777" w:rsidR="00A25DE7" w:rsidRPr="00464E79" w:rsidRDefault="00A25DE7" w:rsidP="00464E79">
            <w:pPr>
              <w:spacing w:after="0" w:line="240" w:lineRule="auto"/>
              <w:rPr>
                <w:rFonts w:ascii="Arial" w:hAnsi="Arial" w:cs="Arial"/>
                <w:sz w:val="18"/>
              </w:rPr>
            </w:pPr>
          </w:p>
          <w:p w14:paraId="26EFABD3" w14:textId="77777777" w:rsidR="00A25DE7" w:rsidRPr="00464E79" w:rsidRDefault="00A25DE7" w:rsidP="00464E79">
            <w:pPr>
              <w:spacing w:after="0" w:line="240" w:lineRule="auto"/>
              <w:rPr>
                <w:rFonts w:ascii="Arial" w:hAnsi="Arial" w:cs="Arial"/>
                <w:sz w:val="18"/>
              </w:rPr>
            </w:pPr>
            <w:r w:rsidRPr="00464E79">
              <w:rPr>
                <w:rFonts w:ascii="Arial" w:hAnsi="Arial" w:cs="Arial"/>
                <w:sz w:val="18"/>
              </w:rPr>
              <w:t>Arab influx</w:t>
            </w:r>
          </w:p>
          <w:p w14:paraId="539F7E64" w14:textId="77777777" w:rsidR="00A25DE7" w:rsidRPr="00464E79" w:rsidRDefault="00A25DE7" w:rsidP="00464E79">
            <w:pPr>
              <w:spacing w:after="0" w:line="240" w:lineRule="auto"/>
              <w:rPr>
                <w:rFonts w:ascii="Arial" w:hAnsi="Arial" w:cs="Arial"/>
                <w:sz w:val="18"/>
              </w:rPr>
            </w:pPr>
          </w:p>
          <w:p w14:paraId="28C099C5" w14:textId="77777777" w:rsidR="00A25DE7" w:rsidRPr="00464E79" w:rsidRDefault="00A25DE7" w:rsidP="00464E79">
            <w:pPr>
              <w:spacing w:after="0" w:line="240" w:lineRule="auto"/>
              <w:rPr>
                <w:rFonts w:ascii="Arial" w:hAnsi="Arial" w:cs="Arial"/>
              </w:rPr>
            </w:pPr>
            <w:r w:rsidRPr="00464E79">
              <w:rPr>
                <w:rFonts w:ascii="Arial" w:hAnsi="Arial" w:cs="Arial"/>
                <w:sz w:val="18"/>
              </w:rPr>
              <w:t xml:space="preserve">Damascius at court of Chosroes I </w:t>
            </w:r>
            <w:r w:rsidRPr="00464E79">
              <w:rPr>
                <w:rFonts w:ascii="Arial" w:hAnsi="Arial" w:cs="Arial"/>
                <w:i/>
                <w:sz w:val="18"/>
              </w:rPr>
              <w:t>c.</w:t>
            </w:r>
            <w:r w:rsidRPr="00464E79">
              <w:rPr>
                <w:rFonts w:ascii="Arial" w:hAnsi="Arial" w:cs="Arial"/>
                <w:sz w:val="18"/>
              </w:rPr>
              <w:t>550</w:t>
            </w:r>
          </w:p>
        </w:tc>
      </w:tr>
    </w:tbl>
    <w:p w14:paraId="1AA2AD23" w14:textId="77777777" w:rsidR="00A25DE7" w:rsidRPr="00745BDD" w:rsidRDefault="00A25DE7" w:rsidP="006E09E0">
      <w:pPr>
        <w:rPr>
          <w:rFonts w:ascii="Arial" w:hAnsi="Arial" w:cs="Arial"/>
          <w:sz w:val="24"/>
          <w:szCs w:val="24"/>
          <w:u w:val="single"/>
        </w:rPr>
      </w:pPr>
    </w:p>
    <w:p w14:paraId="6DD8DA06" w14:textId="77777777" w:rsidR="00A25DE7" w:rsidRPr="00745BDD" w:rsidRDefault="00A25DE7" w:rsidP="006E09E0">
      <w:pPr>
        <w:rPr>
          <w:rFonts w:ascii="Arial" w:hAnsi="Arial" w:cs="Arial"/>
          <w:sz w:val="24"/>
          <w:szCs w:val="24"/>
          <w:u w:val="single"/>
        </w:rPr>
        <w:sectPr w:rsidR="00A25DE7" w:rsidRPr="00745BDD" w:rsidSect="005C34D4">
          <w:headerReference w:type="default" r:id="rId11"/>
          <w:footnotePr>
            <w:numFmt w:val="lowerRoman"/>
            <w:numRestart w:val="eachSect"/>
          </w:footnotePr>
          <w:type w:val="continuous"/>
          <w:pgSz w:w="11906" w:h="16838"/>
          <w:pgMar w:top="1440" w:right="1133" w:bottom="1440" w:left="2268" w:header="708" w:footer="708" w:gutter="0"/>
          <w:pgNumType w:fmt="lowerRoman" w:start="1"/>
          <w:cols w:space="708"/>
          <w:docGrid w:linePitch="360"/>
        </w:sectPr>
      </w:pPr>
    </w:p>
    <w:p w14:paraId="33310EDE" w14:textId="77777777" w:rsidR="00A25DE7" w:rsidRPr="00745BDD" w:rsidRDefault="00A25DE7" w:rsidP="006E09E0">
      <w:pPr>
        <w:jc w:val="center"/>
        <w:rPr>
          <w:rFonts w:ascii="Arial" w:hAnsi="Arial" w:cs="Arial"/>
          <w:sz w:val="28"/>
          <w:szCs w:val="24"/>
          <w:u w:val="single"/>
        </w:rPr>
      </w:pPr>
      <w:r w:rsidRPr="00745BDD">
        <w:rPr>
          <w:rFonts w:ascii="Arial" w:hAnsi="Arial" w:cs="Arial"/>
          <w:sz w:val="28"/>
          <w:szCs w:val="24"/>
          <w:u w:val="single"/>
        </w:rPr>
        <w:lastRenderedPageBreak/>
        <w:t>Chapter One: BackgroundSources and Methodology</w:t>
      </w:r>
    </w:p>
    <w:p w14:paraId="7C1429B2"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This chapter presents the background scholarship, primary literature, and methodology relevant to this paper before concluding with a note on the use of sources.  Section One discusses the criteria for demonstrating cultural contact, both geographically and temporally, as first outlined in the Introduction. It then moves on to discuss the literary evidence from the Western Asiatic and Early Archaic Greece in terms of both its transmission, and its influence. Section Two focuses primarily on the astronomical content of Western Asiatic literature as discussed in the work of Jeffrey Cooley, whilst also examining his methodology. It also provides a brief synopsis of the various astronomical concepts familiar to the Mesopotamian people. This chapter then presents the Methodology of this thesis in Section Three, building on the methodologies used by Cooley, and Martin West, but altering them to fit the scope </w:t>
      </w:r>
      <w:commentRangeStart w:id="39"/>
      <w:r w:rsidRPr="00745BDD">
        <w:rPr>
          <w:rFonts w:ascii="Arial" w:hAnsi="Arial" w:cs="Arial"/>
          <w:sz w:val="24"/>
        </w:rPr>
        <w:t xml:space="preserve">of this paper. It concludes with a note on the relevant primary sources used throughout.     </w:t>
      </w:r>
      <w:commentRangeEnd w:id="39"/>
      <w:r w:rsidR="00F348DD">
        <w:rPr>
          <w:rStyle w:val="CommentReference"/>
        </w:rPr>
        <w:commentReference w:id="39"/>
      </w:r>
    </w:p>
    <w:p w14:paraId="2C9083B5" w14:textId="77777777" w:rsidR="00A25DE7" w:rsidRPr="00745BDD" w:rsidRDefault="00A25DE7" w:rsidP="006F4BCE">
      <w:pPr>
        <w:jc w:val="center"/>
        <w:rPr>
          <w:rFonts w:ascii="Arial" w:hAnsi="Arial" w:cs="Arial"/>
        </w:rPr>
      </w:pPr>
      <w:r w:rsidRPr="00745BDD">
        <w:rPr>
          <w:rFonts w:ascii="Arial" w:hAnsi="Arial" w:cs="Arial"/>
        </w:rPr>
        <w:t>*</w:t>
      </w:r>
    </w:p>
    <w:p w14:paraId="3F197BEA" w14:textId="77777777" w:rsidR="00A25DE7" w:rsidRPr="00745BDD" w:rsidRDefault="00A25DE7" w:rsidP="006F4BCE">
      <w:pPr>
        <w:jc w:val="both"/>
        <w:rPr>
          <w:rFonts w:ascii="Arial" w:hAnsi="Arial" w:cs="Arial"/>
          <w:b/>
          <w:i/>
          <w:sz w:val="24"/>
          <w:szCs w:val="24"/>
        </w:rPr>
      </w:pPr>
      <w:r w:rsidRPr="00745BDD">
        <w:rPr>
          <w:rFonts w:ascii="Arial" w:hAnsi="Arial" w:cs="Arial"/>
          <w:b/>
          <w:i/>
          <w:sz w:val="24"/>
          <w:szCs w:val="24"/>
        </w:rPr>
        <w:t>Section One: Influences on Early Archaic Greece from the Western Asiatic</w:t>
      </w:r>
    </w:p>
    <w:p w14:paraId="4FB38C95" w14:textId="77777777" w:rsidR="00A25DE7" w:rsidRPr="00745BDD" w:rsidRDefault="00A25DE7" w:rsidP="003B4DBF">
      <w:pPr>
        <w:pStyle w:val="ListParagraph"/>
        <w:numPr>
          <w:ilvl w:val="0"/>
          <w:numId w:val="36"/>
          <w:numberingChange w:id="40" w:author="Dorian" w:date="2015-11-20T19:28:00Z" w:original="%1:1:4:."/>
        </w:numPr>
        <w:jc w:val="both"/>
        <w:rPr>
          <w:rFonts w:ascii="Arial" w:hAnsi="Arial" w:cs="Arial"/>
          <w:b/>
          <w:i/>
          <w:sz w:val="24"/>
          <w:szCs w:val="24"/>
        </w:rPr>
      </w:pPr>
      <w:r w:rsidRPr="00745BDD">
        <w:rPr>
          <w:rFonts w:ascii="Arial" w:hAnsi="Arial" w:cs="Arial"/>
          <w:b/>
          <w:i/>
          <w:sz w:val="24"/>
          <w:szCs w:val="24"/>
        </w:rPr>
        <w:t xml:space="preserve">Cultural contact </w:t>
      </w:r>
    </w:p>
    <w:p w14:paraId="36252265" w14:textId="77777777" w:rsidR="00A25DE7" w:rsidRPr="00745BDD" w:rsidRDefault="00A25DE7" w:rsidP="00745BDD">
      <w:pPr>
        <w:spacing w:line="360" w:lineRule="auto"/>
        <w:jc w:val="both"/>
        <w:rPr>
          <w:rFonts w:ascii="Arial" w:hAnsi="Arial" w:cs="Arial"/>
          <w:sz w:val="24"/>
          <w:szCs w:val="24"/>
        </w:rPr>
      </w:pPr>
      <w:r w:rsidRPr="00745BDD">
        <w:rPr>
          <w:rFonts w:ascii="Arial" w:hAnsi="Arial" w:cs="Arial"/>
          <w:sz w:val="24"/>
          <w:szCs w:val="24"/>
        </w:rPr>
        <w:t xml:space="preserve">In order to demonstrate the existence of influence from the Western Asiatic upon Early Archaic Greece (800-480BCE) it is first necessary to establish the possibility, or presence, of cultural contact. </w:t>
      </w:r>
      <w:commentRangeStart w:id="41"/>
      <w:r w:rsidRPr="00745BDD">
        <w:rPr>
          <w:rFonts w:ascii="Arial" w:hAnsi="Arial" w:cs="Arial"/>
          <w:sz w:val="24"/>
          <w:szCs w:val="24"/>
        </w:rPr>
        <w:t>Cultural contact is defined within this paper as the presence of acculturation and/or assimilation between two or more cultures, and generally occurs as a consequence of established trade-routes</w:t>
      </w:r>
      <w:commentRangeEnd w:id="41"/>
      <w:r w:rsidR="00F348DD">
        <w:rPr>
          <w:rStyle w:val="CommentReference"/>
        </w:rPr>
        <w:commentReference w:id="41"/>
      </w:r>
      <w:r w:rsidRPr="00745BDD">
        <w:rPr>
          <w:rFonts w:ascii="Arial" w:hAnsi="Arial" w:cs="Arial"/>
          <w:sz w:val="24"/>
          <w:szCs w:val="24"/>
        </w:rPr>
        <w:t>.</w:t>
      </w:r>
      <w:r w:rsidRPr="00745BDD">
        <w:rPr>
          <w:rStyle w:val="FootnoteReference"/>
          <w:rFonts w:ascii="Arial" w:hAnsi="Arial" w:cs="Arial"/>
          <w:sz w:val="24"/>
          <w:szCs w:val="24"/>
        </w:rPr>
        <w:footnoteReference w:id="11"/>
      </w:r>
      <w:r w:rsidRPr="00745BDD">
        <w:rPr>
          <w:rFonts w:ascii="Arial" w:hAnsi="Arial" w:cs="Arial"/>
          <w:sz w:val="24"/>
          <w:szCs w:val="24"/>
        </w:rPr>
        <w:t xml:space="preserve"> According to the archaeological evidence, there are two periods of demonstrable contact between the Near East and Greece in the centuries preceding the Archaic period. The first spans the Bronze Age and later Mycenaean Period of Greece (14</w:t>
      </w:r>
      <w:r w:rsidRPr="00745BDD">
        <w:rPr>
          <w:rFonts w:ascii="Arial" w:hAnsi="Arial" w:cs="Arial"/>
          <w:sz w:val="24"/>
          <w:szCs w:val="24"/>
          <w:vertAlign w:val="superscript"/>
        </w:rPr>
        <w:t xml:space="preserve">th </w:t>
      </w:r>
      <w:r w:rsidRPr="00745BDD">
        <w:rPr>
          <w:rFonts w:ascii="Arial" w:hAnsi="Arial" w:cs="Arial"/>
          <w:sz w:val="24"/>
          <w:szCs w:val="24"/>
        </w:rPr>
        <w:t>- 13</w:t>
      </w:r>
      <w:r w:rsidRPr="00745BDD">
        <w:rPr>
          <w:rFonts w:ascii="Arial" w:hAnsi="Arial" w:cs="Arial"/>
          <w:sz w:val="24"/>
          <w:szCs w:val="24"/>
          <w:vertAlign w:val="superscript"/>
        </w:rPr>
        <w:t>th</w:t>
      </w:r>
      <w:r w:rsidRPr="00745BDD">
        <w:rPr>
          <w:rFonts w:ascii="Arial" w:hAnsi="Arial" w:cs="Arial"/>
          <w:sz w:val="24"/>
          <w:szCs w:val="24"/>
        </w:rPr>
        <w:t xml:space="preserve"> centuries BCE) where the Greeks moved beyond the Balkan Peninsula, both East into Crete, Cyprus, and along the coast of Asia Minor; and West as far as Italy </w:t>
      </w:r>
      <w:commentRangeStart w:id="42"/>
      <w:r w:rsidRPr="00745BDD">
        <w:rPr>
          <w:rFonts w:ascii="Arial" w:hAnsi="Arial" w:cs="Arial"/>
          <w:sz w:val="24"/>
          <w:szCs w:val="24"/>
        </w:rPr>
        <w:t xml:space="preserve">and Sicily. </w:t>
      </w:r>
      <w:commentRangeEnd w:id="42"/>
      <w:r w:rsidR="00F348DD">
        <w:rPr>
          <w:rStyle w:val="CommentReference"/>
        </w:rPr>
        <w:commentReference w:id="42"/>
      </w:r>
      <w:r w:rsidRPr="00745BDD">
        <w:rPr>
          <w:rFonts w:ascii="Arial" w:hAnsi="Arial" w:cs="Arial"/>
          <w:sz w:val="24"/>
          <w:szCs w:val="24"/>
        </w:rPr>
        <w:t xml:space="preserve">The second period of contact occurred later - after the Bronze Age cultures of Greece, most </w:t>
      </w:r>
      <w:r w:rsidRPr="00745BDD">
        <w:rPr>
          <w:rFonts w:ascii="Arial" w:hAnsi="Arial" w:cs="Arial"/>
          <w:sz w:val="24"/>
          <w:szCs w:val="24"/>
        </w:rPr>
        <w:lastRenderedPageBreak/>
        <w:t>notably the Minoan civilisation of Crete, collapsed around 1200BCE</w:t>
      </w:r>
      <w:r w:rsidRPr="00745BDD">
        <w:rPr>
          <w:rStyle w:val="FootnoteReference"/>
          <w:rFonts w:ascii="Arial" w:hAnsi="Arial" w:cs="Arial"/>
          <w:sz w:val="24"/>
          <w:szCs w:val="24"/>
        </w:rPr>
        <w:footnoteReference w:id="12"/>
      </w:r>
      <w:r w:rsidRPr="00745BDD">
        <w:rPr>
          <w:rFonts w:ascii="Arial" w:hAnsi="Arial" w:cs="Arial"/>
          <w:sz w:val="24"/>
          <w:szCs w:val="24"/>
        </w:rPr>
        <w:t xml:space="preserve"> - during the 9</w:t>
      </w:r>
      <w:r w:rsidRPr="00745BDD">
        <w:rPr>
          <w:rFonts w:ascii="Arial" w:hAnsi="Arial" w:cs="Arial"/>
          <w:sz w:val="24"/>
          <w:szCs w:val="24"/>
          <w:vertAlign w:val="superscript"/>
        </w:rPr>
        <w:t>th</w:t>
      </w:r>
      <w:r w:rsidRPr="00745BDD">
        <w:rPr>
          <w:rFonts w:ascii="Arial" w:hAnsi="Arial" w:cs="Arial"/>
          <w:sz w:val="24"/>
          <w:szCs w:val="24"/>
        </w:rPr>
        <w:t xml:space="preserve"> century BCE onwards, an era Burkert called the ‘</w:t>
      </w:r>
      <w:commentRangeStart w:id="43"/>
      <w:r w:rsidRPr="00745BDD">
        <w:rPr>
          <w:rFonts w:ascii="Arial" w:hAnsi="Arial" w:cs="Arial"/>
          <w:sz w:val="24"/>
          <w:szCs w:val="24"/>
        </w:rPr>
        <w:t>Orientalising Period’</w:t>
      </w:r>
      <w:commentRangeEnd w:id="43"/>
      <w:r w:rsidR="00F348DD">
        <w:rPr>
          <w:rStyle w:val="CommentReference"/>
        </w:rPr>
        <w:commentReference w:id="43"/>
      </w:r>
      <w:r w:rsidRPr="00745BDD">
        <w:rPr>
          <w:rFonts w:ascii="Arial" w:hAnsi="Arial" w:cs="Arial"/>
          <w:sz w:val="24"/>
          <w:szCs w:val="24"/>
        </w:rPr>
        <w:t>.</w:t>
      </w:r>
      <w:r w:rsidRPr="00745BDD">
        <w:rPr>
          <w:rStyle w:val="FootnoteReference"/>
          <w:rFonts w:ascii="Arial" w:hAnsi="Arial" w:cs="Arial"/>
          <w:sz w:val="24"/>
          <w:szCs w:val="24"/>
        </w:rPr>
        <w:footnoteReference w:id="13"/>
      </w:r>
    </w:p>
    <w:p w14:paraId="49A5569B" w14:textId="77777777" w:rsidR="00A25DE7" w:rsidRPr="00745BDD" w:rsidRDefault="00A25DE7" w:rsidP="00745BDD">
      <w:pPr>
        <w:spacing w:line="360" w:lineRule="auto"/>
        <w:contextualSpacing/>
        <w:jc w:val="both"/>
        <w:rPr>
          <w:rFonts w:ascii="Arial" w:hAnsi="Arial" w:cs="Arial"/>
          <w:sz w:val="24"/>
          <w:szCs w:val="24"/>
        </w:rPr>
      </w:pPr>
      <w:r w:rsidRPr="00745BDD">
        <w:rPr>
          <w:rFonts w:ascii="Arial" w:hAnsi="Arial" w:cs="Arial"/>
          <w:sz w:val="24"/>
          <w:szCs w:val="24"/>
        </w:rPr>
        <w:t xml:space="preserve">The high cultures of Mesopotamia and Egypt, </w:t>
      </w:r>
      <w:commentRangeStart w:id="44"/>
      <w:r w:rsidRPr="00745BDD">
        <w:rPr>
          <w:rFonts w:ascii="Arial" w:hAnsi="Arial" w:cs="Arial"/>
          <w:sz w:val="24"/>
          <w:szCs w:val="24"/>
        </w:rPr>
        <w:t>Syria and Anatolia</w:t>
      </w:r>
      <w:commentRangeEnd w:id="44"/>
      <w:r w:rsidR="00F348DD">
        <w:rPr>
          <w:rStyle w:val="CommentReference"/>
        </w:rPr>
        <w:commentReference w:id="44"/>
      </w:r>
      <w:r w:rsidRPr="00745BDD">
        <w:rPr>
          <w:rFonts w:ascii="Arial" w:hAnsi="Arial" w:cs="Arial"/>
          <w:sz w:val="24"/>
          <w:szCs w:val="24"/>
        </w:rPr>
        <w:t>, had grown in the third millennium and still dominated at the beginning of the Iron Age. These cultures had developed writing, astronomy, agricultural advancements, and a well-established monarchy and temple system of government, and it is sensible to assume that knowledge of these was transmitted alongside techniques of metallurgy, masonry and languages.</w:t>
      </w:r>
      <w:r w:rsidRPr="00745BDD">
        <w:rPr>
          <w:rStyle w:val="FootnoteReference"/>
          <w:rFonts w:ascii="Arial" w:hAnsi="Arial" w:cs="Arial"/>
          <w:sz w:val="24"/>
          <w:szCs w:val="24"/>
        </w:rPr>
        <w:footnoteReference w:id="14"/>
      </w:r>
      <w:r w:rsidRPr="00745BDD">
        <w:rPr>
          <w:rFonts w:ascii="Arial" w:hAnsi="Arial" w:cs="Arial"/>
          <w:sz w:val="24"/>
          <w:szCs w:val="24"/>
        </w:rPr>
        <w:t xml:space="preserve"> This sophisticated and established civilisation was the culture with which the Greeks interacted and traded with from the 14</w:t>
      </w:r>
      <w:r w:rsidRPr="00745BDD">
        <w:rPr>
          <w:rFonts w:ascii="Arial" w:hAnsi="Arial" w:cs="Arial"/>
          <w:sz w:val="24"/>
          <w:szCs w:val="24"/>
          <w:vertAlign w:val="superscript"/>
        </w:rPr>
        <w:t>th</w:t>
      </w:r>
      <w:r w:rsidRPr="00745BDD">
        <w:rPr>
          <w:rFonts w:ascii="Arial" w:hAnsi="Arial" w:cs="Arial"/>
          <w:sz w:val="24"/>
          <w:szCs w:val="24"/>
        </w:rPr>
        <w:t xml:space="preserve"> century onwards.</w:t>
      </w:r>
      <w:r w:rsidRPr="00745BDD">
        <w:rPr>
          <w:rStyle w:val="FootnoteReference"/>
          <w:rFonts w:ascii="Arial" w:hAnsi="Arial" w:cs="Arial"/>
          <w:sz w:val="24"/>
          <w:szCs w:val="24"/>
        </w:rPr>
        <w:footnoteReference w:id="15"/>
      </w:r>
      <w:r w:rsidRPr="00745BDD">
        <w:rPr>
          <w:rFonts w:ascii="Arial" w:hAnsi="Arial" w:cs="Arial"/>
          <w:sz w:val="24"/>
          <w:szCs w:val="24"/>
        </w:rPr>
        <w:t xml:space="preserve"> There is an argument that these periods of extensive cultural contact (14</w:t>
      </w:r>
      <w:r w:rsidRPr="00745BDD">
        <w:rPr>
          <w:rFonts w:ascii="Arial" w:hAnsi="Arial" w:cs="Arial"/>
          <w:sz w:val="24"/>
          <w:szCs w:val="24"/>
          <w:vertAlign w:val="superscript"/>
        </w:rPr>
        <w:t>th</w:t>
      </w:r>
      <w:r w:rsidRPr="00745BDD">
        <w:rPr>
          <w:rFonts w:ascii="Arial" w:hAnsi="Arial" w:cs="Arial"/>
          <w:sz w:val="24"/>
          <w:szCs w:val="24"/>
        </w:rPr>
        <w:t>- 13</w:t>
      </w:r>
      <w:r w:rsidRPr="00745BDD">
        <w:rPr>
          <w:rFonts w:ascii="Arial" w:hAnsi="Arial" w:cs="Arial"/>
          <w:sz w:val="24"/>
          <w:szCs w:val="24"/>
          <w:vertAlign w:val="superscript"/>
        </w:rPr>
        <w:t>th</w:t>
      </w:r>
      <w:r w:rsidRPr="00745BDD">
        <w:rPr>
          <w:rFonts w:ascii="Arial" w:hAnsi="Arial" w:cs="Arial"/>
          <w:sz w:val="24"/>
          <w:szCs w:val="24"/>
        </w:rPr>
        <w:t xml:space="preserve"> centuries, and 9</w:t>
      </w:r>
      <w:r w:rsidRPr="00745BDD">
        <w:rPr>
          <w:rFonts w:ascii="Arial" w:hAnsi="Arial" w:cs="Arial"/>
          <w:sz w:val="24"/>
          <w:szCs w:val="24"/>
          <w:vertAlign w:val="superscript"/>
        </w:rPr>
        <w:t>th</w:t>
      </w:r>
      <w:r w:rsidRPr="00745BDD">
        <w:rPr>
          <w:rFonts w:ascii="Arial" w:hAnsi="Arial" w:cs="Arial"/>
          <w:sz w:val="24"/>
          <w:szCs w:val="24"/>
        </w:rPr>
        <w:t xml:space="preserve"> century onwards) demonstrate activity which may have continued throughout the so-called Greek ‘Dark Age’ (</w:t>
      </w:r>
      <w:r w:rsidRPr="00745BDD">
        <w:rPr>
          <w:rFonts w:ascii="Arial" w:hAnsi="Arial" w:cs="Arial"/>
          <w:i/>
          <w:sz w:val="24"/>
          <w:szCs w:val="24"/>
        </w:rPr>
        <w:t>c</w:t>
      </w:r>
      <w:r w:rsidRPr="00745BDD">
        <w:rPr>
          <w:rFonts w:ascii="Arial" w:hAnsi="Arial" w:cs="Arial"/>
          <w:sz w:val="24"/>
          <w:szCs w:val="24"/>
        </w:rPr>
        <w:t>.1100-800BCE), though evidence is comparatively limited.</w:t>
      </w:r>
      <w:r w:rsidRPr="00745BDD">
        <w:rPr>
          <w:rStyle w:val="FootnoteReference"/>
          <w:rFonts w:ascii="Arial" w:hAnsi="Arial" w:cs="Arial"/>
          <w:sz w:val="24"/>
          <w:szCs w:val="24"/>
        </w:rPr>
        <w:footnoteReference w:id="16"/>
      </w:r>
      <w:r w:rsidRPr="00745BDD">
        <w:rPr>
          <w:rFonts w:ascii="Arial" w:hAnsi="Arial" w:cs="Arial"/>
          <w:sz w:val="24"/>
          <w:szCs w:val="24"/>
        </w:rPr>
        <w:t xml:space="preserve"> Regardless, the evidence clearly validates the presence of </w:t>
      </w:r>
      <w:commentRangeStart w:id="46"/>
      <w:r w:rsidRPr="00745BDD">
        <w:rPr>
          <w:rFonts w:ascii="Arial" w:hAnsi="Arial" w:cs="Arial"/>
          <w:sz w:val="24"/>
          <w:szCs w:val="24"/>
        </w:rPr>
        <w:t xml:space="preserve">sufficient cultural contact between these two nations during the period immediately preceding the literary composition of Homer’s </w:t>
      </w:r>
      <w:r w:rsidRPr="00745BDD">
        <w:rPr>
          <w:rFonts w:ascii="Arial" w:hAnsi="Arial" w:cs="Arial"/>
          <w:i/>
          <w:sz w:val="24"/>
          <w:szCs w:val="24"/>
        </w:rPr>
        <w:t>Odyssey</w:t>
      </w:r>
      <w:r w:rsidRPr="00745BDD">
        <w:rPr>
          <w:rFonts w:ascii="Arial" w:hAnsi="Arial" w:cs="Arial"/>
          <w:sz w:val="24"/>
          <w:szCs w:val="24"/>
        </w:rPr>
        <w:t>.</w:t>
      </w:r>
      <w:r w:rsidRPr="00745BDD">
        <w:rPr>
          <w:rStyle w:val="FootnoteReference"/>
          <w:rFonts w:ascii="Arial" w:hAnsi="Arial" w:cs="Arial"/>
          <w:sz w:val="24"/>
          <w:szCs w:val="24"/>
        </w:rPr>
        <w:footnoteReference w:id="17"/>
      </w:r>
      <w:r w:rsidRPr="00745BDD">
        <w:rPr>
          <w:rFonts w:ascii="Arial" w:hAnsi="Arial" w:cs="Arial"/>
          <w:sz w:val="24"/>
          <w:szCs w:val="24"/>
        </w:rPr>
        <w:t xml:space="preserve"> </w:t>
      </w:r>
      <w:commentRangeEnd w:id="46"/>
      <w:r w:rsidR="00F348DD">
        <w:rPr>
          <w:rStyle w:val="CommentReference"/>
        </w:rPr>
        <w:commentReference w:id="46"/>
      </w:r>
      <w:r w:rsidRPr="00745BDD">
        <w:rPr>
          <w:rFonts w:ascii="Arial" w:hAnsi="Arial" w:cs="Arial"/>
          <w:sz w:val="24"/>
          <w:szCs w:val="24"/>
        </w:rPr>
        <w:t xml:space="preserve">Support for this cultural exchange is </w:t>
      </w:r>
      <w:r w:rsidRPr="00745BDD">
        <w:rPr>
          <w:rFonts w:ascii="Arial" w:hAnsi="Arial" w:cs="Arial"/>
          <w:sz w:val="24"/>
          <w:szCs w:val="24"/>
        </w:rPr>
        <w:lastRenderedPageBreak/>
        <w:t>enhanced by the growing body of evidence which demonstrates bilingualism amongst the trading classes of both peoples.</w:t>
      </w:r>
      <w:r w:rsidRPr="00745BDD">
        <w:rPr>
          <w:rStyle w:val="FootnoteReference"/>
          <w:rFonts w:ascii="Arial" w:hAnsi="Arial" w:cs="Arial"/>
          <w:sz w:val="24"/>
          <w:szCs w:val="24"/>
        </w:rPr>
        <w:footnoteReference w:id="18"/>
      </w:r>
    </w:p>
    <w:p w14:paraId="66F850F2" w14:textId="77777777" w:rsidR="00A25DE7" w:rsidRPr="00745BDD" w:rsidRDefault="00A25DE7" w:rsidP="00F034DE">
      <w:pPr>
        <w:pStyle w:val="ListParagraph"/>
        <w:numPr>
          <w:ilvl w:val="0"/>
          <w:numId w:val="36"/>
          <w:numberingChange w:id="56" w:author="Dorian" w:date="2015-11-20T19:28:00Z" w:original="%1:2:4:."/>
        </w:numPr>
        <w:jc w:val="both"/>
        <w:rPr>
          <w:rFonts w:ascii="Arial" w:hAnsi="Arial" w:cs="Arial"/>
          <w:b/>
          <w:i/>
          <w:sz w:val="24"/>
        </w:rPr>
      </w:pPr>
      <w:r w:rsidRPr="00745BDD">
        <w:rPr>
          <w:rFonts w:ascii="Arial" w:hAnsi="Arial" w:cs="Arial"/>
          <w:b/>
          <w:i/>
          <w:sz w:val="24"/>
        </w:rPr>
        <w:t xml:space="preserve">Literary influence </w:t>
      </w:r>
    </w:p>
    <w:p w14:paraId="5F464F8B"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For the purposes of this thesis, it is next essential to demonstrate that the literary material of </w:t>
      </w:r>
      <w:commentRangeStart w:id="57"/>
      <w:r w:rsidRPr="00745BDD">
        <w:rPr>
          <w:rFonts w:ascii="Arial" w:hAnsi="Arial" w:cs="Arial"/>
          <w:sz w:val="24"/>
        </w:rPr>
        <w:t xml:space="preserve">Mesopotamia </w:t>
      </w:r>
      <w:commentRangeEnd w:id="57"/>
      <w:r w:rsidR="00F348DD">
        <w:rPr>
          <w:rStyle w:val="CommentReference"/>
        </w:rPr>
        <w:commentReference w:id="57"/>
      </w:r>
      <w:r w:rsidRPr="00745BDD">
        <w:rPr>
          <w:rFonts w:ascii="Arial" w:hAnsi="Arial" w:cs="Arial"/>
          <w:sz w:val="24"/>
        </w:rPr>
        <w:t xml:space="preserve">not only existed in some form at the time of this contact between these two regions, but also that it can be shown to have influenced the </w:t>
      </w:r>
      <w:commentRangeStart w:id="58"/>
      <w:r w:rsidRPr="00745BDD">
        <w:rPr>
          <w:rFonts w:ascii="Arial" w:hAnsi="Arial" w:cs="Arial"/>
          <w:sz w:val="24"/>
        </w:rPr>
        <w:t xml:space="preserve">literature of Archaic Greece (specifically the works of Homer and Hesiod </w:t>
      </w:r>
      <w:r w:rsidRPr="00745BDD">
        <w:rPr>
          <w:rFonts w:ascii="Arial" w:hAnsi="Arial" w:cs="Arial"/>
          <w:i/>
          <w:sz w:val="24"/>
        </w:rPr>
        <w:t>c.</w:t>
      </w:r>
      <w:r w:rsidRPr="00745BDD">
        <w:rPr>
          <w:rFonts w:ascii="Arial" w:hAnsi="Arial" w:cs="Arial"/>
          <w:sz w:val="24"/>
        </w:rPr>
        <w:t xml:space="preserve">850-700 BCE). </w:t>
      </w:r>
      <w:commentRangeEnd w:id="58"/>
      <w:r w:rsidR="00F348DD">
        <w:rPr>
          <w:rStyle w:val="CommentReference"/>
        </w:rPr>
        <w:commentReference w:id="58"/>
      </w:r>
    </w:p>
    <w:p w14:paraId="27667C76" w14:textId="77777777" w:rsidR="00A25DE7" w:rsidRPr="00745BDD" w:rsidRDefault="00A25DE7" w:rsidP="006F4BCE">
      <w:pPr>
        <w:pStyle w:val="ListParagraph"/>
        <w:numPr>
          <w:ilvl w:val="0"/>
          <w:numId w:val="32"/>
          <w:numberingChange w:id="59" w:author="Dorian" w:date="2015-11-20T19:28:00Z" w:original="%1:1:2:."/>
        </w:numPr>
        <w:jc w:val="both"/>
        <w:rPr>
          <w:rFonts w:ascii="Arial" w:hAnsi="Arial" w:cs="Arial"/>
          <w:b/>
          <w:i/>
        </w:rPr>
      </w:pPr>
      <w:r w:rsidRPr="00745BDD">
        <w:rPr>
          <w:rFonts w:ascii="Arial" w:hAnsi="Arial" w:cs="Arial"/>
          <w:b/>
          <w:i/>
          <w:sz w:val="24"/>
        </w:rPr>
        <w:t xml:space="preserve">Transmission </w:t>
      </w:r>
    </w:p>
    <w:p w14:paraId="21C1831A" w14:textId="77777777" w:rsidR="00A25DE7" w:rsidRPr="00745BDD" w:rsidRDefault="00A25DE7" w:rsidP="00745BDD">
      <w:pPr>
        <w:spacing w:line="360" w:lineRule="auto"/>
        <w:jc w:val="both"/>
        <w:rPr>
          <w:rFonts w:ascii="Arial" w:hAnsi="Arial" w:cs="Arial"/>
          <w:sz w:val="24"/>
          <w:szCs w:val="24"/>
        </w:rPr>
      </w:pPr>
      <w:r w:rsidRPr="00745BDD">
        <w:rPr>
          <w:rFonts w:ascii="Arial" w:hAnsi="Arial" w:cs="Arial"/>
          <w:sz w:val="24"/>
          <w:szCs w:val="24"/>
        </w:rPr>
        <w:t xml:space="preserve">First of all, this section will consider the dating and transmission of Mesopotamian works relevant to this study. The primary text is the so-called </w:t>
      </w:r>
      <w:r w:rsidRPr="00745BDD">
        <w:rPr>
          <w:rFonts w:ascii="Arial" w:hAnsi="Arial" w:cs="Arial"/>
          <w:i/>
          <w:sz w:val="24"/>
          <w:szCs w:val="24"/>
        </w:rPr>
        <w:t xml:space="preserve">Epic of Gilgamesh </w:t>
      </w:r>
      <w:r w:rsidRPr="00745BDD">
        <w:rPr>
          <w:rFonts w:ascii="Arial" w:hAnsi="Arial" w:cs="Arial"/>
          <w:sz w:val="24"/>
          <w:szCs w:val="24"/>
        </w:rPr>
        <w:t xml:space="preserve">which survives in a range of diverse sources, though largely in two versions known as the </w:t>
      </w:r>
      <w:r w:rsidRPr="00745BDD">
        <w:rPr>
          <w:rFonts w:ascii="Arial" w:hAnsi="Arial" w:cs="Arial"/>
          <w:i/>
          <w:sz w:val="24"/>
          <w:szCs w:val="24"/>
        </w:rPr>
        <w:t xml:space="preserve">Standard Akkadian Version </w:t>
      </w:r>
      <w:r w:rsidRPr="00745BDD">
        <w:rPr>
          <w:rFonts w:ascii="Arial" w:hAnsi="Arial" w:cs="Arial"/>
          <w:sz w:val="24"/>
          <w:szCs w:val="24"/>
        </w:rPr>
        <w:t xml:space="preserve">(SAV)and the </w:t>
      </w:r>
      <w:r w:rsidRPr="00745BDD">
        <w:rPr>
          <w:rFonts w:ascii="Arial" w:hAnsi="Arial" w:cs="Arial"/>
          <w:i/>
          <w:sz w:val="24"/>
          <w:szCs w:val="24"/>
        </w:rPr>
        <w:t xml:space="preserve">Old Babylonian Version </w:t>
      </w:r>
      <w:r w:rsidRPr="00745BDD">
        <w:rPr>
          <w:rFonts w:ascii="Arial" w:hAnsi="Arial" w:cs="Arial"/>
          <w:sz w:val="24"/>
          <w:szCs w:val="24"/>
        </w:rPr>
        <w:t>(OBV). (‘So-called’ because in the Mesopotamian tradition the text was known by its opening line, typically: ‘He who saw the deep’/</w:t>
      </w:r>
      <w:r w:rsidRPr="00745BDD">
        <w:rPr>
          <w:rFonts w:ascii="Arial" w:hAnsi="Arial" w:cs="Arial"/>
          <w:i/>
          <w:sz w:val="24"/>
          <w:szCs w:val="24"/>
        </w:rPr>
        <w:t>Sha naqbaimuru</w:t>
      </w:r>
      <w:r w:rsidRPr="00745BDD">
        <w:rPr>
          <w:rFonts w:ascii="Arial" w:hAnsi="Arial" w:cs="Arial"/>
          <w:sz w:val="24"/>
          <w:szCs w:val="24"/>
        </w:rPr>
        <w:t xml:space="preserve">(SAV), and; ‘Surpassing all other kings’ / </w:t>
      </w:r>
      <w:r w:rsidRPr="00745BDD">
        <w:rPr>
          <w:rFonts w:ascii="Arial" w:hAnsi="Arial" w:cs="Arial"/>
          <w:i/>
          <w:sz w:val="24"/>
          <w:szCs w:val="24"/>
        </w:rPr>
        <w:t>Shuturelisharri</w:t>
      </w:r>
      <w:r w:rsidRPr="00745BDD">
        <w:rPr>
          <w:rFonts w:ascii="Arial" w:hAnsi="Arial" w:cs="Arial"/>
          <w:sz w:val="24"/>
          <w:szCs w:val="24"/>
        </w:rPr>
        <w:t xml:space="preserve">(OBV) respectively).The earliest Sumerian cuneiform versions are dated to the Third Dynasty of Ur (2150-2000BCE) and are thought to have been a collection of smaller folktales and myths which grew over time. The later </w:t>
      </w:r>
      <w:r w:rsidRPr="00745BDD">
        <w:rPr>
          <w:rFonts w:ascii="Arial" w:hAnsi="Arial" w:cs="Arial"/>
          <w:i/>
          <w:sz w:val="24"/>
          <w:szCs w:val="24"/>
        </w:rPr>
        <w:t>Standard Akkadian Version</w:t>
      </w:r>
      <w:r w:rsidRPr="00745BDD">
        <w:rPr>
          <w:rFonts w:ascii="Arial" w:hAnsi="Arial" w:cs="Arial"/>
          <w:sz w:val="24"/>
          <w:szCs w:val="24"/>
        </w:rPr>
        <w:t xml:space="preserve"> consists of twelve (damaged) tablets discovered in the library of Ashurbanipal, in Ninevah, in 1849. </w:t>
      </w:r>
      <w:commentRangeStart w:id="60"/>
      <w:r w:rsidRPr="00745BDD">
        <w:rPr>
          <w:rFonts w:ascii="Arial" w:hAnsi="Arial" w:cs="Arial"/>
          <w:sz w:val="24"/>
          <w:szCs w:val="24"/>
        </w:rPr>
        <w:t>The Mesopotamian tradition ascribed authorship of the text to Sin-leqe-unnini, a lamentation priest and scribe of the Kassite period (1531-1155BCE) – though establishing to what extent he adapted an established oral narrative and whether or not, or how, he divided it into eleven tablets is problematical.</w:t>
      </w:r>
      <w:commentRangeEnd w:id="60"/>
      <w:r>
        <w:rPr>
          <w:rStyle w:val="CommentReference"/>
        </w:rPr>
        <w:commentReference w:id="60"/>
      </w:r>
      <w:r w:rsidRPr="00745BDD">
        <w:rPr>
          <w:rFonts w:ascii="Arial" w:hAnsi="Arial" w:cs="Arial"/>
          <w:sz w:val="24"/>
          <w:szCs w:val="24"/>
        </w:rPr>
        <w:t xml:space="preserve"> The remaining texts primarily include the </w:t>
      </w:r>
      <w:r w:rsidRPr="00745BDD">
        <w:rPr>
          <w:rFonts w:ascii="Arial" w:hAnsi="Arial" w:cs="Arial"/>
          <w:i/>
          <w:sz w:val="24"/>
          <w:szCs w:val="24"/>
        </w:rPr>
        <w:lastRenderedPageBreak/>
        <w:t>EnumaElish</w:t>
      </w:r>
      <w:r w:rsidRPr="00745BDD">
        <w:rPr>
          <w:rFonts w:ascii="Arial" w:hAnsi="Arial" w:cs="Arial"/>
          <w:sz w:val="24"/>
          <w:szCs w:val="24"/>
        </w:rPr>
        <w:t xml:space="preserve">, the </w:t>
      </w:r>
      <w:r w:rsidRPr="00745BDD">
        <w:rPr>
          <w:rFonts w:ascii="Arial" w:hAnsi="Arial" w:cs="Arial"/>
          <w:i/>
          <w:sz w:val="24"/>
          <w:szCs w:val="24"/>
        </w:rPr>
        <w:t>Atrahasis</w:t>
      </w:r>
      <w:r w:rsidRPr="00745BDD">
        <w:rPr>
          <w:rFonts w:ascii="Arial" w:hAnsi="Arial" w:cs="Arial"/>
          <w:sz w:val="24"/>
          <w:szCs w:val="24"/>
        </w:rPr>
        <w:t xml:space="preserve">, and </w:t>
      </w:r>
      <w:r w:rsidRPr="00745BDD">
        <w:rPr>
          <w:rFonts w:ascii="Arial" w:hAnsi="Arial" w:cs="Arial"/>
          <w:i/>
          <w:sz w:val="24"/>
          <w:szCs w:val="24"/>
        </w:rPr>
        <w:t xml:space="preserve">Innana’s Descent to the Underworld, </w:t>
      </w:r>
      <w:r w:rsidRPr="00745BDD">
        <w:rPr>
          <w:rFonts w:ascii="Arial" w:hAnsi="Arial" w:cs="Arial"/>
          <w:sz w:val="24"/>
          <w:szCs w:val="24"/>
        </w:rPr>
        <w:t>though other shorter narratives and hymns are also used for comparison. The dating of these texts range from the 20</w:t>
      </w:r>
      <w:r w:rsidRPr="00745BDD">
        <w:rPr>
          <w:rFonts w:ascii="Arial" w:hAnsi="Arial" w:cs="Arial"/>
          <w:sz w:val="24"/>
          <w:szCs w:val="24"/>
          <w:vertAlign w:val="superscript"/>
        </w:rPr>
        <w:t>th</w:t>
      </w:r>
      <w:r w:rsidRPr="00745BDD">
        <w:rPr>
          <w:rFonts w:ascii="Arial" w:hAnsi="Arial" w:cs="Arial"/>
          <w:sz w:val="24"/>
          <w:szCs w:val="24"/>
        </w:rPr>
        <w:t xml:space="preserve"> – 12</w:t>
      </w:r>
      <w:r w:rsidRPr="00745BDD">
        <w:rPr>
          <w:rFonts w:ascii="Arial" w:hAnsi="Arial" w:cs="Arial"/>
          <w:sz w:val="24"/>
          <w:szCs w:val="24"/>
          <w:vertAlign w:val="superscript"/>
        </w:rPr>
        <w:t>th</w:t>
      </w:r>
      <w:r w:rsidRPr="00745BDD">
        <w:rPr>
          <w:rFonts w:ascii="Arial" w:hAnsi="Arial" w:cs="Arial"/>
          <w:sz w:val="24"/>
          <w:szCs w:val="24"/>
        </w:rPr>
        <w:t xml:space="preserve"> centuries BCE.</w:t>
      </w:r>
      <w:r w:rsidRPr="00745BDD">
        <w:rPr>
          <w:rStyle w:val="FootnoteReference"/>
          <w:rFonts w:ascii="Arial" w:hAnsi="Arial" w:cs="Arial"/>
          <w:sz w:val="24"/>
          <w:szCs w:val="24"/>
        </w:rPr>
        <w:footnoteReference w:id="19"/>
      </w:r>
      <w:r w:rsidRPr="00745BDD">
        <w:rPr>
          <w:rFonts w:ascii="Arial" w:hAnsi="Arial" w:cs="Arial"/>
          <w:sz w:val="24"/>
          <w:szCs w:val="24"/>
        </w:rPr>
        <w:t xml:space="preserve">According to translator </w:t>
      </w:r>
      <w:commentRangeStart w:id="61"/>
      <w:r w:rsidRPr="00745BDD">
        <w:rPr>
          <w:rFonts w:ascii="Arial" w:hAnsi="Arial" w:cs="Arial"/>
          <w:sz w:val="24"/>
          <w:szCs w:val="24"/>
        </w:rPr>
        <w:t xml:space="preserve">Stephanie Dalley the Akkadian myths, including the </w:t>
      </w:r>
      <w:r w:rsidRPr="00745BDD">
        <w:rPr>
          <w:rFonts w:ascii="Arial" w:hAnsi="Arial" w:cs="Arial"/>
          <w:i/>
          <w:sz w:val="24"/>
          <w:szCs w:val="24"/>
        </w:rPr>
        <w:t>Gilgamesh</w:t>
      </w:r>
      <w:r w:rsidRPr="00745BDD">
        <w:rPr>
          <w:rFonts w:ascii="Arial" w:hAnsi="Arial" w:cs="Arial"/>
          <w:sz w:val="24"/>
          <w:szCs w:val="24"/>
        </w:rPr>
        <w:t xml:space="preserve"> epic, were ‘universally known during antiquity’ and ‘popular with an international audience at the dawn of history’.</w:t>
      </w:r>
      <w:r w:rsidRPr="00745BDD">
        <w:rPr>
          <w:rStyle w:val="FootnoteReference"/>
          <w:rFonts w:ascii="Arial" w:hAnsi="Arial" w:cs="Arial"/>
          <w:sz w:val="24"/>
          <w:szCs w:val="24"/>
        </w:rPr>
        <w:footnoteReference w:id="20"/>
      </w:r>
      <w:r w:rsidRPr="00745BDD">
        <w:rPr>
          <w:rFonts w:ascii="Arial" w:hAnsi="Arial" w:cs="Arial"/>
          <w:sz w:val="24"/>
          <w:szCs w:val="24"/>
        </w:rPr>
        <w:t xml:space="preserve"> </w:t>
      </w:r>
      <w:commentRangeEnd w:id="61"/>
      <w:r w:rsidR="000374E0">
        <w:rPr>
          <w:rStyle w:val="CommentReference"/>
        </w:rPr>
        <w:commentReference w:id="61"/>
      </w:r>
      <w:r w:rsidRPr="00745BDD">
        <w:rPr>
          <w:rFonts w:ascii="Arial" w:hAnsi="Arial" w:cs="Arial"/>
          <w:sz w:val="24"/>
          <w:szCs w:val="24"/>
        </w:rPr>
        <w:t xml:space="preserve">Evidence shows that they spread into Sumerian, Hittite, Hurrian, and Hebrew speaking nations – partly because the Akkadian language was the </w:t>
      </w:r>
      <w:r w:rsidRPr="00745BDD">
        <w:rPr>
          <w:rFonts w:ascii="Arial" w:hAnsi="Arial" w:cs="Arial"/>
          <w:i/>
          <w:sz w:val="24"/>
          <w:szCs w:val="24"/>
        </w:rPr>
        <w:t>lingua franca</w:t>
      </w:r>
      <w:r w:rsidRPr="00745BDD">
        <w:rPr>
          <w:rFonts w:ascii="Arial" w:hAnsi="Arial" w:cs="Arial"/>
          <w:sz w:val="24"/>
          <w:szCs w:val="24"/>
        </w:rPr>
        <w:t xml:space="preserve"> of diplomacy in the West Asiatic through the second to first millenniums BCE at least as far as Anatolia and Egypt. (For further details on sources used in this study, see Section 3.b below).</w:t>
      </w:r>
    </w:p>
    <w:p w14:paraId="17CF33D2" w14:textId="77777777" w:rsidR="00A25DE7" w:rsidRPr="00745BDD" w:rsidRDefault="00A25DE7" w:rsidP="00745BDD">
      <w:pPr>
        <w:spacing w:line="360" w:lineRule="auto"/>
        <w:jc w:val="both"/>
        <w:rPr>
          <w:rFonts w:ascii="Arial" w:hAnsi="Arial" w:cs="Arial"/>
          <w:b/>
          <w:sz w:val="24"/>
          <w:szCs w:val="24"/>
        </w:rPr>
      </w:pPr>
      <w:r w:rsidRPr="00745BDD">
        <w:rPr>
          <w:rFonts w:ascii="Arial" w:hAnsi="Arial" w:cs="Arial"/>
          <w:sz w:val="24"/>
          <w:szCs w:val="24"/>
        </w:rPr>
        <w:t xml:space="preserve">As the evidence for cultural contact shows (Section 1.a. above) nomadic and mercantile populations travelled well beyond national boundaries, taking the stories with them. As previously discussed the archaeological evidence points to specific periods of cultural contact such as the </w:t>
      </w:r>
      <w:commentRangeStart w:id="62"/>
      <w:r w:rsidRPr="00745BDD">
        <w:rPr>
          <w:rFonts w:ascii="Arial" w:hAnsi="Arial" w:cs="Arial"/>
          <w:sz w:val="24"/>
          <w:szCs w:val="24"/>
        </w:rPr>
        <w:t>14</w:t>
      </w:r>
      <w:r w:rsidRPr="00745BDD">
        <w:rPr>
          <w:rFonts w:ascii="Arial" w:hAnsi="Arial" w:cs="Arial"/>
          <w:sz w:val="24"/>
          <w:szCs w:val="24"/>
          <w:vertAlign w:val="superscript"/>
        </w:rPr>
        <w:t>th</w:t>
      </w:r>
      <w:r w:rsidRPr="00745BDD">
        <w:rPr>
          <w:rFonts w:ascii="Arial" w:hAnsi="Arial" w:cs="Arial"/>
          <w:sz w:val="24"/>
          <w:szCs w:val="24"/>
        </w:rPr>
        <w:t xml:space="preserve"> – 13</w:t>
      </w:r>
      <w:r w:rsidRPr="00745BDD">
        <w:rPr>
          <w:rFonts w:ascii="Arial" w:hAnsi="Arial" w:cs="Arial"/>
          <w:sz w:val="24"/>
          <w:szCs w:val="24"/>
          <w:vertAlign w:val="superscript"/>
        </w:rPr>
        <w:t>th</w:t>
      </w:r>
      <w:r w:rsidRPr="00745BDD">
        <w:rPr>
          <w:rFonts w:ascii="Arial" w:hAnsi="Arial" w:cs="Arial"/>
          <w:sz w:val="24"/>
          <w:szCs w:val="24"/>
        </w:rPr>
        <w:t xml:space="preserve"> centuries BCE, and the later Orientalising period of the 9</w:t>
      </w:r>
      <w:r w:rsidRPr="00745BDD">
        <w:rPr>
          <w:rFonts w:ascii="Arial" w:hAnsi="Arial" w:cs="Arial"/>
          <w:sz w:val="24"/>
          <w:szCs w:val="24"/>
          <w:vertAlign w:val="superscript"/>
        </w:rPr>
        <w:t>th</w:t>
      </w:r>
      <w:r w:rsidRPr="00745BDD">
        <w:rPr>
          <w:rFonts w:ascii="Arial" w:hAnsi="Arial" w:cs="Arial"/>
          <w:sz w:val="24"/>
          <w:szCs w:val="24"/>
        </w:rPr>
        <w:t xml:space="preserve"> century BCE.</w:t>
      </w:r>
      <w:r w:rsidRPr="00745BDD">
        <w:rPr>
          <w:rStyle w:val="FootnoteReference"/>
          <w:rFonts w:ascii="Arial" w:hAnsi="Arial" w:cs="Arial"/>
          <w:sz w:val="24"/>
          <w:szCs w:val="24"/>
        </w:rPr>
        <w:footnoteReference w:id="21"/>
      </w:r>
      <w:r w:rsidRPr="00745BDD">
        <w:rPr>
          <w:rFonts w:ascii="Arial" w:hAnsi="Arial" w:cs="Arial"/>
          <w:sz w:val="24"/>
          <w:szCs w:val="24"/>
        </w:rPr>
        <w:t xml:space="preserve"> </w:t>
      </w:r>
      <w:commentRangeEnd w:id="62"/>
      <w:r w:rsidR="000374E0">
        <w:rPr>
          <w:rStyle w:val="CommentReference"/>
        </w:rPr>
        <w:commentReference w:id="62"/>
      </w:r>
      <w:r w:rsidRPr="00745BDD">
        <w:rPr>
          <w:rFonts w:ascii="Arial" w:hAnsi="Arial" w:cs="Arial"/>
          <w:sz w:val="24"/>
          <w:szCs w:val="24"/>
        </w:rPr>
        <w:t>However, in his astute study concerning Asiatic influences in Greek poetry Martin West argues that ‘Near Eastern influence cannot be put down as a marginal phenomenon to be invoked occasionally in explanation of isolated peculiarities’ and concludes that: ‘It was pervasive at many levels and at most times’.</w:t>
      </w:r>
      <w:r w:rsidRPr="00745BDD">
        <w:rPr>
          <w:rStyle w:val="FootnoteReference"/>
          <w:rFonts w:ascii="Arial" w:hAnsi="Arial" w:cs="Arial"/>
          <w:sz w:val="24"/>
          <w:szCs w:val="24"/>
        </w:rPr>
        <w:footnoteReference w:id="22"/>
      </w:r>
      <w:r w:rsidRPr="00745BDD">
        <w:rPr>
          <w:rFonts w:ascii="Arial" w:hAnsi="Arial" w:cs="Arial"/>
          <w:sz w:val="24"/>
          <w:szCs w:val="24"/>
        </w:rPr>
        <w:t xml:space="preserve"> In short, West believes that cultural contact and transmission, specifically literary, between the Western Asiatic and Greece was a process demonstrable from the Mycenaean Period onwards, during which time the </w:t>
      </w:r>
      <w:commentRangeStart w:id="63"/>
      <w:r w:rsidRPr="00745BDD">
        <w:rPr>
          <w:rFonts w:ascii="Arial" w:hAnsi="Arial" w:cs="Arial"/>
          <w:sz w:val="24"/>
          <w:szCs w:val="24"/>
        </w:rPr>
        <w:t>Mesopotamian literature in question was composed, translated, and distributed.</w:t>
      </w:r>
      <w:r w:rsidRPr="00745BDD">
        <w:rPr>
          <w:rStyle w:val="FootnoteReference"/>
          <w:rFonts w:ascii="Arial" w:hAnsi="Arial" w:cs="Arial"/>
          <w:sz w:val="24"/>
          <w:szCs w:val="24"/>
        </w:rPr>
        <w:footnoteReference w:id="23"/>
      </w:r>
      <w:commentRangeEnd w:id="63"/>
      <w:r w:rsidR="000374E0">
        <w:rPr>
          <w:rStyle w:val="CommentReference"/>
        </w:rPr>
        <w:commentReference w:id="63"/>
      </w:r>
    </w:p>
    <w:p w14:paraId="0303BBAF" w14:textId="77777777" w:rsidR="00A25DE7" w:rsidRPr="00745BDD" w:rsidRDefault="00A25DE7" w:rsidP="006F4BCE">
      <w:pPr>
        <w:pStyle w:val="ListParagraph"/>
        <w:numPr>
          <w:ilvl w:val="0"/>
          <w:numId w:val="32"/>
          <w:numberingChange w:id="64" w:author="Dorian" w:date="2015-11-20T19:28:00Z" w:original="%1:2:2:."/>
        </w:numPr>
        <w:jc w:val="both"/>
        <w:rPr>
          <w:rFonts w:ascii="Arial" w:hAnsi="Arial" w:cs="Arial"/>
          <w:b/>
          <w:i/>
          <w:sz w:val="24"/>
        </w:rPr>
      </w:pPr>
      <w:r w:rsidRPr="00745BDD">
        <w:rPr>
          <w:rFonts w:ascii="Arial" w:hAnsi="Arial" w:cs="Arial"/>
          <w:b/>
          <w:i/>
          <w:sz w:val="24"/>
        </w:rPr>
        <w:t>Influence on Greek literature</w:t>
      </w:r>
    </w:p>
    <w:p w14:paraId="4143EB7C"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The material cultural contact established in the preceding sections between the ancient Near East and Greece is corroborated by the Mesopotamian literary </w:t>
      </w:r>
      <w:r w:rsidRPr="00745BDD">
        <w:rPr>
          <w:rFonts w:ascii="Arial" w:hAnsi="Arial" w:cs="Arial"/>
          <w:sz w:val="24"/>
        </w:rPr>
        <w:lastRenderedPageBreak/>
        <w:t xml:space="preserve">influence which pervades the works of </w:t>
      </w:r>
      <w:commentRangeStart w:id="65"/>
      <w:r w:rsidRPr="00745BDD">
        <w:rPr>
          <w:rFonts w:ascii="Arial" w:hAnsi="Arial" w:cs="Arial"/>
          <w:sz w:val="24"/>
        </w:rPr>
        <w:t>Hesiod and Homer.</w:t>
      </w:r>
      <w:r w:rsidRPr="00745BDD">
        <w:rPr>
          <w:rStyle w:val="FootnoteReference"/>
          <w:rFonts w:ascii="Arial" w:hAnsi="Arial" w:cs="Arial"/>
          <w:sz w:val="24"/>
        </w:rPr>
        <w:footnoteReference w:id="24"/>
      </w:r>
      <w:r w:rsidRPr="00745BDD">
        <w:rPr>
          <w:rFonts w:ascii="Arial" w:hAnsi="Arial" w:cs="Arial"/>
          <w:sz w:val="24"/>
        </w:rPr>
        <w:t xml:space="preserve"> </w:t>
      </w:r>
      <w:commentRangeEnd w:id="65"/>
      <w:r w:rsidR="00267780">
        <w:rPr>
          <w:rStyle w:val="CommentReference"/>
        </w:rPr>
        <w:commentReference w:id="65"/>
      </w:r>
      <w:r w:rsidRPr="00745BDD">
        <w:rPr>
          <w:rFonts w:ascii="Arial" w:hAnsi="Arial" w:cs="Arial"/>
          <w:sz w:val="24"/>
        </w:rPr>
        <w:t xml:space="preserve">Whilst the Homeric texts (specifically the </w:t>
      </w:r>
      <w:r w:rsidRPr="00745BDD">
        <w:rPr>
          <w:rFonts w:ascii="Arial" w:hAnsi="Arial" w:cs="Arial"/>
          <w:i/>
          <w:sz w:val="24"/>
        </w:rPr>
        <w:t>Odyssey</w:t>
      </w:r>
      <w:r w:rsidRPr="00745BDD">
        <w:rPr>
          <w:rFonts w:ascii="Arial" w:hAnsi="Arial" w:cs="Arial"/>
          <w:sz w:val="24"/>
        </w:rPr>
        <w:t xml:space="preserve">) are the primary concern of this thesis, it is necessary to first examine Western Asiatic influences in Hesiod. This is primarily because an Oriental presence in both the </w:t>
      </w:r>
      <w:r w:rsidRPr="00745BDD">
        <w:rPr>
          <w:rFonts w:ascii="Arial" w:hAnsi="Arial" w:cs="Arial"/>
          <w:i/>
          <w:sz w:val="24"/>
        </w:rPr>
        <w:t xml:space="preserve">Theogony </w:t>
      </w:r>
      <w:r w:rsidRPr="00745BDD">
        <w:rPr>
          <w:rFonts w:ascii="Arial" w:hAnsi="Arial" w:cs="Arial"/>
          <w:sz w:val="24"/>
        </w:rPr>
        <w:t xml:space="preserve">and </w:t>
      </w:r>
      <w:r w:rsidRPr="00745BDD">
        <w:rPr>
          <w:rFonts w:ascii="Arial" w:hAnsi="Arial" w:cs="Arial"/>
          <w:i/>
          <w:sz w:val="24"/>
        </w:rPr>
        <w:t>Works and Days</w:t>
      </w:r>
      <w:r w:rsidRPr="00745BDD">
        <w:rPr>
          <w:rFonts w:ascii="Arial" w:hAnsi="Arial" w:cs="Arial"/>
          <w:sz w:val="24"/>
        </w:rPr>
        <w:t xml:space="preserve"> is already widely recognised, and as such, Hesiod can be used as a safe point of departure for the discussion of Mesopotamian influences in Homer.</w:t>
      </w:r>
      <w:r w:rsidRPr="00745BDD">
        <w:rPr>
          <w:rStyle w:val="FootnoteReference"/>
          <w:rFonts w:ascii="Arial" w:hAnsi="Arial" w:cs="Arial"/>
          <w:sz w:val="24"/>
        </w:rPr>
        <w:footnoteReference w:id="25"/>
      </w:r>
    </w:p>
    <w:p w14:paraId="65ADD5C1" w14:textId="77777777" w:rsidR="00A25DE7" w:rsidRPr="00745BDD" w:rsidRDefault="00A25DE7" w:rsidP="00745BDD">
      <w:pPr>
        <w:spacing w:line="360" w:lineRule="auto"/>
        <w:jc w:val="both"/>
        <w:rPr>
          <w:rFonts w:ascii="Arial" w:hAnsi="Arial" w:cs="Arial"/>
          <w:b/>
          <w:i/>
          <w:sz w:val="24"/>
        </w:rPr>
      </w:pPr>
      <w:commentRangeStart w:id="66"/>
      <w:r w:rsidRPr="00745BDD">
        <w:rPr>
          <w:rFonts w:ascii="Arial" w:hAnsi="Arial" w:cs="Arial"/>
          <w:i/>
          <w:sz w:val="24"/>
        </w:rPr>
        <w:t>Hesiod</w:t>
      </w:r>
      <w:commentRangeEnd w:id="66"/>
      <w:r w:rsidR="00636F15">
        <w:rPr>
          <w:rStyle w:val="CommentReference"/>
        </w:rPr>
        <w:commentReference w:id="66"/>
      </w:r>
      <w:r w:rsidRPr="00745BDD">
        <w:rPr>
          <w:rFonts w:ascii="Arial" w:hAnsi="Arial" w:cs="Arial"/>
          <w:i/>
          <w:sz w:val="24"/>
        </w:rPr>
        <w:br/>
      </w:r>
      <w:r w:rsidRPr="00745BDD">
        <w:rPr>
          <w:rFonts w:ascii="Arial" w:hAnsi="Arial" w:cs="Arial"/>
          <w:sz w:val="24"/>
        </w:rPr>
        <w:t xml:space="preserve">It was </w:t>
      </w:r>
      <w:commentRangeStart w:id="67"/>
      <w:r w:rsidRPr="00745BDD">
        <w:rPr>
          <w:rFonts w:ascii="Arial" w:hAnsi="Arial" w:cs="Arial"/>
          <w:sz w:val="24"/>
        </w:rPr>
        <w:t xml:space="preserve">not until Peter Walcot’s 1966 book </w:t>
      </w:r>
      <w:commentRangeEnd w:id="67"/>
      <w:r>
        <w:rPr>
          <w:rStyle w:val="CommentReference"/>
        </w:rPr>
        <w:commentReference w:id="67"/>
      </w:r>
      <w:r w:rsidRPr="00745BDD">
        <w:rPr>
          <w:rFonts w:ascii="Arial" w:hAnsi="Arial" w:cs="Arial"/>
          <w:i/>
          <w:sz w:val="24"/>
        </w:rPr>
        <w:t>Hesiod and the Near East</w:t>
      </w:r>
      <w:r w:rsidRPr="00745BDD">
        <w:rPr>
          <w:rFonts w:ascii="Arial" w:hAnsi="Arial" w:cs="Arial"/>
          <w:sz w:val="24"/>
        </w:rPr>
        <w:t xml:space="preserve"> that a serious attempt was made to examine the Hesiodic corpus for Oriental influence.</w:t>
      </w:r>
      <w:r w:rsidRPr="00745BDD">
        <w:rPr>
          <w:rStyle w:val="FootnoteReference"/>
          <w:rFonts w:ascii="Arial" w:hAnsi="Arial" w:cs="Arial"/>
          <w:sz w:val="24"/>
        </w:rPr>
        <w:footnoteReference w:id="26"/>
      </w:r>
      <w:r w:rsidRPr="00745BDD">
        <w:rPr>
          <w:rFonts w:ascii="Arial" w:hAnsi="Arial" w:cs="Arial"/>
          <w:sz w:val="24"/>
        </w:rPr>
        <w:t xml:space="preserve"> Subsequent scholarship has provided myriad examples of varying length and complexity which demonstrate a strong Near Eastern influence on the works of Hesiod. Some of the more prominent examples include; the story of Zeus as told in Hesiod’s </w:t>
      </w:r>
      <w:r w:rsidRPr="00745BDD">
        <w:rPr>
          <w:rFonts w:ascii="Arial" w:hAnsi="Arial" w:cs="Arial"/>
          <w:i/>
          <w:sz w:val="24"/>
        </w:rPr>
        <w:t>Theogony</w:t>
      </w:r>
      <w:r w:rsidRPr="00745BDD">
        <w:rPr>
          <w:rFonts w:ascii="Arial" w:hAnsi="Arial" w:cs="Arial"/>
          <w:sz w:val="24"/>
        </w:rPr>
        <w:t xml:space="preserve"> which parallels the story of Marduk in the Babylonian </w:t>
      </w:r>
      <w:r w:rsidRPr="00745BDD">
        <w:rPr>
          <w:rFonts w:ascii="Arial" w:hAnsi="Arial" w:cs="Arial"/>
          <w:i/>
          <w:sz w:val="24"/>
        </w:rPr>
        <w:t>EnumaElish</w:t>
      </w:r>
      <w:r w:rsidRPr="00745BDD">
        <w:rPr>
          <w:rFonts w:ascii="Arial" w:hAnsi="Arial" w:cs="Arial"/>
          <w:sz w:val="24"/>
        </w:rPr>
        <w:t xml:space="preserve">; the tale of the first woman Pandora in both the </w:t>
      </w:r>
      <w:r w:rsidRPr="00745BDD">
        <w:rPr>
          <w:rFonts w:ascii="Arial" w:hAnsi="Arial" w:cs="Arial"/>
          <w:i/>
          <w:sz w:val="24"/>
        </w:rPr>
        <w:t xml:space="preserve">Theogony </w:t>
      </w:r>
      <w:r w:rsidRPr="00745BDD">
        <w:rPr>
          <w:rFonts w:ascii="Arial" w:hAnsi="Arial" w:cs="Arial"/>
          <w:sz w:val="24"/>
        </w:rPr>
        <w:t xml:space="preserve">and the </w:t>
      </w:r>
      <w:r w:rsidRPr="00745BDD">
        <w:rPr>
          <w:rFonts w:ascii="Arial" w:hAnsi="Arial" w:cs="Arial"/>
          <w:i/>
          <w:sz w:val="24"/>
        </w:rPr>
        <w:t>Works and Days</w:t>
      </w:r>
      <w:r w:rsidRPr="00745BDD">
        <w:rPr>
          <w:rFonts w:ascii="Arial" w:hAnsi="Arial" w:cs="Arial"/>
          <w:sz w:val="24"/>
        </w:rPr>
        <w:t xml:space="preserve"> which parallels the story of the creation of man in the mythological work </w:t>
      </w:r>
      <w:r w:rsidRPr="00745BDD">
        <w:rPr>
          <w:rFonts w:ascii="Arial" w:hAnsi="Arial" w:cs="Arial"/>
          <w:i/>
          <w:sz w:val="24"/>
        </w:rPr>
        <w:t>Enki and Ninmah</w:t>
      </w:r>
      <w:r w:rsidRPr="00745BDD">
        <w:rPr>
          <w:rFonts w:ascii="Arial" w:hAnsi="Arial" w:cs="Arial"/>
          <w:sz w:val="24"/>
        </w:rPr>
        <w:t xml:space="preserve">; the divine succession myth and castration of Kronos in Hesiod’s </w:t>
      </w:r>
      <w:r w:rsidRPr="00745BDD">
        <w:rPr>
          <w:rFonts w:ascii="Arial" w:hAnsi="Arial" w:cs="Arial"/>
          <w:i/>
          <w:sz w:val="24"/>
        </w:rPr>
        <w:t>Theogony</w:t>
      </w:r>
      <w:r w:rsidRPr="00745BDD">
        <w:rPr>
          <w:rFonts w:ascii="Arial" w:hAnsi="Arial" w:cs="Arial"/>
          <w:sz w:val="24"/>
        </w:rPr>
        <w:t xml:space="preserve"> with the cosmogony in the </w:t>
      </w:r>
      <w:r w:rsidRPr="00745BDD">
        <w:rPr>
          <w:rFonts w:ascii="Arial" w:hAnsi="Arial" w:cs="Arial"/>
          <w:i/>
          <w:sz w:val="24"/>
        </w:rPr>
        <w:t>EnumaElish</w:t>
      </w:r>
      <w:r w:rsidRPr="00745BDD">
        <w:rPr>
          <w:rFonts w:ascii="Arial" w:hAnsi="Arial" w:cs="Arial"/>
          <w:sz w:val="24"/>
        </w:rPr>
        <w:t xml:space="preserve"> and </w:t>
      </w:r>
      <w:r w:rsidRPr="00745BDD">
        <w:rPr>
          <w:rFonts w:ascii="Arial" w:hAnsi="Arial" w:cs="Arial"/>
          <w:i/>
          <w:sz w:val="24"/>
        </w:rPr>
        <w:t>Song of Ullikummi</w:t>
      </w:r>
      <w:r w:rsidRPr="00745BDD">
        <w:rPr>
          <w:rFonts w:ascii="Arial" w:hAnsi="Arial" w:cs="Arial"/>
          <w:sz w:val="24"/>
        </w:rPr>
        <w:t xml:space="preserve">, and; the tale of Prometheus and the flood which can be found mirrored in the Akkadian epic </w:t>
      </w:r>
      <w:r w:rsidRPr="00745BDD">
        <w:rPr>
          <w:rFonts w:ascii="Arial" w:hAnsi="Arial" w:cs="Arial"/>
          <w:i/>
          <w:sz w:val="24"/>
        </w:rPr>
        <w:t>Atrahasis</w:t>
      </w:r>
      <w:r w:rsidRPr="00745BDD">
        <w:rPr>
          <w:rFonts w:ascii="Arial" w:hAnsi="Arial" w:cs="Arial"/>
          <w:sz w:val="24"/>
        </w:rPr>
        <w:t>.</w:t>
      </w:r>
      <w:r w:rsidRPr="00745BDD">
        <w:rPr>
          <w:rStyle w:val="FootnoteReference"/>
          <w:rFonts w:ascii="Arial" w:hAnsi="Arial" w:cs="Arial"/>
          <w:sz w:val="24"/>
        </w:rPr>
        <w:footnoteReference w:id="27"/>
      </w:r>
      <w:r w:rsidRPr="00745BDD">
        <w:rPr>
          <w:rFonts w:ascii="Arial" w:hAnsi="Arial" w:cs="Arial"/>
          <w:sz w:val="24"/>
        </w:rPr>
        <w:t xml:space="preserve"> It is notable that the idea of an agricultural almanac such as the </w:t>
      </w:r>
      <w:r w:rsidRPr="00745BDD">
        <w:rPr>
          <w:rFonts w:ascii="Arial" w:hAnsi="Arial" w:cs="Arial"/>
          <w:i/>
          <w:sz w:val="24"/>
        </w:rPr>
        <w:t>Works and Days</w:t>
      </w:r>
      <w:r w:rsidRPr="00745BDD">
        <w:rPr>
          <w:rFonts w:ascii="Arial" w:hAnsi="Arial" w:cs="Arial"/>
          <w:sz w:val="24"/>
        </w:rPr>
        <w:t xml:space="preserve"> also goes back </w:t>
      </w:r>
      <w:r w:rsidRPr="00745BDD">
        <w:rPr>
          <w:rFonts w:ascii="Arial" w:hAnsi="Arial" w:cs="Arial"/>
          <w:sz w:val="24"/>
        </w:rPr>
        <w:lastRenderedPageBreak/>
        <w:t>to the Sumerians.</w:t>
      </w:r>
      <w:r w:rsidRPr="00745BDD">
        <w:rPr>
          <w:rStyle w:val="FootnoteReference"/>
          <w:rFonts w:ascii="Arial" w:hAnsi="Arial" w:cs="Arial"/>
          <w:sz w:val="24"/>
        </w:rPr>
        <w:footnoteReference w:id="28"/>
      </w:r>
      <w:r w:rsidRPr="00745BDD">
        <w:rPr>
          <w:rFonts w:ascii="Arial" w:hAnsi="Arial" w:cs="Arial"/>
          <w:sz w:val="24"/>
        </w:rPr>
        <w:t xml:space="preserve"> Furthermore, Martin West contends that the </w:t>
      </w:r>
      <w:r w:rsidRPr="00745BDD">
        <w:rPr>
          <w:rFonts w:ascii="Arial" w:hAnsi="Arial" w:cs="Arial"/>
          <w:i/>
          <w:sz w:val="24"/>
        </w:rPr>
        <w:t>Astronomy</w:t>
      </w:r>
      <w:r w:rsidRPr="00745BDD">
        <w:rPr>
          <w:rFonts w:ascii="Arial" w:hAnsi="Arial" w:cs="Arial"/>
          <w:sz w:val="24"/>
        </w:rPr>
        <w:t xml:space="preserve"> – a fragmentary work attributed to Hesiod – not only owed something to Babylonian learning, but may also </w:t>
      </w:r>
      <w:commentRangeStart w:id="68"/>
      <w:r w:rsidRPr="00745BDD">
        <w:rPr>
          <w:rFonts w:ascii="Arial" w:hAnsi="Arial" w:cs="Arial"/>
          <w:sz w:val="24"/>
        </w:rPr>
        <w:t>have been the first appearance of Akkadian constellations in Greek literature.</w:t>
      </w:r>
      <w:r w:rsidRPr="00745BDD">
        <w:rPr>
          <w:rStyle w:val="FootnoteReference"/>
          <w:rFonts w:ascii="Arial" w:hAnsi="Arial" w:cs="Arial"/>
          <w:sz w:val="24"/>
        </w:rPr>
        <w:footnoteReference w:id="29"/>
      </w:r>
      <w:r w:rsidRPr="00745BDD">
        <w:rPr>
          <w:rFonts w:ascii="Arial" w:hAnsi="Arial" w:cs="Arial"/>
          <w:sz w:val="24"/>
        </w:rPr>
        <w:t xml:space="preserve"> </w:t>
      </w:r>
      <w:commentRangeEnd w:id="68"/>
      <w:r w:rsidR="00636F15">
        <w:rPr>
          <w:rStyle w:val="CommentReference"/>
        </w:rPr>
        <w:commentReference w:id="68"/>
      </w:r>
      <w:r w:rsidRPr="00745BDD">
        <w:rPr>
          <w:rFonts w:ascii="Arial" w:hAnsi="Arial" w:cs="Arial"/>
          <w:sz w:val="24"/>
        </w:rPr>
        <w:t xml:space="preserve">This is unfortunately only the briefest purview of a breadth of scholarship concerning Hesiod’s debt to Near Eastern literature, but it is sufficient to demonstrate that Hesiod has long been recognised as a poet who incorporated and adapted Western Asiatic literature and cosmogony into his own works. Yet the same influence has not been extensively examined in Homer until more recently. </w:t>
      </w:r>
    </w:p>
    <w:p w14:paraId="58EE388F" w14:textId="77777777" w:rsidR="00A25DE7" w:rsidRPr="00745BDD" w:rsidRDefault="00A25DE7" w:rsidP="00745BDD">
      <w:pPr>
        <w:spacing w:line="360" w:lineRule="auto"/>
        <w:jc w:val="both"/>
        <w:rPr>
          <w:rFonts w:ascii="Arial" w:hAnsi="Arial" w:cs="Arial"/>
          <w:sz w:val="24"/>
        </w:rPr>
      </w:pPr>
      <w:r w:rsidRPr="00745BDD">
        <w:rPr>
          <w:rFonts w:ascii="Arial" w:hAnsi="Arial" w:cs="Arial"/>
          <w:i/>
          <w:sz w:val="24"/>
        </w:rPr>
        <w:t>Homer</w:t>
      </w:r>
      <w:r w:rsidRPr="00745BDD">
        <w:rPr>
          <w:rFonts w:ascii="Arial" w:hAnsi="Arial" w:cs="Arial"/>
          <w:sz w:val="24"/>
        </w:rPr>
        <w:br/>
        <w:t>The topic of “Homer and the Orient” has been anathema to many classical scholars up until the late 20</w:t>
      </w:r>
      <w:r w:rsidRPr="00745BDD">
        <w:rPr>
          <w:rFonts w:ascii="Arial" w:hAnsi="Arial" w:cs="Arial"/>
          <w:sz w:val="24"/>
          <w:vertAlign w:val="superscript"/>
        </w:rPr>
        <w:t>th</w:t>
      </w:r>
      <w:r w:rsidRPr="00745BDD">
        <w:rPr>
          <w:rFonts w:ascii="Arial" w:hAnsi="Arial" w:cs="Arial"/>
          <w:sz w:val="24"/>
        </w:rPr>
        <w:t xml:space="preserve"> century, despite the translation of many Babylonian and Egyptian texts, including the Babylonian Flood Story (</w:t>
      </w:r>
      <w:r w:rsidRPr="00745BDD">
        <w:rPr>
          <w:rFonts w:ascii="Arial" w:hAnsi="Arial" w:cs="Arial"/>
          <w:i/>
          <w:sz w:val="24"/>
        </w:rPr>
        <w:t xml:space="preserve">Epic of Gilgamesh </w:t>
      </w:r>
      <w:r w:rsidRPr="00745BDD">
        <w:rPr>
          <w:rFonts w:ascii="Arial" w:hAnsi="Arial" w:cs="Arial"/>
          <w:sz w:val="24"/>
        </w:rPr>
        <w:t>Tablets X-XI) in 1872, and the pioneering works of writers such as William Gladstone (1876; 1890), Hermann Wirth (1921), and Arthur Ungnad (1923).</w:t>
      </w:r>
      <w:r w:rsidRPr="00745BDD">
        <w:rPr>
          <w:rStyle w:val="FootnoteReference"/>
          <w:rFonts w:ascii="Arial" w:hAnsi="Arial" w:cs="Arial"/>
          <w:sz w:val="24"/>
        </w:rPr>
        <w:footnoteReference w:id="30"/>
      </w:r>
      <w:r w:rsidRPr="00745BDD">
        <w:rPr>
          <w:rFonts w:ascii="Arial" w:hAnsi="Arial" w:cs="Arial"/>
          <w:sz w:val="24"/>
        </w:rPr>
        <w:t xml:space="preserve"> </w:t>
      </w:r>
      <w:commentRangeStart w:id="69"/>
      <w:r w:rsidRPr="00745BDD">
        <w:rPr>
          <w:rFonts w:ascii="Arial" w:hAnsi="Arial" w:cs="Arial"/>
          <w:sz w:val="24"/>
        </w:rPr>
        <w:t>This anathema originates from the dislike of a field known as Pan-Babylonianism, something which will be explained later in this chapter</w:t>
      </w:r>
      <w:commentRangeEnd w:id="69"/>
      <w:r w:rsidR="00636F15">
        <w:rPr>
          <w:rStyle w:val="CommentReference"/>
        </w:rPr>
        <w:commentReference w:id="69"/>
      </w:r>
      <w:r w:rsidRPr="00745BDD">
        <w:rPr>
          <w:rFonts w:ascii="Arial" w:hAnsi="Arial" w:cs="Arial"/>
          <w:sz w:val="24"/>
        </w:rPr>
        <w:t xml:space="preserve">. Nevertheless, more and more attention is being paid to the striking parallels and comparisons which are to be found between Western Asiatic literature and the Homeric epics. In the past few decades numerous scholars have discussed themes, episodes, verses, and other influences between Oriental literature (specifically the </w:t>
      </w:r>
      <w:r w:rsidRPr="00745BDD">
        <w:rPr>
          <w:rFonts w:ascii="Arial" w:hAnsi="Arial" w:cs="Arial"/>
          <w:i/>
          <w:sz w:val="24"/>
        </w:rPr>
        <w:t>Epic of Gilgamesh</w:t>
      </w:r>
      <w:r w:rsidRPr="00745BDD">
        <w:rPr>
          <w:rFonts w:ascii="Arial" w:hAnsi="Arial" w:cs="Arial"/>
          <w:sz w:val="24"/>
        </w:rPr>
        <w:t>) and the Homeric corpus.</w:t>
      </w:r>
      <w:r w:rsidRPr="00745BDD">
        <w:rPr>
          <w:rStyle w:val="FootnoteReference"/>
          <w:rFonts w:ascii="Arial" w:hAnsi="Arial" w:cs="Arial"/>
          <w:sz w:val="24"/>
        </w:rPr>
        <w:footnoteReference w:id="31"/>
      </w:r>
      <w:r w:rsidRPr="00745BDD">
        <w:rPr>
          <w:rFonts w:ascii="Arial" w:hAnsi="Arial" w:cs="Arial"/>
          <w:sz w:val="24"/>
        </w:rPr>
        <w:t xml:space="preserve"> Recently, TzviAbusch has concluded that the </w:t>
      </w:r>
      <w:r w:rsidRPr="00745BDD">
        <w:rPr>
          <w:rFonts w:ascii="Arial" w:hAnsi="Arial" w:cs="Arial"/>
          <w:i/>
          <w:sz w:val="24"/>
        </w:rPr>
        <w:t>Gilgamesh</w:t>
      </w:r>
      <w:r w:rsidRPr="00745BDD">
        <w:rPr>
          <w:rFonts w:ascii="Arial" w:hAnsi="Arial" w:cs="Arial"/>
          <w:sz w:val="24"/>
        </w:rPr>
        <w:t xml:space="preserve"> ‘combines the power and tragedy of the </w:t>
      </w:r>
      <w:r w:rsidRPr="00745BDD">
        <w:rPr>
          <w:rFonts w:ascii="Arial" w:hAnsi="Arial" w:cs="Arial"/>
          <w:i/>
          <w:sz w:val="24"/>
        </w:rPr>
        <w:t>Iliad</w:t>
      </w:r>
      <w:r w:rsidRPr="00745BDD">
        <w:rPr>
          <w:rFonts w:ascii="Arial" w:hAnsi="Arial" w:cs="Arial"/>
          <w:sz w:val="24"/>
        </w:rPr>
        <w:t xml:space="preserve"> with the wanderings and marvels of the </w:t>
      </w:r>
      <w:r w:rsidRPr="00745BDD">
        <w:rPr>
          <w:rFonts w:ascii="Arial" w:hAnsi="Arial" w:cs="Arial"/>
          <w:i/>
          <w:sz w:val="24"/>
        </w:rPr>
        <w:t>Odyssey</w:t>
      </w:r>
      <w:r w:rsidRPr="00745BDD">
        <w:rPr>
          <w:rFonts w:ascii="Arial" w:hAnsi="Arial" w:cs="Arial"/>
          <w:sz w:val="24"/>
        </w:rPr>
        <w:t xml:space="preserve">’ a statement which corroborates Martin West’s discussion of </w:t>
      </w:r>
      <w:r w:rsidRPr="00745BDD">
        <w:rPr>
          <w:rFonts w:ascii="Arial" w:hAnsi="Arial" w:cs="Arial"/>
          <w:i/>
          <w:sz w:val="24"/>
        </w:rPr>
        <w:t>Gilgamesh</w:t>
      </w:r>
      <w:r w:rsidRPr="00745BDD">
        <w:rPr>
          <w:rFonts w:ascii="Arial" w:hAnsi="Arial" w:cs="Arial"/>
          <w:sz w:val="24"/>
        </w:rPr>
        <w:t xml:space="preserve">’s </w:t>
      </w:r>
      <w:r w:rsidRPr="00745BDD">
        <w:rPr>
          <w:rFonts w:ascii="Arial" w:hAnsi="Arial" w:cs="Arial"/>
          <w:sz w:val="24"/>
        </w:rPr>
        <w:lastRenderedPageBreak/>
        <w:t xml:space="preserve">influence on both Homeric epicsin </w:t>
      </w:r>
      <w:r w:rsidRPr="00745BDD">
        <w:rPr>
          <w:rFonts w:ascii="Arial" w:hAnsi="Arial" w:cs="Arial"/>
          <w:i/>
          <w:sz w:val="24"/>
        </w:rPr>
        <w:t xml:space="preserve">The East Face of Helicon </w:t>
      </w:r>
      <w:r w:rsidRPr="00745BDD">
        <w:rPr>
          <w:rFonts w:ascii="Arial" w:hAnsi="Arial" w:cs="Arial"/>
          <w:sz w:val="24"/>
        </w:rPr>
        <w:t>(1997).</w:t>
      </w:r>
      <w:r w:rsidRPr="00745BDD">
        <w:rPr>
          <w:rStyle w:val="FootnoteReference"/>
          <w:rFonts w:ascii="Arial" w:hAnsi="Arial" w:cs="Arial"/>
          <w:sz w:val="24"/>
        </w:rPr>
        <w:footnoteReference w:id="32"/>
      </w:r>
      <w:r w:rsidRPr="00745BDD">
        <w:rPr>
          <w:rFonts w:ascii="Arial" w:hAnsi="Arial" w:cs="Arial"/>
          <w:sz w:val="24"/>
        </w:rPr>
        <w:t xml:space="preserve"> The various literary influences between Mesopotamian literature and the Homeric corpus examined by these scholars can be broadly broken down into the following (by no means exclusive) categories. (An important caveat - this list is by no means exhaustive, and is provided as the briefest of snapshots):</w:t>
      </w:r>
    </w:p>
    <w:p w14:paraId="45FCB1EC" w14:textId="77777777" w:rsidR="00A25DE7" w:rsidRPr="00745BDD" w:rsidRDefault="00A25DE7" w:rsidP="00745BDD">
      <w:pPr>
        <w:spacing w:line="360" w:lineRule="auto"/>
        <w:ind w:firstLine="720"/>
        <w:jc w:val="both"/>
        <w:rPr>
          <w:rFonts w:ascii="Arial" w:hAnsi="Arial" w:cs="Arial"/>
          <w:sz w:val="24"/>
        </w:rPr>
      </w:pPr>
      <w:r w:rsidRPr="00745BDD">
        <w:rPr>
          <w:rFonts w:ascii="Arial" w:hAnsi="Arial" w:cs="Arial"/>
          <w:i/>
          <w:sz w:val="24"/>
        </w:rPr>
        <w:t>Literary techniques and tropes</w:t>
      </w:r>
      <w:r w:rsidRPr="00745BDD">
        <w:rPr>
          <w:rFonts w:ascii="Arial" w:hAnsi="Arial" w:cs="Arial"/>
          <w:sz w:val="24"/>
        </w:rPr>
        <w:t xml:space="preserve">: These include; the analogous use of the ‘epic’ narrative structure which employs a </w:t>
      </w:r>
      <w:commentRangeStart w:id="70"/>
      <w:r w:rsidRPr="00745BDD">
        <w:rPr>
          <w:rFonts w:ascii="Arial" w:hAnsi="Arial" w:cs="Arial"/>
          <w:sz w:val="24"/>
        </w:rPr>
        <w:t>long verse repeated without strophic division</w:t>
      </w:r>
      <w:commentRangeEnd w:id="70"/>
      <w:r>
        <w:rPr>
          <w:rStyle w:val="CommentReference"/>
        </w:rPr>
        <w:commentReference w:id="70"/>
      </w:r>
      <w:r w:rsidRPr="00745BDD">
        <w:rPr>
          <w:rFonts w:ascii="Arial" w:hAnsi="Arial" w:cs="Arial"/>
          <w:sz w:val="24"/>
        </w:rPr>
        <w:t>. Secondly there is the striking similarity between the proems which has been repeatedly examined.</w:t>
      </w:r>
      <w:r w:rsidRPr="00745BDD">
        <w:rPr>
          <w:rStyle w:val="FootnoteReference"/>
          <w:rFonts w:ascii="Arial" w:hAnsi="Arial" w:cs="Arial"/>
          <w:sz w:val="24"/>
        </w:rPr>
        <w:footnoteReference w:id="33"/>
      </w:r>
      <w:r w:rsidRPr="00745BDD">
        <w:rPr>
          <w:rFonts w:ascii="Arial" w:hAnsi="Arial" w:cs="Arial"/>
          <w:sz w:val="24"/>
        </w:rPr>
        <w:t xml:space="preserve"> There are stereotypical formulas for sunrise and sunset used in both the </w:t>
      </w:r>
      <w:r w:rsidRPr="00745BDD">
        <w:rPr>
          <w:rFonts w:ascii="Arial" w:hAnsi="Arial" w:cs="Arial"/>
          <w:i/>
          <w:sz w:val="24"/>
        </w:rPr>
        <w:t xml:space="preserve">Epic of Gilgamesh </w:t>
      </w:r>
      <w:r w:rsidRPr="00745BDD">
        <w:rPr>
          <w:rFonts w:ascii="Arial" w:hAnsi="Arial" w:cs="Arial"/>
          <w:sz w:val="24"/>
        </w:rPr>
        <w:t>and both the Homeric epics, as well as various comparable epithets. The use of direct speech and long dialogues which is peculiar to the epic genre and also manifest in first-person narrative of tales occurs in both epics (by Utnapishtim and Odysseus).</w:t>
      </w:r>
      <w:r w:rsidRPr="00745BDD">
        <w:rPr>
          <w:rStyle w:val="FootnoteReference"/>
          <w:rFonts w:ascii="Arial" w:hAnsi="Arial" w:cs="Arial"/>
          <w:sz w:val="24"/>
        </w:rPr>
        <w:footnoteReference w:id="34"/>
      </w:r>
      <w:r w:rsidRPr="00745BDD">
        <w:rPr>
          <w:rFonts w:ascii="Arial" w:hAnsi="Arial" w:cs="Arial"/>
          <w:sz w:val="24"/>
        </w:rPr>
        <w:t xml:space="preserve"> There is also the familiar trope of report followed by repetition of the report, as well as the ‘double-plot’ of Telemachus and Enkidu which takes place at the beginning of the poem. Finally there are equivalent similes in both texts, with lions featuring as one of the most popular points of comparison</w:t>
      </w:r>
      <w:commentRangeStart w:id="71"/>
      <w:r w:rsidRPr="00745BDD">
        <w:rPr>
          <w:rFonts w:ascii="Arial" w:hAnsi="Arial" w:cs="Arial"/>
          <w:sz w:val="24"/>
        </w:rPr>
        <w:t>.</w:t>
      </w:r>
      <w:r w:rsidRPr="00745BDD">
        <w:rPr>
          <w:rStyle w:val="FootnoteReference"/>
          <w:rFonts w:ascii="Arial" w:hAnsi="Arial" w:cs="Arial"/>
          <w:sz w:val="24"/>
        </w:rPr>
        <w:footnoteReference w:id="35"/>
      </w:r>
      <w:commentRangeEnd w:id="71"/>
      <w:r>
        <w:rPr>
          <w:rStyle w:val="CommentReference"/>
        </w:rPr>
        <w:commentReference w:id="71"/>
      </w:r>
    </w:p>
    <w:p w14:paraId="0A427AC3" w14:textId="77777777" w:rsidR="00A25DE7" w:rsidRPr="00745BDD" w:rsidRDefault="00A25DE7" w:rsidP="00745BDD">
      <w:pPr>
        <w:spacing w:line="360" w:lineRule="auto"/>
        <w:ind w:firstLine="720"/>
        <w:jc w:val="both"/>
        <w:rPr>
          <w:rFonts w:ascii="Arial" w:hAnsi="Arial" w:cs="Arial"/>
          <w:sz w:val="24"/>
        </w:rPr>
      </w:pPr>
      <w:r w:rsidRPr="00745BDD">
        <w:rPr>
          <w:rFonts w:ascii="Arial" w:hAnsi="Arial" w:cs="Arial"/>
          <w:i/>
          <w:sz w:val="24"/>
        </w:rPr>
        <w:t>Specific characters</w:t>
      </w:r>
      <w:r w:rsidRPr="00745BDD">
        <w:rPr>
          <w:rFonts w:ascii="Arial" w:hAnsi="Arial" w:cs="Arial"/>
          <w:sz w:val="24"/>
        </w:rPr>
        <w:t xml:space="preserve">: The first Homeric characters to be compared with the Mesopotamian tradition were Oceanus and Tethys in </w:t>
      </w:r>
      <w:r w:rsidRPr="00745BDD">
        <w:rPr>
          <w:rFonts w:ascii="Arial" w:hAnsi="Arial" w:cs="Arial"/>
          <w:i/>
          <w:sz w:val="24"/>
        </w:rPr>
        <w:t xml:space="preserve">Iliad </w:t>
      </w:r>
      <w:r w:rsidRPr="00745BDD">
        <w:rPr>
          <w:rFonts w:ascii="Arial" w:hAnsi="Arial" w:cs="Arial"/>
          <w:sz w:val="24"/>
        </w:rPr>
        <w:t>XIV.201</w:t>
      </w:r>
      <w:r w:rsidRPr="00745BDD">
        <w:rPr>
          <w:rFonts w:ascii="Arial" w:hAnsi="Arial" w:cs="Arial"/>
          <w:i/>
          <w:sz w:val="24"/>
        </w:rPr>
        <w:t>f.</w:t>
      </w:r>
      <w:r w:rsidRPr="00745BDD">
        <w:rPr>
          <w:rFonts w:ascii="Arial" w:hAnsi="Arial" w:cs="Arial"/>
          <w:sz w:val="24"/>
        </w:rPr>
        <w:t xml:space="preserve">and their counterparts Apsu and Tiamat in the </w:t>
      </w:r>
      <w:r w:rsidRPr="00745BDD">
        <w:rPr>
          <w:rFonts w:ascii="Arial" w:hAnsi="Arial" w:cs="Arial"/>
          <w:i/>
          <w:sz w:val="24"/>
        </w:rPr>
        <w:t>EnumaElish</w:t>
      </w:r>
      <w:r w:rsidRPr="00745BDD">
        <w:rPr>
          <w:rFonts w:ascii="Arial" w:hAnsi="Arial" w:cs="Arial"/>
          <w:sz w:val="24"/>
        </w:rPr>
        <w:t>.</w:t>
      </w:r>
      <w:r w:rsidRPr="00745BDD">
        <w:rPr>
          <w:rStyle w:val="FootnoteReference"/>
          <w:rFonts w:ascii="Arial" w:hAnsi="Arial" w:cs="Arial"/>
          <w:sz w:val="24"/>
        </w:rPr>
        <w:footnoteReference w:id="36"/>
      </w:r>
      <w:r w:rsidRPr="00745BDD">
        <w:rPr>
          <w:rFonts w:ascii="Arial" w:hAnsi="Arial" w:cs="Arial"/>
          <w:sz w:val="24"/>
        </w:rPr>
        <w:t xml:space="preserve"> Odysseus’ return to Ithaca upon the Phaeacian ship has also been compared to Gilgamesh’s voyage with Utnapishtim, as has Gilgamesh’s companion Enkidu’s visit to the protagonist as a ghost, much as the psyche of Patroclus returns to visit </w:t>
      </w:r>
      <w:r w:rsidRPr="00745BDD">
        <w:rPr>
          <w:rFonts w:ascii="Arial" w:hAnsi="Arial" w:cs="Arial"/>
          <w:sz w:val="24"/>
        </w:rPr>
        <w:lastRenderedPageBreak/>
        <w:t>Achilles.</w:t>
      </w:r>
      <w:r w:rsidRPr="00745BDD">
        <w:rPr>
          <w:rStyle w:val="FootnoteReference"/>
          <w:rFonts w:ascii="Arial" w:hAnsi="Arial" w:cs="Arial"/>
          <w:sz w:val="24"/>
        </w:rPr>
        <w:footnoteReference w:id="37"/>
      </w:r>
      <w:r w:rsidRPr="00745BDD">
        <w:rPr>
          <w:rFonts w:ascii="Arial" w:hAnsi="Arial" w:cs="Arial"/>
          <w:sz w:val="24"/>
        </w:rPr>
        <w:t xml:space="preserve"> Aphrodite’s wounding at the hands of Diomedes in </w:t>
      </w:r>
      <w:r w:rsidRPr="00745BDD">
        <w:rPr>
          <w:rFonts w:ascii="Arial" w:hAnsi="Arial" w:cs="Arial"/>
          <w:i/>
          <w:sz w:val="24"/>
        </w:rPr>
        <w:t xml:space="preserve">Iliad </w:t>
      </w:r>
      <w:r w:rsidRPr="00745BDD">
        <w:rPr>
          <w:rFonts w:ascii="Arial" w:hAnsi="Arial" w:cs="Arial"/>
          <w:sz w:val="24"/>
        </w:rPr>
        <w:t xml:space="preserve">V.311-430 also compares with Gilgamesh’s insult of Ishtar found in the </w:t>
      </w:r>
      <w:r w:rsidRPr="00745BDD">
        <w:rPr>
          <w:rFonts w:ascii="Arial" w:hAnsi="Arial" w:cs="Arial"/>
          <w:i/>
          <w:sz w:val="24"/>
        </w:rPr>
        <w:t xml:space="preserve">Epic of Gilgamesh </w:t>
      </w:r>
      <w:r w:rsidRPr="00745BDD">
        <w:rPr>
          <w:rFonts w:ascii="Arial" w:hAnsi="Arial" w:cs="Arial"/>
          <w:sz w:val="24"/>
        </w:rPr>
        <w:t>Tablet VI.1-106.</w:t>
      </w:r>
      <w:r w:rsidRPr="00745BDD">
        <w:rPr>
          <w:rStyle w:val="FootnoteReference"/>
          <w:rFonts w:ascii="Arial" w:hAnsi="Arial" w:cs="Arial"/>
          <w:sz w:val="24"/>
        </w:rPr>
        <w:footnoteReference w:id="38"/>
      </w:r>
      <w:r w:rsidRPr="00745BDD">
        <w:rPr>
          <w:rFonts w:ascii="Arial" w:hAnsi="Arial" w:cs="Arial"/>
          <w:sz w:val="24"/>
        </w:rPr>
        <w:t xml:space="preserve"> The combat myths of ‘protagonist vs. Polyphemus’ in the </w:t>
      </w:r>
      <w:r w:rsidRPr="00745BDD">
        <w:rPr>
          <w:rFonts w:ascii="Arial" w:hAnsi="Arial" w:cs="Arial"/>
          <w:i/>
          <w:sz w:val="24"/>
        </w:rPr>
        <w:t>Odyssey</w:t>
      </w:r>
      <w:r w:rsidRPr="00745BDD">
        <w:rPr>
          <w:rFonts w:ascii="Arial" w:hAnsi="Arial" w:cs="Arial"/>
          <w:sz w:val="24"/>
        </w:rPr>
        <w:t xml:space="preserve">, and ‘protagonist vs. Humbaba’ in the </w:t>
      </w:r>
      <w:r w:rsidRPr="00745BDD">
        <w:rPr>
          <w:rFonts w:ascii="Arial" w:hAnsi="Arial" w:cs="Arial"/>
          <w:i/>
          <w:sz w:val="24"/>
        </w:rPr>
        <w:t>Gilgamesh</w:t>
      </w:r>
      <w:r w:rsidRPr="00745BDD">
        <w:rPr>
          <w:rFonts w:ascii="Arial" w:hAnsi="Arial" w:cs="Arial"/>
          <w:sz w:val="24"/>
        </w:rPr>
        <w:t xml:space="preserve"> are also similar. A final example would be that of Calypso/Circe in Book Vof the </w:t>
      </w:r>
      <w:r w:rsidRPr="00745BDD">
        <w:rPr>
          <w:rFonts w:ascii="Arial" w:hAnsi="Arial" w:cs="Arial"/>
          <w:i/>
          <w:sz w:val="24"/>
        </w:rPr>
        <w:t xml:space="preserve">Odyssey </w:t>
      </w:r>
      <w:r w:rsidRPr="00745BDD">
        <w:rPr>
          <w:rFonts w:ascii="Arial" w:hAnsi="Arial" w:cs="Arial"/>
          <w:sz w:val="24"/>
        </w:rPr>
        <w:t>and the character of Ishtar/Innana (or Siduri) in Mesopotamian literature.</w:t>
      </w:r>
      <w:r w:rsidRPr="00745BDD">
        <w:rPr>
          <w:rStyle w:val="FootnoteReference"/>
          <w:rFonts w:ascii="Arial" w:hAnsi="Arial" w:cs="Arial"/>
          <w:sz w:val="24"/>
        </w:rPr>
        <w:footnoteReference w:id="39"/>
      </w:r>
    </w:p>
    <w:p w14:paraId="336C3E04" w14:textId="77777777" w:rsidR="00A25DE7" w:rsidRPr="00745BDD" w:rsidRDefault="00A25DE7" w:rsidP="00745BDD">
      <w:pPr>
        <w:spacing w:line="360" w:lineRule="auto"/>
        <w:ind w:firstLine="720"/>
        <w:jc w:val="both"/>
        <w:rPr>
          <w:rFonts w:ascii="Arial" w:hAnsi="Arial" w:cs="Arial"/>
          <w:sz w:val="24"/>
        </w:rPr>
      </w:pPr>
      <w:r w:rsidRPr="00745BDD">
        <w:rPr>
          <w:rFonts w:ascii="Arial" w:hAnsi="Arial" w:cs="Arial"/>
          <w:i/>
          <w:sz w:val="24"/>
        </w:rPr>
        <w:t>Extended sequences</w:t>
      </w:r>
      <w:r w:rsidRPr="00745BDD">
        <w:rPr>
          <w:rFonts w:ascii="Arial" w:hAnsi="Arial" w:cs="Arial"/>
          <w:sz w:val="24"/>
        </w:rPr>
        <w:t>: These include the ‘outburst against the gods’ scenes, or the dressing sequence (such as armour before battle).</w:t>
      </w:r>
      <w:r w:rsidRPr="00745BDD">
        <w:rPr>
          <w:rStyle w:val="FootnoteReference"/>
          <w:rFonts w:ascii="Arial" w:hAnsi="Arial" w:cs="Arial"/>
          <w:sz w:val="24"/>
        </w:rPr>
        <w:footnoteReference w:id="40"/>
      </w:r>
      <w:r w:rsidRPr="00745BDD">
        <w:rPr>
          <w:rFonts w:ascii="Arial" w:hAnsi="Arial" w:cs="Arial"/>
          <w:sz w:val="24"/>
        </w:rPr>
        <w:t xml:space="preserve"> One of the most memorable scenes is the </w:t>
      </w:r>
      <w:r w:rsidRPr="00745BDD">
        <w:rPr>
          <w:rFonts w:ascii="Arial" w:hAnsi="Arial" w:cs="Arial"/>
          <w:i/>
          <w:sz w:val="24"/>
        </w:rPr>
        <w:t>katabasis</w:t>
      </w:r>
      <w:r w:rsidRPr="00745BDD">
        <w:rPr>
          <w:rFonts w:ascii="Arial" w:hAnsi="Arial" w:cs="Arial"/>
          <w:sz w:val="24"/>
        </w:rPr>
        <w:t xml:space="preserve"> of the hero Odysseus in Book XI of the </w:t>
      </w:r>
      <w:r w:rsidRPr="00745BDD">
        <w:rPr>
          <w:rFonts w:ascii="Arial" w:hAnsi="Arial" w:cs="Arial"/>
          <w:i/>
          <w:sz w:val="24"/>
        </w:rPr>
        <w:t>Odyssey</w:t>
      </w:r>
      <w:r w:rsidRPr="00745BDD">
        <w:rPr>
          <w:rFonts w:ascii="Arial" w:hAnsi="Arial" w:cs="Arial"/>
          <w:sz w:val="24"/>
        </w:rPr>
        <w:t>, which compares to that of Gilgamesh in Tablet XII.</w:t>
      </w:r>
      <w:r w:rsidRPr="00745BDD">
        <w:rPr>
          <w:rStyle w:val="FootnoteReference"/>
          <w:rFonts w:ascii="Arial" w:hAnsi="Arial" w:cs="Arial"/>
          <w:sz w:val="24"/>
        </w:rPr>
        <w:footnoteReference w:id="41"/>
      </w:r>
      <w:r w:rsidRPr="00745BDD">
        <w:rPr>
          <w:rFonts w:ascii="Arial" w:hAnsi="Arial" w:cs="Arial"/>
          <w:sz w:val="24"/>
        </w:rPr>
        <w:t xml:space="preserve"> However, the most in-depth sequence is probably the ‘Assembly of the Gods’, which often results in the sending out of a messenger to enact the gods’ bidding. Burkert  uses the ‘Deception of Zeus’ scene from </w:t>
      </w:r>
      <w:r w:rsidRPr="00745BDD">
        <w:rPr>
          <w:rFonts w:ascii="Arial" w:hAnsi="Arial" w:cs="Arial"/>
          <w:i/>
          <w:sz w:val="24"/>
        </w:rPr>
        <w:t>Iliad</w:t>
      </w:r>
      <w:r w:rsidRPr="00745BDD">
        <w:rPr>
          <w:rFonts w:ascii="Arial" w:hAnsi="Arial" w:cs="Arial"/>
          <w:sz w:val="24"/>
        </w:rPr>
        <w:t xml:space="preserve"> XIVto present detailed complex structural parallels with Eastern literature.</w:t>
      </w:r>
      <w:r w:rsidRPr="00745BDD">
        <w:rPr>
          <w:rStyle w:val="FootnoteReference"/>
          <w:rFonts w:ascii="Arial" w:hAnsi="Arial" w:cs="Arial"/>
          <w:sz w:val="24"/>
        </w:rPr>
        <w:footnoteReference w:id="42"/>
      </w:r>
      <w:r w:rsidRPr="00745BDD">
        <w:rPr>
          <w:rFonts w:ascii="Arial" w:hAnsi="Arial" w:cs="Arial"/>
          <w:sz w:val="24"/>
        </w:rPr>
        <w:t xml:space="preserve"> This passage will be examined in greater detail in Chapter Three, due to the fact that it is the only passage in the Homeric oeuvre where cosmogony comes to the fore – and as such it warrants examination within this study of cosmological and astronomical influences in the epics, despite it coming from the </w:t>
      </w:r>
      <w:r w:rsidRPr="00745BDD">
        <w:rPr>
          <w:rFonts w:ascii="Arial" w:hAnsi="Arial" w:cs="Arial"/>
          <w:i/>
          <w:sz w:val="24"/>
        </w:rPr>
        <w:t>Iliad</w:t>
      </w:r>
      <w:r w:rsidRPr="00745BDD">
        <w:rPr>
          <w:rFonts w:ascii="Arial" w:hAnsi="Arial" w:cs="Arial"/>
          <w:sz w:val="24"/>
        </w:rPr>
        <w:t xml:space="preserve"> rather than the focus of this study, the </w:t>
      </w:r>
      <w:r w:rsidRPr="00745BDD">
        <w:rPr>
          <w:rFonts w:ascii="Arial" w:hAnsi="Arial" w:cs="Arial"/>
          <w:i/>
          <w:sz w:val="24"/>
        </w:rPr>
        <w:t>Odyssey</w:t>
      </w:r>
      <w:r w:rsidRPr="00745BDD">
        <w:rPr>
          <w:rFonts w:ascii="Arial" w:hAnsi="Arial" w:cs="Arial"/>
          <w:sz w:val="24"/>
        </w:rPr>
        <w:t xml:space="preserve">. </w:t>
      </w:r>
    </w:p>
    <w:p w14:paraId="5A93FB9D"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This brief foray into the research concerning Western Asiatic culture and its influences on the Greeks demonstrates</w:t>
      </w:r>
      <w:ins w:id="72" w:author="Dorian" w:date="2015-11-20T20:10:00Z">
        <w:r>
          <w:rPr>
            <w:rFonts w:ascii="Arial" w:hAnsi="Arial" w:cs="Arial"/>
            <w:sz w:val="24"/>
          </w:rPr>
          <w:t>,</w:t>
        </w:r>
      </w:ins>
      <w:r w:rsidRPr="00745BDD">
        <w:rPr>
          <w:rFonts w:ascii="Arial" w:hAnsi="Arial" w:cs="Arial"/>
          <w:sz w:val="24"/>
        </w:rPr>
        <w:t xml:space="preserve"> first</w:t>
      </w:r>
      <w:commentRangeStart w:id="73"/>
      <w:r w:rsidRPr="00745BDD">
        <w:rPr>
          <w:rFonts w:ascii="Arial" w:hAnsi="Arial" w:cs="Arial"/>
          <w:sz w:val="24"/>
        </w:rPr>
        <w:t>;</w:t>
      </w:r>
      <w:commentRangeEnd w:id="73"/>
      <w:r>
        <w:rPr>
          <w:rStyle w:val="CommentReference"/>
        </w:rPr>
        <w:commentReference w:id="73"/>
      </w:r>
      <w:r w:rsidRPr="00745BDD">
        <w:rPr>
          <w:rFonts w:ascii="Arial" w:hAnsi="Arial" w:cs="Arial"/>
          <w:sz w:val="24"/>
        </w:rPr>
        <w:t xml:space="preserve"> that there was sufficient cultural contact between Mesopotamia and Greece</w:t>
      </w:r>
      <w:commentRangeStart w:id="74"/>
      <w:r w:rsidRPr="00745BDD">
        <w:rPr>
          <w:rFonts w:ascii="Arial" w:hAnsi="Arial" w:cs="Arial"/>
          <w:sz w:val="24"/>
        </w:rPr>
        <w:t>,</w:t>
      </w:r>
      <w:commentRangeEnd w:id="74"/>
      <w:r>
        <w:rPr>
          <w:rStyle w:val="CommentReference"/>
        </w:rPr>
        <w:commentReference w:id="74"/>
      </w:r>
      <w:r w:rsidRPr="00745BDD">
        <w:rPr>
          <w:rFonts w:ascii="Arial" w:hAnsi="Arial" w:cs="Arial"/>
          <w:sz w:val="24"/>
        </w:rPr>
        <w:t xml:space="preserve"> secondly</w:t>
      </w:r>
      <w:commentRangeStart w:id="75"/>
      <w:r w:rsidRPr="00745BDD">
        <w:rPr>
          <w:rFonts w:ascii="Arial" w:hAnsi="Arial" w:cs="Arial"/>
          <w:sz w:val="24"/>
        </w:rPr>
        <w:t>;</w:t>
      </w:r>
      <w:commentRangeEnd w:id="75"/>
      <w:r>
        <w:rPr>
          <w:rStyle w:val="CommentReference"/>
        </w:rPr>
        <w:commentReference w:id="75"/>
      </w:r>
      <w:r w:rsidRPr="00745BDD">
        <w:rPr>
          <w:rFonts w:ascii="Arial" w:hAnsi="Arial" w:cs="Arial"/>
          <w:sz w:val="24"/>
        </w:rPr>
        <w:t xml:space="preserve"> that this contact took place when the Mesopotamian materials were current, and finally; that Mesopotamian literature had an unequivocal influence upon the works of </w:t>
      </w:r>
      <w:r w:rsidRPr="00745BDD">
        <w:rPr>
          <w:rFonts w:ascii="Arial" w:hAnsi="Arial" w:cs="Arial"/>
          <w:sz w:val="24"/>
        </w:rPr>
        <w:lastRenderedPageBreak/>
        <w:t xml:space="preserve">Hesiod and Homer. It should be clear that at the literary level, extensive oriental influences are already supported in the Hesiodic and Homeric poems. </w:t>
      </w:r>
    </w:p>
    <w:p w14:paraId="7A289FE8"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However, despite previous and on-going examinations of the influence of Eastern myth and literature upon Early Archaic literature, none have focused specifically on the astral content which may have been transmitted. West does offer a few pages concerning the astronomical techniques of Babylonia and how this influenced later Greek learning, and as we have seen he also draws attention to the </w:t>
      </w:r>
      <w:r w:rsidRPr="00745BDD">
        <w:rPr>
          <w:rFonts w:ascii="Arial" w:hAnsi="Arial" w:cs="Arial"/>
          <w:i/>
          <w:sz w:val="24"/>
        </w:rPr>
        <w:t xml:space="preserve">Astronomy </w:t>
      </w:r>
      <w:r w:rsidRPr="00745BDD">
        <w:rPr>
          <w:rFonts w:ascii="Arial" w:hAnsi="Arial" w:cs="Arial"/>
          <w:sz w:val="24"/>
        </w:rPr>
        <w:t>of Hesiod, but he goes no further than to suggest that this may have been the first Greek piece of literature to contain Babylonian astronomical knowledge (see above).</w:t>
      </w:r>
      <w:r w:rsidRPr="00745BDD">
        <w:rPr>
          <w:rStyle w:val="FootnoteReference"/>
          <w:rFonts w:ascii="Arial" w:hAnsi="Arial" w:cs="Arial"/>
          <w:sz w:val="24"/>
        </w:rPr>
        <w:footnoteReference w:id="43"/>
      </w:r>
      <w:r w:rsidRPr="00745BDD">
        <w:rPr>
          <w:rFonts w:ascii="Arial" w:hAnsi="Arial" w:cs="Arial"/>
          <w:sz w:val="24"/>
        </w:rPr>
        <w:t xml:space="preserve"> Instead he admits; ‘I am not concerned with oriental contributions to science and philosophy, nor with the influences exercised by the East on other aspects of Greek culture’.</w:t>
      </w:r>
      <w:r w:rsidRPr="00745BDD">
        <w:rPr>
          <w:rStyle w:val="FootnoteReference"/>
          <w:rFonts w:ascii="Arial" w:hAnsi="Arial" w:cs="Arial"/>
          <w:sz w:val="24"/>
        </w:rPr>
        <w:footnoteReference w:id="44"/>
      </w:r>
      <w:r w:rsidRPr="00745BDD">
        <w:rPr>
          <w:rFonts w:ascii="Arial" w:hAnsi="Arial" w:cs="Arial"/>
          <w:sz w:val="24"/>
        </w:rPr>
        <w:t xml:space="preserve"> However, one only needs read Cooley’s </w:t>
      </w:r>
      <w:r w:rsidRPr="00745BDD">
        <w:rPr>
          <w:rFonts w:ascii="Arial" w:hAnsi="Arial" w:cs="Arial"/>
          <w:i/>
          <w:sz w:val="24"/>
        </w:rPr>
        <w:t>Poetic Astronomy in the Ancient Near East</w:t>
      </w:r>
      <w:r w:rsidRPr="00745BDD">
        <w:rPr>
          <w:rFonts w:ascii="Arial" w:hAnsi="Arial" w:cs="Arial"/>
          <w:sz w:val="24"/>
        </w:rPr>
        <w:t xml:space="preserve"> to learn that - in the Mesopotamian culture at least - ‘science’, specifically astronomy, extended beyond practical observation or use, and into various poetic works (see Section 2.b).</w:t>
      </w:r>
      <w:r w:rsidRPr="00745BDD">
        <w:rPr>
          <w:rStyle w:val="FootnoteReference"/>
          <w:rFonts w:ascii="Arial" w:hAnsi="Arial" w:cs="Arial"/>
          <w:sz w:val="24"/>
        </w:rPr>
        <w:footnoteReference w:id="45"/>
      </w:r>
      <w:r w:rsidRPr="00745BDD">
        <w:rPr>
          <w:rFonts w:ascii="Arial" w:hAnsi="Arial" w:cs="Arial"/>
          <w:sz w:val="24"/>
        </w:rPr>
        <w:t xml:space="preserve"> Therefore, given the abundance and sophistication of astronomical knowledge for which Babylonia is famed (see Section 2.a), and the debt Homeric epic owes to Eastern literature (see Section 1.b.ii), this thesis aims to examine the extent to which cosmology and astronomical knowledge may have made an appearance in Archaic Greek literature – specifically within Homer’s </w:t>
      </w:r>
      <w:r w:rsidRPr="00745BDD">
        <w:rPr>
          <w:rFonts w:ascii="Arial" w:hAnsi="Arial" w:cs="Arial"/>
          <w:i/>
          <w:sz w:val="24"/>
        </w:rPr>
        <w:t>Odyssey</w:t>
      </w:r>
      <w:r w:rsidRPr="00745BDD">
        <w:rPr>
          <w:rFonts w:ascii="Arial" w:hAnsi="Arial" w:cs="Arial"/>
          <w:sz w:val="24"/>
        </w:rPr>
        <w:t>.</w:t>
      </w:r>
    </w:p>
    <w:p w14:paraId="038B7A60" w14:textId="77777777" w:rsidR="00A25DE7" w:rsidRPr="00745BDD" w:rsidRDefault="00A25DE7" w:rsidP="006F4BCE">
      <w:pPr>
        <w:jc w:val="center"/>
        <w:rPr>
          <w:rFonts w:ascii="Arial" w:hAnsi="Arial" w:cs="Arial"/>
          <w:b/>
        </w:rPr>
      </w:pPr>
      <w:r w:rsidRPr="00745BDD">
        <w:rPr>
          <w:rFonts w:ascii="Arial" w:hAnsi="Arial" w:cs="Arial"/>
          <w:b/>
        </w:rPr>
        <w:t>*</w:t>
      </w:r>
    </w:p>
    <w:p w14:paraId="18E2685A" w14:textId="77777777" w:rsidR="00A25DE7" w:rsidRPr="00745BDD" w:rsidRDefault="00A25DE7" w:rsidP="006F4BCE">
      <w:pPr>
        <w:jc w:val="both"/>
        <w:rPr>
          <w:rFonts w:ascii="Arial" w:hAnsi="Arial" w:cs="Arial"/>
          <w:b/>
          <w:i/>
          <w:sz w:val="24"/>
        </w:rPr>
      </w:pPr>
      <w:r w:rsidRPr="00745BDD">
        <w:rPr>
          <w:rFonts w:ascii="Arial" w:hAnsi="Arial" w:cs="Arial"/>
          <w:b/>
          <w:i/>
          <w:sz w:val="24"/>
        </w:rPr>
        <w:t>Section Two: Astronomy in Western Asiatic literature</w:t>
      </w:r>
    </w:p>
    <w:p w14:paraId="40CA165E" w14:textId="77777777" w:rsidR="00A25DE7" w:rsidRPr="00745BDD" w:rsidRDefault="00A25DE7" w:rsidP="006F4BCE">
      <w:pPr>
        <w:pStyle w:val="ListParagraph"/>
        <w:numPr>
          <w:ilvl w:val="0"/>
          <w:numId w:val="30"/>
          <w:numberingChange w:id="76" w:author="Dorian" w:date="2015-11-20T19:28:00Z" w:original="%1:1:4:."/>
        </w:numPr>
        <w:jc w:val="both"/>
        <w:rPr>
          <w:rFonts w:ascii="Arial" w:hAnsi="Arial" w:cs="Arial"/>
          <w:b/>
          <w:i/>
          <w:sz w:val="24"/>
        </w:rPr>
      </w:pPr>
      <w:r w:rsidRPr="00745BDD">
        <w:rPr>
          <w:rFonts w:ascii="Arial" w:hAnsi="Arial" w:cs="Arial"/>
          <w:b/>
          <w:i/>
          <w:sz w:val="24"/>
        </w:rPr>
        <w:t>Western Asiatic Astronomy: An overview</w:t>
      </w:r>
    </w:p>
    <w:p w14:paraId="23C8ED8A" w14:textId="77777777" w:rsidR="00A25DE7" w:rsidRPr="00745BDD" w:rsidRDefault="00A25DE7" w:rsidP="00745BDD">
      <w:pPr>
        <w:spacing w:line="360" w:lineRule="auto"/>
        <w:jc w:val="both"/>
        <w:rPr>
          <w:rFonts w:ascii="Arial" w:hAnsi="Arial" w:cs="Arial"/>
          <w:b/>
          <w:sz w:val="24"/>
        </w:rPr>
      </w:pPr>
      <w:r w:rsidRPr="00745BDD">
        <w:rPr>
          <w:rFonts w:ascii="Arial" w:hAnsi="Arial" w:cs="Arial"/>
          <w:sz w:val="24"/>
        </w:rPr>
        <w:t xml:space="preserve">The likelihood of influence, presented in the similarities between the literature of the Western Asiatic and the Early Archaic Greek poets, has been thoroughly demonstrated. But it is now necessary for the purposes of this thesis to discuss the sophisticated astronomical knowledge for which the Near East is famed. </w:t>
      </w:r>
      <w:r w:rsidRPr="00745BDD">
        <w:rPr>
          <w:rFonts w:ascii="Arial" w:hAnsi="Arial" w:cs="Arial"/>
          <w:sz w:val="24"/>
        </w:rPr>
        <w:lastRenderedPageBreak/>
        <w:t xml:space="preserve">This brief overview of Near Eastern astronomy/cosmology aims to familiarise the reader with the celestial traditions current at the time of the composition of Mesopotamian literature. This Section will then move on to examine the comprehensive work of Jeffrey Cooley (2006) which argues for the presence of astronomical (specifically divinatory) knowledge within Near Eastern poetry.  </w:t>
      </w:r>
    </w:p>
    <w:p w14:paraId="6E4D955B"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Any examination of Near Eastern astronomical knowledge should begin with an appreciation of the </w:t>
      </w:r>
      <w:commentRangeStart w:id="77"/>
      <w:r w:rsidRPr="00745BDD">
        <w:rPr>
          <w:rFonts w:ascii="Arial" w:hAnsi="Arial" w:cs="Arial"/>
          <w:sz w:val="24"/>
        </w:rPr>
        <w:t>Mesopotamian cosmos</w:t>
      </w:r>
      <w:commentRangeEnd w:id="77"/>
      <w:r w:rsidR="00BE076E">
        <w:rPr>
          <w:rStyle w:val="CommentReference"/>
        </w:rPr>
        <w:commentReference w:id="77"/>
      </w:r>
      <w:r w:rsidRPr="00745BDD">
        <w:rPr>
          <w:rFonts w:ascii="Arial" w:hAnsi="Arial" w:cs="Arial"/>
          <w:sz w:val="24"/>
        </w:rPr>
        <w:t xml:space="preserve">. Whilst the sources concerning both astronomy and cosmology are abundant, how they fit within the complex contexts of either religion or personal belief is not clear. </w:t>
      </w:r>
      <w:commentRangeStart w:id="78"/>
      <w:r w:rsidRPr="00745BDD">
        <w:rPr>
          <w:rFonts w:ascii="Arial" w:hAnsi="Arial" w:cs="Arial"/>
          <w:sz w:val="24"/>
        </w:rPr>
        <w:t>The following examples, therefore, seek only to outline the prominent features from Mesopotamian sources concerning the cosmos.</w:t>
      </w:r>
      <w:r w:rsidRPr="00745BDD">
        <w:rPr>
          <w:rStyle w:val="FootnoteReference"/>
          <w:rFonts w:ascii="Arial" w:hAnsi="Arial" w:cs="Arial"/>
          <w:sz w:val="24"/>
        </w:rPr>
        <w:footnoteReference w:id="46"/>
      </w:r>
      <w:r w:rsidRPr="00745BDD">
        <w:rPr>
          <w:rFonts w:ascii="Arial" w:hAnsi="Arial" w:cs="Arial"/>
          <w:sz w:val="24"/>
        </w:rPr>
        <w:t xml:space="preserve"> </w:t>
      </w:r>
      <w:commentRangeEnd w:id="78"/>
      <w:r w:rsidR="00BE076E">
        <w:rPr>
          <w:rStyle w:val="CommentReference"/>
        </w:rPr>
        <w:commentReference w:id="78"/>
      </w:r>
      <w:r w:rsidRPr="00745BDD">
        <w:rPr>
          <w:rFonts w:ascii="Arial" w:hAnsi="Arial" w:cs="Arial"/>
          <w:sz w:val="24"/>
        </w:rPr>
        <w:t>These sources are primarily Assyrian and Babylonian, as the Sumerian sources are limited and often only exist in later Akkadian translations – though their influence in the later traditions is obvious.</w:t>
      </w:r>
      <w:r w:rsidRPr="00745BDD">
        <w:rPr>
          <w:rStyle w:val="FootnoteReference"/>
          <w:rFonts w:ascii="Arial" w:hAnsi="Arial" w:cs="Arial"/>
          <w:sz w:val="24"/>
        </w:rPr>
        <w:footnoteReference w:id="47"/>
      </w:r>
    </w:p>
    <w:p w14:paraId="3167B62D"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In brief then, Mesopotamian astronomy consisted of the following fundamental elements;</w:t>
      </w:r>
    </w:p>
    <w:p w14:paraId="72C4A866" w14:textId="77777777" w:rsidR="00A25DE7" w:rsidRPr="00745BDD" w:rsidRDefault="00A25DE7" w:rsidP="00745BDD">
      <w:pPr>
        <w:spacing w:line="360" w:lineRule="auto"/>
        <w:jc w:val="both"/>
        <w:rPr>
          <w:rFonts w:ascii="Arial" w:hAnsi="Arial" w:cs="Arial"/>
          <w:sz w:val="24"/>
        </w:rPr>
      </w:pPr>
      <w:commentRangeStart w:id="79"/>
      <w:r w:rsidRPr="00745BDD">
        <w:rPr>
          <w:rFonts w:ascii="Arial" w:hAnsi="Arial" w:cs="Arial"/>
          <w:i/>
          <w:sz w:val="24"/>
        </w:rPr>
        <w:t>Astronomy</w:t>
      </w:r>
      <w:commentRangeEnd w:id="79"/>
      <w:r w:rsidR="007F26B1">
        <w:rPr>
          <w:rStyle w:val="CommentReference"/>
        </w:rPr>
        <w:commentReference w:id="79"/>
      </w:r>
    </w:p>
    <w:p w14:paraId="7D7D38E7" w14:textId="77777777" w:rsidR="00A25DE7" w:rsidRPr="00745BDD" w:rsidRDefault="00A25DE7" w:rsidP="00745BDD">
      <w:pPr>
        <w:pStyle w:val="ListParagraph"/>
        <w:numPr>
          <w:ilvl w:val="0"/>
          <w:numId w:val="34"/>
          <w:numberingChange w:id="80" w:author="Dorian" w:date="2015-11-20T19:28:00Z" w:original=""/>
        </w:numPr>
        <w:spacing w:line="360" w:lineRule="auto"/>
        <w:jc w:val="both"/>
        <w:rPr>
          <w:rFonts w:ascii="Arial" w:hAnsi="Arial" w:cs="Arial"/>
          <w:sz w:val="24"/>
        </w:rPr>
      </w:pPr>
      <w:r w:rsidRPr="00745BDD">
        <w:rPr>
          <w:rFonts w:ascii="Arial" w:hAnsi="Arial" w:cs="Arial"/>
          <w:sz w:val="24"/>
        </w:rPr>
        <w:t xml:space="preserve">Calendrical calculations based on the movements of celestial bodies (Sumerian and Assyrian) (e.g. </w:t>
      </w:r>
      <w:r w:rsidRPr="00745BDD">
        <w:rPr>
          <w:rFonts w:ascii="Arial" w:hAnsi="Arial" w:cs="Arial"/>
          <w:i/>
          <w:sz w:val="24"/>
        </w:rPr>
        <w:t xml:space="preserve">MUL.APIN </w:t>
      </w:r>
      <w:r w:rsidRPr="00745BDD">
        <w:rPr>
          <w:rFonts w:ascii="Arial" w:hAnsi="Arial" w:cs="Arial"/>
          <w:sz w:val="24"/>
        </w:rPr>
        <w:t xml:space="preserve">and </w:t>
      </w:r>
      <w:r w:rsidRPr="00745BDD">
        <w:rPr>
          <w:rFonts w:ascii="Arial" w:hAnsi="Arial" w:cs="Arial"/>
          <w:i/>
          <w:sz w:val="24"/>
        </w:rPr>
        <w:t xml:space="preserve">Three Stars Each </w:t>
      </w:r>
      <w:r w:rsidRPr="00745BDD">
        <w:rPr>
          <w:rFonts w:ascii="Arial" w:hAnsi="Arial" w:cs="Arial"/>
          <w:sz w:val="24"/>
        </w:rPr>
        <w:t>star catalogues).</w:t>
      </w:r>
      <w:r w:rsidRPr="00745BDD">
        <w:rPr>
          <w:rStyle w:val="FootnoteReference"/>
          <w:rFonts w:ascii="Arial" w:hAnsi="Arial" w:cs="Arial"/>
          <w:sz w:val="24"/>
        </w:rPr>
        <w:footnoteReference w:id="48"/>
      </w:r>
    </w:p>
    <w:p w14:paraId="47FCECD4" w14:textId="77777777" w:rsidR="00A25DE7" w:rsidRPr="00745BDD" w:rsidRDefault="00A25DE7" w:rsidP="00745BDD">
      <w:pPr>
        <w:pStyle w:val="ListParagraph"/>
        <w:numPr>
          <w:ilvl w:val="0"/>
          <w:numId w:val="34"/>
          <w:numberingChange w:id="81" w:author="Dorian" w:date="2015-11-20T19:28:00Z" w:original=""/>
        </w:numPr>
        <w:spacing w:line="360" w:lineRule="auto"/>
        <w:jc w:val="both"/>
        <w:rPr>
          <w:rFonts w:ascii="Arial" w:hAnsi="Arial" w:cs="Arial"/>
          <w:sz w:val="24"/>
        </w:rPr>
      </w:pPr>
      <w:r w:rsidRPr="00745BDD">
        <w:rPr>
          <w:rFonts w:ascii="Arial" w:hAnsi="Arial" w:cs="Arial"/>
          <w:sz w:val="24"/>
        </w:rPr>
        <w:t>Records of stars and constellations.</w:t>
      </w:r>
      <w:r w:rsidRPr="00745BDD">
        <w:rPr>
          <w:rStyle w:val="FootnoteReference"/>
          <w:rFonts w:ascii="Arial" w:hAnsi="Arial" w:cs="Arial"/>
          <w:sz w:val="24"/>
        </w:rPr>
        <w:footnoteReference w:id="49"/>
      </w:r>
    </w:p>
    <w:p w14:paraId="4D16650B" w14:textId="77777777" w:rsidR="00A25DE7" w:rsidRPr="00745BDD" w:rsidRDefault="00A25DE7" w:rsidP="00745BDD">
      <w:pPr>
        <w:pStyle w:val="ListParagraph"/>
        <w:numPr>
          <w:ilvl w:val="0"/>
          <w:numId w:val="34"/>
          <w:numberingChange w:id="82" w:author="Dorian" w:date="2015-11-20T19:28:00Z" w:original=""/>
        </w:numPr>
        <w:spacing w:line="360" w:lineRule="auto"/>
        <w:jc w:val="both"/>
        <w:rPr>
          <w:rFonts w:ascii="Arial" w:hAnsi="Arial" w:cs="Arial"/>
          <w:sz w:val="24"/>
        </w:rPr>
      </w:pPr>
      <w:r w:rsidRPr="00745BDD">
        <w:rPr>
          <w:rFonts w:ascii="Arial" w:hAnsi="Arial" w:cs="Arial"/>
          <w:sz w:val="24"/>
        </w:rPr>
        <w:t xml:space="preserve">Astrological (divinatory) speculation arising from the association of the stars and planets with gods (e.g. </w:t>
      </w:r>
      <w:r w:rsidRPr="00745BDD">
        <w:rPr>
          <w:rFonts w:ascii="Arial" w:hAnsi="Arial" w:cs="Arial"/>
          <w:i/>
          <w:sz w:val="24"/>
        </w:rPr>
        <w:t xml:space="preserve">EnumaAnu Enlil </w:t>
      </w:r>
      <w:r w:rsidRPr="00745BDD">
        <w:rPr>
          <w:rFonts w:ascii="Arial" w:hAnsi="Arial" w:cs="Arial"/>
          <w:sz w:val="24"/>
        </w:rPr>
        <w:t>omen series).</w:t>
      </w:r>
      <w:r w:rsidRPr="00745BDD">
        <w:rPr>
          <w:rStyle w:val="FootnoteReference"/>
          <w:rFonts w:ascii="Arial" w:hAnsi="Arial" w:cs="Arial"/>
          <w:sz w:val="24"/>
        </w:rPr>
        <w:footnoteReference w:id="50"/>
      </w:r>
    </w:p>
    <w:p w14:paraId="6F2F43A4" w14:textId="77777777" w:rsidR="00A25DE7" w:rsidRPr="00745BDD" w:rsidRDefault="00A25DE7" w:rsidP="00745BDD">
      <w:pPr>
        <w:pStyle w:val="ListParagraph"/>
        <w:numPr>
          <w:ilvl w:val="0"/>
          <w:numId w:val="34"/>
          <w:numberingChange w:id="83" w:author="Dorian" w:date="2015-11-20T19:28:00Z" w:original=""/>
        </w:numPr>
        <w:spacing w:line="360" w:lineRule="auto"/>
        <w:jc w:val="both"/>
        <w:rPr>
          <w:rFonts w:ascii="Arial" w:hAnsi="Arial" w:cs="Arial"/>
          <w:sz w:val="24"/>
        </w:rPr>
      </w:pPr>
      <w:r w:rsidRPr="00745BDD">
        <w:rPr>
          <w:rFonts w:ascii="Arial" w:hAnsi="Arial" w:cs="Arial"/>
          <w:sz w:val="24"/>
        </w:rPr>
        <w:t>Astral diaries and almanacs.</w:t>
      </w:r>
      <w:r w:rsidRPr="00745BDD">
        <w:rPr>
          <w:rStyle w:val="FootnoteReference"/>
          <w:rFonts w:ascii="Arial" w:hAnsi="Arial" w:cs="Arial"/>
          <w:sz w:val="24"/>
        </w:rPr>
        <w:footnoteReference w:id="51"/>
      </w:r>
    </w:p>
    <w:p w14:paraId="0342D2F5" w14:textId="77777777" w:rsidR="00A25DE7" w:rsidRPr="00745BDD" w:rsidRDefault="00A25DE7" w:rsidP="00745BDD">
      <w:pPr>
        <w:spacing w:line="360" w:lineRule="auto"/>
        <w:jc w:val="both"/>
        <w:rPr>
          <w:rFonts w:ascii="Arial" w:hAnsi="Arial" w:cs="Arial"/>
          <w:i/>
          <w:sz w:val="24"/>
        </w:rPr>
      </w:pPr>
      <w:r w:rsidRPr="00745BDD">
        <w:rPr>
          <w:rFonts w:ascii="Arial" w:hAnsi="Arial" w:cs="Arial"/>
          <w:i/>
          <w:sz w:val="24"/>
        </w:rPr>
        <w:lastRenderedPageBreak/>
        <w:t>Cosmology</w:t>
      </w:r>
    </w:p>
    <w:p w14:paraId="35A3B588" w14:textId="77777777" w:rsidR="00A25DE7" w:rsidRPr="00745BDD" w:rsidRDefault="00A25DE7" w:rsidP="00745BDD">
      <w:pPr>
        <w:pStyle w:val="ListParagraph"/>
        <w:numPr>
          <w:ilvl w:val="0"/>
          <w:numId w:val="34"/>
          <w:numberingChange w:id="84" w:author="Dorian" w:date="2015-11-20T19:28:00Z" w:original=""/>
        </w:numPr>
        <w:spacing w:line="360" w:lineRule="auto"/>
        <w:jc w:val="both"/>
        <w:rPr>
          <w:rFonts w:ascii="Arial" w:hAnsi="Arial" w:cs="Arial"/>
          <w:sz w:val="24"/>
        </w:rPr>
      </w:pPr>
      <w:r w:rsidRPr="00745BDD">
        <w:rPr>
          <w:rFonts w:ascii="Arial" w:hAnsi="Arial" w:cs="Arial"/>
          <w:sz w:val="24"/>
        </w:rPr>
        <w:t>Heaven was inhabited by the gods and unreachable to mortal humans, who dwell on earth.</w:t>
      </w:r>
      <w:r w:rsidRPr="00745BDD">
        <w:rPr>
          <w:rStyle w:val="FootnoteReference"/>
          <w:rFonts w:ascii="Arial" w:hAnsi="Arial" w:cs="Arial"/>
          <w:sz w:val="24"/>
        </w:rPr>
        <w:footnoteReference w:id="52"/>
      </w:r>
    </w:p>
    <w:p w14:paraId="6477E28C" w14:textId="77777777" w:rsidR="00A25DE7" w:rsidRPr="00745BDD" w:rsidRDefault="00A25DE7" w:rsidP="00745BDD">
      <w:pPr>
        <w:pStyle w:val="ListParagraph"/>
        <w:numPr>
          <w:ilvl w:val="0"/>
          <w:numId w:val="34"/>
          <w:numberingChange w:id="85" w:author="Dorian" w:date="2015-11-20T19:28:00Z" w:original=""/>
        </w:numPr>
        <w:spacing w:line="360" w:lineRule="auto"/>
        <w:jc w:val="both"/>
        <w:rPr>
          <w:rFonts w:ascii="Arial" w:hAnsi="Arial" w:cs="Arial"/>
          <w:sz w:val="24"/>
        </w:rPr>
      </w:pPr>
      <w:r w:rsidRPr="00745BDD">
        <w:rPr>
          <w:rFonts w:ascii="Arial" w:hAnsi="Arial" w:cs="Arial"/>
          <w:sz w:val="24"/>
        </w:rPr>
        <w:t>Universe has a tripartite structure of heaven, earth, netherworld.</w:t>
      </w:r>
      <w:r w:rsidRPr="00745BDD">
        <w:rPr>
          <w:rStyle w:val="FootnoteReference"/>
          <w:rFonts w:ascii="Arial" w:hAnsi="Arial" w:cs="Arial"/>
          <w:sz w:val="24"/>
        </w:rPr>
        <w:footnoteReference w:id="53"/>
      </w:r>
    </w:p>
    <w:p w14:paraId="663AF1EB" w14:textId="77777777" w:rsidR="00A25DE7" w:rsidRPr="00745BDD" w:rsidRDefault="00A25DE7" w:rsidP="00745BDD">
      <w:pPr>
        <w:pStyle w:val="ListParagraph"/>
        <w:numPr>
          <w:ilvl w:val="0"/>
          <w:numId w:val="34"/>
          <w:numberingChange w:id="86" w:author="Dorian" w:date="2015-11-20T19:28:00Z" w:original=""/>
        </w:numPr>
        <w:spacing w:line="360" w:lineRule="auto"/>
        <w:jc w:val="both"/>
        <w:rPr>
          <w:rFonts w:ascii="Arial" w:hAnsi="Arial" w:cs="Arial"/>
          <w:sz w:val="24"/>
        </w:rPr>
      </w:pPr>
      <w:r w:rsidRPr="00745BDD">
        <w:rPr>
          <w:rFonts w:ascii="Arial" w:hAnsi="Arial" w:cs="Arial"/>
          <w:sz w:val="24"/>
        </w:rPr>
        <w:t>Gods also consist of three basic groupings: the celestial gods (identified with celestial bodies), the mortuary gods (gods of the netherworld), and personal gods (concerned mostly with omens and magic).</w:t>
      </w:r>
      <w:r w:rsidRPr="00745BDD">
        <w:rPr>
          <w:rStyle w:val="FootnoteReference"/>
          <w:rFonts w:ascii="Arial" w:hAnsi="Arial" w:cs="Arial"/>
          <w:sz w:val="24"/>
        </w:rPr>
        <w:footnoteReference w:id="54"/>
      </w:r>
    </w:p>
    <w:p w14:paraId="7E5FB522" w14:textId="77777777" w:rsidR="00A25DE7" w:rsidRPr="00745BDD" w:rsidRDefault="00A25DE7" w:rsidP="00745BDD">
      <w:pPr>
        <w:pStyle w:val="ListParagraph"/>
        <w:numPr>
          <w:ilvl w:val="0"/>
          <w:numId w:val="34"/>
          <w:numberingChange w:id="87" w:author="Dorian" w:date="2015-11-20T19:28:00Z" w:original=""/>
        </w:numPr>
        <w:spacing w:line="360" w:lineRule="auto"/>
        <w:jc w:val="both"/>
        <w:rPr>
          <w:rFonts w:ascii="Arial" w:hAnsi="Arial" w:cs="Arial"/>
          <w:sz w:val="24"/>
        </w:rPr>
      </w:pPr>
      <w:r w:rsidRPr="00745BDD">
        <w:rPr>
          <w:rFonts w:ascii="Arial" w:hAnsi="Arial" w:cs="Arial"/>
          <w:sz w:val="24"/>
        </w:rPr>
        <w:t>The sun returns to the eastern horizon by passing through the netherworld.</w:t>
      </w:r>
      <w:r w:rsidRPr="00745BDD">
        <w:rPr>
          <w:rStyle w:val="FootnoteReference"/>
          <w:rFonts w:ascii="Arial" w:hAnsi="Arial" w:cs="Arial"/>
          <w:sz w:val="24"/>
        </w:rPr>
        <w:footnoteReference w:id="55"/>
      </w:r>
    </w:p>
    <w:p w14:paraId="38B4E7B7" w14:textId="77777777" w:rsidR="00A25DE7" w:rsidRPr="00745BDD" w:rsidRDefault="00A25DE7" w:rsidP="00745BDD">
      <w:pPr>
        <w:pStyle w:val="ListParagraph"/>
        <w:numPr>
          <w:ilvl w:val="0"/>
          <w:numId w:val="34"/>
          <w:numberingChange w:id="88" w:author="Dorian" w:date="2015-11-20T19:28:00Z" w:original=""/>
        </w:numPr>
        <w:spacing w:line="360" w:lineRule="auto"/>
        <w:jc w:val="both"/>
        <w:rPr>
          <w:rFonts w:ascii="Arial" w:hAnsi="Arial" w:cs="Arial"/>
          <w:sz w:val="24"/>
        </w:rPr>
      </w:pPr>
      <w:r w:rsidRPr="00745BDD">
        <w:rPr>
          <w:rFonts w:ascii="Arial" w:hAnsi="Arial" w:cs="Arial"/>
          <w:sz w:val="24"/>
        </w:rPr>
        <w:t>The (divine) celestial bodies pass through doors or gates as they become visible in the sky.</w:t>
      </w:r>
      <w:r w:rsidRPr="00745BDD">
        <w:rPr>
          <w:rStyle w:val="FootnoteReference"/>
          <w:rFonts w:ascii="Arial" w:hAnsi="Arial" w:cs="Arial"/>
          <w:sz w:val="24"/>
        </w:rPr>
        <w:footnoteReference w:id="56"/>
      </w:r>
    </w:p>
    <w:p w14:paraId="0F2A35D2" w14:textId="77777777" w:rsidR="00A25DE7" w:rsidRPr="00745BDD" w:rsidRDefault="00A25DE7" w:rsidP="00745BDD">
      <w:pPr>
        <w:pStyle w:val="ListParagraph"/>
        <w:numPr>
          <w:ilvl w:val="0"/>
          <w:numId w:val="34"/>
          <w:numberingChange w:id="89" w:author="Dorian" w:date="2015-11-20T19:28:00Z" w:original=""/>
        </w:numPr>
        <w:spacing w:line="360" w:lineRule="auto"/>
        <w:jc w:val="both"/>
        <w:rPr>
          <w:rFonts w:ascii="Arial" w:hAnsi="Arial" w:cs="Arial"/>
          <w:sz w:val="24"/>
        </w:rPr>
      </w:pPr>
      <w:r w:rsidRPr="00745BDD">
        <w:rPr>
          <w:rFonts w:ascii="Arial" w:hAnsi="Arial" w:cs="Arial"/>
          <w:sz w:val="24"/>
        </w:rPr>
        <w:t xml:space="preserve">Unlike the structure recorded in the </w:t>
      </w:r>
      <w:r w:rsidRPr="00745BDD">
        <w:rPr>
          <w:rFonts w:ascii="Arial" w:hAnsi="Arial" w:cs="Arial"/>
          <w:i/>
          <w:sz w:val="24"/>
        </w:rPr>
        <w:t>EnumaElish</w:t>
      </w:r>
      <w:r w:rsidRPr="00745BDD">
        <w:rPr>
          <w:rFonts w:ascii="Arial" w:hAnsi="Arial" w:cs="Arial"/>
          <w:sz w:val="24"/>
        </w:rPr>
        <w:t xml:space="preserve"> some texts describe the cosmos as being composed of six levels (three celestial and three terrestrial) – the heavenly layers are made of various precious stones.</w:t>
      </w:r>
      <w:r w:rsidRPr="00745BDD">
        <w:rPr>
          <w:rStyle w:val="FootnoteReference"/>
          <w:rFonts w:ascii="Arial" w:hAnsi="Arial" w:cs="Arial"/>
          <w:sz w:val="24"/>
        </w:rPr>
        <w:footnoteReference w:id="57"/>
      </w:r>
    </w:p>
    <w:p w14:paraId="615F60B3" w14:textId="77777777" w:rsidR="00A25DE7" w:rsidRPr="00745BDD" w:rsidRDefault="00A25DE7" w:rsidP="00745BDD">
      <w:pPr>
        <w:pStyle w:val="ListParagraph"/>
        <w:numPr>
          <w:ilvl w:val="0"/>
          <w:numId w:val="34"/>
          <w:numberingChange w:id="90" w:author="Dorian" w:date="2015-11-20T19:28:00Z" w:original=""/>
        </w:numPr>
        <w:spacing w:line="360" w:lineRule="auto"/>
        <w:jc w:val="both"/>
        <w:rPr>
          <w:rFonts w:ascii="Arial" w:hAnsi="Arial" w:cs="Arial"/>
          <w:sz w:val="24"/>
        </w:rPr>
      </w:pPr>
      <w:r w:rsidRPr="00745BDD">
        <w:rPr>
          <w:rFonts w:ascii="Arial" w:hAnsi="Arial" w:cs="Arial"/>
          <w:sz w:val="24"/>
        </w:rPr>
        <w:t>The stars are drawn on the underside of the first heavenly floor and belong to three bands.</w:t>
      </w:r>
      <w:r w:rsidRPr="00745BDD">
        <w:rPr>
          <w:rStyle w:val="FootnoteReference"/>
          <w:rFonts w:ascii="Arial" w:hAnsi="Arial" w:cs="Arial"/>
          <w:sz w:val="24"/>
        </w:rPr>
        <w:footnoteReference w:id="58"/>
      </w:r>
    </w:p>
    <w:p w14:paraId="230DA1B3" w14:textId="77777777" w:rsidR="00A25DE7" w:rsidRPr="00745BDD" w:rsidRDefault="00A25DE7" w:rsidP="00745BDD">
      <w:pPr>
        <w:spacing w:line="360" w:lineRule="auto"/>
        <w:jc w:val="both"/>
        <w:rPr>
          <w:rFonts w:ascii="Arial" w:hAnsi="Arial" w:cs="Arial"/>
          <w:sz w:val="24"/>
        </w:rPr>
      </w:pPr>
      <w:r w:rsidRPr="00745BDD">
        <w:rPr>
          <w:rFonts w:ascii="Arial" w:hAnsi="Arial" w:cs="Arial"/>
          <w:i/>
          <w:sz w:val="24"/>
        </w:rPr>
        <w:t>Structure of the cosmos</w:t>
      </w:r>
      <w:r w:rsidRPr="00745BDD">
        <w:rPr>
          <w:rFonts w:ascii="Arial" w:hAnsi="Arial" w:cs="Arial"/>
          <w:sz w:val="24"/>
        </w:rPr>
        <w:t xml:space="preserve"> (as recorded in the </w:t>
      </w:r>
      <w:r w:rsidRPr="00745BDD">
        <w:rPr>
          <w:rFonts w:ascii="Arial" w:hAnsi="Arial" w:cs="Arial"/>
          <w:i/>
          <w:sz w:val="24"/>
        </w:rPr>
        <w:t>EnumaElish</w:t>
      </w:r>
      <w:r w:rsidRPr="00745BDD">
        <w:rPr>
          <w:rFonts w:ascii="Arial" w:hAnsi="Arial" w:cs="Arial"/>
          <w:sz w:val="24"/>
        </w:rPr>
        <w:t>).</w:t>
      </w:r>
      <w:r w:rsidRPr="00745BDD">
        <w:rPr>
          <w:rStyle w:val="FootnoteReference"/>
          <w:rFonts w:ascii="Arial" w:hAnsi="Arial" w:cs="Arial"/>
          <w:sz w:val="24"/>
        </w:rPr>
        <w:footnoteReference w:id="59"/>
      </w:r>
    </w:p>
    <w:p w14:paraId="5D010E5E" w14:textId="77777777" w:rsidR="00A25DE7" w:rsidRPr="00745BDD" w:rsidRDefault="00A25DE7" w:rsidP="00745BDD">
      <w:pPr>
        <w:pStyle w:val="ListParagraph"/>
        <w:numPr>
          <w:ilvl w:val="0"/>
          <w:numId w:val="33"/>
          <w:numberingChange w:id="91" w:author="Dorian" w:date="2015-11-20T19:28:00Z" w:original=""/>
        </w:numPr>
        <w:spacing w:line="360" w:lineRule="auto"/>
        <w:jc w:val="both"/>
        <w:rPr>
          <w:rFonts w:ascii="Arial" w:hAnsi="Arial" w:cs="Arial"/>
          <w:sz w:val="24"/>
        </w:rPr>
      </w:pPr>
      <w:r w:rsidRPr="00745BDD">
        <w:rPr>
          <w:rFonts w:ascii="Arial" w:hAnsi="Arial" w:cs="Arial"/>
          <w:sz w:val="24"/>
        </w:rPr>
        <w:t>Tiamat (the salt water goddess) is split in two – the upper becomes the sky and the lower becomes the earth.</w:t>
      </w:r>
    </w:p>
    <w:p w14:paraId="0C910AC9" w14:textId="77777777" w:rsidR="00A25DE7" w:rsidRPr="00745BDD" w:rsidRDefault="00A25DE7" w:rsidP="00745BDD">
      <w:pPr>
        <w:pStyle w:val="ListParagraph"/>
        <w:numPr>
          <w:ilvl w:val="0"/>
          <w:numId w:val="33"/>
          <w:numberingChange w:id="92" w:author="Dorian" w:date="2015-11-20T19:28:00Z" w:original=""/>
        </w:numPr>
        <w:spacing w:line="360" w:lineRule="auto"/>
        <w:jc w:val="both"/>
        <w:rPr>
          <w:rFonts w:ascii="Arial" w:hAnsi="Arial" w:cs="Arial"/>
          <w:sz w:val="24"/>
        </w:rPr>
      </w:pPr>
      <w:r w:rsidRPr="00745BDD">
        <w:rPr>
          <w:rFonts w:ascii="Arial" w:hAnsi="Arial" w:cs="Arial"/>
          <w:sz w:val="24"/>
        </w:rPr>
        <w:t>Marduk creates the celestial bodies including the sun and moon, positions them, and regulates their movements.</w:t>
      </w:r>
    </w:p>
    <w:p w14:paraId="3357844E" w14:textId="77777777" w:rsidR="00A25DE7" w:rsidRPr="00745BDD" w:rsidRDefault="00A25DE7" w:rsidP="00745BDD">
      <w:pPr>
        <w:pStyle w:val="ListParagraph"/>
        <w:numPr>
          <w:ilvl w:val="0"/>
          <w:numId w:val="33"/>
          <w:numberingChange w:id="93" w:author="Dorian" w:date="2015-11-20T19:28:00Z" w:original=""/>
        </w:numPr>
        <w:spacing w:line="360" w:lineRule="auto"/>
        <w:jc w:val="both"/>
        <w:rPr>
          <w:rFonts w:ascii="Arial" w:hAnsi="Arial" w:cs="Arial"/>
          <w:sz w:val="24"/>
        </w:rPr>
      </w:pPr>
      <w:r w:rsidRPr="00745BDD">
        <w:rPr>
          <w:rFonts w:ascii="Arial" w:hAnsi="Arial" w:cs="Arial"/>
          <w:sz w:val="24"/>
        </w:rPr>
        <w:t>The heavens are divided into three bands of constellations, the paths of Ea, Anu, and Enlil.</w:t>
      </w:r>
    </w:p>
    <w:p w14:paraId="3F7B8285" w14:textId="77777777" w:rsidR="00A25DE7" w:rsidRPr="00745BDD" w:rsidRDefault="00A25DE7" w:rsidP="00745BDD">
      <w:pPr>
        <w:pStyle w:val="ListParagraph"/>
        <w:numPr>
          <w:ilvl w:val="0"/>
          <w:numId w:val="33"/>
          <w:numberingChange w:id="94" w:author="Dorian" w:date="2015-11-20T19:28:00Z" w:original=""/>
        </w:numPr>
        <w:spacing w:line="360" w:lineRule="auto"/>
        <w:jc w:val="both"/>
        <w:rPr>
          <w:rFonts w:ascii="Arial" w:hAnsi="Arial" w:cs="Arial"/>
          <w:sz w:val="24"/>
        </w:rPr>
      </w:pPr>
      <w:r w:rsidRPr="00745BDD">
        <w:rPr>
          <w:rFonts w:ascii="Arial" w:hAnsi="Arial" w:cs="Arial"/>
          <w:sz w:val="24"/>
        </w:rPr>
        <w:lastRenderedPageBreak/>
        <w:t>He determines the calendrical year (‘three constellations for each of the twelve months’).</w:t>
      </w:r>
    </w:p>
    <w:p w14:paraId="004B0E86"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Clearly, Mesopotamian astronomical and cosmological beliefs were complicated, and varied between both </w:t>
      </w:r>
      <w:commentRangeStart w:id="95"/>
      <w:r w:rsidRPr="00745BDD">
        <w:rPr>
          <w:rFonts w:ascii="Arial" w:hAnsi="Arial" w:cs="Arial"/>
          <w:sz w:val="24"/>
        </w:rPr>
        <w:t>cultures and periods of time</w:t>
      </w:r>
      <w:commentRangeEnd w:id="95"/>
      <w:r w:rsidR="00BE076E">
        <w:rPr>
          <w:rStyle w:val="CommentReference"/>
        </w:rPr>
        <w:commentReference w:id="95"/>
      </w:r>
      <w:r w:rsidRPr="00745BDD">
        <w:rPr>
          <w:rFonts w:ascii="Arial" w:hAnsi="Arial" w:cs="Arial"/>
          <w:sz w:val="24"/>
        </w:rPr>
        <w:t xml:space="preserve">. However, the preceding lists should provide an outline of general Near Eastern celestial knowledge to furnish the reader for the purposes of the study going forward. It should be made clear that the aim of this thesis is not to examine the extent </w:t>
      </w:r>
      <w:ins w:id="96" w:author="Dorian" w:date="2015-11-26T13:25:00Z">
        <w:r>
          <w:rPr>
            <w:rFonts w:ascii="Arial" w:hAnsi="Arial" w:cs="Arial"/>
            <w:sz w:val="24"/>
          </w:rPr>
          <w:t xml:space="preserve"> of </w:t>
        </w:r>
      </w:ins>
      <w:r w:rsidRPr="00745BDD">
        <w:rPr>
          <w:rFonts w:ascii="Arial" w:hAnsi="Arial" w:cs="Arial"/>
          <w:sz w:val="24"/>
        </w:rPr>
        <w:t xml:space="preserve">scientific astronomical knowledge (such as planetary transitions or eclipses) </w:t>
      </w:r>
      <w:ins w:id="97" w:author="Dorian" w:date="2015-11-26T13:26:00Z">
        <w:r>
          <w:rPr>
            <w:rFonts w:ascii="Arial" w:hAnsi="Arial" w:cs="Arial"/>
            <w:sz w:val="24"/>
          </w:rPr>
          <w:t xml:space="preserve">that </w:t>
        </w:r>
      </w:ins>
      <w:r w:rsidRPr="00745BDD">
        <w:rPr>
          <w:rFonts w:ascii="Arial" w:hAnsi="Arial" w:cs="Arial"/>
          <w:sz w:val="24"/>
        </w:rPr>
        <w:t xml:space="preserve">may have made an appearance in the poetic literature of Western Asiatic and Early Greece (as Cooley does below), </w:t>
      </w:r>
      <w:commentRangeStart w:id="98"/>
      <w:r w:rsidRPr="00745BDD">
        <w:rPr>
          <w:rFonts w:ascii="Arial" w:hAnsi="Arial" w:cs="Arial"/>
          <w:sz w:val="24"/>
        </w:rPr>
        <w:t xml:space="preserve">but rather to what extent the general cosmology, astral symbolism, or Mesopotamian beliefs concerning the cosmos made their way into the epics of both continents. </w:t>
      </w:r>
      <w:commentRangeEnd w:id="98"/>
      <w:r w:rsidR="00BE076E">
        <w:rPr>
          <w:rStyle w:val="CommentReference"/>
        </w:rPr>
        <w:commentReference w:id="98"/>
      </w:r>
    </w:p>
    <w:p w14:paraId="5A78D4DD" w14:textId="77777777" w:rsidR="00A25DE7" w:rsidRPr="00745BDD" w:rsidRDefault="00A25DE7" w:rsidP="006F4BCE">
      <w:pPr>
        <w:pStyle w:val="ListParagraph"/>
        <w:numPr>
          <w:ilvl w:val="0"/>
          <w:numId w:val="30"/>
          <w:numberingChange w:id="99" w:author="Dorian" w:date="2015-11-20T19:28:00Z" w:original="%1:2:4:."/>
        </w:numPr>
        <w:jc w:val="both"/>
        <w:rPr>
          <w:rFonts w:ascii="Arial" w:hAnsi="Arial" w:cs="Arial"/>
          <w:b/>
          <w:i/>
          <w:sz w:val="24"/>
        </w:rPr>
      </w:pPr>
      <w:r w:rsidRPr="00745BDD">
        <w:rPr>
          <w:rFonts w:ascii="Arial" w:hAnsi="Arial" w:cs="Arial"/>
          <w:b/>
          <w:i/>
          <w:sz w:val="24"/>
        </w:rPr>
        <w:t xml:space="preserve">Jeffrey Cooley: </w:t>
      </w:r>
      <w:r w:rsidRPr="00745BDD">
        <w:rPr>
          <w:rFonts w:ascii="Arial" w:hAnsi="Arial" w:cs="Arial"/>
          <w:b/>
          <w:sz w:val="24"/>
        </w:rPr>
        <w:t>Poetic Astronomy in the Ancient Near East</w:t>
      </w:r>
    </w:p>
    <w:p w14:paraId="688B063D"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Jeffrey Cooley’s </w:t>
      </w:r>
      <w:r w:rsidRPr="00745BDD">
        <w:rPr>
          <w:rFonts w:ascii="Arial" w:hAnsi="Arial" w:cs="Arial"/>
          <w:i/>
          <w:sz w:val="24"/>
        </w:rPr>
        <w:t xml:space="preserve">Poetic Astronomy </w:t>
      </w:r>
      <w:r w:rsidRPr="00745BDD">
        <w:rPr>
          <w:rFonts w:ascii="Arial" w:hAnsi="Arial" w:cs="Arial"/>
          <w:sz w:val="24"/>
        </w:rPr>
        <w:t>maps the reception of celestial speculation in Mesopotamian, Ugaritic, and Biblical texts. Cooley</w:t>
      </w:r>
      <w:ins w:id="100" w:author="Author" w:date="2015-11-30T11:26:00Z">
        <w:r w:rsidR="00BE076E">
          <w:rPr>
            <w:rFonts w:ascii="Arial" w:hAnsi="Arial" w:cs="Arial"/>
            <w:sz w:val="24"/>
          </w:rPr>
          <w:t xml:space="preserve"> </w:t>
        </w:r>
      </w:ins>
      <w:r w:rsidRPr="00745BDD">
        <w:rPr>
          <w:rFonts w:ascii="Arial" w:hAnsi="Arial" w:cs="Arial"/>
          <w:sz w:val="24"/>
        </w:rPr>
        <w:t>discusses a large number of texts across two millennia and spanning several cultural contexts, but for the purposes of this paper only the Mesopotamian sources are of immediate value.</w:t>
      </w:r>
      <w:r w:rsidRPr="00745BDD">
        <w:rPr>
          <w:rStyle w:val="FootnoteReference"/>
          <w:rFonts w:ascii="Arial" w:hAnsi="Arial" w:cs="Arial"/>
          <w:sz w:val="24"/>
        </w:rPr>
        <w:footnoteReference w:id="60"/>
      </w:r>
      <w:r w:rsidRPr="00745BDD">
        <w:rPr>
          <w:rFonts w:ascii="Arial" w:hAnsi="Arial" w:cs="Arial"/>
          <w:sz w:val="24"/>
        </w:rPr>
        <w:t xml:space="preserve"> Cooley argues that historians of science over the last century or so have isolated science from the surrounding cultures which produced it. This has resulted in an inadequate understanding of the cultural embeddedness of celestial knowledge in ancient Mesopotamian literature.</w:t>
      </w:r>
      <w:r w:rsidRPr="00745BDD">
        <w:rPr>
          <w:rStyle w:val="FootnoteReference"/>
          <w:rFonts w:ascii="Arial" w:hAnsi="Arial" w:cs="Arial"/>
          <w:sz w:val="24"/>
        </w:rPr>
        <w:footnoteReference w:id="61"/>
      </w:r>
      <w:r w:rsidRPr="00745BDD">
        <w:rPr>
          <w:rFonts w:ascii="Arial" w:hAnsi="Arial" w:cs="Arial"/>
          <w:sz w:val="24"/>
        </w:rPr>
        <w:t xml:space="preserve"> Therefore Cooley’s work seeks to bridge the gap between Near Eastern science – specifically astronomy – and its culture – specifically poetry – by positioning ‘the celestial traditions of Mesopotamia, Ugarit, and the ancient Israelites in their broader cultural frameworks, as expressed through each culture’s literary traditions’.</w:t>
      </w:r>
      <w:r w:rsidRPr="00745BDD">
        <w:rPr>
          <w:rStyle w:val="FootnoteReference"/>
          <w:rFonts w:ascii="Arial" w:hAnsi="Arial" w:cs="Arial"/>
          <w:sz w:val="24"/>
        </w:rPr>
        <w:footnoteReference w:id="62"/>
      </w:r>
      <w:r w:rsidRPr="00745BDD">
        <w:rPr>
          <w:rFonts w:ascii="Arial" w:hAnsi="Arial" w:cs="Arial"/>
          <w:sz w:val="24"/>
        </w:rPr>
        <w:t xml:space="preserve"> Notably, Cooley’s book does not focus on the </w:t>
      </w:r>
      <w:r w:rsidRPr="00745BDD">
        <w:rPr>
          <w:rFonts w:ascii="Arial" w:hAnsi="Arial" w:cs="Arial"/>
          <w:i/>
          <w:sz w:val="24"/>
        </w:rPr>
        <w:t xml:space="preserve">Gilgamesh Epic </w:t>
      </w:r>
      <w:r w:rsidRPr="00745BDD">
        <w:rPr>
          <w:rFonts w:ascii="Arial" w:hAnsi="Arial" w:cs="Arial"/>
          <w:sz w:val="24"/>
        </w:rPr>
        <w:t xml:space="preserve">and instead examines only the following narrative texts; the </w:t>
      </w:r>
      <w:r w:rsidRPr="00745BDD">
        <w:rPr>
          <w:rFonts w:ascii="Arial" w:hAnsi="Arial" w:cs="Arial"/>
          <w:i/>
          <w:sz w:val="24"/>
        </w:rPr>
        <w:t>Kutha Legend</w:t>
      </w:r>
      <w:r w:rsidRPr="00745BDD">
        <w:rPr>
          <w:rFonts w:ascii="Arial" w:hAnsi="Arial" w:cs="Arial"/>
          <w:sz w:val="24"/>
        </w:rPr>
        <w:t xml:space="preserve">, </w:t>
      </w:r>
      <w:r w:rsidRPr="00745BDD">
        <w:rPr>
          <w:rFonts w:ascii="Arial" w:hAnsi="Arial" w:cs="Arial"/>
          <w:i/>
          <w:sz w:val="24"/>
        </w:rPr>
        <w:t>Erra and Isum</w:t>
      </w:r>
      <w:r w:rsidRPr="00745BDD">
        <w:rPr>
          <w:rFonts w:ascii="Arial" w:hAnsi="Arial" w:cs="Arial"/>
          <w:sz w:val="24"/>
        </w:rPr>
        <w:t xml:space="preserve">, </w:t>
      </w:r>
      <w:r w:rsidRPr="00745BDD">
        <w:rPr>
          <w:rFonts w:ascii="Arial" w:hAnsi="Arial" w:cs="Arial"/>
          <w:i/>
          <w:sz w:val="24"/>
        </w:rPr>
        <w:t>Enlil and Ninlil</w:t>
      </w:r>
      <w:r w:rsidRPr="00745BDD">
        <w:rPr>
          <w:rFonts w:ascii="Arial" w:hAnsi="Arial" w:cs="Arial"/>
          <w:sz w:val="24"/>
        </w:rPr>
        <w:t xml:space="preserve">, </w:t>
      </w:r>
      <w:r w:rsidRPr="00745BDD">
        <w:rPr>
          <w:rFonts w:ascii="Arial" w:hAnsi="Arial" w:cs="Arial"/>
          <w:i/>
          <w:sz w:val="24"/>
        </w:rPr>
        <w:t>Inana and An</w:t>
      </w:r>
      <w:r w:rsidRPr="00745BDD">
        <w:rPr>
          <w:rFonts w:ascii="Arial" w:hAnsi="Arial" w:cs="Arial"/>
          <w:sz w:val="24"/>
        </w:rPr>
        <w:t xml:space="preserve">, </w:t>
      </w:r>
      <w:r w:rsidRPr="00745BDD">
        <w:rPr>
          <w:rFonts w:ascii="Arial" w:hAnsi="Arial" w:cs="Arial"/>
          <w:i/>
          <w:sz w:val="24"/>
        </w:rPr>
        <w:t>Dumuzi’s Ascent</w:t>
      </w:r>
      <w:r w:rsidRPr="00745BDD">
        <w:rPr>
          <w:rFonts w:ascii="Arial" w:hAnsi="Arial" w:cs="Arial"/>
          <w:sz w:val="24"/>
        </w:rPr>
        <w:t xml:space="preserve">, the </w:t>
      </w:r>
      <w:r w:rsidRPr="00745BDD">
        <w:rPr>
          <w:rFonts w:ascii="Arial" w:hAnsi="Arial" w:cs="Arial"/>
          <w:i/>
          <w:sz w:val="24"/>
        </w:rPr>
        <w:t>Labbu Myth</w:t>
      </w:r>
      <w:r w:rsidRPr="00745BDD">
        <w:rPr>
          <w:rFonts w:ascii="Arial" w:hAnsi="Arial" w:cs="Arial"/>
          <w:sz w:val="24"/>
        </w:rPr>
        <w:t xml:space="preserve">, </w:t>
      </w:r>
      <w:r w:rsidRPr="00745BDD">
        <w:rPr>
          <w:rFonts w:ascii="Arial" w:hAnsi="Arial" w:cs="Arial"/>
          <w:i/>
          <w:sz w:val="24"/>
        </w:rPr>
        <w:t xml:space="preserve">Girra and </w:t>
      </w:r>
      <w:r w:rsidRPr="00745BDD">
        <w:rPr>
          <w:rFonts w:ascii="Arial" w:hAnsi="Arial" w:cs="Arial"/>
          <w:i/>
          <w:sz w:val="24"/>
        </w:rPr>
        <w:lastRenderedPageBreak/>
        <w:t>Elamatum</w:t>
      </w:r>
      <w:r w:rsidRPr="00745BDD">
        <w:rPr>
          <w:rFonts w:ascii="Arial" w:hAnsi="Arial" w:cs="Arial"/>
          <w:sz w:val="24"/>
        </w:rPr>
        <w:t xml:space="preserve">, the </w:t>
      </w:r>
      <w:r w:rsidRPr="00745BDD">
        <w:rPr>
          <w:rFonts w:ascii="Arial" w:hAnsi="Arial" w:cs="Arial"/>
          <w:i/>
          <w:sz w:val="24"/>
        </w:rPr>
        <w:t>Exaltation of Istar</w:t>
      </w:r>
      <w:r w:rsidRPr="00745BDD">
        <w:rPr>
          <w:rFonts w:ascii="Arial" w:hAnsi="Arial" w:cs="Arial"/>
          <w:sz w:val="24"/>
        </w:rPr>
        <w:t xml:space="preserve">, and the </w:t>
      </w:r>
      <w:r w:rsidRPr="00745BDD">
        <w:rPr>
          <w:rFonts w:ascii="Arial" w:hAnsi="Arial" w:cs="Arial"/>
          <w:i/>
          <w:sz w:val="24"/>
        </w:rPr>
        <w:t>EnumaElish</w:t>
      </w:r>
      <w:r w:rsidRPr="00745BDD">
        <w:rPr>
          <w:rFonts w:ascii="Arial" w:hAnsi="Arial" w:cs="Arial"/>
          <w:sz w:val="24"/>
        </w:rPr>
        <w:t xml:space="preserve">. Admittedly, Cooley does give some space to the Sumerian </w:t>
      </w:r>
      <w:r w:rsidRPr="00745BDD">
        <w:rPr>
          <w:rFonts w:ascii="Arial" w:hAnsi="Arial" w:cs="Arial"/>
          <w:i/>
          <w:sz w:val="24"/>
        </w:rPr>
        <w:t>Bilgames (Gilgamesh) and Huwawa</w:t>
      </w:r>
      <w:r w:rsidRPr="00745BDD">
        <w:rPr>
          <w:rFonts w:ascii="Arial" w:hAnsi="Arial" w:cs="Arial"/>
          <w:sz w:val="24"/>
        </w:rPr>
        <w:t xml:space="preserve"> text, observing references to celestial guidance in Bilgames’ journey.</w:t>
      </w:r>
      <w:r w:rsidRPr="00745BDD">
        <w:rPr>
          <w:rStyle w:val="FootnoteReference"/>
          <w:rFonts w:ascii="Arial" w:hAnsi="Arial" w:cs="Arial"/>
          <w:sz w:val="24"/>
        </w:rPr>
        <w:footnoteReference w:id="63"/>
      </w:r>
    </w:p>
    <w:p w14:paraId="387B463A" w14:textId="77777777" w:rsidR="00A25DE7" w:rsidRPr="00745BDD" w:rsidRDefault="00A25DE7" w:rsidP="00745BDD">
      <w:pPr>
        <w:spacing w:line="360" w:lineRule="auto"/>
        <w:jc w:val="both"/>
        <w:rPr>
          <w:rFonts w:ascii="Arial" w:hAnsi="Arial" w:cs="Arial"/>
          <w:sz w:val="24"/>
        </w:rPr>
      </w:pPr>
      <w:commentRangeStart w:id="101"/>
      <w:r w:rsidRPr="00745BDD">
        <w:rPr>
          <w:rFonts w:ascii="Arial" w:hAnsi="Arial" w:cs="Arial"/>
          <w:sz w:val="24"/>
        </w:rPr>
        <w:t>Before he begins his survey of the possible reflexes of Mesopotamian celestial science in these narrative texts, Cooley offers the following criteria as his basic methodology:</w:t>
      </w:r>
      <w:r w:rsidRPr="00745BDD">
        <w:rPr>
          <w:rStyle w:val="FootnoteReference"/>
          <w:rFonts w:ascii="Arial" w:hAnsi="Arial" w:cs="Arial"/>
          <w:sz w:val="24"/>
        </w:rPr>
        <w:footnoteReference w:id="64"/>
      </w:r>
      <w:commentRangeEnd w:id="101"/>
      <w:r w:rsidR="00BE076E">
        <w:rPr>
          <w:rStyle w:val="CommentReference"/>
        </w:rPr>
        <w:commentReference w:id="101"/>
      </w:r>
    </w:p>
    <w:p w14:paraId="6C41E068" w14:textId="77777777" w:rsidR="00A25DE7" w:rsidRPr="00745BDD" w:rsidRDefault="00A25DE7" w:rsidP="00745BDD">
      <w:pPr>
        <w:numPr>
          <w:ilvl w:val="0"/>
          <w:numId w:val="31"/>
          <w:numberingChange w:id="102" w:author="Dorian" w:date="2015-11-20T19:28:00Z" w:original="%1:1:0:."/>
        </w:numPr>
        <w:spacing w:line="240" w:lineRule="auto"/>
        <w:ind w:left="714" w:hanging="357"/>
        <w:jc w:val="both"/>
        <w:rPr>
          <w:rFonts w:ascii="Arial" w:hAnsi="Arial" w:cs="Arial"/>
          <w:sz w:val="24"/>
        </w:rPr>
      </w:pPr>
      <w:r w:rsidRPr="00745BDD">
        <w:rPr>
          <w:rFonts w:ascii="Arial" w:hAnsi="Arial" w:cs="Arial"/>
          <w:sz w:val="24"/>
        </w:rPr>
        <w:t xml:space="preserve">For Cooley, a text must feature an astral/celestial being or phenomenon. Because some deities are identified with celestial features on a basic level (ie. Istar etc.), the text must feature the deity specifically in his or her astral manifestation, at least partly. Again because some deities are fundamentally identified with celestial features, mere epithets that refer to them in their astral manifestations are insufficient. </w:t>
      </w:r>
    </w:p>
    <w:p w14:paraId="364ADE9B" w14:textId="77777777" w:rsidR="00A25DE7" w:rsidRPr="00745BDD" w:rsidRDefault="00A25DE7" w:rsidP="00745BDD">
      <w:pPr>
        <w:numPr>
          <w:ilvl w:val="0"/>
          <w:numId w:val="31"/>
          <w:numberingChange w:id="103" w:author="Dorian" w:date="2015-11-20T19:28:00Z" w:original="%1:1:0:."/>
        </w:numPr>
        <w:spacing w:line="240" w:lineRule="auto"/>
        <w:ind w:left="714" w:hanging="357"/>
        <w:jc w:val="both"/>
        <w:rPr>
          <w:rFonts w:ascii="Arial" w:hAnsi="Arial" w:cs="Arial"/>
          <w:sz w:val="24"/>
        </w:rPr>
      </w:pPr>
      <w:r w:rsidRPr="00745BDD">
        <w:rPr>
          <w:rFonts w:ascii="Arial" w:hAnsi="Arial" w:cs="Arial"/>
          <w:sz w:val="24"/>
        </w:rPr>
        <w:t>For Cooley, a text must feature terminology that is commonly found in contemporary celestial-science texts.</w:t>
      </w:r>
    </w:p>
    <w:p w14:paraId="714ABEA4" w14:textId="77777777" w:rsidR="00A25DE7" w:rsidRPr="00745BDD" w:rsidRDefault="00A25DE7" w:rsidP="00745BDD">
      <w:pPr>
        <w:numPr>
          <w:ilvl w:val="0"/>
          <w:numId w:val="31"/>
          <w:numberingChange w:id="104" w:author="Dorian" w:date="2015-11-20T19:28:00Z" w:original="%1:1:0:."/>
        </w:numPr>
        <w:spacing w:line="240" w:lineRule="auto"/>
        <w:ind w:left="714" w:hanging="357"/>
        <w:jc w:val="both"/>
        <w:rPr>
          <w:rFonts w:ascii="Arial" w:hAnsi="Arial" w:cs="Arial"/>
          <w:sz w:val="24"/>
        </w:rPr>
      </w:pPr>
      <w:r w:rsidRPr="00745BDD">
        <w:rPr>
          <w:rFonts w:ascii="Arial" w:hAnsi="Arial" w:cs="Arial"/>
          <w:sz w:val="24"/>
        </w:rPr>
        <w:t>For Cooley, a text must feature concepts that are demonstrably known and used in contemporary celestial-science texts and not simply be inferred.</w:t>
      </w:r>
    </w:p>
    <w:p w14:paraId="5B808DB7" w14:textId="77777777" w:rsidR="00A25DE7" w:rsidRPr="00745BDD" w:rsidRDefault="00A25DE7" w:rsidP="00745BDD">
      <w:pPr>
        <w:spacing w:line="360" w:lineRule="auto"/>
        <w:jc w:val="both"/>
        <w:rPr>
          <w:rFonts w:ascii="Arial" w:hAnsi="Arial" w:cs="Arial"/>
          <w:b/>
          <w:sz w:val="24"/>
        </w:rPr>
      </w:pPr>
      <w:r w:rsidRPr="00745BDD">
        <w:rPr>
          <w:rFonts w:ascii="Arial" w:hAnsi="Arial" w:cs="Arial"/>
          <w:sz w:val="24"/>
        </w:rPr>
        <w:t xml:space="preserve">However, it is important to note that the strictness </w:t>
      </w:r>
      <w:commentRangeStart w:id="105"/>
      <w:r w:rsidRPr="00745BDD">
        <w:rPr>
          <w:rFonts w:ascii="Arial" w:hAnsi="Arial" w:cs="Arial"/>
          <w:sz w:val="24"/>
        </w:rPr>
        <w:t xml:space="preserve">of this criterion derives from </w:t>
      </w:r>
      <w:commentRangeEnd w:id="105"/>
      <w:r w:rsidR="007F26B1">
        <w:rPr>
          <w:rStyle w:val="CommentReference"/>
        </w:rPr>
        <w:commentReference w:id="105"/>
      </w:r>
      <w:r w:rsidRPr="00745BDD">
        <w:rPr>
          <w:rFonts w:ascii="Arial" w:hAnsi="Arial" w:cs="Arial"/>
          <w:sz w:val="24"/>
        </w:rPr>
        <w:t xml:space="preserve">Cooley’s preoccupation with avoiding the charge of pan-Babylonian sympathies, something which he defends himself against repeatedly </w:t>
      </w:r>
      <w:commentRangeStart w:id="106"/>
      <w:r w:rsidRPr="00745BDD">
        <w:rPr>
          <w:rFonts w:ascii="Arial" w:hAnsi="Arial" w:cs="Arial"/>
          <w:sz w:val="24"/>
        </w:rPr>
        <w:t>throughout the book.</w:t>
      </w:r>
      <w:r w:rsidRPr="00745BDD">
        <w:rPr>
          <w:rStyle w:val="FootnoteReference"/>
          <w:rFonts w:ascii="Arial" w:hAnsi="Arial" w:cs="Arial"/>
          <w:sz w:val="24"/>
        </w:rPr>
        <w:footnoteReference w:id="65"/>
      </w:r>
      <w:r w:rsidRPr="00745BDD">
        <w:rPr>
          <w:rFonts w:ascii="Arial" w:hAnsi="Arial" w:cs="Arial"/>
          <w:sz w:val="24"/>
        </w:rPr>
        <w:t xml:space="preserve"> </w:t>
      </w:r>
      <w:commentRangeEnd w:id="106"/>
      <w:r w:rsidR="007F26B1">
        <w:rPr>
          <w:rStyle w:val="CommentReference"/>
        </w:rPr>
        <w:commentReference w:id="106"/>
      </w:r>
      <w:r w:rsidRPr="00745BDD">
        <w:rPr>
          <w:rFonts w:ascii="Arial" w:hAnsi="Arial" w:cs="Arial"/>
          <w:sz w:val="24"/>
        </w:rPr>
        <w:t>This is a charge which Martin West dismisses as ‘mildewed’ in face of the evidence that ‘Greece was never sealed off from the East, and received impulses from that direction at most periods’, ‘impulses’ which saw ‘the Greek poets’ debts to Near Eastern traditions go far beyond what can be accounted for from casual commercial contacts’.</w:t>
      </w:r>
      <w:r w:rsidRPr="00745BDD">
        <w:rPr>
          <w:rStyle w:val="FootnoteReference"/>
          <w:rFonts w:ascii="Arial" w:hAnsi="Arial" w:cs="Arial"/>
          <w:sz w:val="24"/>
        </w:rPr>
        <w:footnoteReference w:id="66"/>
      </w:r>
      <w:r w:rsidRPr="00745BDD">
        <w:rPr>
          <w:rFonts w:ascii="Arial" w:hAnsi="Arial" w:cs="Arial"/>
          <w:sz w:val="24"/>
        </w:rPr>
        <w:t xml:space="preserve">  In short, whilst Cooley’s defense against, and modernised adaption of, the pan-Babylonian school is admirable, the evidence gathered in support of Near Eastern influence on Greek culture (as demonstrated by the likes of West and Burkert) is </w:t>
      </w:r>
      <w:commentRangeStart w:id="107"/>
      <w:r w:rsidRPr="00745BDD">
        <w:rPr>
          <w:rFonts w:ascii="Arial" w:hAnsi="Arial" w:cs="Arial"/>
          <w:sz w:val="24"/>
        </w:rPr>
        <w:t xml:space="preserve">sufficient to withstand any allegation of pan-Babylonianoverzealous misidentification of celestial parallels. </w:t>
      </w:r>
      <w:commentRangeEnd w:id="107"/>
      <w:r w:rsidR="007F26B1">
        <w:rPr>
          <w:rStyle w:val="CommentReference"/>
        </w:rPr>
        <w:commentReference w:id="107"/>
      </w:r>
    </w:p>
    <w:p w14:paraId="6DC9944C"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lastRenderedPageBreak/>
        <w:t xml:space="preserve">The demonstration of the presence of celestial knowledge in Mesopotamian poetry (Cooley) combined with the previous establishment of Mesopotamian literary influence upon the works of Homer (Section 1.b.ii) provides the relevant background for the justification of this thesis. Namely, the exploration of celestial imagery within the literary mythology of the Western Asiatic, specifically the </w:t>
      </w:r>
      <w:r w:rsidRPr="00745BDD">
        <w:rPr>
          <w:rFonts w:ascii="Arial" w:hAnsi="Arial" w:cs="Arial"/>
          <w:i/>
          <w:sz w:val="24"/>
        </w:rPr>
        <w:t>Epic of Gilgamesh</w:t>
      </w:r>
      <w:r w:rsidRPr="00745BDD">
        <w:rPr>
          <w:rFonts w:ascii="Arial" w:hAnsi="Arial" w:cs="Arial"/>
          <w:sz w:val="24"/>
        </w:rPr>
        <w:t xml:space="preserve">,and their parallels within Homer’s </w:t>
      </w:r>
      <w:r w:rsidRPr="00745BDD">
        <w:rPr>
          <w:rFonts w:ascii="Arial" w:hAnsi="Arial" w:cs="Arial"/>
          <w:i/>
          <w:sz w:val="24"/>
        </w:rPr>
        <w:t xml:space="preserve">Odyssey </w:t>
      </w:r>
      <w:r w:rsidRPr="00745BDD">
        <w:rPr>
          <w:rFonts w:ascii="Arial" w:hAnsi="Arial" w:cs="Arial"/>
          <w:sz w:val="24"/>
        </w:rPr>
        <w:t xml:space="preserve">which could plausibly demonstrate Near Eastern influence on Homeric </w:t>
      </w:r>
      <w:commentRangeStart w:id="108"/>
      <w:r w:rsidRPr="00745BDD">
        <w:rPr>
          <w:rFonts w:ascii="Arial" w:hAnsi="Arial" w:cs="Arial"/>
          <w:sz w:val="24"/>
        </w:rPr>
        <w:t>cosmology.</w:t>
      </w:r>
      <w:commentRangeEnd w:id="108"/>
      <w:r w:rsidR="00765D5D">
        <w:rPr>
          <w:rStyle w:val="CommentReference"/>
        </w:rPr>
        <w:commentReference w:id="108"/>
      </w:r>
    </w:p>
    <w:p w14:paraId="694B1A3F" w14:textId="77777777" w:rsidR="00A25DE7" w:rsidRPr="00745BDD" w:rsidRDefault="00A25DE7" w:rsidP="003B4DBF">
      <w:pPr>
        <w:spacing w:line="240" w:lineRule="auto"/>
        <w:contextualSpacing/>
        <w:jc w:val="center"/>
        <w:rPr>
          <w:rFonts w:ascii="Arial" w:hAnsi="Arial" w:cs="Arial"/>
          <w:b/>
        </w:rPr>
      </w:pPr>
      <w:r w:rsidRPr="00745BDD">
        <w:rPr>
          <w:rFonts w:ascii="Arial" w:hAnsi="Arial" w:cs="Arial"/>
          <w:b/>
        </w:rPr>
        <w:br/>
        <w:t>*</w:t>
      </w:r>
    </w:p>
    <w:p w14:paraId="013ADFCC" w14:textId="77777777" w:rsidR="00A25DE7" w:rsidRPr="00745BDD" w:rsidRDefault="00A25DE7" w:rsidP="006F4BCE">
      <w:pPr>
        <w:jc w:val="both"/>
        <w:rPr>
          <w:rFonts w:ascii="Arial" w:hAnsi="Arial" w:cs="Arial"/>
          <w:b/>
          <w:i/>
          <w:sz w:val="24"/>
        </w:rPr>
      </w:pPr>
      <w:r w:rsidRPr="00745BDD">
        <w:rPr>
          <w:rFonts w:ascii="Arial" w:hAnsi="Arial" w:cs="Arial"/>
          <w:b/>
          <w:i/>
          <w:sz w:val="24"/>
        </w:rPr>
        <w:t>Section Three: Methodology and Sources</w:t>
      </w:r>
    </w:p>
    <w:p w14:paraId="4AA840B8" w14:textId="77777777" w:rsidR="00A25DE7" w:rsidRPr="00745BDD" w:rsidRDefault="00A25DE7" w:rsidP="003B4DBF">
      <w:pPr>
        <w:pStyle w:val="ListParagraph"/>
        <w:numPr>
          <w:ilvl w:val="0"/>
          <w:numId w:val="37"/>
          <w:numberingChange w:id="109" w:author="Dorian" w:date="2015-11-20T19:28:00Z" w:original="%1:1:4:."/>
        </w:numPr>
        <w:jc w:val="both"/>
        <w:rPr>
          <w:rFonts w:ascii="Arial" w:hAnsi="Arial" w:cs="Arial"/>
          <w:b/>
          <w:i/>
          <w:sz w:val="24"/>
        </w:rPr>
      </w:pPr>
      <w:commentRangeStart w:id="110"/>
      <w:r w:rsidRPr="00745BDD">
        <w:rPr>
          <w:rFonts w:ascii="Arial" w:hAnsi="Arial" w:cs="Arial"/>
          <w:b/>
          <w:i/>
          <w:sz w:val="24"/>
        </w:rPr>
        <w:t>Methodology</w:t>
      </w:r>
      <w:commentRangeEnd w:id="110"/>
      <w:r w:rsidR="00765D5D">
        <w:rPr>
          <w:rStyle w:val="CommentReference"/>
        </w:rPr>
        <w:commentReference w:id="110"/>
      </w:r>
    </w:p>
    <w:p w14:paraId="33C7A1BF"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The approach of this thesis combines both primary and secondary research. As outlined above, the secondary research utilises the works of West and Cooley in order to establish both the presence of literary influence from Western Asiatic onto early Archaic Greek literature and the presences of astronomical knowledge and symbolism within Near Eastern Literary texts (through West and Cooley respectively). The primary research will involve a combination of their approaches applied to the works of Homer (chiefly the </w:t>
      </w:r>
      <w:r w:rsidRPr="00745BDD">
        <w:rPr>
          <w:rFonts w:ascii="Arial" w:hAnsi="Arial" w:cs="Arial"/>
          <w:i/>
          <w:sz w:val="24"/>
        </w:rPr>
        <w:t>Odyssey</w:t>
      </w:r>
      <w:r w:rsidRPr="00745BDD">
        <w:rPr>
          <w:rFonts w:ascii="Arial" w:hAnsi="Arial" w:cs="Arial"/>
          <w:sz w:val="24"/>
        </w:rPr>
        <w:t xml:space="preserve">) in order to examine the extent to which an astral tradition or symbolism was also carried over from the Western Asiatic texts into the Greek. In order to achieve this, parallels between Homer’s </w:t>
      </w:r>
      <w:r w:rsidRPr="00745BDD">
        <w:rPr>
          <w:rFonts w:ascii="Arial" w:hAnsi="Arial" w:cs="Arial"/>
          <w:i/>
          <w:sz w:val="24"/>
        </w:rPr>
        <w:t xml:space="preserve">Odyssey </w:t>
      </w:r>
      <w:r w:rsidRPr="00745BDD">
        <w:rPr>
          <w:rFonts w:ascii="Arial" w:hAnsi="Arial" w:cs="Arial"/>
          <w:sz w:val="24"/>
        </w:rPr>
        <w:t xml:space="preserve">and the literature of the Western Asiatic will be studied under the three categories established in Section 1.b.ii above, namely; literary techniques and tropes, specific character studies, and extended sequences. These parallels will be scrutinised for specific astral, cosmic, or celestial content including those outlined in </w:t>
      </w:r>
      <w:commentRangeStart w:id="111"/>
      <w:r w:rsidRPr="00745BDD">
        <w:rPr>
          <w:rFonts w:ascii="Arial" w:hAnsi="Arial" w:cs="Arial"/>
          <w:sz w:val="24"/>
        </w:rPr>
        <w:t xml:space="preserve">Cooley’s methodology </w:t>
      </w:r>
      <w:commentRangeEnd w:id="111"/>
      <w:r w:rsidR="00765D5D">
        <w:rPr>
          <w:rStyle w:val="CommentReference"/>
        </w:rPr>
        <w:commentReference w:id="111"/>
      </w:r>
      <w:r w:rsidRPr="00745BDD">
        <w:rPr>
          <w:rFonts w:ascii="Arial" w:hAnsi="Arial" w:cs="Arial"/>
          <w:sz w:val="24"/>
        </w:rPr>
        <w:t xml:space="preserve">(Section 2.b. above) such as; astral/celestial beings or phenomena, and contemporary astronomical terminology or concepts. An outline of these phenomena, terminology and concepts as they existed within the Mesopotamian tradition is presented in Section 2.a. above.  </w:t>
      </w:r>
    </w:p>
    <w:p w14:paraId="0C94E598"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The possibility that any astral content contained within the Homeric epics may originate from pre-existing Greek traditions is of course present. However, the general opinion of historians of astronomy and astrology is that the Greek-</w:t>
      </w:r>
      <w:r w:rsidRPr="00745BDD">
        <w:rPr>
          <w:rFonts w:ascii="Arial" w:hAnsi="Arial" w:cs="Arial"/>
          <w:sz w:val="24"/>
        </w:rPr>
        <w:lastRenderedPageBreak/>
        <w:t>speaking peoples owed much of its debt of astronomical knowledge to the Near East, including celestial observations, mathematics, divination, and the foundational features of horoscopic astrology.</w:t>
      </w:r>
      <w:r w:rsidRPr="00745BDD">
        <w:rPr>
          <w:rStyle w:val="FootnoteReference"/>
          <w:rFonts w:ascii="Arial" w:hAnsi="Arial" w:cs="Arial"/>
          <w:sz w:val="24"/>
        </w:rPr>
        <w:footnoteReference w:id="67"/>
      </w:r>
      <w:r w:rsidRPr="00745BDD">
        <w:rPr>
          <w:rFonts w:ascii="Arial" w:hAnsi="Arial" w:cs="Arial"/>
          <w:sz w:val="24"/>
        </w:rPr>
        <w:t xml:space="preserve"> That is not to say that the Greeks did not have some of their own astronomical or cosmological knowledge at the time of Homer and Hesiod. Yet, the earliest record of Greek cosmology and cosmogony, Hesiod’s </w:t>
      </w:r>
      <w:r w:rsidRPr="00745BDD">
        <w:rPr>
          <w:rFonts w:ascii="Arial" w:hAnsi="Arial" w:cs="Arial"/>
          <w:i/>
          <w:sz w:val="24"/>
        </w:rPr>
        <w:t>Theogony</w:t>
      </w:r>
      <w:r w:rsidRPr="00745BDD">
        <w:rPr>
          <w:rFonts w:ascii="Arial" w:hAnsi="Arial" w:cs="Arial"/>
          <w:sz w:val="24"/>
        </w:rPr>
        <w:t>, has already been shown to owe much to Near Eastern literature.</w:t>
      </w:r>
      <w:r w:rsidRPr="00745BDD">
        <w:rPr>
          <w:rStyle w:val="FootnoteReference"/>
          <w:rFonts w:ascii="Arial" w:hAnsi="Arial" w:cs="Arial"/>
          <w:sz w:val="24"/>
        </w:rPr>
        <w:footnoteReference w:id="68"/>
      </w:r>
      <w:r w:rsidRPr="00745BDD">
        <w:rPr>
          <w:rFonts w:ascii="Arial" w:hAnsi="Arial" w:cs="Arial"/>
          <w:sz w:val="24"/>
        </w:rPr>
        <w:t xml:space="preserve"> Thus it seems likely that, if the literary techniques and tropes, specific character studies, and extended sequences examined in this study already contain parallels with the Near Eastern oeuvre, then </w:t>
      </w:r>
      <w:commentRangeStart w:id="112"/>
      <w:r w:rsidRPr="00745BDD">
        <w:rPr>
          <w:rFonts w:ascii="Arial" w:hAnsi="Arial" w:cs="Arial"/>
          <w:sz w:val="24"/>
        </w:rPr>
        <w:t>any astral content therein is likely to have also originated in the East</w:t>
      </w:r>
      <w:commentRangeEnd w:id="112"/>
      <w:r>
        <w:rPr>
          <w:rStyle w:val="CommentReference"/>
        </w:rPr>
        <w:commentReference w:id="112"/>
      </w:r>
      <w:r w:rsidRPr="00745BDD">
        <w:rPr>
          <w:rFonts w:ascii="Arial" w:hAnsi="Arial" w:cs="Arial"/>
          <w:sz w:val="24"/>
        </w:rPr>
        <w:t xml:space="preserve">. </w:t>
      </w:r>
    </w:p>
    <w:p w14:paraId="4738BD74" w14:textId="77777777" w:rsidR="00A25DE7" w:rsidRDefault="00A25DE7" w:rsidP="00745BDD">
      <w:pPr>
        <w:pStyle w:val="ListParagraph"/>
        <w:numPr>
          <w:ilvl w:val="0"/>
          <w:numId w:val="37"/>
          <w:numberingChange w:id="113" w:author="Dorian" w:date="2015-11-20T19:28:00Z" w:original="%1:2:4:."/>
        </w:numPr>
        <w:jc w:val="both"/>
        <w:rPr>
          <w:rFonts w:ascii="Arial" w:hAnsi="Arial" w:cs="Arial"/>
          <w:b/>
          <w:i/>
          <w:sz w:val="24"/>
        </w:rPr>
      </w:pPr>
      <w:r w:rsidRPr="00745BDD">
        <w:rPr>
          <w:rFonts w:ascii="Arial" w:hAnsi="Arial" w:cs="Arial"/>
          <w:b/>
          <w:i/>
          <w:sz w:val="24"/>
        </w:rPr>
        <w:t>Notes on Sources</w:t>
      </w:r>
    </w:p>
    <w:p w14:paraId="66C8DEAF" w14:textId="77777777" w:rsidR="00A25DE7" w:rsidRPr="00745BDD" w:rsidRDefault="00A25DE7" w:rsidP="00745BDD">
      <w:pPr>
        <w:pStyle w:val="ListParagraph"/>
        <w:ind w:left="1080"/>
        <w:jc w:val="both"/>
        <w:rPr>
          <w:rFonts w:ascii="Arial" w:hAnsi="Arial" w:cs="Arial"/>
          <w:b/>
          <w:i/>
          <w:sz w:val="24"/>
        </w:rPr>
      </w:pPr>
    </w:p>
    <w:p w14:paraId="4313CDB8" w14:textId="77777777" w:rsidR="00A25DE7" w:rsidRPr="00745BDD" w:rsidRDefault="00A25DE7" w:rsidP="00745BDD">
      <w:pPr>
        <w:pStyle w:val="ListParagraph"/>
        <w:numPr>
          <w:ilvl w:val="1"/>
          <w:numId w:val="44"/>
          <w:numberingChange w:id="114" w:author="Dorian" w:date="2015-11-20T19:28:00Z" w:original="%2:1:2:."/>
        </w:numPr>
        <w:jc w:val="both"/>
        <w:rPr>
          <w:rFonts w:ascii="Arial" w:hAnsi="Arial" w:cs="Arial"/>
          <w:b/>
          <w:i/>
          <w:sz w:val="24"/>
        </w:rPr>
      </w:pPr>
      <w:r w:rsidRPr="00745BDD">
        <w:rPr>
          <w:rFonts w:ascii="Arial" w:hAnsi="Arial" w:cs="Arial"/>
          <w:b/>
          <w:i/>
          <w:sz w:val="24"/>
        </w:rPr>
        <w:t xml:space="preserve">Homer’s </w:t>
      </w:r>
      <w:r w:rsidRPr="00745BDD">
        <w:rPr>
          <w:rFonts w:ascii="Arial" w:hAnsi="Arial" w:cs="Arial"/>
          <w:b/>
          <w:sz w:val="24"/>
        </w:rPr>
        <w:t xml:space="preserve">Odyssey </w:t>
      </w:r>
    </w:p>
    <w:p w14:paraId="69C7E621" w14:textId="77777777" w:rsidR="00A25DE7" w:rsidRDefault="00A25DE7" w:rsidP="00745BDD">
      <w:pPr>
        <w:spacing w:line="360" w:lineRule="auto"/>
        <w:jc w:val="both"/>
        <w:rPr>
          <w:rFonts w:ascii="Arial" w:hAnsi="Arial" w:cs="Arial"/>
          <w:sz w:val="24"/>
          <w:szCs w:val="24"/>
        </w:rPr>
      </w:pPr>
      <w:r w:rsidRPr="00745BDD">
        <w:rPr>
          <w:rFonts w:ascii="Arial" w:hAnsi="Arial" w:cs="Arial"/>
          <w:sz w:val="24"/>
          <w:szCs w:val="24"/>
        </w:rPr>
        <w:t xml:space="preserve">The texts of Homer and Hesiod are examined in original Greek during primary research. However, for the purpose of clarity extracts are presented in English </w:t>
      </w:r>
      <w:commentRangeStart w:id="115"/>
      <w:r w:rsidRPr="00745BDD">
        <w:rPr>
          <w:rFonts w:ascii="Arial" w:hAnsi="Arial" w:cs="Arial"/>
          <w:sz w:val="24"/>
          <w:szCs w:val="24"/>
        </w:rPr>
        <w:t>for the reader’s benefit</w:t>
      </w:r>
      <w:commentRangeEnd w:id="115"/>
      <w:r>
        <w:rPr>
          <w:rStyle w:val="CommentReference"/>
        </w:rPr>
        <w:commentReference w:id="115"/>
      </w:r>
      <w:r w:rsidRPr="00745BDD">
        <w:rPr>
          <w:rFonts w:ascii="Arial" w:hAnsi="Arial" w:cs="Arial"/>
          <w:sz w:val="24"/>
          <w:szCs w:val="24"/>
        </w:rPr>
        <w:t xml:space="preserve">. These extracts primarily combine the works of Nagy and Lattimore, though the </w:t>
      </w:r>
      <w:commentRangeStart w:id="116"/>
      <w:r w:rsidRPr="00745BDD">
        <w:rPr>
          <w:rFonts w:ascii="Arial" w:hAnsi="Arial" w:cs="Arial"/>
          <w:sz w:val="24"/>
          <w:szCs w:val="24"/>
        </w:rPr>
        <w:t>authors</w:t>
      </w:r>
      <w:commentRangeEnd w:id="116"/>
      <w:r>
        <w:rPr>
          <w:rStyle w:val="CommentReference"/>
        </w:rPr>
        <w:commentReference w:id="116"/>
      </w:r>
      <w:r w:rsidRPr="00745BDD">
        <w:rPr>
          <w:rFonts w:ascii="Arial" w:hAnsi="Arial" w:cs="Arial"/>
          <w:sz w:val="24"/>
          <w:szCs w:val="24"/>
        </w:rPr>
        <w:t xml:space="preserve"> own translations are used in some instances in order to provide the most precise wording possible.</w:t>
      </w:r>
      <w:r w:rsidRPr="00745BDD">
        <w:rPr>
          <w:rStyle w:val="FootnoteReference"/>
          <w:rFonts w:ascii="Arial" w:hAnsi="Arial" w:cs="Arial"/>
          <w:sz w:val="24"/>
          <w:szCs w:val="24"/>
        </w:rPr>
        <w:footnoteReference w:id="69"/>
      </w:r>
      <w:r w:rsidRPr="00745BDD">
        <w:rPr>
          <w:rFonts w:ascii="Arial" w:hAnsi="Arial" w:cs="Arial"/>
          <w:sz w:val="24"/>
          <w:szCs w:val="24"/>
        </w:rPr>
        <w:t xml:space="preserve"> These are indicated where used. Original Greek will also be included for clarity where necessary, or where linguistic roots/points of comparison are being considered.  </w:t>
      </w:r>
    </w:p>
    <w:p w14:paraId="34D47B79" w14:textId="77777777" w:rsidR="00A25DE7" w:rsidRPr="00745BDD" w:rsidRDefault="00A25DE7" w:rsidP="00745BDD">
      <w:pPr>
        <w:spacing w:line="360" w:lineRule="auto"/>
        <w:jc w:val="both"/>
        <w:rPr>
          <w:rFonts w:ascii="Arial" w:hAnsi="Arial" w:cs="Arial"/>
          <w:sz w:val="24"/>
          <w:szCs w:val="24"/>
        </w:rPr>
      </w:pPr>
    </w:p>
    <w:p w14:paraId="5691919E" w14:textId="77777777" w:rsidR="00A25DE7" w:rsidRPr="00745BDD" w:rsidRDefault="00A25DE7" w:rsidP="00745BDD">
      <w:pPr>
        <w:pStyle w:val="ListParagraph"/>
        <w:numPr>
          <w:ilvl w:val="1"/>
          <w:numId w:val="44"/>
          <w:numberingChange w:id="117" w:author="Dorian" w:date="2015-11-20T19:28:00Z" w:original="%2:2:2:."/>
        </w:numPr>
        <w:jc w:val="both"/>
        <w:rPr>
          <w:rFonts w:ascii="Arial" w:hAnsi="Arial" w:cs="Arial"/>
          <w:b/>
          <w:i/>
          <w:sz w:val="24"/>
        </w:rPr>
      </w:pPr>
      <w:r w:rsidRPr="00745BDD">
        <w:rPr>
          <w:rFonts w:ascii="Arial" w:hAnsi="Arial" w:cs="Arial"/>
          <w:b/>
          <w:i/>
          <w:sz w:val="24"/>
        </w:rPr>
        <w:lastRenderedPageBreak/>
        <w:t>The Epic of</w:t>
      </w:r>
      <w:r w:rsidRPr="00745BDD">
        <w:rPr>
          <w:rFonts w:ascii="Arial" w:hAnsi="Arial" w:cs="Arial"/>
          <w:b/>
          <w:sz w:val="24"/>
        </w:rPr>
        <w:t xml:space="preserve"> Gilgamesh</w:t>
      </w:r>
      <w:r w:rsidRPr="00745BDD">
        <w:rPr>
          <w:rFonts w:ascii="Arial" w:hAnsi="Arial" w:cs="Arial"/>
          <w:b/>
          <w:i/>
          <w:sz w:val="24"/>
        </w:rPr>
        <w:t xml:space="preserve"> and </w:t>
      </w:r>
      <w:r w:rsidRPr="00745BDD">
        <w:rPr>
          <w:rFonts w:ascii="Arial" w:hAnsi="Arial" w:cs="Arial"/>
          <w:b/>
          <w:sz w:val="24"/>
        </w:rPr>
        <w:t>Miscellanea Orientalia</w:t>
      </w:r>
    </w:p>
    <w:p w14:paraId="298C513D"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The Western Asiatic texts used in this study will be approached in translation, due to the author’s limited familiarity with the various languages and dialects of the Near East. </w:t>
      </w:r>
      <w:commentRangeStart w:id="118"/>
      <w:r w:rsidRPr="00745BDD">
        <w:rPr>
          <w:rFonts w:ascii="Arial" w:hAnsi="Arial" w:cs="Arial"/>
          <w:sz w:val="24"/>
        </w:rPr>
        <w:t xml:space="preserve">In order to avoid as far as possible the pitfalls of working in translation, several differing translations of all texts in question have been used </w:t>
      </w:r>
      <w:commentRangeEnd w:id="118"/>
      <w:r>
        <w:rPr>
          <w:rStyle w:val="CommentReference"/>
        </w:rPr>
        <w:commentReference w:id="118"/>
      </w:r>
      <w:r w:rsidRPr="00745BDD">
        <w:rPr>
          <w:rFonts w:ascii="Arial" w:hAnsi="Arial" w:cs="Arial"/>
          <w:sz w:val="24"/>
        </w:rPr>
        <w:t>in order to provide the truest, or most literal, rendition of the text.</w:t>
      </w:r>
      <w:r w:rsidRPr="00745BDD">
        <w:rPr>
          <w:rStyle w:val="FootnoteReference"/>
          <w:rFonts w:ascii="Arial" w:hAnsi="Arial" w:cs="Arial"/>
          <w:sz w:val="24"/>
        </w:rPr>
        <w:footnoteReference w:id="70"/>
      </w:r>
      <w:r w:rsidRPr="00745BDD">
        <w:rPr>
          <w:rFonts w:ascii="Arial" w:hAnsi="Arial" w:cs="Arial"/>
          <w:sz w:val="24"/>
        </w:rPr>
        <w:t xml:space="preserve"> The ‘as-close-to-original-as-possible’ approach for both Greek and oriental texts is particularly necessary in this study due to the focus on specific meaning and transmission of literary tropes and narrative sections. It is hoped that conclusions drawn and translations made can be confirmed and/or corrected in later study. </w:t>
      </w:r>
    </w:p>
    <w:p w14:paraId="071547C9"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In regards to the presentation of the language in this paper, it is difficult to devise a policy for the spelling of oriental proper names in English text which is satisfactory to all readers – Sargon, for example, is more familiar but less correct that Šarrukīn. Similarly, it seems acceptable to write Ishtar, Shamash, or Gilgamesh with ‘sh’ rather than </w:t>
      </w:r>
      <w:r w:rsidRPr="00745BDD">
        <w:rPr>
          <w:rFonts w:ascii="Arial" w:hAnsi="Arial" w:cs="Arial"/>
          <w:i/>
          <w:sz w:val="24"/>
        </w:rPr>
        <w:t>š</w:t>
      </w:r>
      <w:r w:rsidRPr="00745BDD">
        <w:rPr>
          <w:rFonts w:ascii="Arial" w:hAnsi="Arial" w:cs="Arial"/>
          <w:sz w:val="24"/>
        </w:rPr>
        <w:t xml:space="preserve">. Oriental words will be presented in whatever spelling is most familiar, with the hope that this versatile approach does not prove distracting. Greek names, when written in English, will also be presented where possible in the Anglicised form – Telemachus, rather than Telemakhos for example. Both of these decisions are designed to prioritise the </w:t>
      </w:r>
      <w:commentRangeStart w:id="119"/>
      <w:r w:rsidRPr="00745BDD">
        <w:rPr>
          <w:rFonts w:ascii="Arial" w:hAnsi="Arial" w:cs="Arial"/>
          <w:sz w:val="24"/>
        </w:rPr>
        <w:t>readers</w:t>
      </w:r>
      <w:commentRangeEnd w:id="119"/>
      <w:r>
        <w:rPr>
          <w:rStyle w:val="CommentReference"/>
        </w:rPr>
        <w:commentReference w:id="119"/>
      </w:r>
      <w:r w:rsidRPr="00745BDD">
        <w:rPr>
          <w:rFonts w:ascii="Arial" w:hAnsi="Arial" w:cs="Arial"/>
          <w:sz w:val="24"/>
        </w:rPr>
        <w:t xml:space="preserve"> ease and comprehension over academic pedantry.  </w:t>
      </w:r>
    </w:p>
    <w:p w14:paraId="566FAD74" w14:textId="77777777" w:rsidR="00A25DE7" w:rsidRPr="00745BDD" w:rsidRDefault="00A25DE7" w:rsidP="00745BDD">
      <w:pPr>
        <w:spacing w:line="360" w:lineRule="auto"/>
        <w:jc w:val="center"/>
        <w:rPr>
          <w:rFonts w:ascii="Arial" w:hAnsi="Arial" w:cs="Arial"/>
          <w:b/>
          <w:sz w:val="24"/>
        </w:rPr>
      </w:pPr>
      <w:r w:rsidRPr="00745BDD">
        <w:rPr>
          <w:rFonts w:ascii="Arial" w:hAnsi="Arial" w:cs="Arial"/>
          <w:sz w:val="24"/>
        </w:rPr>
        <w:t>*</w:t>
      </w:r>
    </w:p>
    <w:p w14:paraId="155E2744" w14:textId="77777777" w:rsidR="00A25DE7" w:rsidRPr="00745BDD" w:rsidRDefault="00A25DE7" w:rsidP="00745BDD">
      <w:pPr>
        <w:spacing w:line="360" w:lineRule="auto"/>
        <w:jc w:val="both"/>
        <w:rPr>
          <w:rFonts w:ascii="Arial" w:hAnsi="Arial" w:cs="Arial"/>
          <w:sz w:val="24"/>
        </w:rPr>
      </w:pPr>
      <w:commentRangeStart w:id="120"/>
      <w:r w:rsidRPr="00745BDD">
        <w:rPr>
          <w:rFonts w:ascii="Arial" w:hAnsi="Arial" w:cs="Arial"/>
          <w:sz w:val="24"/>
        </w:rPr>
        <w:t>In accordance with the methodology outlined above</w:t>
      </w:r>
      <w:commentRangeEnd w:id="120"/>
      <w:r w:rsidR="00FD30D5">
        <w:rPr>
          <w:rStyle w:val="CommentReference"/>
        </w:rPr>
        <w:commentReference w:id="120"/>
      </w:r>
      <w:r w:rsidRPr="00745BDD">
        <w:rPr>
          <w:rFonts w:ascii="Arial" w:hAnsi="Arial" w:cs="Arial"/>
          <w:sz w:val="24"/>
        </w:rPr>
        <w:t xml:space="preserve">, the remainder of this thesis will examine aspects of Homer’s </w:t>
      </w:r>
      <w:r w:rsidRPr="00745BDD">
        <w:rPr>
          <w:rFonts w:ascii="Arial" w:hAnsi="Arial" w:cs="Arial"/>
          <w:i/>
          <w:sz w:val="24"/>
        </w:rPr>
        <w:t>Odyssey</w:t>
      </w:r>
      <w:r w:rsidRPr="00745BDD">
        <w:rPr>
          <w:rFonts w:ascii="Arial" w:hAnsi="Arial" w:cs="Arial"/>
          <w:sz w:val="24"/>
        </w:rPr>
        <w:t xml:space="preserve"> which parallel Western Asiatic literature for astral or cosmological content. The following chapter (Chapter Two) will scrutinise parallels between Homer’s </w:t>
      </w:r>
      <w:r w:rsidRPr="00745BDD">
        <w:rPr>
          <w:rFonts w:ascii="Arial" w:hAnsi="Arial" w:cs="Arial"/>
          <w:i/>
          <w:sz w:val="24"/>
        </w:rPr>
        <w:t xml:space="preserve">Odyssey </w:t>
      </w:r>
      <w:r w:rsidRPr="00745BDD">
        <w:rPr>
          <w:rFonts w:ascii="Arial" w:hAnsi="Arial" w:cs="Arial"/>
          <w:sz w:val="24"/>
        </w:rPr>
        <w:t xml:space="preserve">and </w:t>
      </w:r>
      <w:r w:rsidRPr="00745BDD">
        <w:rPr>
          <w:rFonts w:ascii="Arial" w:hAnsi="Arial" w:cs="Arial"/>
          <w:i/>
          <w:sz w:val="24"/>
        </w:rPr>
        <w:t>The Epic of Gilgamesh</w:t>
      </w:r>
      <w:r w:rsidRPr="00745BDD">
        <w:rPr>
          <w:rFonts w:ascii="Arial" w:hAnsi="Arial" w:cs="Arial"/>
          <w:sz w:val="24"/>
        </w:rPr>
        <w:t xml:space="preserve"> as a prime text already noted for its correspondences with the </w:t>
      </w:r>
      <w:r w:rsidRPr="00745BDD">
        <w:rPr>
          <w:rFonts w:ascii="Arial" w:hAnsi="Arial" w:cs="Arial"/>
          <w:sz w:val="24"/>
        </w:rPr>
        <w:lastRenderedPageBreak/>
        <w:t xml:space="preserve">Homeric corpus. These correspondences will be broken down into the following broad categories: literary techniques and tropes, specific character studies, and extended sequences. The same correspondences will be applied in the next chapter (Chapter Three) but instead they focus on Homeric cosmology and its influences from a wider range of Akkadian and Sumerian sources. Where necessary, examples from Homer’s </w:t>
      </w:r>
      <w:r w:rsidRPr="00745BDD">
        <w:rPr>
          <w:rFonts w:ascii="Arial" w:hAnsi="Arial" w:cs="Arial"/>
          <w:i/>
          <w:sz w:val="24"/>
        </w:rPr>
        <w:t>lliad</w:t>
      </w:r>
      <w:r w:rsidRPr="00745BDD">
        <w:rPr>
          <w:rFonts w:ascii="Arial" w:hAnsi="Arial" w:cs="Arial"/>
          <w:sz w:val="24"/>
        </w:rPr>
        <w:t>, the Hesiodic texts, and other contemporary sources will be employed in order to support specific textual similarities. The thesis will conclude with findings, points of interest, and suggestions for further study.</w:t>
      </w:r>
    </w:p>
    <w:p w14:paraId="5815134C" w14:textId="77777777" w:rsidR="00A25DE7" w:rsidRPr="00745BDD" w:rsidRDefault="00A25DE7" w:rsidP="00FE627E">
      <w:pPr>
        <w:jc w:val="both"/>
        <w:rPr>
          <w:rFonts w:ascii="Arial" w:hAnsi="Arial" w:cs="Arial"/>
        </w:rPr>
      </w:pPr>
    </w:p>
    <w:p w14:paraId="3B924245" w14:textId="77777777" w:rsidR="00A25DE7" w:rsidRPr="00745BDD" w:rsidRDefault="00A25DE7" w:rsidP="00FE627E">
      <w:pPr>
        <w:jc w:val="both"/>
        <w:rPr>
          <w:rFonts w:ascii="Arial" w:hAnsi="Arial" w:cs="Arial"/>
        </w:rPr>
      </w:pPr>
    </w:p>
    <w:p w14:paraId="75052DF9" w14:textId="77777777" w:rsidR="00A25DE7" w:rsidRPr="00745BDD" w:rsidRDefault="00A25DE7" w:rsidP="00FE627E">
      <w:pPr>
        <w:jc w:val="both"/>
        <w:rPr>
          <w:rFonts w:ascii="Arial" w:hAnsi="Arial" w:cs="Arial"/>
        </w:rPr>
      </w:pPr>
    </w:p>
    <w:p w14:paraId="62C1B2A6" w14:textId="77777777" w:rsidR="00A25DE7" w:rsidRPr="00745BDD" w:rsidRDefault="00A25DE7" w:rsidP="00FE627E">
      <w:pPr>
        <w:jc w:val="both"/>
        <w:rPr>
          <w:rFonts w:ascii="Arial" w:hAnsi="Arial" w:cs="Arial"/>
        </w:rPr>
      </w:pPr>
    </w:p>
    <w:p w14:paraId="3BEF7A9F" w14:textId="77777777" w:rsidR="00A25DE7" w:rsidRPr="00745BDD" w:rsidRDefault="00A25DE7" w:rsidP="00FE627E">
      <w:pPr>
        <w:jc w:val="both"/>
        <w:rPr>
          <w:rFonts w:ascii="Arial" w:hAnsi="Arial" w:cs="Arial"/>
        </w:rPr>
      </w:pPr>
    </w:p>
    <w:p w14:paraId="6D400A50" w14:textId="77777777" w:rsidR="00A25DE7" w:rsidRPr="00745BDD" w:rsidRDefault="00A25DE7" w:rsidP="00FE627E">
      <w:pPr>
        <w:jc w:val="both"/>
        <w:rPr>
          <w:rFonts w:ascii="Arial" w:hAnsi="Arial" w:cs="Arial"/>
        </w:rPr>
      </w:pPr>
    </w:p>
    <w:p w14:paraId="4CD89620" w14:textId="77777777" w:rsidR="00A25DE7" w:rsidRPr="00745BDD" w:rsidRDefault="00A25DE7" w:rsidP="00FE627E">
      <w:pPr>
        <w:jc w:val="both"/>
        <w:rPr>
          <w:rFonts w:ascii="Arial" w:hAnsi="Arial" w:cs="Arial"/>
        </w:rPr>
      </w:pPr>
    </w:p>
    <w:p w14:paraId="2C04153B" w14:textId="77777777" w:rsidR="00A25DE7" w:rsidRPr="00745BDD" w:rsidRDefault="00A25DE7" w:rsidP="00FE627E">
      <w:pPr>
        <w:jc w:val="both"/>
        <w:rPr>
          <w:rFonts w:ascii="Arial" w:hAnsi="Arial" w:cs="Arial"/>
        </w:rPr>
      </w:pPr>
    </w:p>
    <w:p w14:paraId="33AF367A" w14:textId="77777777" w:rsidR="00A25DE7" w:rsidRPr="00745BDD" w:rsidRDefault="00A25DE7" w:rsidP="00FE627E">
      <w:pPr>
        <w:jc w:val="both"/>
        <w:rPr>
          <w:rFonts w:ascii="Arial" w:hAnsi="Arial" w:cs="Arial"/>
        </w:rPr>
      </w:pPr>
    </w:p>
    <w:p w14:paraId="63C9A914" w14:textId="77777777" w:rsidR="00A25DE7" w:rsidRPr="00745BDD" w:rsidRDefault="00A25DE7" w:rsidP="00FE627E">
      <w:pPr>
        <w:jc w:val="both"/>
        <w:rPr>
          <w:rFonts w:ascii="Arial" w:hAnsi="Arial" w:cs="Arial"/>
        </w:rPr>
      </w:pPr>
    </w:p>
    <w:p w14:paraId="4A685E66" w14:textId="77777777" w:rsidR="00A25DE7" w:rsidRPr="00745BDD" w:rsidRDefault="00A25DE7" w:rsidP="00FE627E">
      <w:pPr>
        <w:jc w:val="both"/>
        <w:rPr>
          <w:rFonts w:ascii="Arial" w:hAnsi="Arial" w:cs="Arial"/>
        </w:rPr>
      </w:pPr>
    </w:p>
    <w:p w14:paraId="20FA4BBE" w14:textId="77777777" w:rsidR="00A25DE7" w:rsidRPr="00745BDD" w:rsidRDefault="00A25DE7" w:rsidP="00FE627E">
      <w:pPr>
        <w:jc w:val="both"/>
        <w:rPr>
          <w:rFonts w:ascii="Arial" w:hAnsi="Arial" w:cs="Arial"/>
        </w:rPr>
      </w:pPr>
    </w:p>
    <w:p w14:paraId="3D3885F3" w14:textId="77777777" w:rsidR="00A25DE7" w:rsidRPr="00745BDD" w:rsidRDefault="00A25DE7" w:rsidP="00FE627E">
      <w:pPr>
        <w:jc w:val="both"/>
        <w:rPr>
          <w:rFonts w:ascii="Arial" w:hAnsi="Arial" w:cs="Arial"/>
        </w:rPr>
      </w:pPr>
    </w:p>
    <w:p w14:paraId="3C779185" w14:textId="77777777" w:rsidR="00A25DE7" w:rsidRPr="00745BDD" w:rsidRDefault="00A25DE7" w:rsidP="00FE627E">
      <w:pPr>
        <w:jc w:val="both"/>
        <w:rPr>
          <w:rFonts w:ascii="Arial" w:hAnsi="Arial" w:cs="Arial"/>
        </w:rPr>
      </w:pPr>
    </w:p>
    <w:p w14:paraId="521677C7" w14:textId="77777777" w:rsidR="00A25DE7" w:rsidRPr="00745BDD" w:rsidRDefault="00A25DE7" w:rsidP="00FE627E">
      <w:pPr>
        <w:jc w:val="both"/>
        <w:rPr>
          <w:rFonts w:ascii="Arial" w:hAnsi="Arial" w:cs="Arial"/>
        </w:rPr>
      </w:pPr>
    </w:p>
    <w:p w14:paraId="42FDECAD" w14:textId="77777777" w:rsidR="00A25DE7" w:rsidRPr="00745BDD" w:rsidRDefault="00A25DE7" w:rsidP="00FE627E">
      <w:pPr>
        <w:jc w:val="both"/>
        <w:rPr>
          <w:rFonts w:ascii="Arial" w:hAnsi="Arial" w:cs="Arial"/>
        </w:rPr>
      </w:pPr>
    </w:p>
    <w:p w14:paraId="226D8B75" w14:textId="77777777" w:rsidR="00A25DE7" w:rsidRPr="00745BDD" w:rsidRDefault="00A25DE7" w:rsidP="00FE627E">
      <w:pPr>
        <w:jc w:val="both"/>
        <w:rPr>
          <w:rFonts w:ascii="Arial" w:hAnsi="Arial" w:cs="Arial"/>
        </w:rPr>
      </w:pPr>
    </w:p>
    <w:p w14:paraId="5F8BBC7A" w14:textId="77777777" w:rsidR="00A25DE7" w:rsidRPr="00745BDD" w:rsidRDefault="00A25DE7" w:rsidP="00FE627E">
      <w:pPr>
        <w:jc w:val="both"/>
        <w:rPr>
          <w:rFonts w:ascii="Arial" w:hAnsi="Arial" w:cs="Arial"/>
        </w:rPr>
      </w:pPr>
    </w:p>
    <w:p w14:paraId="0ECA7E46" w14:textId="77777777" w:rsidR="00A25DE7" w:rsidRPr="00745BDD" w:rsidRDefault="00A25DE7" w:rsidP="00FE627E">
      <w:pPr>
        <w:jc w:val="both"/>
        <w:rPr>
          <w:rFonts w:ascii="Arial" w:hAnsi="Arial" w:cs="Arial"/>
        </w:rPr>
      </w:pPr>
    </w:p>
    <w:p w14:paraId="095AF0C4" w14:textId="77777777" w:rsidR="00A25DE7" w:rsidRPr="00745BDD" w:rsidRDefault="00A25DE7" w:rsidP="00FE627E">
      <w:pPr>
        <w:jc w:val="both"/>
        <w:rPr>
          <w:rFonts w:ascii="Arial" w:hAnsi="Arial" w:cs="Arial"/>
        </w:rPr>
      </w:pPr>
    </w:p>
    <w:p w14:paraId="00D33E90" w14:textId="77777777" w:rsidR="00A25DE7" w:rsidRPr="00745BDD" w:rsidRDefault="00A25DE7" w:rsidP="00745BDD">
      <w:pPr>
        <w:rPr>
          <w:rFonts w:ascii="Arial" w:hAnsi="Arial" w:cs="Arial"/>
          <w:sz w:val="28"/>
          <w:szCs w:val="24"/>
          <w:u w:val="single"/>
        </w:rPr>
      </w:pPr>
      <w:r w:rsidRPr="00745BDD">
        <w:rPr>
          <w:rFonts w:ascii="Arial" w:hAnsi="Arial" w:cs="Arial"/>
          <w:sz w:val="28"/>
          <w:szCs w:val="24"/>
          <w:u w:val="single"/>
        </w:rPr>
        <w:lastRenderedPageBreak/>
        <w:t xml:space="preserve">Chapter Two: Constellations, characters, and calendars in Homer’s </w:t>
      </w:r>
      <w:r w:rsidRPr="00745BDD">
        <w:rPr>
          <w:rFonts w:ascii="Arial" w:hAnsi="Arial" w:cs="Arial"/>
          <w:i/>
          <w:sz w:val="28"/>
          <w:szCs w:val="24"/>
          <w:u w:val="single"/>
        </w:rPr>
        <w:t xml:space="preserve">Odyssey </w:t>
      </w:r>
      <w:r w:rsidRPr="00745BDD">
        <w:rPr>
          <w:rFonts w:ascii="Arial" w:hAnsi="Arial" w:cs="Arial"/>
          <w:sz w:val="28"/>
          <w:szCs w:val="24"/>
          <w:u w:val="single"/>
        </w:rPr>
        <w:t xml:space="preserve">and the Epic of </w:t>
      </w:r>
      <w:r w:rsidRPr="00745BDD">
        <w:rPr>
          <w:rFonts w:ascii="Arial" w:hAnsi="Arial" w:cs="Arial"/>
          <w:i/>
          <w:sz w:val="28"/>
          <w:szCs w:val="24"/>
          <w:u w:val="single"/>
        </w:rPr>
        <w:t>Gilgamesh</w:t>
      </w:r>
    </w:p>
    <w:p w14:paraId="4313C5FF" w14:textId="77777777" w:rsidR="00A25DE7" w:rsidRPr="00745BDD" w:rsidRDefault="00A25DE7" w:rsidP="00AD4707">
      <w:pPr>
        <w:spacing w:line="240" w:lineRule="auto"/>
        <w:contextualSpacing/>
        <w:jc w:val="center"/>
        <w:rPr>
          <w:rFonts w:ascii="Arial" w:hAnsi="Arial" w:cs="Arial"/>
          <w:sz w:val="20"/>
          <w:szCs w:val="20"/>
        </w:rPr>
      </w:pPr>
      <w:r w:rsidRPr="00745BDD">
        <w:rPr>
          <w:rFonts w:ascii="Arial" w:hAnsi="Arial" w:cs="Arial"/>
          <w:sz w:val="20"/>
          <w:szCs w:val="20"/>
        </w:rPr>
        <w:t>‘I will show you Gilgamesh, a man of many moods; you shall look at him well in his</w:t>
      </w:r>
    </w:p>
    <w:p w14:paraId="689F9D81" w14:textId="77777777" w:rsidR="00A25DE7" w:rsidRPr="00745BDD" w:rsidRDefault="00A25DE7" w:rsidP="00AD4707">
      <w:pPr>
        <w:spacing w:line="240" w:lineRule="auto"/>
        <w:contextualSpacing/>
        <w:jc w:val="center"/>
        <w:rPr>
          <w:rFonts w:ascii="Arial" w:hAnsi="Arial" w:cs="Arial"/>
          <w:sz w:val="20"/>
          <w:szCs w:val="20"/>
        </w:rPr>
      </w:pPr>
      <w:r w:rsidRPr="00745BDD">
        <w:rPr>
          <w:rFonts w:ascii="Arial" w:hAnsi="Arial" w:cs="Arial"/>
          <w:sz w:val="20"/>
          <w:szCs w:val="20"/>
        </w:rPr>
        <w:t xml:space="preserve">radiant manhood. […] Shamash the glorious sun has given favours to Gilgamesh, </w:t>
      </w:r>
    </w:p>
    <w:p w14:paraId="4E6A494F" w14:textId="77777777" w:rsidR="00A25DE7" w:rsidRPr="00745BDD" w:rsidRDefault="00A25DE7" w:rsidP="00AD4707">
      <w:pPr>
        <w:spacing w:line="240" w:lineRule="auto"/>
        <w:contextualSpacing/>
        <w:jc w:val="center"/>
        <w:rPr>
          <w:rFonts w:ascii="Arial" w:hAnsi="Arial" w:cs="Arial"/>
          <w:sz w:val="20"/>
          <w:szCs w:val="20"/>
        </w:rPr>
      </w:pPr>
      <w:r w:rsidRPr="00745BDD">
        <w:rPr>
          <w:rFonts w:ascii="Arial" w:hAnsi="Arial" w:cs="Arial"/>
          <w:sz w:val="20"/>
          <w:szCs w:val="20"/>
        </w:rPr>
        <w:t>andAnu of the heavens, and Enlil, and Ea the wise has given him wisdom’.</w:t>
      </w:r>
      <w:r w:rsidRPr="00745BDD">
        <w:rPr>
          <w:rStyle w:val="FootnoteReference"/>
          <w:rFonts w:ascii="Arial" w:hAnsi="Arial" w:cs="Arial"/>
          <w:sz w:val="20"/>
          <w:szCs w:val="20"/>
        </w:rPr>
        <w:footnoteReference w:id="71"/>
      </w:r>
    </w:p>
    <w:p w14:paraId="5E8B47AB" w14:textId="77777777" w:rsidR="00A25DE7" w:rsidRPr="00745BDD" w:rsidRDefault="00A25DE7" w:rsidP="00F970D0">
      <w:pPr>
        <w:jc w:val="both"/>
        <w:rPr>
          <w:rFonts w:ascii="Arial" w:hAnsi="Arial" w:cs="Arial"/>
          <w:b/>
          <w:i/>
          <w:sz w:val="24"/>
        </w:rPr>
      </w:pPr>
    </w:p>
    <w:p w14:paraId="20496183"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A first reading of the </w:t>
      </w:r>
      <w:r w:rsidRPr="00745BDD">
        <w:rPr>
          <w:rFonts w:ascii="Arial" w:hAnsi="Arial" w:cs="Arial"/>
          <w:i/>
          <w:sz w:val="24"/>
        </w:rPr>
        <w:t>Gilgamesh</w:t>
      </w:r>
      <w:r w:rsidRPr="00745BDD">
        <w:rPr>
          <w:rFonts w:ascii="Arial" w:hAnsi="Arial" w:cs="Arial"/>
          <w:sz w:val="24"/>
        </w:rPr>
        <w:t xml:space="preserve"> Epic has often evoked comparison with the Homeric corpus, particularly the </w:t>
      </w:r>
      <w:r w:rsidRPr="00745BDD">
        <w:rPr>
          <w:rFonts w:ascii="Arial" w:hAnsi="Arial" w:cs="Arial"/>
          <w:i/>
          <w:sz w:val="24"/>
        </w:rPr>
        <w:t>Odyssey</w:t>
      </w:r>
      <w:r w:rsidRPr="00745BDD">
        <w:rPr>
          <w:rFonts w:ascii="Arial" w:hAnsi="Arial" w:cs="Arial"/>
          <w:sz w:val="24"/>
        </w:rPr>
        <w:t xml:space="preserve">. Alexander Heidel labelled the </w:t>
      </w:r>
      <w:r w:rsidRPr="00745BDD">
        <w:rPr>
          <w:rFonts w:ascii="Arial" w:hAnsi="Arial" w:cs="Arial"/>
          <w:i/>
          <w:sz w:val="24"/>
        </w:rPr>
        <w:t>Gilgamesh</w:t>
      </w:r>
      <w:r w:rsidRPr="00745BDD">
        <w:rPr>
          <w:rFonts w:ascii="Arial" w:hAnsi="Arial" w:cs="Arial"/>
          <w:sz w:val="24"/>
        </w:rPr>
        <w:t xml:space="preserve"> ‘the </w:t>
      </w:r>
      <w:r w:rsidRPr="00745BDD">
        <w:rPr>
          <w:rFonts w:ascii="Arial" w:hAnsi="Arial" w:cs="Arial"/>
          <w:i/>
          <w:sz w:val="24"/>
        </w:rPr>
        <w:t>Odyssey</w:t>
      </w:r>
      <w:r w:rsidRPr="00745BDD">
        <w:rPr>
          <w:rFonts w:ascii="Arial" w:hAnsi="Arial" w:cs="Arial"/>
          <w:sz w:val="24"/>
        </w:rPr>
        <w:t xml:space="preserve"> of the Babylonians’ whilst Dhorme described it as ‘cette oeuvre magistrale qui devance et annoncel’Odyssée’.</w:t>
      </w:r>
      <w:r w:rsidRPr="00745BDD">
        <w:rPr>
          <w:rStyle w:val="FootnoteReference"/>
          <w:rFonts w:ascii="Arial" w:hAnsi="Arial" w:cs="Arial"/>
          <w:sz w:val="24"/>
        </w:rPr>
        <w:footnoteReference w:id="72"/>
      </w:r>
      <w:r w:rsidRPr="00745BDD">
        <w:rPr>
          <w:rFonts w:ascii="Arial" w:hAnsi="Arial" w:cs="Arial"/>
          <w:sz w:val="24"/>
        </w:rPr>
        <w:t xml:space="preserve"> Comparisons have been made between various features, characters, events and themes of the two texts for more than a century.</w:t>
      </w:r>
      <w:r w:rsidRPr="00745BDD">
        <w:rPr>
          <w:rStyle w:val="FootnoteReference"/>
          <w:rFonts w:ascii="Arial" w:hAnsi="Arial" w:cs="Arial"/>
          <w:sz w:val="24"/>
        </w:rPr>
        <w:footnoteReference w:id="73"/>
      </w:r>
      <w:r w:rsidRPr="00745BDD">
        <w:rPr>
          <w:rFonts w:ascii="Arial" w:hAnsi="Arial" w:cs="Arial"/>
          <w:sz w:val="24"/>
        </w:rPr>
        <w:t xml:space="preserve"> And yet, given the prevalence of astronomically influenced narrative amongst the texts of the Near East, an attempt should be made to discern the extent to which </w:t>
      </w:r>
      <w:commentRangeStart w:id="122"/>
      <w:r w:rsidRPr="00745BDD">
        <w:rPr>
          <w:rFonts w:ascii="Arial" w:hAnsi="Arial" w:cs="Arial"/>
          <w:sz w:val="24"/>
        </w:rPr>
        <w:t xml:space="preserve">Homer’s </w:t>
      </w:r>
      <w:r w:rsidRPr="00745BDD">
        <w:rPr>
          <w:rFonts w:ascii="Arial" w:hAnsi="Arial" w:cs="Arial"/>
          <w:i/>
          <w:sz w:val="24"/>
        </w:rPr>
        <w:t>Odyssey</w:t>
      </w:r>
      <w:r w:rsidRPr="00745BDD">
        <w:rPr>
          <w:rFonts w:ascii="Arial" w:hAnsi="Arial" w:cs="Arial"/>
          <w:sz w:val="24"/>
        </w:rPr>
        <w:t xml:space="preserve"> may have been influenced by celestial content within the </w:t>
      </w:r>
      <w:r w:rsidRPr="00745BDD">
        <w:rPr>
          <w:rFonts w:ascii="Arial" w:hAnsi="Arial" w:cs="Arial"/>
          <w:i/>
          <w:sz w:val="24"/>
        </w:rPr>
        <w:t>Gilgamesh</w:t>
      </w:r>
      <w:r w:rsidRPr="00745BDD">
        <w:rPr>
          <w:rFonts w:ascii="Arial" w:hAnsi="Arial" w:cs="Arial"/>
          <w:sz w:val="24"/>
        </w:rPr>
        <w:t>.</w:t>
      </w:r>
      <w:r w:rsidRPr="00745BDD">
        <w:rPr>
          <w:rStyle w:val="FootnoteReference"/>
          <w:rFonts w:ascii="Arial" w:hAnsi="Arial" w:cs="Arial"/>
          <w:sz w:val="24"/>
        </w:rPr>
        <w:footnoteReference w:id="74"/>
      </w:r>
      <w:r w:rsidRPr="00745BDD">
        <w:rPr>
          <w:rFonts w:ascii="Arial" w:hAnsi="Arial" w:cs="Arial"/>
          <w:sz w:val="24"/>
        </w:rPr>
        <w:t xml:space="preserve"> </w:t>
      </w:r>
      <w:commentRangeEnd w:id="122"/>
      <w:r w:rsidR="00FD30D5">
        <w:rPr>
          <w:rStyle w:val="CommentReference"/>
        </w:rPr>
        <w:commentReference w:id="122"/>
      </w:r>
      <w:r w:rsidRPr="00745BDD">
        <w:rPr>
          <w:rFonts w:ascii="Arial" w:hAnsi="Arial" w:cs="Arial"/>
          <w:sz w:val="24"/>
        </w:rPr>
        <w:t xml:space="preserve">This chapter examines aspects of the </w:t>
      </w:r>
      <w:r w:rsidRPr="00745BDD">
        <w:rPr>
          <w:rFonts w:ascii="Arial" w:hAnsi="Arial" w:cs="Arial"/>
          <w:i/>
          <w:sz w:val="24"/>
        </w:rPr>
        <w:t xml:space="preserve">Gilgamesh </w:t>
      </w:r>
      <w:r w:rsidRPr="00745BDD">
        <w:rPr>
          <w:rFonts w:ascii="Arial" w:hAnsi="Arial" w:cs="Arial"/>
          <w:sz w:val="24"/>
        </w:rPr>
        <w:t xml:space="preserve">which contain celestial overtones or features, and compares them with relevant extracts from the </w:t>
      </w:r>
      <w:r w:rsidRPr="00745BDD">
        <w:rPr>
          <w:rFonts w:ascii="Arial" w:hAnsi="Arial" w:cs="Arial"/>
          <w:i/>
          <w:sz w:val="24"/>
        </w:rPr>
        <w:t>Odyssey</w:t>
      </w:r>
      <w:r w:rsidRPr="00745BDD">
        <w:rPr>
          <w:rFonts w:ascii="Arial" w:hAnsi="Arial" w:cs="Arial"/>
          <w:sz w:val="24"/>
        </w:rPr>
        <w:t>. It begins with extended sequences which may contain references to the constellation Taurus, before moving on to examine the characters of Circe and Ishtar in Section Two before finally examining horological features from both texts in Section Three.</w:t>
      </w:r>
    </w:p>
    <w:p w14:paraId="3A2E91C4" w14:textId="77777777" w:rsidR="00A25DE7" w:rsidRPr="00745BDD" w:rsidRDefault="00A25DE7" w:rsidP="00F970D0">
      <w:pPr>
        <w:jc w:val="center"/>
        <w:rPr>
          <w:rFonts w:ascii="Arial" w:hAnsi="Arial" w:cs="Arial"/>
        </w:rPr>
      </w:pPr>
      <w:r w:rsidRPr="00745BDD">
        <w:rPr>
          <w:rFonts w:ascii="Arial" w:hAnsi="Arial" w:cs="Arial"/>
        </w:rPr>
        <w:lastRenderedPageBreak/>
        <w:t>*</w:t>
      </w:r>
    </w:p>
    <w:p w14:paraId="279AE85E" w14:textId="77777777" w:rsidR="00A25DE7" w:rsidRPr="00745BDD" w:rsidRDefault="00A25DE7" w:rsidP="00F970D0">
      <w:pPr>
        <w:jc w:val="both"/>
        <w:rPr>
          <w:rFonts w:ascii="Arial" w:hAnsi="Arial" w:cs="Arial"/>
          <w:b/>
          <w:i/>
          <w:sz w:val="24"/>
        </w:rPr>
      </w:pPr>
      <w:r w:rsidRPr="00745BDD">
        <w:rPr>
          <w:rFonts w:ascii="Arial" w:hAnsi="Arial" w:cs="Arial"/>
          <w:b/>
          <w:i/>
          <w:sz w:val="24"/>
        </w:rPr>
        <w:t>Section One: Extended sequences – Constellation Narratives</w:t>
      </w:r>
    </w:p>
    <w:p w14:paraId="7CD121A8" w14:textId="77777777" w:rsidR="00A25DE7" w:rsidRPr="00745BDD" w:rsidRDefault="00A25DE7" w:rsidP="00F970D0">
      <w:pPr>
        <w:pStyle w:val="ListParagraph"/>
        <w:numPr>
          <w:ilvl w:val="0"/>
          <w:numId w:val="38"/>
          <w:numberingChange w:id="123" w:author="Dorian" w:date="2015-11-20T19:28:00Z" w:original="%1:1:4:."/>
        </w:numPr>
        <w:jc w:val="both"/>
        <w:rPr>
          <w:rFonts w:ascii="Arial" w:hAnsi="Arial" w:cs="Arial"/>
          <w:b/>
          <w:i/>
          <w:sz w:val="24"/>
        </w:rPr>
      </w:pPr>
      <w:r w:rsidRPr="00745BDD">
        <w:rPr>
          <w:rFonts w:ascii="Arial" w:hAnsi="Arial" w:cs="Arial"/>
          <w:b/>
          <w:i/>
          <w:sz w:val="24"/>
        </w:rPr>
        <w:t>The Bull of Heaven</w:t>
      </w:r>
    </w:p>
    <w:p w14:paraId="7E051D1E"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One of the most famous excerpts from the </w:t>
      </w:r>
      <w:r w:rsidRPr="00745BDD">
        <w:rPr>
          <w:rFonts w:ascii="Arial" w:hAnsi="Arial" w:cs="Arial"/>
          <w:i/>
          <w:sz w:val="24"/>
        </w:rPr>
        <w:t xml:space="preserve">Gilgamesh </w:t>
      </w:r>
      <w:r w:rsidRPr="00745BDD">
        <w:rPr>
          <w:rFonts w:ascii="Arial" w:hAnsi="Arial" w:cs="Arial"/>
          <w:sz w:val="24"/>
        </w:rPr>
        <w:t>Epic is the so-called ‘Bull of Heaven’ scene from Tablet VI. After slaying the monster Humbaba with his companion Enkidu, Gilgamesh washes and dresses and his beauty causes the goddess Ishtar to look upon him with longing and proposes that Gilgamesh become her bridegroom. Gilgamesh declines her, recounting a list of previous lovers which she mistreated. Ishtar is so insulted that she begs the king of the gods, her father Anu for the ‘Bull of Heaven’ to destroy Gilgamesh:</w:t>
      </w:r>
      <w:r w:rsidRPr="00745BDD">
        <w:rPr>
          <w:rStyle w:val="FootnoteReference"/>
          <w:rFonts w:ascii="Arial" w:hAnsi="Arial" w:cs="Arial"/>
          <w:sz w:val="24"/>
        </w:rPr>
        <w:footnoteReference w:id="75"/>
      </w:r>
    </w:p>
    <w:p w14:paraId="253B081A" w14:textId="77777777" w:rsidR="00A25DE7" w:rsidRPr="00745BDD" w:rsidRDefault="00A25DE7" w:rsidP="00F970D0">
      <w:pPr>
        <w:spacing w:line="240" w:lineRule="auto"/>
        <w:contextualSpacing/>
        <w:jc w:val="center"/>
        <w:rPr>
          <w:rFonts w:ascii="Arial" w:hAnsi="Arial" w:cs="Arial"/>
        </w:rPr>
      </w:pPr>
      <w:r w:rsidRPr="00745BDD">
        <w:rPr>
          <w:rFonts w:ascii="Arial" w:hAnsi="Arial" w:cs="Arial"/>
        </w:rPr>
        <w:t>‘”Father, give me please, the Bull of Heaven,</w:t>
      </w:r>
    </w:p>
    <w:p w14:paraId="64B29F31" w14:textId="77777777" w:rsidR="00A25DE7" w:rsidRPr="00745BDD" w:rsidRDefault="00A25DE7" w:rsidP="00F970D0">
      <w:pPr>
        <w:spacing w:line="240" w:lineRule="auto"/>
        <w:contextualSpacing/>
        <w:jc w:val="center"/>
        <w:rPr>
          <w:rFonts w:ascii="Arial" w:hAnsi="Arial" w:cs="Arial"/>
        </w:rPr>
      </w:pPr>
      <w:r w:rsidRPr="00745BDD">
        <w:rPr>
          <w:rFonts w:ascii="Arial" w:hAnsi="Arial" w:cs="Arial"/>
        </w:rPr>
        <w:t>so in his dwelling I may slay Gilgamesh!</w:t>
      </w:r>
    </w:p>
    <w:p w14:paraId="3391FB29" w14:textId="77777777" w:rsidR="00A25DE7" w:rsidRPr="00745BDD" w:rsidRDefault="00A25DE7" w:rsidP="00F970D0">
      <w:pPr>
        <w:spacing w:line="240" w:lineRule="auto"/>
        <w:contextualSpacing/>
        <w:jc w:val="center"/>
        <w:rPr>
          <w:rFonts w:ascii="Arial" w:hAnsi="Arial" w:cs="Arial"/>
        </w:rPr>
      </w:pPr>
      <w:r w:rsidRPr="00745BDD">
        <w:rPr>
          <w:rFonts w:ascii="Arial" w:hAnsi="Arial" w:cs="Arial"/>
        </w:rPr>
        <w:t>If you do not give me the Bull of Heaven,</w:t>
      </w:r>
    </w:p>
    <w:p w14:paraId="025D1E01" w14:textId="77777777" w:rsidR="00A25DE7" w:rsidRPr="00745BDD" w:rsidRDefault="00A25DE7" w:rsidP="00F970D0">
      <w:pPr>
        <w:spacing w:line="240" w:lineRule="auto"/>
        <w:contextualSpacing/>
        <w:jc w:val="center"/>
        <w:rPr>
          <w:rFonts w:ascii="Arial" w:hAnsi="Arial" w:cs="Arial"/>
        </w:rPr>
      </w:pPr>
      <w:r w:rsidRPr="00745BDD">
        <w:rPr>
          <w:rFonts w:ascii="Arial" w:hAnsi="Arial" w:cs="Arial"/>
        </w:rPr>
        <w:t>I shall smash [the Gates of the Netherworld, right down] to its dwelling,</w:t>
      </w:r>
    </w:p>
    <w:p w14:paraId="4954B220" w14:textId="77777777" w:rsidR="00A25DE7" w:rsidRPr="00745BDD" w:rsidRDefault="00A25DE7" w:rsidP="00F970D0">
      <w:pPr>
        <w:spacing w:line="240" w:lineRule="auto"/>
        <w:contextualSpacing/>
        <w:jc w:val="center"/>
        <w:rPr>
          <w:rFonts w:ascii="Arial" w:hAnsi="Arial" w:cs="Arial"/>
        </w:rPr>
      </w:pPr>
      <w:r w:rsidRPr="00745BDD">
        <w:rPr>
          <w:rFonts w:ascii="Arial" w:hAnsi="Arial" w:cs="Arial"/>
        </w:rPr>
        <w:t>to the world below I shall grant [manumission]</w:t>
      </w:r>
    </w:p>
    <w:p w14:paraId="51426472" w14:textId="77777777" w:rsidR="00A25DE7" w:rsidRPr="00745BDD" w:rsidRDefault="00A25DE7" w:rsidP="00F970D0">
      <w:pPr>
        <w:spacing w:line="240" w:lineRule="auto"/>
        <w:contextualSpacing/>
        <w:jc w:val="center"/>
        <w:rPr>
          <w:rFonts w:ascii="Arial" w:hAnsi="Arial" w:cs="Arial"/>
        </w:rPr>
      </w:pPr>
      <w:r w:rsidRPr="00745BDD">
        <w:rPr>
          <w:rFonts w:ascii="Arial" w:hAnsi="Arial" w:cs="Arial"/>
        </w:rPr>
        <w:t>I shall bring up the dead to consume the living</w:t>
      </w:r>
    </w:p>
    <w:p w14:paraId="7B144CB1" w14:textId="77777777" w:rsidR="00A25DE7" w:rsidRPr="00745BDD" w:rsidRDefault="00A25DE7" w:rsidP="00F970D0">
      <w:pPr>
        <w:spacing w:line="240" w:lineRule="auto"/>
        <w:contextualSpacing/>
        <w:jc w:val="center"/>
        <w:rPr>
          <w:rFonts w:ascii="Arial" w:hAnsi="Arial" w:cs="Arial"/>
        </w:rPr>
      </w:pPr>
      <w:r w:rsidRPr="00745BDD">
        <w:rPr>
          <w:rFonts w:ascii="Arial" w:hAnsi="Arial" w:cs="Arial"/>
        </w:rPr>
        <w:t>I shall make the dead outnumber the living.</w:t>
      </w:r>
    </w:p>
    <w:p w14:paraId="54CF15FD" w14:textId="77777777" w:rsidR="00A25DE7" w:rsidRPr="00745BDD" w:rsidRDefault="00A25DE7" w:rsidP="00F970D0">
      <w:pPr>
        <w:spacing w:line="240" w:lineRule="auto"/>
        <w:contextualSpacing/>
        <w:jc w:val="center"/>
        <w:rPr>
          <w:rFonts w:ascii="Arial" w:hAnsi="Arial" w:cs="Arial"/>
        </w:rPr>
      </w:pPr>
      <w:r w:rsidRPr="00745BDD">
        <w:rPr>
          <w:rFonts w:ascii="Arial" w:hAnsi="Arial" w:cs="Arial"/>
        </w:rPr>
        <w:t>[…] With the wrath of the Bull I shall [have vengeance].”</w:t>
      </w:r>
    </w:p>
    <w:p w14:paraId="278B7622" w14:textId="77777777" w:rsidR="00A25DE7" w:rsidRPr="00745BDD" w:rsidRDefault="00A25DE7" w:rsidP="00F970D0">
      <w:pPr>
        <w:spacing w:line="240" w:lineRule="auto"/>
        <w:contextualSpacing/>
        <w:jc w:val="center"/>
        <w:rPr>
          <w:rFonts w:ascii="Arial" w:hAnsi="Arial" w:cs="Arial"/>
        </w:rPr>
      </w:pPr>
      <w:r w:rsidRPr="00745BDD">
        <w:rPr>
          <w:rFonts w:ascii="Arial" w:hAnsi="Arial" w:cs="Arial"/>
        </w:rPr>
        <w:t>Anu heard this speech of Ishtar,</w:t>
      </w:r>
    </w:p>
    <w:p w14:paraId="2C3FCD6B" w14:textId="77777777" w:rsidR="00A25DE7" w:rsidRPr="00745BDD" w:rsidRDefault="00A25DE7" w:rsidP="00F970D0">
      <w:pPr>
        <w:spacing w:line="240" w:lineRule="auto"/>
        <w:contextualSpacing/>
        <w:jc w:val="center"/>
        <w:rPr>
          <w:rFonts w:ascii="Arial" w:hAnsi="Arial" w:cs="Arial"/>
        </w:rPr>
      </w:pPr>
      <w:r w:rsidRPr="00745BDD">
        <w:rPr>
          <w:rFonts w:ascii="Arial" w:hAnsi="Arial" w:cs="Arial"/>
        </w:rPr>
        <w:t>the Bull of Heaven’s nose-rope he placed in her hands.’</w:t>
      </w:r>
    </w:p>
    <w:p w14:paraId="26B85E42" w14:textId="77777777" w:rsidR="00A25DE7" w:rsidRPr="00745BDD" w:rsidRDefault="00A25DE7" w:rsidP="00F970D0">
      <w:pPr>
        <w:jc w:val="both"/>
        <w:rPr>
          <w:rFonts w:ascii="Arial" w:hAnsi="Arial" w:cs="Arial"/>
        </w:rPr>
      </w:pPr>
    </w:p>
    <w:p w14:paraId="0A04E265" w14:textId="77777777" w:rsidR="00A25DE7" w:rsidRPr="00745BDD" w:rsidRDefault="00A25DE7" w:rsidP="00745BDD">
      <w:pPr>
        <w:spacing w:line="360" w:lineRule="auto"/>
        <w:jc w:val="both"/>
        <w:rPr>
          <w:rFonts w:ascii="Arial" w:hAnsi="Arial" w:cs="Arial"/>
          <w:sz w:val="24"/>
          <w:szCs w:val="24"/>
        </w:rPr>
      </w:pPr>
      <w:r w:rsidRPr="00745BDD">
        <w:rPr>
          <w:rFonts w:ascii="Arial" w:hAnsi="Arial" w:cs="Arial"/>
          <w:sz w:val="24"/>
          <w:szCs w:val="24"/>
        </w:rPr>
        <w:t>Gilgamesh and Enkidu slay this monster as well, and Enkidu throws one of the Bull’s haunches at Ishtar claiming: ‘”Had I caught you too, I’d have treated you likewise!”’</w:t>
      </w:r>
      <w:r w:rsidRPr="00745BDD">
        <w:rPr>
          <w:rStyle w:val="FootnoteReference"/>
          <w:rFonts w:ascii="Arial" w:hAnsi="Arial" w:cs="Arial"/>
          <w:sz w:val="24"/>
          <w:szCs w:val="24"/>
        </w:rPr>
        <w:footnoteReference w:id="76"/>
      </w:r>
      <w:r w:rsidRPr="00745BDD">
        <w:rPr>
          <w:rFonts w:ascii="Arial" w:hAnsi="Arial" w:cs="Arial"/>
          <w:sz w:val="24"/>
          <w:szCs w:val="24"/>
        </w:rPr>
        <w:t xml:space="preserve"> The gods hold a counsel, and decide that as punishment for their behaviour Enkidu must die. In her forthcoming book </w:t>
      </w:r>
      <w:r w:rsidRPr="00745BDD">
        <w:rPr>
          <w:rFonts w:ascii="Arial" w:hAnsi="Arial" w:cs="Arial"/>
          <w:i/>
          <w:sz w:val="24"/>
          <w:szCs w:val="24"/>
        </w:rPr>
        <w:t xml:space="preserve">Ishtar </w:t>
      </w:r>
      <w:r w:rsidRPr="00745BDD">
        <w:rPr>
          <w:rFonts w:ascii="Arial" w:hAnsi="Arial" w:cs="Arial"/>
          <w:sz w:val="24"/>
          <w:szCs w:val="24"/>
        </w:rPr>
        <w:t xml:space="preserve">Louise Pryke argues that the Bull of Heaven should be identified as the constellation Taurus, used as a weapon of the gods who also have celestial aspects. The mythical Bull of Heaven can be linked with the constellation Taurus by evidence from the Babylonian astronomical compendium known as the </w:t>
      </w:r>
      <w:r w:rsidRPr="00745BDD">
        <w:rPr>
          <w:rFonts w:ascii="Arial" w:hAnsi="Arial" w:cs="Arial"/>
          <w:i/>
          <w:sz w:val="24"/>
          <w:szCs w:val="24"/>
        </w:rPr>
        <w:t>MUL.APIN</w:t>
      </w:r>
      <w:r w:rsidRPr="00745BDD">
        <w:rPr>
          <w:rFonts w:ascii="Arial" w:hAnsi="Arial" w:cs="Arial"/>
          <w:sz w:val="24"/>
          <w:szCs w:val="24"/>
        </w:rPr>
        <w:t xml:space="preserve">, </w:t>
      </w:r>
      <w:r w:rsidRPr="00745BDD">
        <w:rPr>
          <w:rFonts w:ascii="Arial" w:hAnsi="Arial" w:cs="Arial"/>
          <w:i/>
          <w:sz w:val="24"/>
          <w:szCs w:val="24"/>
        </w:rPr>
        <w:t>c.</w:t>
      </w:r>
      <w:r w:rsidRPr="00745BDD">
        <w:rPr>
          <w:rFonts w:ascii="Arial" w:hAnsi="Arial" w:cs="Arial"/>
          <w:sz w:val="24"/>
          <w:szCs w:val="24"/>
        </w:rPr>
        <w:t>10</w:t>
      </w:r>
      <w:r w:rsidRPr="00745BDD">
        <w:rPr>
          <w:rFonts w:ascii="Arial" w:hAnsi="Arial" w:cs="Arial"/>
          <w:sz w:val="24"/>
          <w:szCs w:val="24"/>
          <w:vertAlign w:val="superscript"/>
        </w:rPr>
        <w:t>th</w:t>
      </w:r>
      <w:r w:rsidRPr="00745BDD">
        <w:rPr>
          <w:rFonts w:ascii="Arial" w:hAnsi="Arial" w:cs="Arial"/>
          <w:sz w:val="24"/>
          <w:szCs w:val="24"/>
        </w:rPr>
        <w:t xml:space="preserve"> century BCE.</w:t>
      </w:r>
      <w:r w:rsidRPr="00745BDD">
        <w:rPr>
          <w:rStyle w:val="FootnoteReference"/>
          <w:rFonts w:ascii="Arial" w:hAnsi="Arial" w:cs="Arial"/>
          <w:sz w:val="24"/>
          <w:szCs w:val="24"/>
        </w:rPr>
        <w:footnoteReference w:id="77"/>
      </w:r>
      <w:r w:rsidRPr="00745BDD">
        <w:rPr>
          <w:rFonts w:ascii="Arial" w:hAnsi="Arial" w:cs="Arial"/>
          <w:sz w:val="24"/>
          <w:szCs w:val="24"/>
        </w:rPr>
        <w:t xml:space="preserve"> </w:t>
      </w:r>
      <w:commentRangeStart w:id="124"/>
      <w:r w:rsidRPr="00745BDD">
        <w:rPr>
          <w:rFonts w:ascii="Arial" w:hAnsi="Arial" w:cs="Arial"/>
          <w:sz w:val="24"/>
          <w:szCs w:val="24"/>
        </w:rPr>
        <w:t xml:space="preserve">The </w:t>
      </w:r>
      <w:r w:rsidRPr="00745BDD">
        <w:rPr>
          <w:rFonts w:ascii="Arial" w:hAnsi="Arial" w:cs="Arial"/>
          <w:i/>
          <w:sz w:val="24"/>
          <w:szCs w:val="24"/>
        </w:rPr>
        <w:t xml:space="preserve">MUL.APIN </w:t>
      </w:r>
      <w:r w:rsidRPr="00745BDD">
        <w:rPr>
          <w:rFonts w:ascii="Arial" w:hAnsi="Arial" w:cs="Arial"/>
          <w:sz w:val="24"/>
          <w:szCs w:val="24"/>
        </w:rPr>
        <w:t xml:space="preserve">systematises and records celestial events, and also divides the stars into the paths of the gods Anu, Enlil, and Ea based on their stellar latitudes. </w:t>
      </w:r>
      <w:commentRangeEnd w:id="124"/>
      <w:r>
        <w:rPr>
          <w:rStyle w:val="CommentReference"/>
        </w:rPr>
        <w:commentReference w:id="124"/>
      </w:r>
      <w:r w:rsidRPr="00745BDD">
        <w:rPr>
          <w:rFonts w:ascii="Arial" w:hAnsi="Arial" w:cs="Arial"/>
          <w:sz w:val="24"/>
          <w:szCs w:val="24"/>
        </w:rPr>
        <w:t xml:space="preserve">As per the narrative (above) where Anu controls the mythical </w:t>
      </w:r>
      <w:r w:rsidRPr="00745BDD">
        <w:rPr>
          <w:rFonts w:ascii="Arial" w:hAnsi="Arial" w:cs="Arial"/>
          <w:sz w:val="24"/>
          <w:szCs w:val="24"/>
        </w:rPr>
        <w:lastRenderedPageBreak/>
        <w:t>Bull of Heaven, the constellation Taurus (</w:t>
      </w:r>
      <w:r w:rsidRPr="00745BDD">
        <w:rPr>
          <w:rFonts w:ascii="Arial" w:hAnsi="Arial" w:cs="Arial"/>
          <w:sz w:val="24"/>
          <w:szCs w:val="24"/>
          <w:vertAlign w:val="superscript"/>
        </w:rPr>
        <w:t>MUL</w:t>
      </w:r>
      <w:r w:rsidRPr="00745BDD">
        <w:rPr>
          <w:rFonts w:ascii="Arial" w:hAnsi="Arial" w:cs="Arial"/>
          <w:sz w:val="24"/>
          <w:szCs w:val="24"/>
        </w:rPr>
        <w:t>GU</w:t>
      </w:r>
      <w:r w:rsidRPr="00745BDD">
        <w:rPr>
          <w:rFonts w:ascii="Arial" w:hAnsi="Arial" w:cs="Arial"/>
          <w:sz w:val="24"/>
          <w:szCs w:val="24"/>
          <w:vertAlign w:val="subscript"/>
        </w:rPr>
        <w:t>4</w:t>
      </w:r>
      <w:r w:rsidRPr="00745BDD">
        <w:rPr>
          <w:rFonts w:ascii="Arial" w:hAnsi="Arial" w:cs="Arial"/>
          <w:sz w:val="24"/>
          <w:szCs w:val="24"/>
        </w:rPr>
        <w:t xml:space="preserve">.AN.NA or </w:t>
      </w:r>
      <w:r w:rsidRPr="00745BDD">
        <w:rPr>
          <w:rFonts w:ascii="Arial" w:hAnsi="Arial" w:cs="Arial"/>
          <w:i/>
          <w:iCs/>
          <w:sz w:val="24"/>
          <w:szCs w:val="24"/>
        </w:rPr>
        <w:t>alû/is lê</w:t>
      </w:r>
      <w:r w:rsidRPr="00745BDD">
        <w:rPr>
          <w:rFonts w:ascii="Arial" w:hAnsi="Arial" w:cs="Arial"/>
          <w:iCs/>
          <w:sz w:val="24"/>
          <w:szCs w:val="24"/>
        </w:rPr>
        <w:t>)</w:t>
      </w:r>
      <w:r w:rsidRPr="00745BDD">
        <w:rPr>
          <w:rFonts w:ascii="Arial" w:hAnsi="Arial" w:cs="Arial"/>
          <w:sz w:val="24"/>
          <w:szCs w:val="24"/>
        </w:rPr>
        <w:t>, is located along the celestial path of Anu and would thus be considered under his control.</w:t>
      </w:r>
      <w:r w:rsidRPr="00745BDD">
        <w:rPr>
          <w:rStyle w:val="FootnoteReference"/>
          <w:rFonts w:ascii="Arial" w:hAnsi="Arial" w:cs="Arial"/>
          <w:sz w:val="24"/>
          <w:szCs w:val="24"/>
        </w:rPr>
        <w:footnoteReference w:id="78"/>
      </w:r>
      <w:r w:rsidRPr="00745BDD">
        <w:rPr>
          <w:rFonts w:ascii="Arial" w:hAnsi="Arial" w:cs="Arial"/>
          <w:sz w:val="24"/>
          <w:szCs w:val="24"/>
        </w:rPr>
        <w:t xml:space="preserve"> Furthermore, Anu is the God of the Heavens and constellations. The Sumerian </w:t>
      </w:r>
      <w:commentRangeStart w:id="126"/>
      <w:r w:rsidRPr="00745BDD">
        <w:rPr>
          <w:rFonts w:ascii="Arial" w:hAnsi="Arial" w:cs="Arial"/>
          <w:i/>
          <w:iCs/>
          <w:sz w:val="24"/>
          <w:szCs w:val="24"/>
        </w:rPr>
        <w:t>an</w:t>
      </w:r>
      <w:r w:rsidRPr="00745BDD">
        <w:rPr>
          <w:rFonts w:ascii="Arial" w:hAnsi="Arial" w:cs="Arial"/>
          <w:sz w:val="24"/>
          <w:szCs w:val="24"/>
        </w:rPr>
        <w:t> means ‘heaven, sky’,</w:t>
      </w:r>
      <w:commentRangeEnd w:id="126"/>
      <w:r>
        <w:rPr>
          <w:rStyle w:val="CommentReference"/>
        </w:rPr>
        <w:commentReference w:id="126"/>
      </w:r>
      <w:r w:rsidRPr="00745BDD">
        <w:rPr>
          <w:rFonts w:ascii="Arial" w:hAnsi="Arial" w:cs="Arial"/>
          <w:sz w:val="24"/>
          <w:szCs w:val="24"/>
        </w:rPr>
        <w:t xml:space="preserve"> and Anu could therefore be seen as a personification of the celestial sky. It seems fitting therefore that as he is master of the Bull of Heaven, the mythic creature should mean the constellation Taurus.</w:t>
      </w:r>
      <w:r w:rsidRPr="00745BDD">
        <w:rPr>
          <w:rStyle w:val="FootnoteReference"/>
          <w:rFonts w:ascii="Arial" w:hAnsi="Arial" w:cs="Arial"/>
          <w:sz w:val="24"/>
          <w:szCs w:val="24"/>
        </w:rPr>
        <w:footnoteReference w:id="79"/>
      </w:r>
      <w:r w:rsidRPr="00745BDD">
        <w:rPr>
          <w:rFonts w:ascii="Arial" w:hAnsi="Arial" w:cs="Arial"/>
          <w:sz w:val="24"/>
          <w:szCs w:val="24"/>
        </w:rPr>
        <w:t xml:space="preserve"> Louise Pryke writes that ‘in the </w:t>
      </w:r>
      <w:r w:rsidRPr="00745BDD">
        <w:rPr>
          <w:rFonts w:ascii="Arial" w:hAnsi="Arial" w:cs="Arial"/>
          <w:i/>
          <w:sz w:val="24"/>
          <w:szCs w:val="24"/>
        </w:rPr>
        <w:t>Epic of Gilgamesh</w:t>
      </w:r>
      <w:r w:rsidRPr="00745BDD">
        <w:rPr>
          <w:rFonts w:ascii="Arial" w:hAnsi="Arial" w:cs="Arial"/>
          <w:sz w:val="24"/>
          <w:szCs w:val="24"/>
        </w:rPr>
        <w:t xml:space="preserve"> the Bull of Heaven transcends the boundaries between the earth and the heavens, while giving modern audiences a compelling insight into the ancient composer’s understanding of the universe’.</w:t>
      </w:r>
      <w:r w:rsidRPr="00745BDD">
        <w:rPr>
          <w:rStyle w:val="FootnoteReference"/>
          <w:rFonts w:ascii="Arial" w:hAnsi="Arial" w:cs="Arial"/>
          <w:sz w:val="24"/>
          <w:szCs w:val="24"/>
        </w:rPr>
        <w:footnoteReference w:id="80"/>
      </w:r>
      <w:r w:rsidRPr="00745BDD">
        <w:rPr>
          <w:rFonts w:ascii="Arial" w:hAnsi="Arial" w:cs="Arial"/>
          <w:sz w:val="24"/>
          <w:szCs w:val="24"/>
        </w:rPr>
        <w:t xml:space="preserve"> Interpreting the scene as a bridge between terrestrial events and celestial images serves to draw the astral world directly into the narrative itself. The mythological Bull of Heaven, described in Tablet VI of the </w:t>
      </w:r>
      <w:r w:rsidRPr="00745BDD">
        <w:rPr>
          <w:rFonts w:ascii="Arial" w:hAnsi="Arial" w:cs="Arial"/>
          <w:i/>
          <w:sz w:val="24"/>
          <w:szCs w:val="24"/>
        </w:rPr>
        <w:t>Gilgamesh</w:t>
      </w:r>
      <w:r w:rsidRPr="00745BDD">
        <w:rPr>
          <w:rFonts w:ascii="Arial" w:hAnsi="Arial" w:cs="Arial"/>
          <w:sz w:val="24"/>
          <w:szCs w:val="24"/>
        </w:rPr>
        <w:t>, is simultaneously both a narrative device and an astronomical feature. Gilgamesh and Enkidu battle with the constellation itself – perceived in a corporeal form – and as such they, and the narrative itself, should be understood as operating on some level within a cosmic plane. The question remains that if the battle with the Bull of Heaven elevates the narrative into a celestial stratum, is the entire text designed to be read as taking place in the same location – the sky? Or, as Pryke believes, is the constellation brought down to earth in a physical body, blurring the boundaries between land and sky throughout the narrative?</w:t>
      </w:r>
    </w:p>
    <w:p w14:paraId="786DFD0D" w14:textId="77777777" w:rsidR="00A25DE7" w:rsidRPr="00745BDD" w:rsidRDefault="00A25DE7" w:rsidP="00745BDD">
      <w:pPr>
        <w:spacing w:line="360" w:lineRule="auto"/>
        <w:jc w:val="both"/>
        <w:rPr>
          <w:rFonts w:ascii="Arial" w:hAnsi="Arial" w:cs="Arial"/>
          <w:sz w:val="24"/>
          <w:szCs w:val="24"/>
        </w:rPr>
      </w:pPr>
      <w:r w:rsidRPr="00745BDD">
        <w:rPr>
          <w:rFonts w:ascii="Arial" w:hAnsi="Arial" w:cs="Arial"/>
          <w:sz w:val="24"/>
          <w:szCs w:val="24"/>
        </w:rPr>
        <w:t xml:space="preserve">Whilst there are plenty of references to bulls in Homer’s </w:t>
      </w:r>
      <w:r w:rsidRPr="00745BDD">
        <w:rPr>
          <w:rFonts w:ascii="Arial" w:hAnsi="Arial" w:cs="Arial"/>
          <w:i/>
          <w:sz w:val="24"/>
          <w:szCs w:val="24"/>
        </w:rPr>
        <w:t>Odyssey</w:t>
      </w:r>
      <w:r w:rsidRPr="00745BDD">
        <w:rPr>
          <w:rFonts w:ascii="Arial" w:hAnsi="Arial" w:cs="Arial"/>
          <w:sz w:val="24"/>
          <w:szCs w:val="24"/>
        </w:rPr>
        <w:t xml:space="preserve"> there is no incident </w:t>
      </w:r>
      <w:commentRangeStart w:id="127"/>
      <w:r w:rsidRPr="00745BDD">
        <w:rPr>
          <w:rFonts w:ascii="Arial" w:hAnsi="Arial" w:cs="Arial"/>
          <w:sz w:val="24"/>
          <w:szCs w:val="24"/>
        </w:rPr>
        <w:t xml:space="preserve">reminiscent of the Bull of Heaven scene in </w:t>
      </w:r>
      <w:r w:rsidRPr="00745BDD">
        <w:rPr>
          <w:rFonts w:ascii="Arial" w:hAnsi="Arial" w:cs="Arial"/>
          <w:i/>
          <w:sz w:val="24"/>
          <w:szCs w:val="24"/>
        </w:rPr>
        <w:t>Gilgamesh</w:t>
      </w:r>
      <w:r w:rsidRPr="00745BDD">
        <w:rPr>
          <w:rFonts w:ascii="Arial" w:hAnsi="Arial" w:cs="Arial"/>
          <w:sz w:val="24"/>
          <w:szCs w:val="24"/>
        </w:rPr>
        <w:t xml:space="preserve"> which can be pointed to for comparison. </w:t>
      </w:r>
      <w:commentRangeEnd w:id="127"/>
      <w:r w:rsidR="00AB57F5">
        <w:rPr>
          <w:rStyle w:val="CommentReference"/>
        </w:rPr>
        <w:commentReference w:id="127"/>
      </w:r>
      <w:r w:rsidRPr="00745BDD">
        <w:rPr>
          <w:rFonts w:ascii="Arial" w:hAnsi="Arial" w:cs="Arial"/>
          <w:sz w:val="24"/>
          <w:szCs w:val="24"/>
        </w:rPr>
        <w:t xml:space="preserve">Admittedly the hero Odysseus is accosted by a divinely sexual figure (the goddess Circe) but unlike Gilgamesh he neither refuses, nor insults, her. Similarly, comparisons have been made between the vengeful Ishtar figure from Tablet VI of the </w:t>
      </w:r>
      <w:r w:rsidRPr="00745BDD">
        <w:rPr>
          <w:rFonts w:ascii="Arial" w:hAnsi="Arial" w:cs="Arial"/>
          <w:i/>
          <w:sz w:val="24"/>
          <w:szCs w:val="24"/>
        </w:rPr>
        <w:t>Gilgamesh</w:t>
      </w:r>
      <w:r w:rsidRPr="00745BDD">
        <w:rPr>
          <w:rFonts w:ascii="Arial" w:hAnsi="Arial" w:cs="Arial"/>
          <w:sz w:val="24"/>
          <w:szCs w:val="24"/>
        </w:rPr>
        <w:t xml:space="preserve"> and the weeping </w:t>
      </w:r>
      <w:r w:rsidRPr="00745BDD">
        <w:rPr>
          <w:rFonts w:ascii="Arial" w:hAnsi="Arial" w:cs="Arial"/>
          <w:sz w:val="24"/>
          <w:szCs w:val="24"/>
        </w:rPr>
        <w:lastRenderedPageBreak/>
        <w:t xml:space="preserve">Aphrodite in </w:t>
      </w:r>
      <w:r w:rsidRPr="00745BDD">
        <w:rPr>
          <w:rFonts w:ascii="Arial" w:hAnsi="Arial" w:cs="Arial"/>
          <w:i/>
          <w:sz w:val="24"/>
          <w:szCs w:val="24"/>
        </w:rPr>
        <w:t>Iliad</w:t>
      </w:r>
      <w:r w:rsidRPr="00745BDD">
        <w:rPr>
          <w:rFonts w:ascii="Arial" w:hAnsi="Arial" w:cs="Arial"/>
          <w:sz w:val="24"/>
          <w:szCs w:val="24"/>
        </w:rPr>
        <w:t xml:space="preserve"> V.</w:t>
      </w:r>
      <w:commentRangeStart w:id="128"/>
      <w:r w:rsidRPr="00745BDD">
        <w:rPr>
          <w:rStyle w:val="FootnoteReference"/>
          <w:rFonts w:ascii="Arial" w:hAnsi="Arial" w:cs="Arial"/>
          <w:sz w:val="24"/>
          <w:szCs w:val="24"/>
        </w:rPr>
        <w:footnoteReference w:id="81"/>
      </w:r>
      <w:commentRangeEnd w:id="128"/>
      <w:r>
        <w:rPr>
          <w:rStyle w:val="CommentReference"/>
        </w:rPr>
        <w:commentReference w:id="128"/>
      </w:r>
      <w:r w:rsidRPr="00745BDD">
        <w:rPr>
          <w:rFonts w:ascii="Arial" w:hAnsi="Arial" w:cs="Arial"/>
          <w:sz w:val="24"/>
          <w:szCs w:val="24"/>
        </w:rPr>
        <w:t xml:space="preserve"> However there is an event in the </w:t>
      </w:r>
      <w:r w:rsidRPr="00745BDD">
        <w:rPr>
          <w:rFonts w:ascii="Arial" w:hAnsi="Arial" w:cs="Arial"/>
          <w:i/>
          <w:sz w:val="24"/>
          <w:szCs w:val="24"/>
        </w:rPr>
        <w:t>Odyssey</w:t>
      </w:r>
      <w:r w:rsidRPr="00745BDD">
        <w:rPr>
          <w:rFonts w:ascii="Arial" w:hAnsi="Arial" w:cs="Arial"/>
          <w:sz w:val="24"/>
          <w:szCs w:val="24"/>
        </w:rPr>
        <w:t xml:space="preserve"> which has remarkable features that may point to a description of the constellation Taurus.</w:t>
      </w:r>
    </w:p>
    <w:p w14:paraId="2E91DD0D" w14:textId="77777777" w:rsidR="00A25DE7" w:rsidRPr="00745BDD" w:rsidRDefault="00A25DE7" w:rsidP="00745BDD">
      <w:pPr>
        <w:spacing w:line="360" w:lineRule="auto"/>
        <w:jc w:val="both"/>
        <w:rPr>
          <w:rFonts w:ascii="Arial" w:hAnsi="Arial" w:cs="Arial"/>
          <w:sz w:val="24"/>
          <w:szCs w:val="24"/>
        </w:rPr>
      </w:pPr>
      <w:r w:rsidRPr="00745BDD">
        <w:rPr>
          <w:rFonts w:ascii="Arial" w:hAnsi="Arial" w:cs="Arial"/>
          <w:sz w:val="24"/>
          <w:szCs w:val="24"/>
        </w:rPr>
        <w:t xml:space="preserve">The constellation of the bull is one of the oldest recorded in the world, and easy to locate due to its proximity to the bright Orion, as well as by its giant red star Aldebaran located at the eye of </w:t>
      </w:r>
      <w:commentRangeStart w:id="129"/>
      <w:r w:rsidRPr="00745BDD">
        <w:rPr>
          <w:rFonts w:ascii="Arial" w:hAnsi="Arial" w:cs="Arial"/>
          <w:sz w:val="24"/>
          <w:szCs w:val="24"/>
        </w:rPr>
        <w:t>the bull</w:t>
      </w:r>
      <w:commentRangeEnd w:id="129"/>
      <w:r w:rsidR="00AB57F5">
        <w:rPr>
          <w:rStyle w:val="CommentReference"/>
        </w:rPr>
        <w:commentReference w:id="129"/>
      </w:r>
      <w:r w:rsidRPr="00745BDD">
        <w:rPr>
          <w:rFonts w:ascii="Arial" w:hAnsi="Arial" w:cs="Arial"/>
          <w:sz w:val="24"/>
          <w:szCs w:val="24"/>
        </w:rPr>
        <w:t xml:space="preserve">. Aldebaran may well be the star designated in the Mesopotamian tradition as the ‘Fire Star’ which was regarded as proximal to the Bull’s Jaw, </w:t>
      </w:r>
      <w:commentRangeStart w:id="130"/>
      <w:r w:rsidRPr="00745BDD">
        <w:rPr>
          <w:rFonts w:ascii="Arial" w:hAnsi="Arial" w:cs="Arial"/>
          <w:sz w:val="24"/>
          <w:szCs w:val="24"/>
        </w:rPr>
        <w:t>and the Crown of Anu, both located amongst the stars of Taurus, the Bull of Heaven.</w:t>
      </w:r>
      <w:r w:rsidRPr="00745BDD">
        <w:rPr>
          <w:rStyle w:val="FootnoteReference"/>
          <w:rFonts w:ascii="Arial" w:hAnsi="Arial" w:cs="Arial"/>
          <w:sz w:val="24"/>
          <w:szCs w:val="24"/>
        </w:rPr>
        <w:footnoteReference w:id="82"/>
      </w:r>
      <w:r w:rsidRPr="00745BDD">
        <w:rPr>
          <w:rFonts w:ascii="Arial" w:hAnsi="Arial" w:cs="Arial"/>
          <w:sz w:val="24"/>
          <w:szCs w:val="24"/>
        </w:rPr>
        <w:t xml:space="preserve"> </w:t>
      </w:r>
      <w:commentRangeEnd w:id="130"/>
      <w:r w:rsidR="00AB57F5">
        <w:rPr>
          <w:rStyle w:val="CommentReference"/>
        </w:rPr>
        <w:commentReference w:id="130"/>
      </w:r>
      <w:r w:rsidRPr="00745BDD">
        <w:rPr>
          <w:rFonts w:ascii="Arial" w:hAnsi="Arial" w:cs="Arial"/>
          <w:sz w:val="24"/>
          <w:szCs w:val="24"/>
        </w:rPr>
        <w:t xml:space="preserve">The antiquity of the constellation is perhaps matched by the infamy of the Cyclops tale from </w:t>
      </w:r>
      <w:r w:rsidRPr="00745BDD">
        <w:rPr>
          <w:rFonts w:ascii="Arial" w:hAnsi="Arial" w:cs="Arial"/>
          <w:i/>
          <w:sz w:val="24"/>
          <w:szCs w:val="24"/>
        </w:rPr>
        <w:t>Odyssey</w:t>
      </w:r>
      <w:commentRangeStart w:id="131"/>
      <w:r w:rsidRPr="00745BDD">
        <w:rPr>
          <w:rFonts w:ascii="Arial" w:hAnsi="Arial" w:cs="Arial"/>
          <w:sz w:val="24"/>
          <w:szCs w:val="24"/>
        </w:rPr>
        <w:t>Rhapsode</w:t>
      </w:r>
      <w:commentRangeEnd w:id="131"/>
      <w:r>
        <w:rPr>
          <w:rStyle w:val="CommentReference"/>
        </w:rPr>
        <w:commentReference w:id="131"/>
      </w:r>
      <w:r w:rsidRPr="00745BDD">
        <w:rPr>
          <w:rFonts w:ascii="Arial" w:hAnsi="Arial" w:cs="Arial"/>
          <w:sz w:val="24"/>
          <w:szCs w:val="24"/>
        </w:rPr>
        <w:t xml:space="preserve"> IX. The Cyclopes (literally ‘round-eye’ Greek </w:t>
      </w:r>
      <w:commentRangeStart w:id="132"/>
      <w:r w:rsidRPr="00745BDD">
        <w:rPr>
          <w:rFonts w:ascii="Arial" w:hAnsi="Arial" w:cs="Arial"/>
          <w:i/>
          <w:sz w:val="24"/>
          <w:szCs w:val="24"/>
        </w:rPr>
        <w:t>Κυκλωπες</w:t>
      </w:r>
      <w:commentRangeEnd w:id="132"/>
      <w:r>
        <w:rPr>
          <w:rStyle w:val="CommentReference"/>
        </w:rPr>
        <w:commentReference w:id="132"/>
      </w:r>
      <w:r w:rsidRPr="00745BDD">
        <w:rPr>
          <w:rFonts w:ascii="Arial" w:hAnsi="Arial" w:cs="Arial"/>
          <w:sz w:val="24"/>
          <w:szCs w:val="24"/>
        </w:rPr>
        <w:t>) were the giant offspring of Poseidon visited by Odysseus after his encounter with the Cicones.</w:t>
      </w:r>
      <w:r w:rsidRPr="00745BDD">
        <w:rPr>
          <w:rStyle w:val="FootnoteReference"/>
          <w:rFonts w:ascii="Arial" w:hAnsi="Arial" w:cs="Arial"/>
          <w:sz w:val="24"/>
          <w:szCs w:val="24"/>
        </w:rPr>
        <w:footnoteReference w:id="83"/>
      </w:r>
      <w:r w:rsidRPr="00745BDD">
        <w:rPr>
          <w:rFonts w:ascii="Arial" w:hAnsi="Arial" w:cs="Arial"/>
          <w:sz w:val="24"/>
          <w:szCs w:val="24"/>
        </w:rPr>
        <w:t xml:space="preserve"> When they reach his cave Odysseus spies Polyphemus the Cyclops off herding on the range, a description which resonates with the </w:t>
      </w:r>
      <w:commentRangeStart w:id="133"/>
      <w:r w:rsidRPr="00745BDD">
        <w:rPr>
          <w:rFonts w:ascii="Arial" w:hAnsi="Arial" w:cs="Arial"/>
          <w:sz w:val="24"/>
          <w:szCs w:val="24"/>
        </w:rPr>
        <w:t xml:space="preserve">Latin epithet for the constellation Taurus - </w:t>
      </w:r>
      <w:commentRangeStart w:id="134"/>
      <w:r w:rsidRPr="00745BDD">
        <w:rPr>
          <w:rFonts w:ascii="Arial" w:hAnsi="Arial" w:cs="Arial"/>
          <w:i/>
          <w:sz w:val="24"/>
          <w:szCs w:val="24"/>
        </w:rPr>
        <w:t>princepsarmenti</w:t>
      </w:r>
      <w:commentRangeEnd w:id="133"/>
      <w:r w:rsidR="00AB57F5">
        <w:rPr>
          <w:rStyle w:val="CommentReference"/>
        </w:rPr>
        <w:commentReference w:id="133"/>
      </w:r>
      <w:r w:rsidRPr="00745BDD">
        <w:rPr>
          <w:rFonts w:ascii="Arial" w:hAnsi="Arial" w:cs="Arial"/>
          <w:sz w:val="24"/>
          <w:szCs w:val="24"/>
        </w:rPr>
        <w:t xml:space="preserve"> - meaning ‘leader of the herd’</w:t>
      </w:r>
      <w:commentRangeEnd w:id="134"/>
      <w:r>
        <w:rPr>
          <w:rStyle w:val="CommentReference"/>
        </w:rPr>
        <w:commentReference w:id="134"/>
      </w:r>
      <w:r w:rsidRPr="00745BDD">
        <w:rPr>
          <w:rFonts w:ascii="Arial" w:hAnsi="Arial" w:cs="Arial"/>
          <w:sz w:val="24"/>
          <w:szCs w:val="24"/>
        </w:rPr>
        <w:t>.</w:t>
      </w:r>
      <w:r w:rsidRPr="00745BDD">
        <w:rPr>
          <w:rStyle w:val="FootnoteReference"/>
          <w:rFonts w:ascii="Arial" w:hAnsi="Arial" w:cs="Arial"/>
          <w:sz w:val="24"/>
          <w:szCs w:val="24"/>
        </w:rPr>
        <w:footnoteReference w:id="84"/>
      </w:r>
      <w:r w:rsidRPr="00745BDD">
        <w:rPr>
          <w:rFonts w:ascii="Arial" w:hAnsi="Arial" w:cs="Arial"/>
          <w:sz w:val="24"/>
          <w:szCs w:val="24"/>
        </w:rPr>
        <w:t xml:space="preserve"> His pens are ‘crowded with lambs and kids’ represented by the star clusters of the Hyades which form the central ‘enclosure’, and which were known in Babylon as </w:t>
      </w:r>
      <w:r w:rsidRPr="00745BDD">
        <w:rPr>
          <w:rFonts w:ascii="Arial" w:hAnsi="Arial" w:cs="Arial"/>
          <w:i/>
          <w:sz w:val="24"/>
          <w:szCs w:val="24"/>
        </w:rPr>
        <w:t>Al Thurayya</w:t>
      </w:r>
      <w:r w:rsidRPr="00745BDD">
        <w:rPr>
          <w:rFonts w:ascii="Arial" w:hAnsi="Arial" w:cs="Arial"/>
          <w:sz w:val="24"/>
          <w:szCs w:val="24"/>
        </w:rPr>
        <w:t xml:space="preserve">‘the many </w:t>
      </w:r>
      <w:commentRangeStart w:id="135"/>
      <w:r w:rsidRPr="00745BDD">
        <w:rPr>
          <w:rFonts w:ascii="Arial" w:hAnsi="Arial" w:cs="Arial"/>
          <w:sz w:val="24"/>
          <w:szCs w:val="24"/>
        </w:rPr>
        <w:t>little ones’.</w:t>
      </w:r>
      <w:r w:rsidRPr="00745BDD">
        <w:rPr>
          <w:rStyle w:val="FootnoteReference"/>
          <w:rFonts w:ascii="Arial" w:hAnsi="Arial" w:cs="Arial"/>
          <w:sz w:val="24"/>
          <w:szCs w:val="24"/>
        </w:rPr>
        <w:footnoteReference w:id="85"/>
      </w:r>
      <w:r w:rsidRPr="00745BDD">
        <w:rPr>
          <w:rFonts w:ascii="Arial" w:hAnsi="Arial" w:cs="Arial"/>
          <w:sz w:val="24"/>
          <w:szCs w:val="24"/>
        </w:rPr>
        <w:t xml:space="preserve"> </w:t>
      </w:r>
      <w:commentRangeEnd w:id="135"/>
      <w:r w:rsidR="00AB57F5">
        <w:rPr>
          <w:rStyle w:val="CommentReference"/>
        </w:rPr>
        <w:commentReference w:id="135"/>
      </w:r>
      <w:r w:rsidRPr="00745BDD">
        <w:rPr>
          <w:rFonts w:ascii="Arial" w:hAnsi="Arial" w:cs="Arial"/>
          <w:sz w:val="24"/>
          <w:szCs w:val="24"/>
        </w:rPr>
        <w:t xml:space="preserve">It is during the Cyclops episode of Rhapsode IX that Odysseus is trapped within Polyphemus’ cave by a great circular door, leading the hero to blind the one-eyed giant in order to fashion his escape. Whilst a celestial meaning is perhaps less blatant than the Bull of Heaven of the </w:t>
      </w:r>
      <w:r w:rsidRPr="00745BDD">
        <w:rPr>
          <w:rFonts w:ascii="Arial" w:hAnsi="Arial" w:cs="Arial"/>
          <w:i/>
          <w:sz w:val="24"/>
          <w:szCs w:val="24"/>
        </w:rPr>
        <w:t>Gilgamesh</w:t>
      </w:r>
      <w:r w:rsidRPr="00745BDD">
        <w:rPr>
          <w:rFonts w:ascii="Arial" w:hAnsi="Arial" w:cs="Arial"/>
          <w:sz w:val="24"/>
          <w:szCs w:val="24"/>
        </w:rPr>
        <w:t xml:space="preserve">, specific celestial </w:t>
      </w:r>
      <w:commentRangeStart w:id="136"/>
      <w:r w:rsidRPr="00745BDD">
        <w:rPr>
          <w:rFonts w:ascii="Arial" w:hAnsi="Arial" w:cs="Arial"/>
          <w:sz w:val="24"/>
          <w:szCs w:val="24"/>
        </w:rPr>
        <w:t>phenomena have been attributed to the events described here: a total solar eclipse, and the lunar occultation of Aldebaran</w:t>
      </w:r>
      <w:commentRangeEnd w:id="136"/>
      <w:r w:rsidR="00AB57F5">
        <w:rPr>
          <w:rStyle w:val="CommentReference"/>
        </w:rPr>
        <w:commentReference w:id="136"/>
      </w:r>
      <w:r w:rsidRPr="00745BDD">
        <w:rPr>
          <w:rFonts w:ascii="Arial" w:hAnsi="Arial" w:cs="Arial"/>
          <w:sz w:val="24"/>
          <w:szCs w:val="24"/>
        </w:rPr>
        <w:t>.</w:t>
      </w:r>
      <w:commentRangeStart w:id="137"/>
      <w:r w:rsidRPr="00745BDD">
        <w:rPr>
          <w:rStyle w:val="FootnoteReference"/>
          <w:rFonts w:ascii="Arial" w:hAnsi="Arial" w:cs="Arial"/>
          <w:sz w:val="24"/>
          <w:szCs w:val="24"/>
        </w:rPr>
        <w:footnoteReference w:id="86"/>
      </w:r>
      <w:commentRangeEnd w:id="137"/>
      <w:r>
        <w:rPr>
          <w:rStyle w:val="CommentReference"/>
        </w:rPr>
        <w:commentReference w:id="137"/>
      </w:r>
      <w:r w:rsidRPr="00745BDD">
        <w:rPr>
          <w:rFonts w:ascii="Arial" w:hAnsi="Arial" w:cs="Arial"/>
          <w:sz w:val="24"/>
          <w:szCs w:val="24"/>
        </w:rPr>
        <w:t xml:space="preserve"> If Odysseus is understood to symbolise the sun (see Chapter Three: Section 3.a), then his entrapment in a cave, plunged into darkness by a great round door </w:t>
      </w:r>
      <w:r w:rsidRPr="00745BDD">
        <w:rPr>
          <w:rFonts w:ascii="Arial" w:hAnsi="Arial" w:cs="Arial"/>
          <w:sz w:val="24"/>
          <w:szCs w:val="24"/>
        </w:rPr>
        <w:lastRenderedPageBreak/>
        <w:t xml:space="preserve">stone, is visually </w:t>
      </w:r>
      <w:commentRangeStart w:id="138"/>
      <w:r w:rsidRPr="00745BDD">
        <w:rPr>
          <w:rFonts w:ascii="Arial" w:hAnsi="Arial" w:cs="Arial"/>
          <w:sz w:val="24"/>
          <w:szCs w:val="24"/>
        </w:rPr>
        <w:t>evocative</w:t>
      </w:r>
      <w:commentRangeEnd w:id="138"/>
      <w:r>
        <w:rPr>
          <w:rStyle w:val="CommentReference"/>
        </w:rPr>
        <w:commentReference w:id="138"/>
      </w:r>
      <w:r w:rsidRPr="00745BDD">
        <w:rPr>
          <w:rFonts w:ascii="Arial" w:hAnsi="Arial" w:cs="Arial"/>
          <w:sz w:val="24"/>
          <w:szCs w:val="24"/>
        </w:rPr>
        <w:t xml:space="preserve"> of a solar eclipse. Such a narrative simulation is not altogether out of the question considering the </w:t>
      </w:r>
      <w:commentRangeStart w:id="139"/>
      <w:r w:rsidRPr="00745BDD">
        <w:rPr>
          <w:rFonts w:ascii="Arial" w:hAnsi="Arial" w:cs="Arial"/>
          <w:sz w:val="24"/>
          <w:szCs w:val="24"/>
        </w:rPr>
        <w:t>authors</w:t>
      </w:r>
      <w:commentRangeEnd w:id="139"/>
      <w:r>
        <w:rPr>
          <w:rStyle w:val="CommentReference"/>
        </w:rPr>
        <w:commentReference w:id="139"/>
      </w:r>
      <w:r w:rsidRPr="00745BDD">
        <w:rPr>
          <w:rFonts w:ascii="Arial" w:hAnsi="Arial" w:cs="Arial"/>
          <w:sz w:val="24"/>
          <w:szCs w:val="24"/>
        </w:rPr>
        <w:t xml:space="preserve"> familiarity with the eclipse cycle (see below: Section 3.c). Furthermore, from the geographical co-ordinates of Smyrna, heralded as the birthplace of Homer in some traditions, between the 15</w:t>
      </w:r>
      <w:r w:rsidRPr="00745BDD">
        <w:rPr>
          <w:rFonts w:ascii="Arial" w:hAnsi="Arial" w:cs="Arial"/>
          <w:sz w:val="24"/>
          <w:szCs w:val="24"/>
          <w:vertAlign w:val="superscript"/>
        </w:rPr>
        <w:t>th</w:t>
      </w:r>
      <w:r w:rsidRPr="00745BDD">
        <w:rPr>
          <w:rFonts w:ascii="Arial" w:hAnsi="Arial" w:cs="Arial"/>
          <w:sz w:val="24"/>
          <w:szCs w:val="24"/>
        </w:rPr>
        <w:t xml:space="preserve"> April and the 15</w:t>
      </w:r>
      <w:r w:rsidRPr="00745BDD">
        <w:rPr>
          <w:rFonts w:ascii="Arial" w:hAnsi="Arial" w:cs="Arial"/>
          <w:sz w:val="24"/>
          <w:szCs w:val="24"/>
          <w:vertAlign w:val="superscript"/>
        </w:rPr>
        <w:t>th</w:t>
      </w:r>
      <w:r w:rsidRPr="00745BDD">
        <w:rPr>
          <w:rFonts w:ascii="Arial" w:hAnsi="Arial" w:cs="Arial"/>
          <w:sz w:val="24"/>
          <w:szCs w:val="24"/>
        </w:rPr>
        <w:t xml:space="preserve"> May, one can normally see the moon pass very close to the sun (in Taurus) frequently eclipsing it.</w:t>
      </w:r>
      <w:commentRangeStart w:id="140"/>
      <w:r w:rsidRPr="00745BDD">
        <w:rPr>
          <w:rStyle w:val="FootnoteReference"/>
          <w:rFonts w:ascii="Arial" w:hAnsi="Arial" w:cs="Arial"/>
          <w:sz w:val="24"/>
          <w:szCs w:val="24"/>
        </w:rPr>
        <w:footnoteReference w:id="87"/>
      </w:r>
      <w:commentRangeEnd w:id="140"/>
      <w:r>
        <w:rPr>
          <w:rStyle w:val="CommentReference"/>
        </w:rPr>
        <w:commentReference w:id="140"/>
      </w:r>
      <w:r w:rsidRPr="00745BDD">
        <w:rPr>
          <w:rFonts w:ascii="Arial" w:hAnsi="Arial" w:cs="Arial"/>
          <w:sz w:val="24"/>
          <w:szCs w:val="24"/>
        </w:rPr>
        <w:t xml:space="preserve"> </w:t>
      </w:r>
      <w:commentRangeStart w:id="141"/>
      <w:r w:rsidRPr="00745BDD">
        <w:rPr>
          <w:rFonts w:ascii="Arial" w:hAnsi="Arial" w:cs="Arial"/>
          <w:sz w:val="24"/>
          <w:szCs w:val="24"/>
        </w:rPr>
        <w:t xml:space="preserve">An almost total solar eclipse in </w:t>
      </w:r>
      <w:r w:rsidRPr="00745BDD">
        <w:rPr>
          <w:rFonts w:ascii="Arial" w:hAnsi="Arial" w:cs="Arial"/>
          <w:i/>
          <w:sz w:val="24"/>
          <w:szCs w:val="24"/>
        </w:rPr>
        <w:t>Taurus</w:t>
      </w:r>
      <w:r w:rsidRPr="00745BDD">
        <w:rPr>
          <w:rFonts w:ascii="Arial" w:hAnsi="Arial" w:cs="Arial"/>
          <w:sz w:val="24"/>
          <w:szCs w:val="24"/>
        </w:rPr>
        <w:t xml:space="preserve"> would have been observable on the 18</w:t>
      </w:r>
      <w:r w:rsidRPr="00745BDD">
        <w:rPr>
          <w:rFonts w:ascii="Arial" w:hAnsi="Arial" w:cs="Arial"/>
          <w:sz w:val="24"/>
          <w:szCs w:val="24"/>
          <w:vertAlign w:val="superscript"/>
        </w:rPr>
        <w:t>th</w:t>
      </w:r>
      <w:r w:rsidRPr="00745BDD">
        <w:rPr>
          <w:rFonts w:ascii="Arial" w:hAnsi="Arial" w:cs="Arial"/>
          <w:sz w:val="24"/>
          <w:szCs w:val="24"/>
        </w:rPr>
        <w:t xml:space="preserve"> April 1047BCE at 6.25AM, and another was also visible on the 22</w:t>
      </w:r>
      <w:r w:rsidRPr="00745BDD">
        <w:rPr>
          <w:rFonts w:ascii="Arial" w:hAnsi="Arial" w:cs="Arial"/>
          <w:sz w:val="24"/>
          <w:szCs w:val="24"/>
          <w:vertAlign w:val="superscript"/>
        </w:rPr>
        <w:t>nd</w:t>
      </w:r>
      <w:r w:rsidRPr="00745BDD">
        <w:rPr>
          <w:rFonts w:ascii="Arial" w:hAnsi="Arial" w:cs="Arial"/>
          <w:sz w:val="24"/>
          <w:szCs w:val="24"/>
        </w:rPr>
        <w:t xml:space="preserve"> April 871BCE at 8.25AM, both dates fall within estimates for which the </w:t>
      </w:r>
      <w:r w:rsidRPr="00745BDD">
        <w:rPr>
          <w:rFonts w:ascii="Arial" w:hAnsi="Arial" w:cs="Arial"/>
          <w:i/>
          <w:sz w:val="24"/>
          <w:szCs w:val="24"/>
        </w:rPr>
        <w:t>Odyssey</w:t>
      </w:r>
      <w:r w:rsidRPr="00745BDD">
        <w:rPr>
          <w:rFonts w:ascii="Arial" w:hAnsi="Arial" w:cs="Arial"/>
          <w:sz w:val="24"/>
          <w:szCs w:val="24"/>
        </w:rPr>
        <w:t xml:space="preserve"> is thought to have been composed and/or transmitted.</w:t>
      </w:r>
      <w:commentRangeEnd w:id="141"/>
      <w:r>
        <w:rPr>
          <w:rStyle w:val="CommentReference"/>
        </w:rPr>
        <w:commentReference w:id="141"/>
      </w:r>
      <w:r w:rsidRPr="00745BDD">
        <w:rPr>
          <w:rStyle w:val="FootnoteReference"/>
          <w:rFonts w:ascii="Arial" w:hAnsi="Arial" w:cs="Arial"/>
          <w:sz w:val="24"/>
          <w:szCs w:val="24"/>
        </w:rPr>
        <w:footnoteReference w:id="88"/>
      </w:r>
      <w:r w:rsidRPr="00745BDD">
        <w:rPr>
          <w:rFonts w:ascii="Arial" w:hAnsi="Arial" w:cs="Arial"/>
          <w:sz w:val="24"/>
          <w:szCs w:val="24"/>
        </w:rPr>
        <w:t xml:space="preserve"> This same solar eclipse may also be the inspiration for Theoclymenos’ prophecy in Rhapsode XX.356-357: </w:t>
      </w:r>
      <w:commentRangeStart w:id="142"/>
      <w:r w:rsidRPr="00745BDD">
        <w:rPr>
          <w:rFonts w:ascii="Arial" w:hAnsi="Arial" w:cs="Arial"/>
          <w:sz w:val="24"/>
          <w:szCs w:val="24"/>
        </w:rPr>
        <w:t>‘The sun has perished out of the sky, and a foul mist has come over [all]’.</w:t>
      </w:r>
      <w:commentRangeEnd w:id="142"/>
      <w:r>
        <w:rPr>
          <w:rStyle w:val="CommentReference"/>
        </w:rPr>
        <w:commentReference w:id="142"/>
      </w:r>
      <w:r w:rsidRPr="00745BDD">
        <w:rPr>
          <w:rFonts w:ascii="Arial" w:hAnsi="Arial" w:cs="Arial"/>
          <w:sz w:val="24"/>
          <w:szCs w:val="24"/>
        </w:rPr>
        <w:t xml:space="preserve"> The blinding of Polyphemus can also be couched in astronomical terms – due to the Moons passing before the star Aldebaran – the singular ‘eye’ of Taurus.</w:t>
      </w:r>
      <w:r w:rsidRPr="00745BDD">
        <w:rPr>
          <w:rStyle w:val="FootnoteReference"/>
          <w:rFonts w:ascii="Arial" w:hAnsi="Arial" w:cs="Arial"/>
          <w:sz w:val="24"/>
          <w:szCs w:val="24"/>
        </w:rPr>
        <w:footnoteReference w:id="89"/>
      </w:r>
      <w:r w:rsidRPr="00745BDD">
        <w:rPr>
          <w:rFonts w:ascii="Arial" w:hAnsi="Arial" w:cs="Arial"/>
          <w:sz w:val="24"/>
          <w:szCs w:val="24"/>
        </w:rPr>
        <w:t xml:space="preserve"> Furthermore, the occultation of Aldebaran is an easily predictable astronomical event, explaining perhaps why Telemos was able to prophesy that Odysseus would blind the Cyclops.</w:t>
      </w:r>
      <w:r w:rsidRPr="00745BDD">
        <w:rPr>
          <w:rStyle w:val="FootnoteReference"/>
          <w:rFonts w:ascii="Arial" w:hAnsi="Arial" w:cs="Arial"/>
          <w:sz w:val="24"/>
          <w:szCs w:val="24"/>
        </w:rPr>
        <w:footnoteReference w:id="90"/>
      </w:r>
      <w:r w:rsidRPr="00745BDD">
        <w:rPr>
          <w:rFonts w:ascii="Arial" w:hAnsi="Arial" w:cs="Arial"/>
          <w:sz w:val="24"/>
          <w:szCs w:val="24"/>
        </w:rPr>
        <w:t xml:space="preserve"> Of course, </w:t>
      </w:r>
      <w:commentRangeStart w:id="143"/>
      <w:r w:rsidRPr="00745BDD">
        <w:rPr>
          <w:rFonts w:ascii="Arial" w:hAnsi="Arial" w:cs="Arial"/>
          <w:sz w:val="24"/>
          <w:szCs w:val="24"/>
        </w:rPr>
        <w:t xml:space="preserve">Polyphemus is not a bull. Nor is he described as bull-like in the Homeric corpus </w:t>
      </w:r>
      <w:commentRangeEnd w:id="143"/>
      <w:r>
        <w:rPr>
          <w:rStyle w:val="CommentReference"/>
        </w:rPr>
        <w:commentReference w:id="143"/>
      </w:r>
      <w:r w:rsidRPr="00745BDD">
        <w:rPr>
          <w:rFonts w:ascii="Arial" w:hAnsi="Arial" w:cs="Arial"/>
          <w:sz w:val="24"/>
          <w:szCs w:val="24"/>
        </w:rPr>
        <w:t>(though he is much later by Ovid).</w:t>
      </w:r>
      <w:commentRangeStart w:id="144"/>
      <w:r w:rsidRPr="00745BDD">
        <w:rPr>
          <w:rStyle w:val="FootnoteReference"/>
          <w:rFonts w:ascii="Arial" w:hAnsi="Arial" w:cs="Arial"/>
          <w:sz w:val="24"/>
          <w:szCs w:val="24"/>
        </w:rPr>
        <w:footnoteReference w:id="91"/>
      </w:r>
      <w:commentRangeEnd w:id="144"/>
      <w:r>
        <w:rPr>
          <w:rStyle w:val="CommentReference"/>
        </w:rPr>
        <w:commentReference w:id="144"/>
      </w:r>
      <w:r w:rsidRPr="00745BDD">
        <w:rPr>
          <w:rFonts w:ascii="Arial" w:hAnsi="Arial" w:cs="Arial"/>
          <w:sz w:val="24"/>
          <w:szCs w:val="24"/>
        </w:rPr>
        <w:t xml:space="preserve"> Yet the striking singular eye of the Cyclops (first described in Homer – or Hesiod, dependent upon dating) is startlingly reminiscent of the monopthalmic constellation of antiquity. And the narrative </w:t>
      </w:r>
      <w:commentRangeStart w:id="145"/>
      <w:r w:rsidRPr="00745BDD">
        <w:rPr>
          <w:rFonts w:ascii="Arial" w:hAnsi="Arial" w:cs="Arial"/>
          <w:sz w:val="24"/>
          <w:szCs w:val="24"/>
        </w:rPr>
        <w:t xml:space="preserve">does evoke specific astronomical phenomena </w:t>
      </w:r>
      <w:commentRangeEnd w:id="145"/>
      <w:r>
        <w:rPr>
          <w:rStyle w:val="CommentReference"/>
        </w:rPr>
        <w:commentReference w:id="145"/>
      </w:r>
      <w:r w:rsidRPr="00745BDD">
        <w:rPr>
          <w:rFonts w:ascii="Arial" w:hAnsi="Arial" w:cs="Arial"/>
          <w:sz w:val="24"/>
          <w:szCs w:val="24"/>
        </w:rPr>
        <w:t xml:space="preserve">concerning the constellation Taurus which were otherwise recorded and/or predictable to the </w:t>
      </w:r>
      <w:r w:rsidRPr="00745BDD">
        <w:rPr>
          <w:rFonts w:ascii="Arial" w:hAnsi="Arial" w:cs="Arial"/>
          <w:sz w:val="24"/>
          <w:szCs w:val="24"/>
        </w:rPr>
        <w:lastRenderedPageBreak/>
        <w:t>ancients. Furthermore, some links have been made between the constellation Taurus, Bulls, the island of Crete and the Cyclops.</w:t>
      </w:r>
      <w:commentRangeStart w:id="146"/>
      <w:r w:rsidRPr="00745BDD">
        <w:rPr>
          <w:rStyle w:val="FootnoteReference"/>
          <w:rFonts w:ascii="Arial" w:hAnsi="Arial" w:cs="Arial"/>
          <w:sz w:val="24"/>
          <w:szCs w:val="24"/>
        </w:rPr>
        <w:footnoteReference w:id="92"/>
      </w:r>
      <w:commentRangeEnd w:id="146"/>
      <w:r>
        <w:rPr>
          <w:rStyle w:val="CommentReference"/>
        </w:rPr>
        <w:commentReference w:id="146"/>
      </w:r>
    </w:p>
    <w:p w14:paraId="2CDA02FB" w14:textId="77777777" w:rsidR="00A25DE7" w:rsidRPr="00745BDD" w:rsidRDefault="00A25DE7" w:rsidP="00745BDD">
      <w:pPr>
        <w:spacing w:line="360" w:lineRule="auto"/>
        <w:jc w:val="both"/>
        <w:rPr>
          <w:rFonts w:ascii="Arial" w:hAnsi="Arial" w:cs="Arial"/>
          <w:sz w:val="24"/>
          <w:szCs w:val="24"/>
        </w:rPr>
      </w:pPr>
      <w:commentRangeStart w:id="147"/>
      <w:r w:rsidRPr="00745BDD">
        <w:rPr>
          <w:rFonts w:ascii="Arial" w:hAnsi="Arial" w:cs="Arial"/>
          <w:sz w:val="24"/>
          <w:szCs w:val="24"/>
        </w:rPr>
        <w:t xml:space="preserve">Thus, whilst the Bull of Heaven seen from the </w:t>
      </w:r>
      <w:r w:rsidRPr="00745BDD">
        <w:rPr>
          <w:rFonts w:ascii="Arial" w:hAnsi="Arial" w:cs="Arial"/>
          <w:i/>
          <w:sz w:val="24"/>
          <w:szCs w:val="24"/>
        </w:rPr>
        <w:t>Gilgamesh</w:t>
      </w:r>
      <w:r w:rsidRPr="00745BDD">
        <w:rPr>
          <w:rFonts w:ascii="Arial" w:hAnsi="Arial" w:cs="Arial"/>
          <w:sz w:val="24"/>
          <w:szCs w:val="24"/>
        </w:rPr>
        <w:t xml:space="preserve"> is clearly identified as the constellation Taurus, it is possible that Homer reworked a similar celestial association between the constellation and Odysseus’ great nemesis – the Cyclops, though perhaps in a more </w:t>
      </w:r>
      <w:commentRangeEnd w:id="147"/>
      <w:r w:rsidR="00E128DE">
        <w:rPr>
          <w:rStyle w:val="CommentReference"/>
        </w:rPr>
        <w:commentReference w:id="147"/>
      </w:r>
      <w:r w:rsidRPr="00745BDD">
        <w:rPr>
          <w:rFonts w:ascii="Arial" w:hAnsi="Arial" w:cs="Arial"/>
          <w:sz w:val="24"/>
          <w:szCs w:val="24"/>
        </w:rPr>
        <w:t xml:space="preserve">symbolic manner. Whether or not the Cyclops-Taurus theory is accepted, there remain other characters within the </w:t>
      </w:r>
      <w:r w:rsidRPr="00745BDD">
        <w:rPr>
          <w:rFonts w:ascii="Arial" w:hAnsi="Arial" w:cs="Arial"/>
          <w:i/>
          <w:sz w:val="24"/>
          <w:szCs w:val="24"/>
        </w:rPr>
        <w:t>Odyssey</w:t>
      </w:r>
      <w:r w:rsidRPr="00745BDD">
        <w:rPr>
          <w:rFonts w:ascii="Arial" w:hAnsi="Arial" w:cs="Arial"/>
          <w:sz w:val="24"/>
          <w:szCs w:val="24"/>
        </w:rPr>
        <w:t xml:space="preserve"> which hold clearer celestial connections to Near Eastern mythical figures.</w:t>
      </w:r>
      <w:commentRangeStart w:id="148"/>
      <w:r w:rsidRPr="00745BDD">
        <w:rPr>
          <w:rFonts w:ascii="Arial" w:hAnsi="Arial" w:cs="Arial"/>
          <w:sz w:val="24"/>
          <w:szCs w:val="24"/>
        </w:rPr>
        <w:t xml:space="preserve"> </w:t>
      </w:r>
      <w:commentRangeEnd w:id="148"/>
      <w:r>
        <w:rPr>
          <w:rStyle w:val="CommentReference"/>
        </w:rPr>
        <w:commentReference w:id="148"/>
      </w:r>
    </w:p>
    <w:p w14:paraId="42B1270F" w14:textId="77777777" w:rsidR="00A25DE7" w:rsidRPr="00745BDD" w:rsidRDefault="00A25DE7" w:rsidP="00F970D0">
      <w:pPr>
        <w:jc w:val="center"/>
        <w:rPr>
          <w:rFonts w:ascii="Arial" w:hAnsi="Arial" w:cs="Arial"/>
          <w:szCs w:val="20"/>
        </w:rPr>
      </w:pPr>
      <w:r w:rsidRPr="00745BDD">
        <w:rPr>
          <w:rFonts w:ascii="Arial" w:hAnsi="Arial" w:cs="Arial"/>
        </w:rPr>
        <w:t>*</w:t>
      </w:r>
    </w:p>
    <w:p w14:paraId="2134360E" w14:textId="77777777" w:rsidR="00A25DE7" w:rsidRPr="00745BDD" w:rsidRDefault="00A25DE7" w:rsidP="00F970D0">
      <w:pPr>
        <w:jc w:val="both"/>
        <w:rPr>
          <w:rFonts w:ascii="Arial" w:hAnsi="Arial" w:cs="Arial"/>
          <w:b/>
          <w:i/>
          <w:sz w:val="24"/>
        </w:rPr>
      </w:pPr>
      <w:r w:rsidRPr="00745BDD">
        <w:rPr>
          <w:rFonts w:ascii="Arial" w:hAnsi="Arial" w:cs="Arial"/>
          <w:b/>
          <w:i/>
          <w:sz w:val="24"/>
        </w:rPr>
        <w:t>Section Two: Character study – Celestial Goddesses</w:t>
      </w:r>
    </w:p>
    <w:p w14:paraId="6B0A7520" w14:textId="77777777" w:rsidR="00A25DE7" w:rsidRPr="00745BDD" w:rsidRDefault="00A25DE7" w:rsidP="00F970D0">
      <w:pPr>
        <w:pStyle w:val="ListParagraph"/>
        <w:numPr>
          <w:ilvl w:val="0"/>
          <w:numId w:val="39"/>
          <w:numberingChange w:id="149" w:author="Dorian" w:date="2015-11-20T19:28:00Z" w:original="%1:1:4:."/>
        </w:numPr>
        <w:jc w:val="both"/>
        <w:rPr>
          <w:rFonts w:ascii="Arial" w:hAnsi="Arial" w:cs="Arial"/>
          <w:b/>
          <w:i/>
          <w:sz w:val="24"/>
        </w:rPr>
      </w:pPr>
      <w:r w:rsidRPr="00745BDD">
        <w:rPr>
          <w:rFonts w:ascii="Arial" w:hAnsi="Arial" w:cs="Arial"/>
          <w:b/>
          <w:i/>
          <w:sz w:val="24"/>
        </w:rPr>
        <w:t>Ishtar/Siduri and Calypso/Circe</w:t>
      </w:r>
    </w:p>
    <w:p w14:paraId="0B3C35C1" w14:textId="77777777" w:rsidR="00A25DE7" w:rsidRPr="00745BDD" w:rsidRDefault="00A25DE7" w:rsidP="00745BDD">
      <w:pPr>
        <w:spacing w:line="360" w:lineRule="auto"/>
        <w:jc w:val="both"/>
        <w:rPr>
          <w:rFonts w:ascii="Arial" w:hAnsi="Arial" w:cs="Arial"/>
          <w:sz w:val="24"/>
          <w:u w:val="single"/>
        </w:rPr>
      </w:pPr>
      <w:r w:rsidRPr="00745BDD">
        <w:rPr>
          <w:rFonts w:ascii="Arial" w:hAnsi="Arial" w:cs="Arial"/>
          <w:sz w:val="24"/>
        </w:rPr>
        <w:t xml:space="preserve">One of the starkest celestial connections which appears in both Mesopotamian and Homeric literature concerns the portrayal of Circe (and to a lesser extent her similar counterpart Calypso) in Rhapsodes X and XI of the </w:t>
      </w:r>
      <w:r w:rsidRPr="00745BDD">
        <w:rPr>
          <w:rFonts w:ascii="Arial" w:hAnsi="Arial" w:cs="Arial"/>
          <w:i/>
          <w:sz w:val="24"/>
        </w:rPr>
        <w:t>Odyssey</w:t>
      </w:r>
      <w:r w:rsidRPr="00745BDD">
        <w:rPr>
          <w:rFonts w:ascii="Arial" w:hAnsi="Arial" w:cs="Arial"/>
          <w:sz w:val="24"/>
        </w:rPr>
        <w:t xml:space="preserve">, the goddess Ishtar (and to a lesser extent the character Siduri), and the constellation Leo. In </w:t>
      </w:r>
      <w:commentRangeStart w:id="150"/>
      <w:r w:rsidRPr="00745BDD">
        <w:rPr>
          <w:rFonts w:ascii="Arial" w:hAnsi="Arial" w:cs="Arial"/>
          <w:sz w:val="24"/>
        </w:rPr>
        <w:t xml:space="preserve">Mesopotamia, the constellation Leo was known as </w:t>
      </w:r>
      <w:r w:rsidRPr="00745BDD">
        <w:rPr>
          <w:rFonts w:ascii="Arial" w:hAnsi="Arial" w:cs="Arial"/>
          <w:sz w:val="24"/>
          <w:vertAlign w:val="superscript"/>
        </w:rPr>
        <w:t>MUL</w:t>
      </w:r>
      <w:r w:rsidRPr="00745BDD">
        <w:rPr>
          <w:rFonts w:ascii="Arial" w:hAnsi="Arial" w:cs="Arial"/>
          <w:sz w:val="24"/>
        </w:rPr>
        <w:t xml:space="preserve">Ur-Gu-la, Akkadian </w:t>
      </w:r>
      <w:r w:rsidRPr="00745BDD">
        <w:rPr>
          <w:rFonts w:ascii="Arial" w:hAnsi="Arial" w:cs="Arial"/>
          <w:i/>
          <w:sz w:val="24"/>
        </w:rPr>
        <w:t>urgulû</w:t>
      </w:r>
      <w:r w:rsidRPr="00745BDD">
        <w:rPr>
          <w:rFonts w:ascii="Arial" w:hAnsi="Arial" w:cs="Arial"/>
          <w:sz w:val="24"/>
        </w:rPr>
        <w:t>.</w:t>
      </w:r>
      <w:commentRangeEnd w:id="150"/>
      <w:r>
        <w:rPr>
          <w:rStyle w:val="CommentReference"/>
        </w:rPr>
        <w:commentReference w:id="150"/>
      </w:r>
      <w:r w:rsidRPr="00745BDD">
        <w:rPr>
          <w:rFonts w:ascii="Arial" w:hAnsi="Arial" w:cs="Arial"/>
          <w:sz w:val="24"/>
        </w:rPr>
        <w:t xml:space="preserve"> It was especially associated with the war goddess Ishtar – sometimes known simply as ‘Lioness of Heaven’ – in both literature and art.</w:t>
      </w:r>
      <w:r w:rsidRPr="00745BDD">
        <w:rPr>
          <w:rStyle w:val="FootnoteReference"/>
          <w:rFonts w:ascii="Arial" w:hAnsi="Arial" w:cs="Arial"/>
          <w:sz w:val="24"/>
        </w:rPr>
        <w:footnoteReference w:id="93"/>
      </w:r>
      <w:r w:rsidRPr="00745BDD">
        <w:rPr>
          <w:rFonts w:ascii="Arial" w:hAnsi="Arial" w:cs="Arial"/>
          <w:sz w:val="24"/>
        </w:rPr>
        <w:t xml:space="preserve"> In the Sumerian poem </w:t>
      </w:r>
      <w:r w:rsidRPr="00745BDD">
        <w:rPr>
          <w:rFonts w:ascii="Arial" w:hAnsi="Arial" w:cs="Arial"/>
          <w:i/>
          <w:sz w:val="24"/>
        </w:rPr>
        <w:t>Inanna and the mountain of Ebih</w:t>
      </w:r>
      <w:r w:rsidRPr="00745BDD">
        <w:rPr>
          <w:rFonts w:ascii="Arial" w:hAnsi="Arial" w:cs="Arial"/>
          <w:sz w:val="24"/>
        </w:rPr>
        <w:t>, for example, the goddess ‘roars like a lion and devastates the people’.</w:t>
      </w:r>
      <w:commentRangeStart w:id="151"/>
      <w:r w:rsidRPr="00745BDD">
        <w:rPr>
          <w:rStyle w:val="FootnoteReference"/>
          <w:rFonts w:ascii="Arial" w:hAnsi="Arial" w:cs="Arial"/>
          <w:sz w:val="24"/>
        </w:rPr>
        <w:footnoteReference w:id="94"/>
      </w:r>
      <w:r w:rsidRPr="00745BDD">
        <w:rPr>
          <w:rFonts w:ascii="Arial" w:hAnsi="Arial" w:cs="Arial"/>
          <w:sz w:val="24"/>
        </w:rPr>
        <w:t xml:space="preserve"> </w:t>
      </w:r>
      <w:commentRangeEnd w:id="151"/>
      <w:r>
        <w:rPr>
          <w:rStyle w:val="CommentReference"/>
        </w:rPr>
        <w:commentReference w:id="151"/>
      </w:r>
      <w:r w:rsidRPr="00745BDD">
        <w:rPr>
          <w:rFonts w:ascii="Arial" w:hAnsi="Arial" w:cs="Arial"/>
          <w:sz w:val="24"/>
        </w:rPr>
        <w:t>She is also frequently depicted as standing upon a lion.</w:t>
      </w:r>
      <w:r w:rsidRPr="00745BDD">
        <w:rPr>
          <w:rStyle w:val="FootnoteReference"/>
          <w:rFonts w:ascii="Arial" w:hAnsi="Arial" w:cs="Arial"/>
          <w:sz w:val="24"/>
        </w:rPr>
        <w:footnoteReference w:id="95"/>
      </w:r>
      <w:r w:rsidRPr="00745BDD">
        <w:rPr>
          <w:rFonts w:ascii="Arial" w:hAnsi="Arial" w:cs="Arial"/>
          <w:sz w:val="24"/>
        </w:rPr>
        <w:t xml:space="preserve"> Similarly, in Homer’s </w:t>
      </w:r>
      <w:r w:rsidRPr="00745BDD">
        <w:rPr>
          <w:rFonts w:ascii="Arial" w:hAnsi="Arial" w:cs="Arial"/>
          <w:i/>
          <w:sz w:val="24"/>
        </w:rPr>
        <w:t>Odyssey</w:t>
      </w:r>
      <w:r w:rsidRPr="00745BDD">
        <w:rPr>
          <w:rFonts w:ascii="Arial" w:hAnsi="Arial" w:cs="Arial"/>
          <w:sz w:val="24"/>
        </w:rPr>
        <w:t xml:space="preserve"> </w:t>
      </w:r>
      <w:commentRangeStart w:id="152"/>
      <w:r w:rsidRPr="00745BDD">
        <w:rPr>
          <w:rFonts w:ascii="Arial" w:hAnsi="Arial" w:cs="Arial"/>
          <w:sz w:val="24"/>
        </w:rPr>
        <w:t>the goddess Circe is described as surrounded by tame lions and other wild animals.</w:t>
      </w:r>
      <w:r w:rsidRPr="00745BDD">
        <w:rPr>
          <w:rStyle w:val="FootnoteReference"/>
          <w:rFonts w:ascii="Arial" w:hAnsi="Arial" w:cs="Arial"/>
          <w:sz w:val="24"/>
        </w:rPr>
        <w:footnoteReference w:id="96"/>
      </w:r>
      <w:r w:rsidRPr="00745BDD">
        <w:rPr>
          <w:rFonts w:ascii="Arial" w:hAnsi="Arial" w:cs="Arial"/>
          <w:sz w:val="24"/>
        </w:rPr>
        <w:t xml:space="preserve"> </w:t>
      </w:r>
      <w:commentRangeEnd w:id="152"/>
      <w:r w:rsidR="00E128DE">
        <w:rPr>
          <w:rStyle w:val="CommentReference"/>
        </w:rPr>
        <w:commentReference w:id="152"/>
      </w:r>
      <w:r w:rsidRPr="00745BDD">
        <w:rPr>
          <w:rFonts w:ascii="Arial" w:hAnsi="Arial" w:cs="Arial"/>
          <w:sz w:val="24"/>
        </w:rPr>
        <w:t xml:space="preserve">Indeed, the goddesses share a wealth of similar characteristics. Both Circe and Ishtar are associated with gender or species altering magic, as well as a </w:t>
      </w:r>
      <w:r w:rsidRPr="00745BDD">
        <w:rPr>
          <w:rFonts w:ascii="Arial" w:hAnsi="Arial" w:cs="Arial"/>
          <w:sz w:val="24"/>
        </w:rPr>
        <w:lastRenderedPageBreak/>
        <w:t>predatory, or dangerous, sexuality.</w:t>
      </w:r>
      <w:r w:rsidRPr="00745BDD">
        <w:rPr>
          <w:rStyle w:val="FootnoteReference"/>
          <w:rFonts w:ascii="Arial" w:hAnsi="Arial" w:cs="Arial"/>
          <w:sz w:val="24"/>
        </w:rPr>
        <w:footnoteReference w:id="97"/>
      </w:r>
      <w:r w:rsidRPr="00745BDD">
        <w:rPr>
          <w:rFonts w:ascii="Arial" w:hAnsi="Arial" w:cs="Arial"/>
          <w:sz w:val="24"/>
        </w:rPr>
        <w:t xml:space="preserve"> Like Circe, Ishtar sends her lover to the netherworld.</w:t>
      </w:r>
      <w:r w:rsidRPr="00745BDD">
        <w:rPr>
          <w:rStyle w:val="FootnoteReference"/>
          <w:rFonts w:ascii="Arial" w:hAnsi="Arial" w:cs="Arial"/>
          <w:sz w:val="24"/>
        </w:rPr>
        <w:footnoteReference w:id="98"/>
      </w:r>
      <w:r w:rsidRPr="00745BDD">
        <w:rPr>
          <w:rFonts w:ascii="Arial" w:hAnsi="Arial" w:cs="Arial"/>
          <w:sz w:val="24"/>
        </w:rPr>
        <w:t xml:space="preserve"> It is Gilgamesh’s encounter with the goddess Ishtar which leads to the death of his companion Enkidu, to whom he vows to build a grand death monument. </w:t>
      </w:r>
      <w:commentRangeStart w:id="153"/>
      <w:r w:rsidRPr="00745BDD">
        <w:rPr>
          <w:rFonts w:ascii="Arial" w:hAnsi="Arial" w:cs="Arial"/>
          <w:sz w:val="24"/>
        </w:rPr>
        <w:t>Likewise it is Odysseus’ encounter with the goddess Circe which leads to the death of his companion Elpenor, to whom he also vows to build a death monument.</w:t>
      </w:r>
      <w:r w:rsidRPr="00745BDD">
        <w:rPr>
          <w:rStyle w:val="FootnoteReference"/>
          <w:rFonts w:ascii="Arial" w:hAnsi="Arial" w:cs="Arial"/>
          <w:sz w:val="24"/>
        </w:rPr>
        <w:footnoteReference w:id="99"/>
      </w:r>
      <w:commentRangeEnd w:id="153"/>
      <w:r w:rsidR="00943034">
        <w:rPr>
          <w:rStyle w:val="CommentReference"/>
        </w:rPr>
        <w:commentReference w:id="153"/>
      </w:r>
    </w:p>
    <w:p w14:paraId="1FE6DA99"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However, such a comparison of narrative parallels between Circe and Ishtar does not necessarily imbue Circe with the celestial characteristics of the Asian goddess. Yet the Greek goddess does have cosmic associations which may raise her to the status of a celestial goddess. First of all there is her intimate association with the sun. Immediately before he arrives at Circe’s island, Odysseus visits the ‘Far-Gate’ of Telepylos ‘where shepherd calls to shepherd / as he drives his flock, and the other answers as he drives his out. / There could an unsleeping man have earned double wages / one as a cowherd, the other pasturing sheep / for the paths of day and night are close together.’</w:t>
      </w:r>
      <w:r w:rsidRPr="00745BDD">
        <w:rPr>
          <w:rStyle w:val="FootnoteReference"/>
          <w:rFonts w:ascii="Arial" w:hAnsi="Arial" w:cs="Arial"/>
          <w:sz w:val="24"/>
        </w:rPr>
        <w:footnoteReference w:id="100"/>
      </w:r>
      <w:r w:rsidRPr="00745BDD">
        <w:rPr>
          <w:rFonts w:ascii="Arial" w:hAnsi="Arial" w:cs="Arial"/>
          <w:sz w:val="24"/>
        </w:rPr>
        <w:t xml:space="preserve"> This ‘cosmic portal’ has been compared to the gate of the Sun which Gilgamesh passes through in Mt. Mashu in order to reach Siduri the ale-wife (a character recognised for her parallels to Circe and Calypso).</w:t>
      </w:r>
      <w:commentRangeStart w:id="154"/>
      <w:r w:rsidRPr="00745BDD">
        <w:rPr>
          <w:rStyle w:val="FootnoteReference"/>
          <w:rFonts w:ascii="Arial" w:hAnsi="Arial" w:cs="Arial"/>
          <w:sz w:val="24"/>
        </w:rPr>
        <w:footnoteReference w:id="101"/>
      </w:r>
      <w:commentRangeEnd w:id="154"/>
      <w:r>
        <w:rPr>
          <w:rStyle w:val="CommentReference"/>
        </w:rPr>
        <w:commentReference w:id="154"/>
      </w:r>
      <w:r w:rsidRPr="00745BDD">
        <w:rPr>
          <w:rFonts w:ascii="Arial" w:hAnsi="Arial" w:cs="Arial"/>
          <w:sz w:val="24"/>
        </w:rPr>
        <w:t xml:space="preserve"> Both Siduri and Circe’s homes are described as </w:t>
      </w:r>
      <w:commentRangeStart w:id="155"/>
      <w:r w:rsidRPr="00745BDD">
        <w:rPr>
          <w:rFonts w:ascii="Arial" w:hAnsi="Arial" w:cs="Arial"/>
          <w:sz w:val="24"/>
        </w:rPr>
        <w:t>beyond the sunrise</w:t>
      </w:r>
      <w:commentRangeEnd w:id="155"/>
      <w:r>
        <w:rPr>
          <w:rStyle w:val="CommentReference"/>
        </w:rPr>
        <w:commentReference w:id="155"/>
      </w:r>
      <w:r w:rsidRPr="00745BDD">
        <w:rPr>
          <w:rFonts w:ascii="Arial" w:hAnsi="Arial" w:cs="Arial"/>
          <w:sz w:val="24"/>
        </w:rPr>
        <w:t>, in the OBV Gilgamesh even meets the sun god himself during this episode.</w:t>
      </w:r>
      <w:r w:rsidRPr="00745BDD">
        <w:rPr>
          <w:rStyle w:val="FootnoteReference"/>
          <w:rFonts w:ascii="Arial" w:hAnsi="Arial" w:cs="Arial"/>
          <w:sz w:val="24"/>
        </w:rPr>
        <w:footnoteReference w:id="102"/>
      </w:r>
      <w:r w:rsidRPr="00745BDD">
        <w:rPr>
          <w:rFonts w:ascii="Arial" w:hAnsi="Arial" w:cs="Arial"/>
          <w:sz w:val="24"/>
        </w:rPr>
        <w:t xml:space="preserve"> </w:t>
      </w:r>
      <w:commentRangeStart w:id="156"/>
      <w:r w:rsidRPr="00745BDD">
        <w:rPr>
          <w:rFonts w:ascii="Arial" w:hAnsi="Arial" w:cs="Arial"/>
          <w:sz w:val="24"/>
        </w:rPr>
        <w:t>Circe’s island is called Aiaia a name unmistakably related to Aia, which according to Mimnermus was the land of the Golden Fleece, home of Aietes – Circe’s brother, for both are the children of Helios and Perse.</w:t>
      </w:r>
      <w:r w:rsidRPr="00745BDD">
        <w:rPr>
          <w:rStyle w:val="FootnoteReference"/>
          <w:rFonts w:ascii="Arial" w:hAnsi="Arial" w:cs="Arial"/>
          <w:sz w:val="24"/>
        </w:rPr>
        <w:footnoteReference w:id="103"/>
      </w:r>
      <w:commentRangeEnd w:id="156"/>
      <w:r>
        <w:rPr>
          <w:rStyle w:val="CommentReference"/>
        </w:rPr>
        <w:commentReference w:id="156"/>
      </w:r>
      <w:r w:rsidRPr="00745BDD">
        <w:rPr>
          <w:rFonts w:ascii="Arial" w:hAnsi="Arial" w:cs="Arial"/>
          <w:sz w:val="24"/>
        </w:rPr>
        <w:t xml:space="preserve"> </w:t>
      </w:r>
      <w:commentRangeStart w:id="157"/>
      <w:r w:rsidRPr="00745BDD">
        <w:rPr>
          <w:rFonts w:ascii="Arial" w:hAnsi="Arial" w:cs="Arial"/>
          <w:sz w:val="24"/>
        </w:rPr>
        <w:t>In the Greek tradition then ‘Aia’ is a term intimately connected to the Sun and his place of rising, just as the Babylonian goddess Aya is the goddess of dawn and wife of the Sun-god.</w:t>
      </w:r>
      <w:r w:rsidRPr="00745BDD">
        <w:rPr>
          <w:rStyle w:val="FootnoteReference"/>
          <w:rFonts w:ascii="Arial" w:hAnsi="Arial" w:cs="Arial"/>
          <w:sz w:val="24"/>
        </w:rPr>
        <w:footnoteReference w:id="104"/>
      </w:r>
      <w:commentRangeEnd w:id="157"/>
      <w:r>
        <w:rPr>
          <w:rStyle w:val="CommentReference"/>
        </w:rPr>
        <w:commentReference w:id="157"/>
      </w:r>
      <w:r w:rsidRPr="00745BDD">
        <w:rPr>
          <w:rFonts w:ascii="Arial" w:hAnsi="Arial" w:cs="Arial"/>
          <w:sz w:val="24"/>
        </w:rPr>
        <w:t xml:space="preserve"> </w:t>
      </w:r>
      <w:commentRangeStart w:id="158"/>
      <w:r w:rsidRPr="00745BDD">
        <w:rPr>
          <w:rFonts w:ascii="Arial" w:hAnsi="Arial" w:cs="Arial"/>
          <w:sz w:val="24"/>
        </w:rPr>
        <w:t xml:space="preserve">In the </w:t>
      </w:r>
      <w:r w:rsidRPr="00745BDD">
        <w:rPr>
          <w:rFonts w:ascii="Arial" w:hAnsi="Arial" w:cs="Arial"/>
          <w:i/>
          <w:sz w:val="24"/>
        </w:rPr>
        <w:t>Odyssey</w:t>
      </w:r>
      <w:r w:rsidRPr="00745BDD">
        <w:rPr>
          <w:rFonts w:ascii="Arial" w:hAnsi="Arial" w:cs="Arial"/>
          <w:sz w:val="24"/>
        </w:rPr>
        <w:t xml:space="preserve"> it is </w:t>
      </w:r>
      <w:r w:rsidRPr="00745BDD">
        <w:rPr>
          <w:rFonts w:ascii="Arial" w:hAnsi="Arial" w:cs="Arial"/>
          <w:sz w:val="24"/>
        </w:rPr>
        <w:lastRenderedPageBreak/>
        <w:t>Circe’s island that Odysseus first reaches upon leaving the Underworld, much as there was a Gate of Ishtar and Aya leading out of the underworld through which Ishtar (as the Morning Star Venus) and Aya (the light of dawn) appeared.</w:t>
      </w:r>
      <w:r w:rsidRPr="00745BDD">
        <w:rPr>
          <w:rStyle w:val="FootnoteReference"/>
          <w:rFonts w:ascii="Arial" w:hAnsi="Arial" w:cs="Arial"/>
          <w:sz w:val="24"/>
        </w:rPr>
        <w:footnoteReference w:id="105"/>
      </w:r>
      <w:r w:rsidRPr="00745BDD">
        <w:rPr>
          <w:rFonts w:ascii="Arial" w:hAnsi="Arial" w:cs="Arial"/>
          <w:sz w:val="24"/>
        </w:rPr>
        <w:t xml:space="preserve"> </w:t>
      </w:r>
      <w:commentRangeEnd w:id="158"/>
      <w:r>
        <w:rPr>
          <w:rStyle w:val="CommentReference"/>
        </w:rPr>
        <w:commentReference w:id="158"/>
      </w:r>
      <w:commentRangeStart w:id="159"/>
      <w:r w:rsidRPr="00745BDD">
        <w:rPr>
          <w:rFonts w:ascii="Arial" w:hAnsi="Arial" w:cs="Arial"/>
          <w:sz w:val="24"/>
        </w:rPr>
        <w:t xml:space="preserve">Finally, Circe is associated with both the sun, and the Akkadian goddess Aya, through the translation of her name: </w:t>
      </w:r>
      <w:commentRangeStart w:id="160"/>
      <w:r w:rsidRPr="00745BDD">
        <w:rPr>
          <w:rFonts w:ascii="Arial" w:hAnsi="Arial" w:cs="Arial"/>
          <w:i/>
          <w:sz w:val="24"/>
        </w:rPr>
        <w:t>Κιρκη</w:t>
      </w:r>
      <w:commentRangeEnd w:id="160"/>
      <w:r>
        <w:rPr>
          <w:rStyle w:val="CommentReference"/>
        </w:rPr>
        <w:commentReference w:id="160"/>
      </w:r>
      <w:r w:rsidRPr="00745BDD">
        <w:rPr>
          <w:rFonts w:ascii="Arial" w:hAnsi="Arial" w:cs="Arial"/>
          <w:sz w:val="24"/>
        </w:rPr>
        <w:t xml:space="preserve">, the feminine form of </w:t>
      </w:r>
      <w:r w:rsidRPr="00745BDD">
        <w:rPr>
          <w:rFonts w:ascii="Arial" w:hAnsi="Arial" w:cs="Arial"/>
          <w:i/>
          <w:sz w:val="24"/>
        </w:rPr>
        <w:t>kirkos</w:t>
      </w:r>
      <w:r w:rsidRPr="00745BDD">
        <w:rPr>
          <w:rFonts w:ascii="Arial" w:hAnsi="Arial" w:cs="Arial"/>
          <w:sz w:val="24"/>
        </w:rPr>
        <w:t xml:space="preserve">– ‘falcon’. This is a bird </w:t>
      </w:r>
      <w:commentRangeStart w:id="161"/>
      <w:r w:rsidRPr="00745BDD">
        <w:rPr>
          <w:rFonts w:ascii="Arial" w:hAnsi="Arial" w:cs="Arial"/>
          <w:sz w:val="24"/>
        </w:rPr>
        <w:t>associated in Egyptian culture with the Sun-god, an icon which influenced Phoenician art.</w:t>
      </w:r>
      <w:commentRangeEnd w:id="159"/>
      <w:r>
        <w:rPr>
          <w:rStyle w:val="CommentReference"/>
        </w:rPr>
        <w:commentReference w:id="159"/>
      </w:r>
      <w:r w:rsidRPr="00745BDD">
        <w:rPr>
          <w:rFonts w:ascii="Arial" w:hAnsi="Arial" w:cs="Arial"/>
          <w:sz w:val="24"/>
        </w:rPr>
        <w:t xml:space="preserve"> </w:t>
      </w:r>
      <w:commentRangeEnd w:id="161"/>
      <w:r w:rsidR="000D5B37">
        <w:rPr>
          <w:rStyle w:val="CommentReference"/>
        </w:rPr>
        <w:commentReference w:id="161"/>
      </w:r>
      <w:r w:rsidRPr="00745BDD">
        <w:rPr>
          <w:rFonts w:ascii="Arial" w:hAnsi="Arial" w:cs="Arial"/>
          <w:sz w:val="24"/>
        </w:rPr>
        <w:t xml:space="preserve">West suggests that the connection between Falcon and the Sun is deliberate, and that the Aramaic or Phoenician for falcon would have had the form </w:t>
      </w:r>
      <w:r w:rsidRPr="00745BDD">
        <w:rPr>
          <w:rFonts w:ascii="Arial" w:hAnsi="Arial" w:cs="Arial"/>
          <w:i/>
          <w:sz w:val="24"/>
        </w:rPr>
        <w:t>ayyat</w:t>
      </w:r>
      <w:r w:rsidRPr="00745BDD">
        <w:rPr>
          <w:rFonts w:ascii="Arial" w:hAnsi="Arial" w:cs="Arial"/>
          <w:sz w:val="24"/>
        </w:rPr>
        <w:t xml:space="preserve">or </w:t>
      </w:r>
      <w:r w:rsidRPr="00745BDD">
        <w:rPr>
          <w:rFonts w:ascii="Arial" w:hAnsi="Arial" w:cs="Arial"/>
          <w:i/>
          <w:sz w:val="24"/>
        </w:rPr>
        <w:t>ayya</w:t>
      </w:r>
      <w:r w:rsidRPr="00745BDD">
        <w:rPr>
          <w:rFonts w:ascii="Arial" w:hAnsi="Arial" w:cs="Arial"/>
          <w:sz w:val="24"/>
        </w:rPr>
        <w:t xml:space="preserve"> (from the Hebrew </w:t>
      </w:r>
      <w:r w:rsidRPr="00745BDD">
        <w:rPr>
          <w:rFonts w:ascii="Arial" w:hAnsi="Arial" w:cs="Arial"/>
          <w:i/>
          <w:sz w:val="24"/>
        </w:rPr>
        <w:t>ayyah</w:t>
      </w:r>
      <w:r w:rsidRPr="00745BDD">
        <w:rPr>
          <w:rFonts w:ascii="Arial" w:hAnsi="Arial" w:cs="Arial"/>
          <w:sz w:val="24"/>
        </w:rPr>
        <w:t>) which would connect the bird to the sun-goddess Aya who incidentally came to be known as ‘falcon’ by later Aramaic-speakers.</w:t>
      </w:r>
      <w:r w:rsidRPr="00745BDD">
        <w:rPr>
          <w:rStyle w:val="FootnoteReference"/>
          <w:rFonts w:ascii="Arial" w:hAnsi="Arial" w:cs="Arial"/>
          <w:sz w:val="24"/>
        </w:rPr>
        <w:footnoteReference w:id="106"/>
      </w:r>
      <w:r w:rsidRPr="00745BDD">
        <w:rPr>
          <w:rFonts w:ascii="Arial" w:hAnsi="Arial" w:cs="Arial"/>
          <w:sz w:val="24"/>
        </w:rPr>
        <w:t xml:space="preserve"> As for Calypso, her name originates from the root </w:t>
      </w:r>
      <w:r w:rsidRPr="00745BDD">
        <w:rPr>
          <w:rFonts w:ascii="Arial" w:hAnsi="Arial" w:cs="Arial"/>
          <w:i/>
          <w:sz w:val="24"/>
        </w:rPr>
        <w:t xml:space="preserve">καλυρτ- </w:t>
      </w:r>
      <w:r w:rsidRPr="00745BDD">
        <w:rPr>
          <w:rFonts w:ascii="Arial" w:hAnsi="Arial" w:cs="Arial"/>
          <w:sz w:val="24"/>
        </w:rPr>
        <w:t xml:space="preserve">meaning ‘conceal’ or ‘veil’, designating her as the ‘veiled one’, </w:t>
      </w:r>
      <w:commentRangeStart w:id="162"/>
      <w:r w:rsidRPr="00745BDD">
        <w:rPr>
          <w:rFonts w:ascii="Arial" w:hAnsi="Arial" w:cs="Arial"/>
          <w:sz w:val="24"/>
        </w:rPr>
        <w:t xml:space="preserve">just as Siduri in the </w:t>
      </w:r>
      <w:r w:rsidRPr="00745BDD">
        <w:rPr>
          <w:rFonts w:ascii="Arial" w:hAnsi="Arial" w:cs="Arial"/>
          <w:i/>
          <w:sz w:val="24"/>
        </w:rPr>
        <w:t>Gilgamesh</w:t>
      </w:r>
      <w:r w:rsidRPr="00745BDD">
        <w:rPr>
          <w:rFonts w:ascii="Arial" w:hAnsi="Arial" w:cs="Arial"/>
          <w:sz w:val="24"/>
        </w:rPr>
        <w:t xml:space="preserve"> is described as </w:t>
      </w:r>
      <w:r w:rsidRPr="00745BDD">
        <w:rPr>
          <w:rFonts w:ascii="Arial" w:hAnsi="Arial" w:cs="Arial"/>
          <w:i/>
          <w:sz w:val="24"/>
        </w:rPr>
        <w:t>kitummikuttumat</w:t>
      </w:r>
      <w:r w:rsidRPr="00745BDD">
        <w:rPr>
          <w:rFonts w:ascii="Arial" w:hAnsi="Arial" w:cs="Arial"/>
          <w:sz w:val="24"/>
        </w:rPr>
        <w:t>‘veiled with a veil’</w:t>
      </w:r>
      <w:commentRangeEnd w:id="162"/>
      <w:r>
        <w:rPr>
          <w:rStyle w:val="CommentReference"/>
        </w:rPr>
        <w:commentReference w:id="162"/>
      </w:r>
      <w:r w:rsidRPr="00745BDD">
        <w:rPr>
          <w:rFonts w:ascii="Arial" w:hAnsi="Arial" w:cs="Arial"/>
          <w:sz w:val="24"/>
        </w:rPr>
        <w:t xml:space="preserve">. Similarly, Aya bears the epithet </w:t>
      </w:r>
      <w:r w:rsidRPr="00745BDD">
        <w:rPr>
          <w:rFonts w:ascii="Arial" w:hAnsi="Arial" w:cs="Arial"/>
          <w:i/>
          <w:sz w:val="24"/>
        </w:rPr>
        <w:t>kallatu</w:t>
      </w:r>
      <w:r w:rsidRPr="00745BDD">
        <w:rPr>
          <w:rFonts w:ascii="Arial" w:hAnsi="Arial" w:cs="Arial"/>
          <w:sz w:val="24"/>
        </w:rPr>
        <w:t>, ‘the [veiled] bride’.</w:t>
      </w:r>
      <w:r w:rsidRPr="00745BDD">
        <w:rPr>
          <w:rStyle w:val="FootnoteReference"/>
          <w:rFonts w:ascii="Arial" w:hAnsi="Arial" w:cs="Arial"/>
          <w:sz w:val="24"/>
        </w:rPr>
        <w:footnoteReference w:id="107"/>
      </w:r>
      <w:r w:rsidRPr="00745BDD">
        <w:rPr>
          <w:rFonts w:ascii="Arial" w:hAnsi="Arial" w:cs="Arial"/>
          <w:sz w:val="24"/>
        </w:rPr>
        <w:t xml:space="preserve"> Just as Circe lives where Dawn has her dancing floors, Calypso lives in a place of such exceptional beauty that even gods pause to admire it. Both of these descriptions may echo the jewelled glades of Siduri where the Sun-god Shamash takes his walks.</w:t>
      </w:r>
      <w:r w:rsidRPr="00745BDD">
        <w:rPr>
          <w:rStyle w:val="FootnoteReference"/>
          <w:rFonts w:ascii="Arial" w:hAnsi="Arial" w:cs="Arial"/>
          <w:sz w:val="24"/>
        </w:rPr>
        <w:footnoteReference w:id="108"/>
      </w:r>
      <w:r w:rsidRPr="00745BDD">
        <w:rPr>
          <w:rFonts w:ascii="Arial" w:hAnsi="Arial" w:cs="Arial"/>
          <w:sz w:val="24"/>
        </w:rPr>
        <w:t xml:space="preserve"> </w:t>
      </w:r>
      <w:commentRangeStart w:id="163"/>
      <w:r w:rsidRPr="00745BDD">
        <w:rPr>
          <w:rFonts w:ascii="Arial" w:hAnsi="Arial" w:cs="Arial"/>
          <w:sz w:val="24"/>
        </w:rPr>
        <w:t>This all suggests that Circe, Calypso, Ishtar, Siduri, Aya, the sun, the planet Venus, and the constellation Leo are intimately connected to one another.</w:t>
      </w:r>
      <w:commentRangeEnd w:id="163"/>
      <w:r>
        <w:rPr>
          <w:rStyle w:val="CommentReference"/>
        </w:rPr>
        <w:commentReference w:id="163"/>
      </w:r>
      <w:r w:rsidRPr="00745BDD">
        <w:rPr>
          <w:rFonts w:ascii="Arial" w:hAnsi="Arial" w:cs="Arial"/>
          <w:sz w:val="24"/>
        </w:rPr>
        <w:t xml:space="preserve"> Though teasing out the origins of influence may well be impossible, it is clear </w:t>
      </w:r>
      <w:commentRangeStart w:id="164"/>
      <w:r w:rsidRPr="00745BDD">
        <w:rPr>
          <w:rFonts w:ascii="Arial" w:hAnsi="Arial" w:cs="Arial"/>
          <w:sz w:val="24"/>
        </w:rPr>
        <w:t>that the traditions of East and West were merged in an extensive and complicated manner.</w:t>
      </w:r>
      <w:commentRangeEnd w:id="164"/>
      <w:r w:rsidR="000D5B37">
        <w:rPr>
          <w:rStyle w:val="CommentReference"/>
        </w:rPr>
        <w:commentReference w:id="164"/>
      </w:r>
    </w:p>
    <w:p w14:paraId="765CDCDF" w14:textId="77777777" w:rsidR="00A25DE7" w:rsidRPr="00745BDD" w:rsidRDefault="00A25DE7" w:rsidP="00F970D0">
      <w:pPr>
        <w:jc w:val="center"/>
        <w:rPr>
          <w:rFonts w:ascii="Arial" w:hAnsi="Arial" w:cs="Arial"/>
        </w:rPr>
      </w:pPr>
      <w:r w:rsidRPr="00745BDD">
        <w:rPr>
          <w:rFonts w:ascii="Arial" w:hAnsi="Arial" w:cs="Arial"/>
        </w:rPr>
        <w:t>*</w:t>
      </w:r>
    </w:p>
    <w:p w14:paraId="6392472D" w14:textId="77777777" w:rsidR="00A25DE7" w:rsidRPr="00745BDD" w:rsidRDefault="00A25DE7" w:rsidP="00F970D0">
      <w:pPr>
        <w:jc w:val="both"/>
        <w:rPr>
          <w:rFonts w:ascii="Arial" w:hAnsi="Arial" w:cs="Arial"/>
          <w:b/>
          <w:i/>
          <w:sz w:val="24"/>
        </w:rPr>
      </w:pPr>
      <w:r w:rsidRPr="00745BDD">
        <w:rPr>
          <w:rFonts w:ascii="Arial" w:hAnsi="Arial" w:cs="Arial"/>
          <w:b/>
          <w:i/>
          <w:sz w:val="24"/>
        </w:rPr>
        <w:t>Section Three: Literary techniques and tropes – Calendars and Chronology</w:t>
      </w:r>
    </w:p>
    <w:p w14:paraId="7DC18666" w14:textId="483A2402" w:rsidR="00A25DE7" w:rsidRPr="00BF3049" w:rsidRDefault="00A25DE7" w:rsidP="00745BDD">
      <w:pPr>
        <w:spacing w:line="360" w:lineRule="auto"/>
        <w:jc w:val="both"/>
        <w:rPr>
          <w:rFonts w:ascii="Arial" w:hAnsi="Arial" w:cs="Arial"/>
          <w:sz w:val="24"/>
        </w:rPr>
      </w:pPr>
      <w:r w:rsidRPr="00745BDD">
        <w:rPr>
          <w:rFonts w:ascii="Arial" w:hAnsi="Arial" w:cs="Arial"/>
          <w:sz w:val="24"/>
        </w:rPr>
        <w:t xml:space="preserve">The specificity of numerical references in the Homeric tradition was something remarked upon at the very start of the twentieth century by Gilbert Murray. </w:t>
      </w:r>
      <w:r w:rsidRPr="00745BDD">
        <w:rPr>
          <w:rFonts w:ascii="Arial" w:hAnsi="Arial" w:cs="Arial"/>
          <w:sz w:val="24"/>
        </w:rPr>
        <w:lastRenderedPageBreak/>
        <w:t xml:space="preserve">Murray argued that the </w:t>
      </w:r>
      <w:r w:rsidRPr="00745BDD">
        <w:rPr>
          <w:rFonts w:ascii="Arial" w:hAnsi="Arial" w:cs="Arial"/>
          <w:i/>
          <w:sz w:val="24"/>
        </w:rPr>
        <w:t>Odyssey</w:t>
      </w:r>
      <w:r w:rsidRPr="00745BDD">
        <w:rPr>
          <w:rFonts w:ascii="Arial" w:hAnsi="Arial" w:cs="Arial"/>
          <w:sz w:val="24"/>
        </w:rPr>
        <w:t xml:space="preserve"> teems with numbers and dates of calendrical import ‘most unusual in epic poetry’ and also suggested that an examination of the calendrical content of the epic should undergo further study.</w:t>
      </w:r>
      <w:r w:rsidRPr="00745BDD">
        <w:rPr>
          <w:rStyle w:val="FootnoteReference"/>
          <w:rFonts w:ascii="Arial" w:hAnsi="Arial" w:cs="Arial"/>
          <w:sz w:val="24"/>
        </w:rPr>
        <w:footnoteReference w:id="109"/>
      </w:r>
      <w:r w:rsidRPr="00745BDD">
        <w:rPr>
          <w:rFonts w:ascii="Arial" w:hAnsi="Arial" w:cs="Arial"/>
          <w:sz w:val="24"/>
        </w:rPr>
        <w:t xml:space="preserve"> </w:t>
      </w:r>
      <w:commentRangeStart w:id="165"/>
      <w:r w:rsidRPr="00745BDD">
        <w:rPr>
          <w:rFonts w:ascii="Arial" w:hAnsi="Arial" w:cs="Arial"/>
          <w:sz w:val="24"/>
        </w:rPr>
        <w:t xml:space="preserve">This section aims to explore Murray’s belief that the numerical features of Homer’s </w:t>
      </w:r>
      <w:r w:rsidRPr="00745BDD">
        <w:rPr>
          <w:rFonts w:ascii="Arial" w:hAnsi="Arial" w:cs="Arial"/>
          <w:i/>
          <w:sz w:val="24"/>
        </w:rPr>
        <w:t xml:space="preserve">Odyssey </w:t>
      </w:r>
      <w:r w:rsidRPr="00745BDD">
        <w:rPr>
          <w:rFonts w:ascii="Arial" w:hAnsi="Arial" w:cs="Arial"/>
          <w:sz w:val="24"/>
        </w:rPr>
        <w:t>might have calendrical importance.</w:t>
      </w:r>
      <w:commentRangeEnd w:id="165"/>
      <w:r w:rsidR="00955829">
        <w:rPr>
          <w:rStyle w:val="CommentReference"/>
        </w:rPr>
        <w:commentReference w:id="165"/>
      </w:r>
      <w:r w:rsidRPr="00745BDD">
        <w:rPr>
          <w:rFonts w:ascii="Arial" w:hAnsi="Arial" w:cs="Arial"/>
          <w:sz w:val="24"/>
        </w:rPr>
        <w:t xml:space="preserve"> Whilst</w:t>
      </w:r>
      <w:ins w:id="166" w:author="Author" w:date="2015-11-30T14:23:00Z">
        <w:r w:rsidR="00955829">
          <w:rPr>
            <w:rFonts w:ascii="Arial" w:hAnsi="Arial" w:cs="Arial"/>
            <w:sz w:val="24"/>
          </w:rPr>
          <w:t xml:space="preserve"> </w:t>
        </w:r>
      </w:ins>
      <w:r w:rsidRPr="00745BDD">
        <w:rPr>
          <w:rFonts w:ascii="Arial" w:hAnsi="Arial" w:cs="Arial"/>
          <w:sz w:val="24"/>
        </w:rPr>
        <w:t>Murray did not compare this information with Akkadian literature, this final section also investigates comparative calendrical formulae and tropes from both traditions.</w:t>
      </w:r>
      <w:ins w:id="167" w:author="Dorian" w:date="2015-11-23T12:14:00Z">
        <w:r>
          <w:rPr>
            <w:rFonts w:ascii="Arial" w:hAnsi="Arial" w:cs="Arial"/>
            <w:sz w:val="24"/>
          </w:rPr>
          <w:t xml:space="preserve"> </w:t>
        </w:r>
      </w:ins>
    </w:p>
    <w:p w14:paraId="044DFD55" w14:textId="77777777" w:rsidR="00A25DE7" w:rsidRPr="00745BDD" w:rsidRDefault="00A25DE7" w:rsidP="00F970D0">
      <w:pPr>
        <w:pStyle w:val="ListParagraph"/>
        <w:numPr>
          <w:ilvl w:val="1"/>
          <w:numId w:val="38"/>
          <w:numberingChange w:id="168" w:author="Dorian" w:date="2015-11-20T19:28:00Z" w:original="%2:1:4:."/>
        </w:numPr>
        <w:jc w:val="both"/>
        <w:rPr>
          <w:rFonts w:ascii="Arial" w:hAnsi="Arial" w:cs="Arial"/>
          <w:b/>
          <w:i/>
          <w:sz w:val="24"/>
        </w:rPr>
      </w:pPr>
      <w:r w:rsidRPr="00745BDD">
        <w:rPr>
          <w:rFonts w:ascii="Arial" w:hAnsi="Arial" w:cs="Arial"/>
          <w:b/>
          <w:i/>
          <w:sz w:val="24"/>
        </w:rPr>
        <w:t>The division of night</w:t>
      </w:r>
    </w:p>
    <w:p w14:paraId="3EFC462C"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Before the twenty-four hour system was transmitted to Greece, time passed in periods known as ‘watches’ or </w:t>
      </w:r>
      <w:commentRangeStart w:id="169"/>
      <w:r w:rsidRPr="00745BDD">
        <w:rPr>
          <w:rFonts w:ascii="Arial" w:hAnsi="Arial" w:cs="Arial"/>
          <w:i/>
          <w:sz w:val="24"/>
        </w:rPr>
        <w:t>φυλακαι</w:t>
      </w:r>
      <w:commentRangeEnd w:id="169"/>
      <w:r>
        <w:rPr>
          <w:rStyle w:val="CommentReference"/>
        </w:rPr>
        <w:commentReference w:id="169"/>
      </w:r>
      <w:r w:rsidRPr="00745BDD">
        <w:rPr>
          <w:rFonts w:ascii="Arial" w:hAnsi="Arial" w:cs="Arial"/>
          <w:sz w:val="24"/>
        </w:rPr>
        <w:t>.</w:t>
      </w:r>
      <w:commentRangeStart w:id="170"/>
      <w:r w:rsidRPr="00745BDD">
        <w:rPr>
          <w:rStyle w:val="FootnoteReference"/>
          <w:rFonts w:ascii="Arial" w:hAnsi="Arial" w:cs="Arial"/>
          <w:sz w:val="24"/>
        </w:rPr>
        <w:footnoteReference w:id="110"/>
      </w:r>
      <w:r w:rsidRPr="00745BDD">
        <w:rPr>
          <w:rFonts w:ascii="Arial" w:hAnsi="Arial" w:cs="Arial"/>
          <w:sz w:val="24"/>
        </w:rPr>
        <w:t xml:space="preserve"> </w:t>
      </w:r>
      <w:commentRangeEnd w:id="170"/>
      <w:r>
        <w:rPr>
          <w:rStyle w:val="CommentReference"/>
        </w:rPr>
        <w:commentReference w:id="170"/>
      </w:r>
      <w:commentRangeStart w:id="171"/>
      <w:r w:rsidRPr="00745BDD">
        <w:rPr>
          <w:rFonts w:ascii="Arial" w:hAnsi="Arial" w:cs="Arial"/>
          <w:sz w:val="24"/>
        </w:rPr>
        <w:t xml:space="preserve">This Greek term corresponds closely in most of its senses to the Akkadian term </w:t>
      </w:r>
      <w:r w:rsidRPr="00745BDD">
        <w:rPr>
          <w:rFonts w:ascii="Arial" w:hAnsi="Arial" w:cs="Arial"/>
          <w:i/>
          <w:sz w:val="24"/>
        </w:rPr>
        <w:t>maṣṣartu</w:t>
      </w:r>
      <w:commentRangeEnd w:id="171"/>
      <w:r>
        <w:rPr>
          <w:rStyle w:val="CommentReference"/>
        </w:rPr>
        <w:commentReference w:id="171"/>
      </w:r>
      <w:r w:rsidRPr="00745BDD">
        <w:rPr>
          <w:rFonts w:ascii="Arial" w:hAnsi="Arial" w:cs="Arial"/>
          <w:i/>
          <w:sz w:val="24"/>
        </w:rPr>
        <w:t>.</w:t>
      </w:r>
      <w:r w:rsidRPr="00745BDD">
        <w:rPr>
          <w:rStyle w:val="FootnoteReference"/>
          <w:rFonts w:ascii="Arial" w:hAnsi="Arial" w:cs="Arial"/>
          <w:sz w:val="24"/>
        </w:rPr>
        <w:footnoteReference w:id="111"/>
      </w:r>
      <w:r w:rsidRPr="00745BDD">
        <w:rPr>
          <w:rFonts w:ascii="Arial" w:hAnsi="Arial" w:cs="Arial"/>
          <w:sz w:val="24"/>
        </w:rPr>
        <w:t xml:space="preserve"> In both the Homeric and Akkadian traditions the night was divided into three watches (</w:t>
      </w:r>
      <w:r w:rsidRPr="00745BDD">
        <w:rPr>
          <w:rFonts w:ascii="Arial" w:hAnsi="Arial" w:cs="Arial"/>
          <w:i/>
          <w:sz w:val="24"/>
        </w:rPr>
        <w:t xml:space="preserve">φυλακαί </w:t>
      </w:r>
      <w:r w:rsidRPr="00745BDD">
        <w:rPr>
          <w:rFonts w:ascii="Arial" w:hAnsi="Arial" w:cs="Arial"/>
          <w:sz w:val="24"/>
        </w:rPr>
        <w:t xml:space="preserve">or </w:t>
      </w:r>
      <w:r w:rsidRPr="00745BDD">
        <w:rPr>
          <w:rFonts w:ascii="Arial" w:hAnsi="Arial" w:cs="Arial"/>
          <w:i/>
          <w:sz w:val="24"/>
        </w:rPr>
        <w:t>maṣṣartu</w:t>
      </w:r>
      <w:r w:rsidRPr="00745BDD">
        <w:rPr>
          <w:rFonts w:ascii="Arial" w:hAnsi="Arial" w:cs="Arial"/>
          <w:sz w:val="24"/>
        </w:rPr>
        <w:t xml:space="preserve">respectively). The Babylonians divided both night and day into three </w:t>
      </w:r>
      <w:r w:rsidRPr="00745BDD">
        <w:rPr>
          <w:rFonts w:ascii="Arial" w:hAnsi="Arial" w:cs="Arial"/>
          <w:i/>
          <w:sz w:val="24"/>
        </w:rPr>
        <w:t>maṣṣarātu</w:t>
      </w:r>
      <w:r w:rsidRPr="00745BDD">
        <w:rPr>
          <w:rFonts w:ascii="Arial" w:hAnsi="Arial" w:cs="Arial"/>
          <w:sz w:val="24"/>
        </w:rPr>
        <w:t xml:space="preserve"> from at least the 26</w:t>
      </w:r>
      <w:r w:rsidRPr="00745BDD">
        <w:rPr>
          <w:rFonts w:ascii="Arial" w:hAnsi="Arial" w:cs="Arial"/>
          <w:sz w:val="24"/>
          <w:vertAlign w:val="superscript"/>
        </w:rPr>
        <w:t>th</w:t>
      </w:r>
      <w:r w:rsidRPr="00745BDD">
        <w:rPr>
          <w:rFonts w:ascii="Arial" w:hAnsi="Arial" w:cs="Arial"/>
          <w:sz w:val="24"/>
        </w:rPr>
        <w:t xml:space="preserve"> century BCE, demonstrated for example in this Old Babylonian letter which reads: ‘in the night at the third watch (</w:t>
      </w:r>
      <w:r w:rsidRPr="00745BDD">
        <w:rPr>
          <w:rFonts w:ascii="Arial" w:hAnsi="Arial" w:cs="Arial"/>
          <w:i/>
          <w:sz w:val="24"/>
        </w:rPr>
        <w:t>mūš um šaluštimaṣṣarti</w:t>
      </w:r>
      <w:r w:rsidRPr="00745BDD">
        <w:rPr>
          <w:rFonts w:ascii="Arial" w:hAnsi="Arial" w:cs="Arial"/>
          <w:sz w:val="24"/>
        </w:rPr>
        <w:t>)’.</w:t>
      </w:r>
      <w:r w:rsidRPr="00745BDD">
        <w:rPr>
          <w:rStyle w:val="FootnoteReference"/>
          <w:rFonts w:ascii="Arial" w:hAnsi="Arial" w:cs="Arial"/>
          <w:sz w:val="24"/>
        </w:rPr>
        <w:footnoteReference w:id="112"/>
      </w:r>
      <w:r w:rsidRPr="00745BDD">
        <w:rPr>
          <w:rFonts w:ascii="Arial" w:hAnsi="Arial" w:cs="Arial"/>
          <w:sz w:val="24"/>
        </w:rPr>
        <w:t xml:space="preserve"> Homer similarly describes the night as divided into three watches. </w:t>
      </w:r>
      <w:commentRangeStart w:id="174"/>
      <w:r w:rsidRPr="00745BDD">
        <w:rPr>
          <w:rFonts w:ascii="Arial" w:hAnsi="Arial" w:cs="Arial"/>
          <w:sz w:val="24"/>
        </w:rPr>
        <w:t>In Rhapsode XII for example he writes: ‘when the third part of the night had come’ and follows this period of time with a description of the rising of the dawn, clearly demonstrating that there were only three night watches during the time of composition.</w:t>
      </w:r>
      <w:r w:rsidRPr="00745BDD">
        <w:rPr>
          <w:rStyle w:val="FootnoteReference"/>
          <w:rFonts w:ascii="Arial" w:hAnsi="Arial" w:cs="Arial"/>
          <w:sz w:val="24"/>
        </w:rPr>
        <w:footnoteReference w:id="113"/>
      </w:r>
      <w:r w:rsidRPr="00745BDD">
        <w:rPr>
          <w:rFonts w:ascii="Arial" w:hAnsi="Arial" w:cs="Arial"/>
          <w:sz w:val="24"/>
        </w:rPr>
        <w:t xml:space="preserve"> </w:t>
      </w:r>
      <w:commentRangeEnd w:id="174"/>
      <w:r w:rsidR="00955829">
        <w:rPr>
          <w:rStyle w:val="CommentReference"/>
        </w:rPr>
        <w:commentReference w:id="174"/>
      </w:r>
      <w:commentRangeStart w:id="175"/>
      <w:r w:rsidRPr="00745BDD">
        <w:rPr>
          <w:rFonts w:ascii="Arial" w:hAnsi="Arial" w:cs="Arial"/>
          <w:sz w:val="24"/>
        </w:rPr>
        <w:t>The same division of three watches of the night (Hebrew:</w:t>
      </w:r>
      <w:r w:rsidRPr="00745BDD">
        <w:rPr>
          <w:rFonts w:ascii="Arial" w:hAnsi="Arial" w:cs="Arial"/>
          <w:i/>
          <w:sz w:val="24"/>
        </w:rPr>
        <w:t xml:space="preserve"> ̉ašmôrôt</w:t>
      </w:r>
      <w:r w:rsidRPr="00745BDD">
        <w:rPr>
          <w:rFonts w:ascii="Arial" w:hAnsi="Arial" w:cs="Arial"/>
          <w:sz w:val="24"/>
        </w:rPr>
        <w:t xml:space="preserve">) is also attested in the </w:t>
      </w:r>
      <w:r w:rsidRPr="00745BDD">
        <w:rPr>
          <w:rFonts w:ascii="Arial" w:hAnsi="Arial" w:cs="Arial"/>
          <w:i/>
          <w:sz w:val="24"/>
        </w:rPr>
        <w:t>Old Testament</w:t>
      </w:r>
      <w:r w:rsidRPr="00745BDD">
        <w:rPr>
          <w:rFonts w:ascii="Arial" w:hAnsi="Arial" w:cs="Arial"/>
          <w:sz w:val="24"/>
        </w:rPr>
        <w:t>, and within the Hittite tradition.</w:t>
      </w:r>
      <w:r w:rsidRPr="00745BDD">
        <w:rPr>
          <w:rStyle w:val="FootnoteReference"/>
          <w:rFonts w:ascii="Arial" w:hAnsi="Arial" w:cs="Arial"/>
          <w:sz w:val="24"/>
        </w:rPr>
        <w:footnoteReference w:id="114"/>
      </w:r>
      <w:commentRangeEnd w:id="175"/>
      <w:r>
        <w:rPr>
          <w:rStyle w:val="CommentReference"/>
        </w:rPr>
        <w:commentReference w:id="175"/>
      </w:r>
    </w:p>
    <w:p w14:paraId="6F1CEAD6"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That both Homer and his Western Asiatic counterparts should conform in such simple matters of time-keeping is perhaps not surprising given that the official and sacral lunar calendars of the Greeks resembled the Assyrians inasmuch as they calculated the days from sunset to sunset, and the months from new moon </w:t>
      </w:r>
      <w:r w:rsidRPr="00745BDD">
        <w:rPr>
          <w:rFonts w:ascii="Arial" w:hAnsi="Arial" w:cs="Arial"/>
          <w:sz w:val="24"/>
        </w:rPr>
        <w:lastRenderedPageBreak/>
        <w:t>to new moon, alternating from 29 to 30 day months where necessary, and remained in step with the seasons by the introduction of an additional thirteenth month every few years.</w:t>
      </w:r>
      <w:r w:rsidRPr="00745BDD">
        <w:rPr>
          <w:rStyle w:val="FootnoteReference"/>
          <w:rFonts w:ascii="Arial" w:hAnsi="Arial" w:cs="Arial"/>
          <w:sz w:val="24"/>
        </w:rPr>
        <w:footnoteReference w:id="115"/>
      </w:r>
      <w:r w:rsidRPr="00745BDD">
        <w:rPr>
          <w:rFonts w:ascii="Arial" w:hAnsi="Arial" w:cs="Arial"/>
          <w:sz w:val="24"/>
        </w:rPr>
        <w:t xml:space="preserve"> More significant however, is the fact that both cultures attached religious significance to particular days of the month.</w:t>
      </w:r>
      <w:r w:rsidRPr="00745BDD">
        <w:rPr>
          <w:rStyle w:val="FootnoteReference"/>
          <w:rFonts w:ascii="Arial" w:hAnsi="Arial" w:cs="Arial"/>
          <w:sz w:val="24"/>
        </w:rPr>
        <w:footnoteReference w:id="116"/>
      </w:r>
      <w:r w:rsidRPr="00745BDD">
        <w:rPr>
          <w:rFonts w:ascii="Arial" w:hAnsi="Arial" w:cs="Arial"/>
          <w:sz w:val="24"/>
        </w:rPr>
        <w:t xml:space="preserve"> This religious calendar is best attested in Hesiod’s </w:t>
      </w:r>
      <w:r w:rsidRPr="00745BDD">
        <w:rPr>
          <w:rFonts w:ascii="Arial" w:hAnsi="Arial" w:cs="Arial"/>
          <w:i/>
          <w:sz w:val="24"/>
        </w:rPr>
        <w:t>Works and Days</w:t>
      </w:r>
      <w:r w:rsidRPr="00745BDD">
        <w:rPr>
          <w:rFonts w:ascii="Arial" w:hAnsi="Arial" w:cs="Arial"/>
          <w:sz w:val="24"/>
        </w:rPr>
        <w:t xml:space="preserve"> which systematises the calendar according to which days are favourable or unfavourable for different purposes. Both the general principle, and some details, of this system are well attested in the Mesopotamian tradition (though such an examination would centre on the Hesiodic corpus and as such is outside the remit of this paper).</w:t>
      </w:r>
      <w:r w:rsidRPr="00745BDD">
        <w:rPr>
          <w:rStyle w:val="FootnoteReference"/>
          <w:rFonts w:ascii="Arial" w:hAnsi="Arial" w:cs="Arial"/>
          <w:sz w:val="24"/>
        </w:rPr>
        <w:footnoteReference w:id="117"/>
      </w:r>
      <w:r w:rsidRPr="00745BDD">
        <w:rPr>
          <w:rFonts w:ascii="Arial" w:hAnsi="Arial" w:cs="Arial"/>
          <w:sz w:val="24"/>
        </w:rPr>
        <w:t xml:space="preserve"> Thus it is understandable that both Homer and the Akkadian authors should divide the night into three watches, given the similarity of their horology. </w:t>
      </w:r>
      <w:commentRangeStart w:id="176"/>
      <w:r w:rsidRPr="00745BDD">
        <w:rPr>
          <w:rFonts w:ascii="Arial" w:hAnsi="Arial" w:cs="Arial"/>
          <w:sz w:val="24"/>
        </w:rPr>
        <w:t>But the tripartite division of the night is not the only calendrical trope found within these texts.</w:t>
      </w:r>
      <w:commentRangeEnd w:id="176"/>
      <w:r w:rsidR="00955829">
        <w:rPr>
          <w:rStyle w:val="CommentReference"/>
        </w:rPr>
        <w:commentReference w:id="176"/>
      </w:r>
    </w:p>
    <w:p w14:paraId="436A0050" w14:textId="77777777" w:rsidR="00A25DE7" w:rsidRPr="00745BDD" w:rsidRDefault="00A25DE7" w:rsidP="00F970D0">
      <w:pPr>
        <w:pStyle w:val="ListParagraph"/>
        <w:numPr>
          <w:ilvl w:val="1"/>
          <w:numId w:val="38"/>
          <w:numberingChange w:id="177" w:author="Dorian" w:date="2015-11-20T19:28:00Z" w:original="%2:2:4:."/>
        </w:numPr>
        <w:jc w:val="both"/>
        <w:rPr>
          <w:rFonts w:ascii="Arial" w:hAnsi="Arial" w:cs="Arial"/>
          <w:b/>
          <w:i/>
          <w:sz w:val="24"/>
        </w:rPr>
      </w:pPr>
      <w:r w:rsidRPr="00745BDD">
        <w:rPr>
          <w:rFonts w:ascii="Arial" w:hAnsi="Arial" w:cs="Arial"/>
          <w:b/>
          <w:i/>
          <w:sz w:val="24"/>
        </w:rPr>
        <w:t>The passing of days</w:t>
      </w:r>
    </w:p>
    <w:p w14:paraId="549ADE8B" w14:textId="77777777" w:rsidR="00A25DE7" w:rsidRDefault="00A25DE7" w:rsidP="00745BDD">
      <w:pPr>
        <w:spacing w:line="360" w:lineRule="auto"/>
        <w:jc w:val="both"/>
        <w:rPr>
          <w:rFonts w:ascii="Arial" w:hAnsi="Arial" w:cs="Arial"/>
          <w:sz w:val="24"/>
        </w:rPr>
      </w:pPr>
      <w:r w:rsidRPr="00745BDD">
        <w:rPr>
          <w:rFonts w:ascii="Arial" w:hAnsi="Arial" w:cs="Arial"/>
          <w:sz w:val="24"/>
        </w:rPr>
        <w:t xml:space="preserve">Whilst the rhythm of Homer’s narrative occurs with vibrantly descriptive, progressive temporal precision, the Akkadian epic </w:t>
      </w:r>
      <w:r w:rsidRPr="00745BDD">
        <w:rPr>
          <w:rFonts w:ascii="Arial" w:hAnsi="Arial" w:cs="Arial"/>
          <w:i/>
          <w:sz w:val="24"/>
        </w:rPr>
        <w:t>Gilgamesh</w:t>
      </w:r>
      <w:r w:rsidRPr="00745BDD">
        <w:rPr>
          <w:rFonts w:ascii="Arial" w:hAnsi="Arial" w:cs="Arial"/>
          <w:sz w:val="24"/>
        </w:rPr>
        <w:t xml:space="preserve"> is not noted for its concern with the passage of time. In Homer, for instance, the hours and periods of day have their own personifications, and specific formulas or epithets are regularly employed to mark the passing of days. Dawn, for example, is ‘rosy-fingered’ or ‘enthroned in gold’ and she frequently heralds the start of day-time activities.</w:t>
      </w:r>
      <w:r w:rsidRPr="00745BDD">
        <w:rPr>
          <w:rStyle w:val="FootnoteReference"/>
          <w:rFonts w:ascii="Arial" w:hAnsi="Arial" w:cs="Arial"/>
          <w:sz w:val="24"/>
        </w:rPr>
        <w:footnoteReference w:id="118"/>
      </w:r>
      <w:r w:rsidRPr="00745BDD">
        <w:rPr>
          <w:rFonts w:ascii="Arial" w:hAnsi="Arial" w:cs="Arial"/>
          <w:sz w:val="24"/>
        </w:rPr>
        <w:t xml:space="preserve"> However, despite the more haphazard chronology found within Near Eastern poetry, there are instances of more formulaic descriptions of the dawn to be found. In </w:t>
      </w:r>
      <w:r w:rsidRPr="00745BDD">
        <w:rPr>
          <w:rFonts w:ascii="Arial" w:hAnsi="Arial" w:cs="Arial"/>
          <w:i/>
          <w:sz w:val="24"/>
        </w:rPr>
        <w:t xml:space="preserve">Gilgamesh, Enkidu, and the Netherworld </w:t>
      </w:r>
      <w:r w:rsidRPr="00745BDD">
        <w:rPr>
          <w:rFonts w:ascii="Arial" w:hAnsi="Arial" w:cs="Arial"/>
          <w:sz w:val="24"/>
        </w:rPr>
        <w:t xml:space="preserve">for example we find: ‘When dawn was breaking, when the horizon became bright, when the birds, at the break of dawn, began to clamour, when Utu had left his </w:t>
      </w:r>
      <w:r w:rsidRPr="00745BDD">
        <w:rPr>
          <w:rFonts w:ascii="Arial" w:hAnsi="Arial" w:cs="Arial"/>
          <w:sz w:val="24"/>
        </w:rPr>
        <w:lastRenderedPageBreak/>
        <w:t xml:space="preserve">bedchamber’, and in </w:t>
      </w:r>
      <w:r w:rsidRPr="00745BDD">
        <w:rPr>
          <w:rFonts w:ascii="Arial" w:hAnsi="Arial" w:cs="Arial"/>
          <w:i/>
          <w:sz w:val="24"/>
        </w:rPr>
        <w:t>Gilgamesh</w:t>
      </w:r>
      <w:r w:rsidRPr="00745BDD">
        <w:rPr>
          <w:rFonts w:ascii="Arial" w:hAnsi="Arial" w:cs="Arial"/>
          <w:sz w:val="24"/>
        </w:rPr>
        <w:t xml:space="preserve">: </w:t>
      </w:r>
      <w:r w:rsidRPr="00745BDD">
        <w:rPr>
          <w:rFonts w:ascii="Arial" w:hAnsi="Arial" w:cs="Arial"/>
          <w:i/>
          <w:sz w:val="24"/>
        </w:rPr>
        <w:t>mimmûšēriinanamāri</w:t>
      </w:r>
      <w:r w:rsidRPr="00745BDD">
        <w:rPr>
          <w:rFonts w:ascii="Arial" w:hAnsi="Arial" w:cs="Arial"/>
          <w:sz w:val="24"/>
        </w:rPr>
        <w:t>, or, literally ‘upon something of dawn gleaming forth’ – a phrase which repeats throughout the epic, though notably without the prevalence that of Homer’s ‘rosy-fingered Dawn’.</w:t>
      </w:r>
      <w:r w:rsidRPr="00745BDD">
        <w:rPr>
          <w:rStyle w:val="FootnoteReference"/>
          <w:rFonts w:ascii="Arial" w:hAnsi="Arial" w:cs="Arial"/>
          <w:sz w:val="24"/>
        </w:rPr>
        <w:footnoteReference w:id="119"/>
      </w:r>
      <w:r w:rsidRPr="00745BDD">
        <w:rPr>
          <w:rFonts w:ascii="Arial" w:hAnsi="Arial" w:cs="Arial"/>
          <w:sz w:val="24"/>
        </w:rPr>
        <w:t xml:space="preserve"> Both Homer and the Western Asiatic authors have also been noted for their tendency to allot specific numbers to the duration of particular events, or the time taken until there is a new development in the narrative.</w:t>
      </w:r>
      <w:r w:rsidRPr="00745BDD">
        <w:rPr>
          <w:rStyle w:val="FootnoteReference"/>
          <w:rFonts w:ascii="Arial" w:hAnsi="Arial" w:cs="Arial"/>
          <w:sz w:val="24"/>
        </w:rPr>
        <w:footnoteReference w:id="120"/>
      </w:r>
      <w:r w:rsidRPr="00745BDD">
        <w:rPr>
          <w:rFonts w:ascii="Arial" w:hAnsi="Arial" w:cs="Arial"/>
          <w:sz w:val="24"/>
        </w:rPr>
        <w:t xml:space="preserve"> </w:t>
      </w:r>
      <w:commentRangeStart w:id="178"/>
      <w:r w:rsidRPr="00745BDD">
        <w:rPr>
          <w:rFonts w:ascii="Arial" w:hAnsi="Arial" w:cs="Arial"/>
          <w:sz w:val="24"/>
        </w:rPr>
        <w:t>One such recurring motif is that something will occur for six days, and it is on the seventh that something new occurs</w:t>
      </w:r>
      <w:commentRangeEnd w:id="178"/>
      <w:r>
        <w:rPr>
          <w:rStyle w:val="CommentReference"/>
        </w:rPr>
        <w:commentReference w:id="178"/>
      </w:r>
      <w:commentRangeStart w:id="179"/>
      <w:r w:rsidRPr="00745BDD">
        <w:rPr>
          <w:rFonts w:ascii="Arial" w:hAnsi="Arial" w:cs="Arial"/>
          <w:sz w:val="24"/>
        </w:rPr>
        <w:t xml:space="preserve">. In the </w:t>
      </w:r>
      <w:r w:rsidRPr="00745BDD">
        <w:rPr>
          <w:rFonts w:ascii="Arial" w:hAnsi="Arial" w:cs="Arial"/>
          <w:i/>
          <w:sz w:val="24"/>
        </w:rPr>
        <w:t>Odyssey</w:t>
      </w:r>
      <w:r w:rsidRPr="00745BDD">
        <w:rPr>
          <w:rFonts w:ascii="Arial" w:hAnsi="Arial" w:cs="Arial"/>
          <w:sz w:val="24"/>
        </w:rPr>
        <w:t>, for example, the men sail for six days and it is on the seventh that they reach Telepylos. The men feast for six days on the cattle of Helios, and it is on the seventh they leave. In Odysseus’ account of being a veteran he claims the men feasted for six days and left Crete on the seventh, and finally in the life story of Eumaeus, the goat-herder sailed with the Phoenicians for six days, and reached Ithaca on the seventh.</w:t>
      </w:r>
      <w:r w:rsidRPr="00745BDD">
        <w:rPr>
          <w:rStyle w:val="FootnoteReference"/>
          <w:rFonts w:ascii="Arial" w:hAnsi="Arial" w:cs="Arial"/>
          <w:sz w:val="24"/>
        </w:rPr>
        <w:footnoteReference w:id="121"/>
      </w:r>
      <w:r w:rsidRPr="00745BDD">
        <w:rPr>
          <w:rFonts w:ascii="Arial" w:hAnsi="Arial" w:cs="Arial"/>
          <w:sz w:val="24"/>
        </w:rPr>
        <w:t xml:space="preserve"> </w:t>
      </w:r>
      <w:commentRangeEnd w:id="179"/>
      <w:r w:rsidR="00955829">
        <w:rPr>
          <w:rStyle w:val="CommentReference"/>
        </w:rPr>
        <w:commentReference w:id="179"/>
      </w:r>
      <w:r w:rsidRPr="00745BDD">
        <w:rPr>
          <w:rFonts w:ascii="Arial" w:hAnsi="Arial" w:cs="Arial"/>
          <w:sz w:val="24"/>
        </w:rPr>
        <w:t xml:space="preserve">Similarly, </w:t>
      </w:r>
      <w:commentRangeStart w:id="180"/>
      <w:r w:rsidRPr="00745BDD">
        <w:rPr>
          <w:rFonts w:ascii="Arial" w:hAnsi="Arial" w:cs="Arial"/>
          <w:sz w:val="24"/>
        </w:rPr>
        <w:t xml:space="preserve">in </w:t>
      </w:r>
      <w:r w:rsidRPr="00745BDD">
        <w:rPr>
          <w:rFonts w:ascii="Arial" w:hAnsi="Arial" w:cs="Arial"/>
          <w:i/>
          <w:sz w:val="24"/>
        </w:rPr>
        <w:t>Nergal and Ereshkigal</w:t>
      </w:r>
      <w:r w:rsidRPr="00745BDD">
        <w:rPr>
          <w:rFonts w:ascii="Arial" w:hAnsi="Arial" w:cs="Arial"/>
          <w:sz w:val="24"/>
        </w:rPr>
        <w:t xml:space="preserve"> the deities make love for six days and on the seventh the story continues</w:t>
      </w:r>
      <w:commentRangeEnd w:id="180"/>
      <w:r>
        <w:rPr>
          <w:rStyle w:val="CommentReference"/>
        </w:rPr>
        <w:commentReference w:id="180"/>
      </w:r>
      <w:r w:rsidRPr="00745BDD">
        <w:rPr>
          <w:rFonts w:ascii="Arial" w:hAnsi="Arial" w:cs="Arial"/>
          <w:sz w:val="24"/>
        </w:rPr>
        <w:t xml:space="preserve">, whilst </w:t>
      </w:r>
      <w:commentRangeStart w:id="181"/>
      <w:r w:rsidRPr="00745BDD">
        <w:rPr>
          <w:rFonts w:ascii="Arial" w:hAnsi="Arial" w:cs="Arial"/>
          <w:sz w:val="24"/>
        </w:rPr>
        <w:t xml:space="preserve">in the </w:t>
      </w:r>
      <w:r w:rsidRPr="00745BDD">
        <w:rPr>
          <w:rFonts w:ascii="Arial" w:hAnsi="Arial" w:cs="Arial"/>
          <w:i/>
          <w:sz w:val="24"/>
        </w:rPr>
        <w:t>Gilgamesh</w:t>
      </w:r>
      <w:r w:rsidRPr="00745BDD">
        <w:rPr>
          <w:rFonts w:ascii="Arial" w:hAnsi="Arial" w:cs="Arial"/>
          <w:sz w:val="24"/>
        </w:rPr>
        <w:t xml:space="preserve"> Enkidu makes love to Shamhat for six days before leaving her on the seventh</w:t>
      </w:r>
      <w:commentRangeEnd w:id="181"/>
      <w:r>
        <w:rPr>
          <w:rStyle w:val="CommentReference"/>
        </w:rPr>
        <w:commentReference w:id="181"/>
      </w:r>
      <w:r w:rsidRPr="00745BDD">
        <w:rPr>
          <w:rFonts w:ascii="Arial" w:hAnsi="Arial" w:cs="Arial"/>
          <w:sz w:val="24"/>
        </w:rPr>
        <w:t xml:space="preserve">. In the Flood story of </w:t>
      </w:r>
      <w:r w:rsidRPr="00745BDD">
        <w:rPr>
          <w:rFonts w:ascii="Arial" w:hAnsi="Arial" w:cs="Arial"/>
          <w:i/>
          <w:sz w:val="24"/>
        </w:rPr>
        <w:t>Gilamesh</w:t>
      </w:r>
      <w:r w:rsidRPr="00745BDD">
        <w:rPr>
          <w:rFonts w:ascii="Arial" w:hAnsi="Arial" w:cs="Arial"/>
          <w:sz w:val="24"/>
        </w:rPr>
        <w:t>Tablet XI the storm rages for six days and abates on the seventh, whist Utnapishtim’s boat rests on the mountain top for six days, and it is on the seventh that he releases the dove. Finally, after hearing Utnapishtim’s account, Gilgamesh sleeps for six days and wakes on the seventh.</w:t>
      </w:r>
      <w:r w:rsidRPr="00745BDD">
        <w:rPr>
          <w:rStyle w:val="FootnoteReference"/>
          <w:rFonts w:ascii="Arial" w:hAnsi="Arial" w:cs="Arial"/>
          <w:sz w:val="24"/>
        </w:rPr>
        <w:footnoteReference w:id="122"/>
      </w:r>
      <w:r w:rsidRPr="00745BDD">
        <w:rPr>
          <w:rFonts w:ascii="Arial" w:hAnsi="Arial" w:cs="Arial"/>
          <w:sz w:val="24"/>
        </w:rPr>
        <w:t xml:space="preserve"> The six and seven formula is also found throughout the </w:t>
      </w:r>
      <w:r w:rsidRPr="00745BDD">
        <w:rPr>
          <w:rFonts w:ascii="Arial" w:hAnsi="Arial" w:cs="Arial"/>
          <w:i/>
          <w:sz w:val="24"/>
        </w:rPr>
        <w:t>Old Testament</w:t>
      </w:r>
      <w:r w:rsidRPr="00745BDD">
        <w:rPr>
          <w:rFonts w:ascii="Arial" w:hAnsi="Arial" w:cs="Arial"/>
          <w:sz w:val="24"/>
        </w:rPr>
        <w:t>.</w:t>
      </w:r>
      <w:r w:rsidRPr="00745BDD">
        <w:rPr>
          <w:rStyle w:val="FootnoteReference"/>
          <w:rFonts w:ascii="Arial" w:hAnsi="Arial" w:cs="Arial"/>
          <w:sz w:val="24"/>
        </w:rPr>
        <w:footnoteReference w:id="123"/>
      </w:r>
      <w:r w:rsidRPr="00745BDD">
        <w:rPr>
          <w:rFonts w:ascii="Arial" w:hAnsi="Arial" w:cs="Arial"/>
          <w:sz w:val="24"/>
        </w:rPr>
        <w:t xml:space="preserve"> Whilst it is less frequent, there are also instances in both traditions of the twelve-day time period: Enkidu’s sickness progresses for twelve days, Achilles’ abuse of Hector’s corpse lasts twelve days, and on the twelfth day the gods return to Olympus.</w:t>
      </w:r>
      <w:r w:rsidRPr="00745BDD">
        <w:rPr>
          <w:rStyle w:val="FootnoteReference"/>
          <w:rFonts w:ascii="Arial" w:hAnsi="Arial" w:cs="Arial"/>
          <w:sz w:val="24"/>
        </w:rPr>
        <w:footnoteReference w:id="124"/>
      </w:r>
      <w:r w:rsidRPr="00745BDD">
        <w:rPr>
          <w:rFonts w:ascii="Arial" w:hAnsi="Arial" w:cs="Arial"/>
          <w:sz w:val="24"/>
        </w:rPr>
        <w:t xml:space="preserve"> But what is the purpose of containing such calendrical information within the narrative? </w:t>
      </w:r>
    </w:p>
    <w:p w14:paraId="54586066" w14:textId="77777777" w:rsidR="00A25DE7" w:rsidRPr="00745BDD" w:rsidRDefault="00A25DE7" w:rsidP="00745BDD">
      <w:pPr>
        <w:spacing w:line="360" w:lineRule="auto"/>
        <w:jc w:val="both"/>
        <w:rPr>
          <w:rFonts w:ascii="Arial" w:hAnsi="Arial" w:cs="Arial"/>
          <w:sz w:val="24"/>
        </w:rPr>
      </w:pPr>
    </w:p>
    <w:p w14:paraId="5D770417" w14:textId="77777777" w:rsidR="00A25DE7" w:rsidRPr="00745BDD" w:rsidRDefault="00A25DE7" w:rsidP="00F970D0">
      <w:pPr>
        <w:pStyle w:val="ListParagraph"/>
        <w:numPr>
          <w:ilvl w:val="1"/>
          <w:numId w:val="38"/>
          <w:numberingChange w:id="182" w:author="Dorian" w:date="2015-11-20T19:28:00Z" w:original="%2:3:4:."/>
        </w:numPr>
        <w:jc w:val="both"/>
        <w:rPr>
          <w:rFonts w:ascii="Arial" w:hAnsi="Arial" w:cs="Arial"/>
          <w:b/>
          <w:i/>
          <w:sz w:val="24"/>
        </w:rPr>
      </w:pPr>
      <w:r w:rsidRPr="00745BDD">
        <w:rPr>
          <w:rFonts w:ascii="Arial" w:hAnsi="Arial" w:cs="Arial"/>
          <w:b/>
          <w:i/>
          <w:sz w:val="24"/>
        </w:rPr>
        <w:lastRenderedPageBreak/>
        <w:t>The making of calendars</w:t>
      </w:r>
    </w:p>
    <w:p w14:paraId="39E4DACB"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The answer to this question might be found by returning to Murray. Murray believed that Homer’s </w:t>
      </w:r>
      <w:r w:rsidRPr="00745BDD">
        <w:rPr>
          <w:rFonts w:ascii="Arial" w:hAnsi="Arial" w:cs="Arial"/>
          <w:i/>
          <w:sz w:val="24"/>
        </w:rPr>
        <w:t>Odyssey</w:t>
      </w:r>
      <w:r w:rsidRPr="00745BDD">
        <w:rPr>
          <w:rFonts w:ascii="Arial" w:hAnsi="Arial" w:cs="Arial"/>
          <w:sz w:val="24"/>
        </w:rPr>
        <w:t xml:space="preserve"> encoded an account of the nineteen year so-called Metonic calendrical cycle through the characters of Odysseus and Penelope. </w:t>
      </w:r>
      <w:commentRangeStart w:id="183"/>
      <w:r w:rsidRPr="00745BDD">
        <w:rPr>
          <w:rFonts w:ascii="Arial" w:hAnsi="Arial" w:cs="Arial"/>
          <w:sz w:val="24"/>
        </w:rPr>
        <w:t>To better understand his argument it is worth quoting Murray in full here:</w:t>
      </w:r>
      <w:r w:rsidRPr="00745BDD">
        <w:rPr>
          <w:rStyle w:val="FootnoteReference"/>
          <w:rFonts w:ascii="Arial" w:hAnsi="Arial" w:cs="Arial"/>
          <w:sz w:val="24"/>
        </w:rPr>
        <w:footnoteReference w:id="125"/>
      </w:r>
      <w:commentRangeEnd w:id="183"/>
      <w:r w:rsidR="00955829">
        <w:rPr>
          <w:rStyle w:val="CommentReference"/>
        </w:rPr>
        <w:commentReference w:id="183"/>
      </w:r>
    </w:p>
    <w:p w14:paraId="1BAA81EE" w14:textId="77777777" w:rsidR="00A25DE7" w:rsidRPr="00745BDD" w:rsidRDefault="00A25DE7" w:rsidP="00745BDD">
      <w:pPr>
        <w:tabs>
          <w:tab w:val="left" w:pos="9498"/>
        </w:tabs>
        <w:ind w:left="851" w:right="567"/>
        <w:jc w:val="center"/>
        <w:rPr>
          <w:rFonts w:ascii="Arial" w:hAnsi="Arial" w:cs="Arial"/>
          <w:b/>
          <w:bCs/>
          <w:i/>
        </w:rPr>
      </w:pPr>
      <w:r w:rsidRPr="00745BDD">
        <w:rPr>
          <w:rFonts w:ascii="Arial" w:hAnsi="Arial" w:cs="Arial"/>
        </w:rPr>
        <w:t xml:space="preserve">‘But myth has been at work also, and myth of a pronounced and curious kind. The point has not yet been noticed and needs a fairly full statement. It is a matter of the solar and lunar calendar. Time has been generally measured by the </w:t>
      </w:r>
      <w:r w:rsidRPr="00745BDD">
        <w:rPr>
          <w:rFonts w:ascii="Arial" w:hAnsi="Arial" w:cs="Arial"/>
          <w:i/>
        </w:rPr>
        <w:t>ενιαυτοι</w:t>
      </w:r>
      <w:r w:rsidRPr="00745BDD">
        <w:rPr>
          <w:rFonts w:ascii="Arial" w:hAnsi="Arial" w:cs="Arial"/>
        </w:rPr>
        <w:t>or repeated circuits, of the moon and the sun, i.e. by the month and the year. The object of a scientific calendar has always been to find a period in which the two circuits should correspond; the New Moon should coincide with the winter solstice, and Sun and Moon begin their life together. (As a matter of fact the two circuits are incommensurable, but that is a recent discovery.) […] Various cycles were tried with poor results. The simplest was a Trieteris, or double year; next a Penteteris or period of four years, such as regulated the Olympian or Pythian festivals. This period had fifty and forty-nine months alternately, and came fairly right every second time, in what was called the Ennaeteris […] unfortunately the fractions were wrong, and there was an error of about a day and a half in eight years. Hence came the greatest effort of ancient calendar-making, Meton’sEikosieteris, as it was called, or Grand Eniautos of Nineteen Years. On the last day of the nineteenth year, which was also by Greek reckoning the first of the twentieth, the New Moon would coincide with the New Sun of the Winter Solstice; this was called the “Meeting of Sun and Moon” – a thing which had not happened for nineteen full years before and would not happen again for another nineteen. Now when did Odysseus return to Penelope? The date is given with a precision most unusual in epic poetry. He returned to Ithaca “just as the rising of that brightest star which heralds the light of the Daughter of Dawn” [XIII.93]. He rejoined his wife “on the twentieth year”; i.e. he came as soon as the twentieth year came, as soon as the nineteenth was complete. He came at the New Moon, on the day which the Athenians called “Old-and-New”, “when one month is waning and the next rising-up”. This New Moon was also the day of the Apollo Feast, or Solstice festival of the Sun, and the time was winter. [The journey of Odysseus to Penelope] exactly coincides with the Sun and Moon.’</w:t>
      </w:r>
    </w:p>
    <w:p w14:paraId="77473550"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 xml:space="preserve">This nineteenth year narrative cycle is also repeated within the story of Helen who is beginning her twentieth year in Troy when the war reaches its </w:t>
      </w:r>
      <w:r w:rsidRPr="00745BDD">
        <w:rPr>
          <w:rFonts w:ascii="Arial" w:hAnsi="Arial" w:cs="Arial"/>
          <w:sz w:val="24"/>
        </w:rPr>
        <w:lastRenderedPageBreak/>
        <w:t>conclusion.</w:t>
      </w:r>
      <w:r w:rsidRPr="00745BDD">
        <w:rPr>
          <w:rStyle w:val="FootnoteReference"/>
          <w:rFonts w:ascii="Arial" w:hAnsi="Arial" w:cs="Arial"/>
          <w:sz w:val="24"/>
        </w:rPr>
        <w:footnoteReference w:id="126"/>
      </w:r>
      <w:r w:rsidRPr="00745BDD">
        <w:rPr>
          <w:rFonts w:ascii="Arial" w:hAnsi="Arial" w:cs="Arial"/>
          <w:sz w:val="24"/>
        </w:rPr>
        <w:t xml:space="preserve"> In short, Helen is away from Menelaus for nineteen years, just as Odysseus is away from Penelope. However whilst Odysseus returns to Penelope at the Winter Solstice when Athena holds back the long night, Helen returns to Menelaus on the Summer Solstice, when the goddess Hera commands the ‘lingering sun to set’ on the longest day</w:t>
      </w:r>
      <w:commentRangeStart w:id="184"/>
      <w:r w:rsidRPr="00745BDD">
        <w:rPr>
          <w:rFonts w:ascii="Arial" w:hAnsi="Arial" w:cs="Arial"/>
          <w:sz w:val="24"/>
        </w:rPr>
        <w:t>.</w:t>
      </w:r>
      <w:r w:rsidRPr="00745BDD">
        <w:rPr>
          <w:rStyle w:val="FootnoteReference"/>
          <w:rFonts w:ascii="Arial" w:hAnsi="Arial" w:cs="Arial"/>
          <w:sz w:val="24"/>
        </w:rPr>
        <w:footnoteReference w:id="127"/>
      </w:r>
      <w:commentRangeEnd w:id="184"/>
      <w:r>
        <w:rPr>
          <w:rStyle w:val="CommentReference"/>
        </w:rPr>
        <w:commentReference w:id="184"/>
      </w:r>
    </w:p>
    <w:p w14:paraId="01D54490" w14:textId="77777777" w:rsidR="00A25DE7" w:rsidRPr="00745BDD" w:rsidRDefault="00A25DE7" w:rsidP="00745BDD">
      <w:pPr>
        <w:spacing w:line="360" w:lineRule="auto"/>
        <w:jc w:val="both"/>
        <w:rPr>
          <w:rFonts w:ascii="Arial" w:hAnsi="Arial" w:cs="Arial"/>
          <w:sz w:val="24"/>
        </w:rPr>
      </w:pPr>
      <w:r w:rsidRPr="00745BDD">
        <w:rPr>
          <w:rFonts w:ascii="Arial" w:hAnsi="Arial" w:cs="Arial"/>
          <w:sz w:val="24"/>
        </w:rPr>
        <w:t>That the separation and reunion of Odysseus and Penelope (or Helen and Menelaus) should symbolise the return of the Sun and Moon in a nineteen year calendrical cycle is certainly evocative considering the wealth of astronomical and calendrical imagery found across literature of the time. Yet both Murray, and Florence and Kenneth Wood, ignore the fact that Meton’s</w:t>
      </w:r>
      <w:r w:rsidRPr="00745BDD">
        <w:rPr>
          <w:rFonts w:ascii="Arial" w:hAnsi="Arial" w:cs="Arial"/>
          <w:i/>
          <w:sz w:val="24"/>
        </w:rPr>
        <w:t>Eikosieteris</w:t>
      </w:r>
      <w:r w:rsidRPr="00745BDD">
        <w:rPr>
          <w:rFonts w:ascii="Arial" w:hAnsi="Arial" w:cs="Arial"/>
          <w:sz w:val="24"/>
        </w:rPr>
        <w:t xml:space="preserve">was introduced in 432BCE, at least three hundred years after the composition of the </w:t>
      </w:r>
      <w:r w:rsidRPr="00745BDD">
        <w:rPr>
          <w:rFonts w:ascii="Arial" w:hAnsi="Arial" w:cs="Arial"/>
          <w:i/>
          <w:sz w:val="24"/>
        </w:rPr>
        <w:t>Odyssey</w:t>
      </w:r>
      <w:r w:rsidRPr="00745BDD">
        <w:rPr>
          <w:rFonts w:ascii="Arial" w:hAnsi="Arial" w:cs="Arial"/>
          <w:sz w:val="24"/>
        </w:rPr>
        <w:t xml:space="preserve">. However, whilst the horological mathematics may not have been perfected, that is not to say that ancients before Meton did not recognise that a New Moon occurred on the Winter Solstice every nineteen years. </w:t>
      </w:r>
      <w:commentRangeStart w:id="185"/>
      <w:r w:rsidRPr="00745BDD">
        <w:rPr>
          <w:rFonts w:ascii="Arial" w:hAnsi="Arial" w:cs="Arial"/>
          <w:sz w:val="24"/>
        </w:rPr>
        <w:t>The solar eclipse prophesied by Theoclymenus in Rhapsode XX</w:t>
      </w:r>
      <w:commentRangeEnd w:id="185"/>
      <w:r>
        <w:rPr>
          <w:rStyle w:val="CommentReference"/>
        </w:rPr>
        <w:commentReference w:id="185"/>
      </w:r>
      <w:r w:rsidRPr="00745BDD">
        <w:rPr>
          <w:rFonts w:ascii="Arial" w:hAnsi="Arial" w:cs="Arial"/>
          <w:sz w:val="24"/>
        </w:rPr>
        <w:t xml:space="preserve"> certainly suggests that the author of the </w:t>
      </w:r>
      <w:r w:rsidRPr="00745BDD">
        <w:rPr>
          <w:rFonts w:ascii="Arial" w:hAnsi="Arial" w:cs="Arial"/>
          <w:i/>
          <w:sz w:val="24"/>
        </w:rPr>
        <w:t>Odyssey</w:t>
      </w:r>
      <w:r w:rsidRPr="00745BDD">
        <w:rPr>
          <w:rFonts w:ascii="Arial" w:hAnsi="Arial" w:cs="Arial"/>
          <w:sz w:val="24"/>
        </w:rPr>
        <w:t xml:space="preserve"> was well aware of an astronomical phenomenon which could only occur when the Moon was New and the calendars were synchronised.</w:t>
      </w:r>
      <w:r w:rsidRPr="00745BDD">
        <w:rPr>
          <w:rStyle w:val="FootnoteReference"/>
          <w:rFonts w:ascii="Arial" w:hAnsi="Arial" w:cs="Arial"/>
          <w:sz w:val="24"/>
        </w:rPr>
        <w:footnoteReference w:id="128"/>
      </w:r>
      <w:r w:rsidRPr="00745BDD">
        <w:rPr>
          <w:rFonts w:ascii="Arial" w:hAnsi="Arial" w:cs="Arial"/>
          <w:sz w:val="24"/>
        </w:rPr>
        <w:t xml:space="preserve"> </w:t>
      </w:r>
      <w:commentRangeStart w:id="186"/>
      <w:r w:rsidRPr="00745BDD">
        <w:rPr>
          <w:rFonts w:ascii="Arial" w:hAnsi="Arial" w:cs="Arial"/>
          <w:sz w:val="24"/>
        </w:rPr>
        <w:t>Furthermore Odysseus makes it clear to Penelope that the contest must occur on the New Moon, just as the author makes it clear that Odysseus also returns on the Winter Solstice.</w:t>
      </w:r>
      <w:r w:rsidRPr="00745BDD">
        <w:rPr>
          <w:rStyle w:val="FootnoteReference"/>
          <w:rFonts w:ascii="Arial" w:hAnsi="Arial" w:cs="Arial"/>
          <w:sz w:val="24"/>
        </w:rPr>
        <w:footnoteReference w:id="129"/>
      </w:r>
      <w:r w:rsidRPr="00745BDD">
        <w:rPr>
          <w:rFonts w:ascii="Arial" w:hAnsi="Arial" w:cs="Arial"/>
          <w:sz w:val="24"/>
        </w:rPr>
        <w:t xml:space="preserve"> </w:t>
      </w:r>
      <w:commentRangeEnd w:id="186"/>
      <w:r>
        <w:rPr>
          <w:rStyle w:val="CommentReference"/>
        </w:rPr>
        <w:commentReference w:id="186"/>
      </w:r>
      <w:r w:rsidRPr="00745BDD">
        <w:rPr>
          <w:rFonts w:ascii="Arial" w:hAnsi="Arial" w:cs="Arial"/>
          <w:sz w:val="24"/>
        </w:rPr>
        <w:t>For the ancients whose livelihoods depended on the solar and lunar cycles, who consecrated every new moon with a religious ceremony, especially that of the Winter Solstice, this eclipse cycle must have been observed from an early time, even if it was not calculated.</w:t>
      </w:r>
      <w:r w:rsidRPr="00745BDD">
        <w:rPr>
          <w:rStyle w:val="FootnoteReference"/>
          <w:rFonts w:ascii="Arial" w:hAnsi="Arial" w:cs="Arial"/>
          <w:sz w:val="24"/>
        </w:rPr>
        <w:footnoteReference w:id="130"/>
      </w:r>
      <w:r w:rsidRPr="00745BDD">
        <w:rPr>
          <w:rFonts w:ascii="Arial" w:hAnsi="Arial" w:cs="Arial"/>
          <w:sz w:val="24"/>
        </w:rPr>
        <w:t xml:space="preserve"> Together this suggests an awareness of solar and lunar rhythms which were important enough to the reader to be incorporated into the central imagery of the </w:t>
      </w:r>
      <w:r w:rsidRPr="00745BDD">
        <w:rPr>
          <w:rFonts w:ascii="Arial" w:hAnsi="Arial" w:cs="Arial"/>
          <w:i/>
          <w:sz w:val="24"/>
        </w:rPr>
        <w:t>Odyssey</w:t>
      </w:r>
      <w:r w:rsidRPr="00745BDD">
        <w:rPr>
          <w:rFonts w:ascii="Arial" w:hAnsi="Arial" w:cs="Arial"/>
          <w:sz w:val="24"/>
        </w:rPr>
        <w:t xml:space="preserve">’sdramatic dénouement. Thus the central narrative of the </w:t>
      </w:r>
      <w:r w:rsidRPr="00745BDD">
        <w:rPr>
          <w:rFonts w:ascii="Arial" w:hAnsi="Arial" w:cs="Arial"/>
          <w:i/>
          <w:sz w:val="24"/>
        </w:rPr>
        <w:t xml:space="preserve">Odyssey </w:t>
      </w:r>
      <w:r w:rsidRPr="00745BDD">
        <w:rPr>
          <w:rFonts w:ascii="Arial" w:hAnsi="Arial" w:cs="Arial"/>
          <w:sz w:val="24"/>
        </w:rPr>
        <w:t xml:space="preserve">– the reunion of Odysseus and Penelope – is reflected on a </w:t>
      </w:r>
      <w:r w:rsidRPr="00745BDD">
        <w:rPr>
          <w:rFonts w:ascii="Arial" w:hAnsi="Arial" w:cs="Arial"/>
          <w:sz w:val="24"/>
        </w:rPr>
        <w:lastRenderedPageBreak/>
        <w:t>cosmic scale.</w:t>
      </w:r>
      <w:r w:rsidRPr="00745BDD">
        <w:rPr>
          <w:rStyle w:val="FootnoteReference"/>
          <w:rFonts w:ascii="Arial" w:hAnsi="Arial" w:cs="Arial"/>
          <w:sz w:val="24"/>
        </w:rPr>
        <w:footnoteReference w:id="131"/>
      </w:r>
      <w:r w:rsidRPr="00745BDD">
        <w:rPr>
          <w:rFonts w:ascii="Arial" w:hAnsi="Arial" w:cs="Arial"/>
          <w:sz w:val="24"/>
        </w:rPr>
        <w:t xml:space="preserve"> Penelope and Odysseus are portrayed as in phase with each other, and also with the wider cosmos in which we all live. Their relationship gives the appearance that the characters of Homer’s </w:t>
      </w:r>
      <w:r w:rsidRPr="00745BDD">
        <w:rPr>
          <w:rFonts w:ascii="Arial" w:hAnsi="Arial" w:cs="Arial"/>
          <w:i/>
          <w:sz w:val="24"/>
        </w:rPr>
        <w:t>Odyssey</w:t>
      </w:r>
      <w:r w:rsidRPr="00745BDD">
        <w:rPr>
          <w:rFonts w:ascii="Arial" w:hAnsi="Arial" w:cs="Arial"/>
          <w:sz w:val="24"/>
        </w:rPr>
        <w:t xml:space="preserve"> are acting in harmony with both each other and with the wider cosmic order, recreating a perfect universal </w:t>
      </w:r>
      <w:r w:rsidRPr="00745BDD">
        <w:rPr>
          <w:rFonts w:ascii="Arial" w:hAnsi="Arial" w:cs="Arial"/>
          <w:i/>
          <w:sz w:val="24"/>
        </w:rPr>
        <w:t>homophrosyne</w:t>
      </w:r>
      <w:r w:rsidRPr="00745BDD">
        <w:rPr>
          <w:rFonts w:ascii="Arial" w:hAnsi="Arial" w:cs="Arial"/>
          <w:sz w:val="24"/>
        </w:rPr>
        <w:t>.</w:t>
      </w:r>
    </w:p>
    <w:p w14:paraId="6DB3FD96" w14:textId="77777777" w:rsidR="00A25DE7" w:rsidRPr="00745BDD" w:rsidRDefault="00A25DE7" w:rsidP="00157EB7">
      <w:pPr>
        <w:jc w:val="center"/>
        <w:rPr>
          <w:rFonts w:ascii="Arial" w:hAnsi="Arial" w:cs="Arial"/>
        </w:rPr>
      </w:pPr>
      <w:r w:rsidRPr="00745BDD">
        <w:rPr>
          <w:rFonts w:ascii="Arial" w:hAnsi="Arial" w:cs="Arial"/>
        </w:rPr>
        <w:t>*</w:t>
      </w:r>
    </w:p>
    <w:p w14:paraId="2D1442F4" w14:textId="77777777" w:rsidR="00A25DE7" w:rsidRPr="005C34D4" w:rsidRDefault="00A25DE7" w:rsidP="005C34D4">
      <w:pPr>
        <w:spacing w:line="360" w:lineRule="auto"/>
        <w:jc w:val="both"/>
        <w:rPr>
          <w:rFonts w:ascii="Arial" w:hAnsi="Arial" w:cs="Arial"/>
          <w:sz w:val="24"/>
        </w:rPr>
      </w:pPr>
      <w:r w:rsidRPr="005C34D4">
        <w:rPr>
          <w:rFonts w:ascii="Arial" w:hAnsi="Arial" w:cs="Arial"/>
          <w:sz w:val="24"/>
        </w:rPr>
        <w:t xml:space="preserve">This chapter has analysed various literary features of both texts. It has focused on narrative sequences from Tablet VI of the </w:t>
      </w:r>
      <w:r w:rsidRPr="005C34D4">
        <w:rPr>
          <w:rFonts w:ascii="Arial" w:hAnsi="Arial" w:cs="Arial"/>
          <w:i/>
          <w:sz w:val="24"/>
        </w:rPr>
        <w:t>Gilgamesh</w:t>
      </w:r>
      <w:r w:rsidRPr="005C34D4">
        <w:rPr>
          <w:rFonts w:ascii="Arial" w:hAnsi="Arial" w:cs="Arial"/>
          <w:sz w:val="24"/>
        </w:rPr>
        <w:t xml:space="preserve"> and Rhapsode IX of the </w:t>
      </w:r>
      <w:r w:rsidRPr="005C34D4">
        <w:rPr>
          <w:rFonts w:ascii="Arial" w:hAnsi="Arial" w:cs="Arial"/>
          <w:i/>
          <w:sz w:val="24"/>
        </w:rPr>
        <w:t>Odyssey</w:t>
      </w:r>
      <w:r w:rsidRPr="005C34D4">
        <w:rPr>
          <w:rFonts w:ascii="Arial" w:hAnsi="Arial" w:cs="Arial"/>
          <w:sz w:val="24"/>
        </w:rPr>
        <w:t xml:space="preserve"> which appear to contain references to the constellation Taurus manifested as antagonistic mythical creatures or figures within the epic narratives. Secondly the Homeric characters Circe and Calypso have been compared with the goddesses Ishtar and Siduri which feature in both the </w:t>
      </w:r>
      <w:r w:rsidRPr="005C34D4">
        <w:rPr>
          <w:rFonts w:ascii="Arial" w:hAnsi="Arial" w:cs="Arial"/>
          <w:i/>
          <w:sz w:val="24"/>
        </w:rPr>
        <w:t xml:space="preserve">Gilgamesh </w:t>
      </w:r>
      <w:r w:rsidRPr="005C34D4">
        <w:rPr>
          <w:rFonts w:ascii="Arial" w:hAnsi="Arial" w:cs="Arial"/>
          <w:sz w:val="24"/>
        </w:rPr>
        <w:t xml:space="preserve">Epic and other Western Asiatic literature. These characters have been assessed for their celestial and solar connections. Finally the chapter has examined the methods of time-keeping employed by both authors within their texts, centring on the passage of hours, days and years and commenting on calendrical knowledge which appears to have entered the Greek tradition from the East. Since the astronomical influence of celestial characters, figures, and features has been examined, this paper moves on to explore the possibility that broader cosmological features may have also bled into the Homeric tradition from the wider literature of the Western Asiatic.    </w:t>
      </w:r>
    </w:p>
    <w:p w14:paraId="7D5964ED" w14:textId="77777777" w:rsidR="00A25DE7" w:rsidRPr="00745BDD" w:rsidRDefault="00A25DE7" w:rsidP="00F970D0">
      <w:pPr>
        <w:jc w:val="both"/>
        <w:rPr>
          <w:rFonts w:ascii="Arial" w:hAnsi="Arial" w:cs="Arial"/>
        </w:rPr>
      </w:pPr>
    </w:p>
    <w:p w14:paraId="6981D394" w14:textId="77777777" w:rsidR="00A25DE7" w:rsidRPr="00745BDD" w:rsidRDefault="00A25DE7" w:rsidP="00A226B1">
      <w:pPr>
        <w:jc w:val="both"/>
        <w:rPr>
          <w:rFonts w:ascii="Arial" w:hAnsi="Arial" w:cs="Arial"/>
          <w:sz w:val="24"/>
          <w:szCs w:val="24"/>
        </w:rPr>
      </w:pPr>
    </w:p>
    <w:p w14:paraId="349EBBCB" w14:textId="77777777" w:rsidR="00A25DE7" w:rsidRPr="00745BDD" w:rsidRDefault="00A25DE7" w:rsidP="00560C9B">
      <w:pPr>
        <w:jc w:val="center"/>
        <w:rPr>
          <w:rFonts w:ascii="Arial" w:hAnsi="Arial" w:cs="Arial"/>
          <w:sz w:val="24"/>
          <w:szCs w:val="24"/>
          <w:u w:val="single"/>
        </w:rPr>
      </w:pPr>
    </w:p>
    <w:p w14:paraId="48972B38" w14:textId="77777777" w:rsidR="00A25DE7" w:rsidRPr="00745BDD" w:rsidRDefault="00A25DE7" w:rsidP="00560C9B">
      <w:pPr>
        <w:jc w:val="center"/>
        <w:rPr>
          <w:rFonts w:ascii="Arial" w:hAnsi="Arial" w:cs="Arial"/>
          <w:sz w:val="24"/>
          <w:szCs w:val="24"/>
          <w:u w:val="single"/>
        </w:rPr>
      </w:pPr>
    </w:p>
    <w:p w14:paraId="6A61E054" w14:textId="77777777" w:rsidR="00A25DE7" w:rsidRPr="00745BDD" w:rsidRDefault="00A25DE7" w:rsidP="00560C9B">
      <w:pPr>
        <w:jc w:val="center"/>
        <w:rPr>
          <w:rFonts w:ascii="Arial" w:hAnsi="Arial" w:cs="Arial"/>
          <w:sz w:val="24"/>
          <w:szCs w:val="24"/>
          <w:u w:val="single"/>
        </w:rPr>
      </w:pPr>
    </w:p>
    <w:p w14:paraId="47E7E050" w14:textId="77777777" w:rsidR="00A25DE7" w:rsidRDefault="00A25DE7" w:rsidP="005C34D4">
      <w:pPr>
        <w:rPr>
          <w:rFonts w:ascii="Arial" w:hAnsi="Arial" w:cs="Arial"/>
          <w:sz w:val="24"/>
          <w:szCs w:val="24"/>
          <w:u w:val="single"/>
        </w:rPr>
      </w:pPr>
    </w:p>
    <w:p w14:paraId="25954930" w14:textId="77777777" w:rsidR="00A25DE7" w:rsidRDefault="00A25DE7" w:rsidP="005C34D4">
      <w:pPr>
        <w:rPr>
          <w:rFonts w:ascii="Arial" w:hAnsi="Arial" w:cs="Arial"/>
          <w:sz w:val="24"/>
          <w:szCs w:val="24"/>
          <w:u w:val="single"/>
        </w:rPr>
      </w:pPr>
    </w:p>
    <w:p w14:paraId="6B256E08" w14:textId="77777777" w:rsidR="00A25DE7" w:rsidRPr="005C34D4" w:rsidRDefault="00A25DE7" w:rsidP="005C34D4">
      <w:pPr>
        <w:jc w:val="center"/>
        <w:rPr>
          <w:rFonts w:ascii="Arial" w:hAnsi="Arial" w:cs="Arial"/>
          <w:sz w:val="28"/>
          <w:szCs w:val="24"/>
          <w:u w:val="single"/>
        </w:rPr>
      </w:pPr>
      <w:r w:rsidRPr="005C34D4">
        <w:rPr>
          <w:rFonts w:ascii="Arial" w:hAnsi="Arial" w:cs="Arial"/>
          <w:sz w:val="28"/>
          <w:szCs w:val="24"/>
          <w:u w:val="single"/>
        </w:rPr>
        <w:lastRenderedPageBreak/>
        <w:t>Chapter Three: Western Asiatic influences on Homeric cosmology</w:t>
      </w:r>
    </w:p>
    <w:p w14:paraId="15FB2092" w14:textId="77777777" w:rsidR="00A25DE7" w:rsidRPr="005C34D4" w:rsidRDefault="00A25DE7" w:rsidP="0080170B">
      <w:pPr>
        <w:spacing w:line="240" w:lineRule="auto"/>
        <w:contextualSpacing/>
        <w:jc w:val="center"/>
        <w:rPr>
          <w:rFonts w:ascii="Arial" w:hAnsi="Arial" w:cs="Arial"/>
          <w:sz w:val="20"/>
          <w:szCs w:val="20"/>
        </w:rPr>
      </w:pPr>
      <w:r w:rsidRPr="005C34D4">
        <w:rPr>
          <w:rFonts w:ascii="Arial" w:hAnsi="Arial" w:cs="Arial"/>
          <w:sz w:val="20"/>
          <w:szCs w:val="20"/>
        </w:rPr>
        <w:t>‘Sing Urania, of the much-turned sun</w:t>
      </w:r>
    </w:p>
    <w:p w14:paraId="5E1D37A9" w14:textId="77777777" w:rsidR="00A25DE7" w:rsidRPr="005C34D4" w:rsidRDefault="00A25DE7" w:rsidP="0080170B">
      <w:pPr>
        <w:spacing w:line="240" w:lineRule="auto"/>
        <w:contextualSpacing/>
        <w:jc w:val="center"/>
        <w:rPr>
          <w:rFonts w:ascii="Arial" w:hAnsi="Arial" w:cs="Arial"/>
          <w:sz w:val="20"/>
          <w:szCs w:val="20"/>
        </w:rPr>
      </w:pPr>
      <w:r w:rsidRPr="005C34D4">
        <w:rPr>
          <w:rFonts w:ascii="Arial" w:hAnsi="Arial" w:cs="Arial"/>
          <w:sz w:val="20"/>
          <w:szCs w:val="20"/>
        </w:rPr>
        <w:t>Of how far-wandering his courses run.</w:t>
      </w:r>
    </w:p>
    <w:p w14:paraId="21ED3832" w14:textId="77777777" w:rsidR="00A25DE7" w:rsidRPr="005C34D4" w:rsidRDefault="00A25DE7" w:rsidP="0080170B">
      <w:pPr>
        <w:spacing w:line="240" w:lineRule="auto"/>
        <w:contextualSpacing/>
        <w:jc w:val="center"/>
        <w:rPr>
          <w:rFonts w:ascii="Arial" w:hAnsi="Arial" w:cs="Arial"/>
          <w:sz w:val="20"/>
          <w:szCs w:val="20"/>
        </w:rPr>
      </w:pPr>
      <w:r w:rsidRPr="005C34D4">
        <w:rPr>
          <w:rFonts w:ascii="Arial" w:hAnsi="Arial" w:cs="Arial"/>
          <w:sz w:val="20"/>
          <w:szCs w:val="20"/>
        </w:rPr>
        <w:t>[…] In stars is writ this cosmic tale</w:t>
      </w:r>
    </w:p>
    <w:p w14:paraId="24919BED" w14:textId="77777777" w:rsidR="00A25DE7" w:rsidRPr="005C34D4" w:rsidRDefault="00A25DE7" w:rsidP="0080170B">
      <w:pPr>
        <w:spacing w:line="240" w:lineRule="auto"/>
        <w:contextualSpacing/>
        <w:jc w:val="center"/>
        <w:rPr>
          <w:rFonts w:ascii="Arial" w:hAnsi="Arial" w:cs="Arial"/>
          <w:sz w:val="20"/>
          <w:szCs w:val="20"/>
        </w:rPr>
      </w:pPr>
      <w:r w:rsidRPr="005C34D4">
        <w:rPr>
          <w:rFonts w:ascii="Arial" w:hAnsi="Arial" w:cs="Arial"/>
          <w:sz w:val="20"/>
          <w:szCs w:val="20"/>
        </w:rPr>
        <w:t>Celestial Muse, this epic regale.’</w:t>
      </w:r>
      <w:r w:rsidRPr="005C34D4">
        <w:rPr>
          <w:rStyle w:val="FootnoteReference"/>
          <w:rFonts w:ascii="Arial" w:hAnsi="Arial" w:cs="Arial"/>
          <w:sz w:val="20"/>
          <w:szCs w:val="20"/>
        </w:rPr>
        <w:footnoteReference w:id="132"/>
      </w:r>
    </w:p>
    <w:p w14:paraId="01178AB3" w14:textId="77777777" w:rsidR="00A25DE7" w:rsidRPr="00745BDD" w:rsidRDefault="00A25DE7" w:rsidP="0080170B">
      <w:pPr>
        <w:spacing w:line="240" w:lineRule="auto"/>
        <w:contextualSpacing/>
        <w:jc w:val="center"/>
        <w:rPr>
          <w:rFonts w:ascii="Arial" w:hAnsi="Arial" w:cs="Arial"/>
          <w:sz w:val="20"/>
          <w:szCs w:val="24"/>
        </w:rPr>
      </w:pPr>
    </w:p>
    <w:p w14:paraId="7F309FF5" w14:textId="77777777" w:rsidR="00A25DE7" w:rsidRPr="00745BDD" w:rsidRDefault="00A25DE7" w:rsidP="0080170B">
      <w:pPr>
        <w:spacing w:line="240" w:lineRule="auto"/>
        <w:contextualSpacing/>
        <w:jc w:val="center"/>
        <w:rPr>
          <w:rFonts w:ascii="Arial" w:hAnsi="Arial" w:cs="Arial"/>
          <w:sz w:val="20"/>
          <w:szCs w:val="24"/>
        </w:rPr>
      </w:pPr>
    </w:p>
    <w:p w14:paraId="07757D49" w14:textId="77777777" w:rsidR="00A25DE7" w:rsidRPr="005C34D4" w:rsidRDefault="00A25DE7" w:rsidP="005C34D4">
      <w:pPr>
        <w:spacing w:line="360" w:lineRule="auto"/>
        <w:jc w:val="both"/>
        <w:rPr>
          <w:rFonts w:ascii="Arial" w:hAnsi="Arial" w:cs="Arial"/>
          <w:sz w:val="24"/>
        </w:rPr>
      </w:pPr>
      <w:r w:rsidRPr="005C34D4">
        <w:rPr>
          <w:rFonts w:ascii="Arial" w:hAnsi="Arial" w:cs="Arial"/>
          <w:sz w:val="24"/>
        </w:rPr>
        <w:t xml:space="preserve">This final chapter primarily covers the cosmology of Homer. It begins by examining the structure of the cosmos outlined in the cosmogonic and cosmological myths of Mesopotamian literature and the Homeric poems. In Section Two it further explores specific cosmic features such as the gates of the sun which also feature in both traditions, as well as introducing the solar associations of the mythical </w:t>
      </w:r>
      <w:r w:rsidRPr="005C34D4">
        <w:rPr>
          <w:rFonts w:ascii="Arial" w:hAnsi="Arial" w:cs="Arial"/>
          <w:i/>
          <w:sz w:val="24"/>
        </w:rPr>
        <w:t>katabasis.</w:t>
      </w:r>
      <w:r w:rsidRPr="005C34D4">
        <w:rPr>
          <w:rFonts w:ascii="Arial" w:hAnsi="Arial" w:cs="Arial"/>
          <w:sz w:val="24"/>
        </w:rPr>
        <w:t xml:space="preserve">This chapter concludes the research of the thesis with a discussion of Odysseus’ solar qualities and associations – focusing on the significant cosmic role of the sun which unites the character of Odysseus with the </w:t>
      </w:r>
      <w:commentRangeStart w:id="187"/>
      <w:r w:rsidRPr="005C34D4">
        <w:rPr>
          <w:rFonts w:ascii="Arial" w:hAnsi="Arial" w:cs="Arial"/>
          <w:sz w:val="24"/>
        </w:rPr>
        <w:t xml:space="preserve">astronomical features of both the East and West which have been studied throughout this paper.   </w:t>
      </w:r>
      <w:commentRangeEnd w:id="187"/>
      <w:r w:rsidR="00EC2F03">
        <w:rPr>
          <w:rStyle w:val="CommentReference"/>
        </w:rPr>
        <w:commentReference w:id="187"/>
      </w:r>
    </w:p>
    <w:p w14:paraId="4153FB2A" w14:textId="77777777" w:rsidR="00A25DE7" w:rsidRPr="00745BDD" w:rsidRDefault="00A25DE7" w:rsidP="00954335">
      <w:pPr>
        <w:jc w:val="center"/>
        <w:rPr>
          <w:rFonts w:ascii="Arial" w:hAnsi="Arial" w:cs="Arial"/>
        </w:rPr>
      </w:pPr>
      <w:r w:rsidRPr="00745BDD">
        <w:rPr>
          <w:rFonts w:ascii="Arial" w:hAnsi="Arial" w:cs="Arial"/>
        </w:rPr>
        <w:t>*</w:t>
      </w:r>
    </w:p>
    <w:p w14:paraId="4DD74316" w14:textId="77777777" w:rsidR="00A25DE7" w:rsidRPr="005C34D4" w:rsidRDefault="00A25DE7" w:rsidP="00954335">
      <w:pPr>
        <w:jc w:val="both"/>
        <w:rPr>
          <w:rFonts w:ascii="Arial" w:hAnsi="Arial" w:cs="Arial"/>
          <w:b/>
          <w:i/>
          <w:sz w:val="24"/>
        </w:rPr>
      </w:pPr>
      <w:r w:rsidRPr="005C34D4">
        <w:rPr>
          <w:rFonts w:ascii="Arial" w:hAnsi="Arial" w:cs="Arial"/>
          <w:b/>
          <w:i/>
          <w:sz w:val="24"/>
        </w:rPr>
        <w:t xml:space="preserve">Section One: Extended sequences – Cosmic Narratives </w:t>
      </w:r>
    </w:p>
    <w:p w14:paraId="5635921C" w14:textId="77777777" w:rsidR="00A25DE7" w:rsidRPr="005C34D4" w:rsidRDefault="00A25DE7" w:rsidP="00954335">
      <w:pPr>
        <w:pStyle w:val="ListParagraph"/>
        <w:numPr>
          <w:ilvl w:val="0"/>
          <w:numId w:val="40"/>
          <w:numberingChange w:id="188" w:author="Dorian" w:date="2015-11-20T19:28:00Z" w:original="%1:1:4:."/>
        </w:numPr>
        <w:jc w:val="both"/>
        <w:rPr>
          <w:rFonts w:ascii="Arial" w:hAnsi="Arial" w:cs="Arial"/>
          <w:b/>
          <w:i/>
          <w:sz w:val="24"/>
        </w:rPr>
      </w:pPr>
      <w:r w:rsidRPr="005C34D4">
        <w:rPr>
          <w:rFonts w:ascii="Arial" w:hAnsi="Arial" w:cs="Arial"/>
          <w:b/>
          <w:sz w:val="24"/>
        </w:rPr>
        <w:t>Dios Apate</w:t>
      </w:r>
      <w:r w:rsidRPr="005C34D4">
        <w:rPr>
          <w:rFonts w:ascii="Arial" w:hAnsi="Arial" w:cs="Arial"/>
          <w:b/>
          <w:i/>
          <w:sz w:val="24"/>
        </w:rPr>
        <w:t xml:space="preserve"> and the Division of the Cosmos</w:t>
      </w:r>
    </w:p>
    <w:p w14:paraId="60332452" w14:textId="77777777" w:rsidR="00A25DE7" w:rsidRPr="005C34D4" w:rsidRDefault="00A25DE7" w:rsidP="005C34D4">
      <w:pPr>
        <w:spacing w:line="360" w:lineRule="auto"/>
        <w:jc w:val="both"/>
        <w:rPr>
          <w:rFonts w:ascii="Arial" w:hAnsi="Arial" w:cs="Arial"/>
          <w:sz w:val="24"/>
        </w:rPr>
      </w:pPr>
      <w:r w:rsidRPr="005C34D4">
        <w:rPr>
          <w:rFonts w:ascii="Arial" w:hAnsi="Arial" w:cs="Arial"/>
          <w:sz w:val="24"/>
        </w:rPr>
        <w:t xml:space="preserve">This section concerns a passage of the </w:t>
      </w:r>
      <w:r w:rsidRPr="005C34D4">
        <w:rPr>
          <w:rFonts w:ascii="Arial" w:hAnsi="Arial" w:cs="Arial"/>
          <w:i/>
          <w:sz w:val="24"/>
        </w:rPr>
        <w:t>Iliad</w:t>
      </w:r>
      <w:r w:rsidRPr="005C34D4">
        <w:rPr>
          <w:rFonts w:ascii="Arial" w:hAnsi="Arial" w:cs="Arial"/>
          <w:sz w:val="24"/>
        </w:rPr>
        <w:t xml:space="preserve"> known as the ‘Deception of Zeus’, or </w:t>
      </w:r>
      <w:r w:rsidRPr="005C34D4">
        <w:rPr>
          <w:rFonts w:ascii="Arial" w:hAnsi="Arial" w:cs="Arial"/>
          <w:i/>
          <w:sz w:val="24"/>
        </w:rPr>
        <w:t>Dios Apate</w:t>
      </w:r>
      <w:r w:rsidRPr="005C34D4">
        <w:rPr>
          <w:rFonts w:ascii="Arial" w:hAnsi="Arial" w:cs="Arial"/>
          <w:sz w:val="24"/>
        </w:rPr>
        <w:t>, scene.</w:t>
      </w:r>
      <w:r w:rsidRPr="005C34D4">
        <w:rPr>
          <w:rStyle w:val="FootnoteReference"/>
          <w:rFonts w:ascii="Arial" w:hAnsi="Arial" w:cs="Arial"/>
          <w:sz w:val="24"/>
        </w:rPr>
        <w:footnoteReference w:id="133"/>
      </w:r>
      <w:r w:rsidRPr="005C34D4">
        <w:rPr>
          <w:rFonts w:ascii="Arial" w:hAnsi="Arial" w:cs="Arial"/>
          <w:sz w:val="24"/>
        </w:rPr>
        <w:t xml:space="preserve"> Whilst sourced from Homer’s </w:t>
      </w:r>
      <w:r w:rsidRPr="005C34D4">
        <w:rPr>
          <w:rFonts w:ascii="Arial" w:hAnsi="Arial" w:cs="Arial"/>
          <w:i/>
          <w:sz w:val="24"/>
        </w:rPr>
        <w:t>Iliad</w:t>
      </w:r>
      <w:r w:rsidRPr="005C34D4">
        <w:rPr>
          <w:rFonts w:ascii="Arial" w:hAnsi="Arial" w:cs="Arial"/>
          <w:sz w:val="24"/>
        </w:rPr>
        <w:t xml:space="preserve">, rather than the </w:t>
      </w:r>
      <w:r w:rsidRPr="005C34D4">
        <w:rPr>
          <w:rFonts w:ascii="Arial" w:hAnsi="Arial" w:cs="Arial"/>
          <w:i/>
          <w:sz w:val="24"/>
        </w:rPr>
        <w:t>Odyssey</w:t>
      </w:r>
      <w:r w:rsidRPr="005C34D4">
        <w:rPr>
          <w:rFonts w:ascii="Arial" w:hAnsi="Arial" w:cs="Arial"/>
          <w:sz w:val="24"/>
        </w:rPr>
        <w:t xml:space="preserve">, this section is of important and immediate relevance to this study as it provides the clearest reference to a fundamental cosmological trope found throughout both Greek and Mesopotamian literature – nothing less than the construction of the </w:t>
      </w:r>
      <w:commentRangeStart w:id="189"/>
      <w:r w:rsidRPr="005C34D4">
        <w:rPr>
          <w:rFonts w:ascii="Arial" w:hAnsi="Arial" w:cs="Arial"/>
          <w:sz w:val="24"/>
        </w:rPr>
        <w:t xml:space="preserve">universe itself. </w:t>
      </w:r>
      <w:commentRangeEnd w:id="189"/>
      <w:r w:rsidR="00EC2F03">
        <w:rPr>
          <w:rStyle w:val="CommentReference"/>
        </w:rPr>
        <w:commentReference w:id="189"/>
      </w:r>
      <w:r w:rsidRPr="005C34D4">
        <w:rPr>
          <w:rFonts w:ascii="Arial" w:hAnsi="Arial" w:cs="Arial"/>
          <w:sz w:val="24"/>
        </w:rPr>
        <w:t xml:space="preserve">The extract is also noted for its strong associations with the Western Asiatic literary tradition and as such cannot be excused from a study into cosmological literary influences </w:t>
      </w:r>
      <w:commentRangeStart w:id="190"/>
      <w:r w:rsidRPr="005C34D4">
        <w:rPr>
          <w:rFonts w:ascii="Arial" w:hAnsi="Arial" w:cs="Arial"/>
          <w:sz w:val="24"/>
        </w:rPr>
        <w:t xml:space="preserve">from Mesopotamia. </w:t>
      </w:r>
      <w:commentRangeEnd w:id="190"/>
      <w:r w:rsidR="00EC2F03">
        <w:rPr>
          <w:rStyle w:val="CommentReference"/>
        </w:rPr>
        <w:commentReference w:id="190"/>
      </w:r>
      <w:r w:rsidRPr="005C34D4">
        <w:rPr>
          <w:rFonts w:ascii="Arial" w:hAnsi="Arial" w:cs="Arial"/>
          <w:sz w:val="24"/>
        </w:rPr>
        <w:t xml:space="preserve">Furthermore an examination of this scene from the </w:t>
      </w:r>
      <w:r w:rsidRPr="005C34D4">
        <w:rPr>
          <w:rFonts w:ascii="Arial" w:hAnsi="Arial" w:cs="Arial"/>
          <w:i/>
          <w:sz w:val="24"/>
        </w:rPr>
        <w:t>Iliad</w:t>
      </w:r>
      <w:r w:rsidRPr="005C34D4">
        <w:rPr>
          <w:rFonts w:ascii="Arial" w:hAnsi="Arial" w:cs="Arial"/>
          <w:sz w:val="24"/>
        </w:rPr>
        <w:t xml:space="preserve"> provides clarity and validation for related astral and cosmological features found within Homer’s </w:t>
      </w:r>
      <w:r w:rsidRPr="005C34D4">
        <w:rPr>
          <w:rFonts w:ascii="Arial" w:hAnsi="Arial" w:cs="Arial"/>
          <w:i/>
          <w:sz w:val="24"/>
        </w:rPr>
        <w:t>Odyssey</w:t>
      </w:r>
      <w:r w:rsidRPr="005C34D4">
        <w:rPr>
          <w:rFonts w:ascii="Arial" w:hAnsi="Arial" w:cs="Arial"/>
          <w:sz w:val="24"/>
        </w:rPr>
        <w:t>.</w:t>
      </w:r>
    </w:p>
    <w:p w14:paraId="25054A10" w14:textId="77777777" w:rsidR="00A25DE7" w:rsidRPr="005C34D4" w:rsidRDefault="00A25DE7" w:rsidP="005C34D4">
      <w:pPr>
        <w:spacing w:line="360" w:lineRule="auto"/>
        <w:jc w:val="both"/>
        <w:rPr>
          <w:rFonts w:ascii="Arial" w:hAnsi="Arial" w:cs="Arial"/>
          <w:sz w:val="24"/>
        </w:rPr>
      </w:pPr>
      <w:r w:rsidRPr="005C34D4">
        <w:rPr>
          <w:rFonts w:ascii="Arial" w:hAnsi="Arial" w:cs="Arial"/>
          <w:sz w:val="24"/>
        </w:rPr>
        <w:lastRenderedPageBreak/>
        <w:t xml:space="preserve">In the </w:t>
      </w:r>
      <w:r w:rsidRPr="005C34D4">
        <w:rPr>
          <w:rFonts w:ascii="Arial" w:hAnsi="Arial" w:cs="Arial"/>
          <w:i/>
          <w:sz w:val="24"/>
        </w:rPr>
        <w:t>Dios Apate</w:t>
      </w:r>
      <w:r w:rsidRPr="005C34D4">
        <w:rPr>
          <w:rFonts w:ascii="Arial" w:hAnsi="Arial" w:cs="Arial"/>
          <w:sz w:val="24"/>
        </w:rPr>
        <w:t>scene, Hera excuses herself from the company of her husband Zeus, proclaiming that she wishes to visit Oceanus and Tethys, the primordial sources of the gods, but instead visits Aphrodite, goddess of sexuality, in order to beautify herself in preparation for seducing Zeus. Hera’s seduction is successful, and she lies with Zeus upon a golden cloud. The purpose of her ‘deception’ of Zeus is to make it possible for the Greeks to regain the martial lead in the Trojan War. The irregularities of this episode compared to the remainder of the epic were discussed in antiquity and continue to be examined in modern scholarship.</w:t>
      </w:r>
      <w:r w:rsidRPr="005C34D4">
        <w:rPr>
          <w:rStyle w:val="FootnoteReference"/>
          <w:rFonts w:ascii="Arial" w:hAnsi="Arial" w:cs="Arial"/>
          <w:sz w:val="24"/>
        </w:rPr>
        <w:footnoteReference w:id="134"/>
      </w:r>
      <w:r w:rsidRPr="005C34D4">
        <w:rPr>
          <w:rFonts w:ascii="Arial" w:hAnsi="Arial" w:cs="Arial"/>
          <w:sz w:val="24"/>
        </w:rPr>
        <w:t xml:space="preserve"> Albrecht Dihle, for example, found several deviations from traditional Homeric formulas from which he concluded that the section cannot have formed part of the </w:t>
      </w:r>
      <w:r w:rsidRPr="005C34D4">
        <w:rPr>
          <w:rFonts w:ascii="Arial" w:hAnsi="Arial" w:cs="Arial"/>
          <w:i/>
          <w:sz w:val="24"/>
        </w:rPr>
        <w:t>Iliad</w:t>
      </w:r>
      <w:r w:rsidRPr="005C34D4">
        <w:rPr>
          <w:rFonts w:ascii="Arial" w:hAnsi="Arial" w:cs="Arial"/>
          <w:sz w:val="24"/>
        </w:rPr>
        <w:t>’s original oral composition.</w:t>
      </w:r>
      <w:r w:rsidRPr="005C34D4">
        <w:rPr>
          <w:rStyle w:val="FootnoteReference"/>
          <w:rFonts w:ascii="Arial" w:hAnsi="Arial" w:cs="Arial"/>
          <w:sz w:val="24"/>
        </w:rPr>
        <w:footnoteReference w:id="135"/>
      </w:r>
      <w:r w:rsidRPr="005C34D4">
        <w:rPr>
          <w:rFonts w:ascii="Arial" w:hAnsi="Arial" w:cs="Arial"/>
          <w:sz w:val="24"/>
        </w:rPr>
        <w:t xml:space="preserve"> Whilst this is not a popular theory today, it is important to note, as Burkert does, that: ‘we are dealing here with a text which is unusual for its linguistics and content’.</w:t>
      </w:r>
      <w:r w:rsidRPr="005C34D4">
        <w:rPr>
          <w:rStyle w:val="FootnoteReference"/>
          <w:rFonts w:ascii="Arial" w:hAnsi="Arial" w:cs="Arial"/>
          <w:sz w:val="24"/>
        </w:rPr>
        <w:footnoteReference w:id="136"/>
      </w:r>
      <w:r w:rsidRPr="005C34D4">
        <w:rPr>
          <w:rFonts w:ascii="Arial" w:hAnsi="Arial" w:cs="Arial"/>
          <w:sz w:val="24"/>
        </w:rPr>
        <w:t xml:space="preserve"> However </w:t>
      </w:r>
      <w:commentRangeStart w:id="191"/>
      <w:r w:rsidRPr="005C34D4">
        <w:rPr>
          <w:rFonts w:ascii="Arial" w:hAnsi="Arial" w:cs="Arial"/>
          <w:sz w:val="24"/>
        </w:rPr>
        <w:t>it’s</w:t>
      </w:r>
      <w:commentRangeEnd w:id="191"/>
      <w:r>
        <w:rPr>
          <w:rStyle w:val="CommentReference"/>
        </w:rPr>
        <w:commentReference w:id="191"/>
      </w:r>
      <w:r w:rsidRPr="005C34D4">
        <w:rPr>
          <w:rFonts w:ascii="Arial" w:hAnsi="Arial" w:cs="Arial"/>
          <w:sz w:val="24"/>
        </w:rPr>
        <w:t xml:space="preserve"> most unusual feature, as Plato and Aristotle noted, is that </w:t>
      </w:r>
      <w:commentRangeStart w:id="192"/>
      <w:r w:rsidRPr="005C34D4">
        <w:rPr>
          <w:rFonts w:ascii="Arial" w:hAnsi="Arial" w:cs="Arial"/>
          <w:sz w:val="24"/>
        </w:rPr>
        <w:t xml:space="preserve">this is the only passage within the Homeric tradition where cosmogony is really brought to </w:t>
      </w:r>
      <w:commentRangeStart w:id="193"/>
      <w:r w:rsidRPr="005C34D4">
        <w:rPr>
          <w:rFonts w:ascii="Arial" w:hAnsi="Arial" w:cs="Arial"/>
          <w:sz w:val="24"/>
        </w:rPr>
        <w:t>the fore</w:t>
      </w:r>
      <w:commentRangeEnd w:id="192"/>
      <w:r>
        <w:rPr>
          <w:rStyle w:val="CommentReference"/>
        </w:rPr>
        <w:commentReference w:id="192"/>
      </w:r>
      <w:r w:rsidRPr="005C34D4">
        <w:rPr>
          <w:rFonts w:ascii="Arial" w:hAnsi="Arial" w:cs="Arial"/>
          <w:sz w:val="24"/>
        </w:rPr>
        <w:t>.</w:t>
      </w:r>
      <w:r w:rsidRPr="005C34D4">
        <w:rPr>
          <w:rStyle w:val="FootnoteReference"/>
          <w:rFonts w:ascii="Arial" w:hAnsi="Arial" w:cs="Arial"/>
          <w:sz w:val="24"/>
        </w:rPr>
        <w:footnoteReference w:id="137"/>
      </w:r>
      <w:commentRangeEnd w:id="193"/>
      <w:r w:rsidR="00EC2F03">
        <w:rPr>
          <w:rStyle w:val="CommentReference"/>
        </w:rPr>
        <w:commentReference w:id="193"/>
      </w:r>
    </w:p>
    <w:p w14:paraId="56F70D58" w14:textId="77777777" w:rsidR="00A25DE7" w:rsidRPr="005C34D4" w:rsidRDefault="00A25DE7" w:rsidP="005C34D4">
      <w:pPr>
        <w:spacing w:line="360" w:lineRule="auto"/>
        <w:jc w:val="both"/>
        <w:rPr>
          <w:rFonts w:ascii="Arial" w:hAnsi="Arial" w:cs="Arial"/>
          <w:sz w:val="24"/>
        </w:rPr>
      </w:pPr>
      <w:r w:rsidRPr="005C34D4">
        <w:rPr>
          <w:rFonts w:ascii="Arial" w:hAnsi="Arial" w:cs="Arial"/>
          <w:sz w:val="24"/>
        </w:rPr>
        <w:t xml:space="preserve">The reference to cosmogony is found within Hera’s narration, and concerns the genesis of the gods. Yet her story also introduces another motif, expanded on by Poseidon in a later speech – the division of the cosmos into three sections. The importance of both these accounts is that they combine divinity with the origin and </w:t>
      </w:r>
      <w:commentRangeStart w:id="194"/>
      <w:r w:rsidRPr="005C34D4">
        <w:rPr>
          <w:rFonts w:ascii="Arial" w:hAnsi="Arial" w:cs="Arial"/>
          <w:sz w:val="24"/>
        </w:rPr>
        <w:t>function of the cosmos</w:t>
      </w:r>
      <w:commentRangeEnd w:id="194"/>
      <w:r w:rsidR="00EC2F03">
        <w:rPr>
          <w:rStyle w:val="CommentReference"/>
        </w:rPr>
        <w:commentReference w:id="194"/>
      </w:r>
      <w:r w:rsidRPr="005C34D4">
        <w:rPr>
          <w:rFonts w:ascii="Arial" w:hAnsi="Arial" w:cs="Arial"/>
          <w:sz w:val="24"/>
        </w:rPr>
        <w:t xml:space="preserve">. Hera claims that she is going to visit the primordial couple; </w:t>
      </w:r>
      <w:commentRangeStart w:id="195"/>
      <w:r w:rsidRPr="005C34D4">
        <w:rPr>
          <w:rFonts w:ascii="Arial" w:hAnsi="Arial" w:cs="Arial"/>
          <w:sz w:val="24"/>
        </w:rPr>
        <w:t xml:space="preserve">Oceanus and Tethys: ‘origin’ and ‘mother’. </w:t>
      </w:r>
      <w:commentRangeEnd w:id="195"/>
      <w:r>
        <w:rPr>
          <w:rStyle w:val="CommentReference"/>
        </w:rPr>
        <w:commentReference w:id="195"/>
      </w:r>
      <w:r w:rsidRPr="005C34D4">
        <w:rPr>
          <w:rFonts w:ascii="Arial" w:hAnsi="Arial" w:cs="Arial"/>
          <w:sz w:val="24"/>
        </w:rPr>
        <w:t xml:space="preserve">These characters, as noticed by William Gladstone in 1890 and explained by Burkert in 2004, parallel ‘to a surprising degree’ with the primordial gods Apsu and Tiamat found within the Babylonian creation epic </w:t>
      </w:r>
      <w:r w:rsidRPr="005C34D4">
        <w:rPr>
          <w:rFonts w:ascii="Arial" w:hAnsi="Arial" w:cs="Arial"/>
          <w:i/>
          <w:sz w:val="24"/>
        </w:rPr>
        <w:t>EnumaElish</w:t>
      </w:r>
      <w:r w:rsidRPr="005C34D4">
        <w:rPr>
          <w:rFonts w:ascii="Arial" w:hAnsi="Arial" w:cs="Arial"/>
          <w:sz w:val="24"/>
        </w:rPr>
        <w:t xml:space="preserve"> for both are linked to the fresh and salt waters who mixed to form the cosmos and begat later generations of gods.</w:t>
      </w:r>
      <w:r w:rsidRPr="005C34D4">
        <w:rPr>
          <w:rStyle w:val="FootnoteReference"/>
          <w:rFonts w:ascii="Arial" w:hAnsi="Arial" w:cs="Arial"/>
          <w:sz w:val="24"/>
        </w:rPr>
        <w:footnoteReference w:id="138"/>
      </w:r>
      <w:r w:rsidRPr="005C34D4">
        <w:rPr>
          <w:rFonts w:ascii="Arial" w:hAnsi="Arial" w:cs="Arial"/>
          <w:sz w:val="24"/>
        </w:rPr>
        <w:t xml:space="preserve"> In </w:t>
      </w:r>
      <w:r w:rsidRPr="005C34D4">
        <w:rPr>
          <w:rFonts w:ascii="Arial" w:hAnsi="Arial" w:cs="Arial"/>
          <w:i/>
          <w:sz w:val="24"/>
        </w:rPr>
        <w:t>Babylon, Memphis, Persepolis</w:t>
      </w:r>
      <w:r w:rsidRPr="005C34D4">
        <w:rPr>
          <w:rFonts w:ascii="Arial" w:hAnsi="Arial" w:cs="Arial"/>
          <w:sz w:val="24"/>
        </w:rPr>
        <w:t xml:space="preserve">, Burkert makes a compelling </w:t>
      </w:r>
      <w:r w:rsidRPr="005C34D4">
        <w:rPr>
          <w:rFonts w:ascii="Arial" w:hAnsi="Arial" w:cs="Arial"/>
          <w:sz w:val="24"/>
        </w:rPr>
        <w:lastRenderedPageBreak/>
        <w:t xml:space="preserve">argument for a linguistic origin of Tethys – a Greek primeval goddess otherwise poorly represented in Greek literature and mythology – to be found in the Akkadian Tiamat, concluding that: ‘right in the middle of the </w:t>
      </w:r>
      <w:r w:rsidRPr="005C34D4">
        <w:rPr>
          <w:rFonts w:ascii="Arial" w:hAnsi="Arial" w:cs="Arial"/>
          <w:i/>
          <w:sz w:val="24"/>
        </w:rPr>
        <w:t>Iliad</w:t>
      </w:r>
      <w:r w:rsidRPr="005C34D4">
        <w:rPr>
          <w:rFonts w:ascii="Arial" w:hAnsi="Arial" w:cs="Arial"/>
          <w:sz w:val="24"/>
        </w:rPr>
        <w:t>, the mysterious name of the primeval mother comes directly from an Akkadian classic and thus bears witness to its influence’.</w:t>
      </w:r>
      <w:r w:rsidRPr="005C34D4">
        <w:rPr>
          <w:rStyle w:val="FootnoteReference"/>
          <w:rFonts w:ascii="Arial" w:hAnsi="Arial" w:cs="Arial"/>
          <w:sz w:val="24"/>
        </w:rPr>
        <w:footnoteReference w:id="139"/>
      </w:r>
      <w:r w:rsidRPr="005C34D4">
        <w:rPr>
          <w:rFonts w:ascii="Arial" w:hAnsi="Arial" w:cs="Arial"/>
          <w:sz w:val="24"/>
        </w:rPr>
        <w:t xml:space="preserve">Burkert uses this neo-oriental element in the </w:t>
      </w:r>
      <w:r w:rsidRPr="005C34D4">
        <w:rPr>
          <w:rFonts w:ascii="Arial" w:hAnsi="Arial" w:cs="Arial"/>
          <w:i/>
          <w:sz w:val="24"/>
        </w:rPr>
        <w:t>Dios Apate</w:t>
      </w:r>
      <w:r w:rsidRPr="005C34D4">
        <w:rPr>
          <w:rFonts w:ascii="Arial" w:hAnsi="Arial" w:cs="Arial"/>
          <w:sz w:val="24"/>
        </w:rPr>
        <w:t xml:space="preserve"> scene to justify the examination of further connections between the </w:t>
      </w:r>
      <w:r w:rsidRPr="005C34D4">
        <w:rPr>
          <w:rFonts w:ascii="Arial" w:hAnsi="Arial" w:cs="Arial"/>
          <w:i/>
          <w:sz w:val="24"/>
        </w:rPr>
        <w:t>Iliad</w:t>
      </w:r>
      <w:r w:rsidRPr="005C34D4">
        <w:rPr>
          <w:rFonts w:ascii="Arial" w:hAnsi="Arial" w:cs="Arial"/>
          <w:sz w:val="24"/>
        </w:rPr>
        <w:t xml:space="preserve"> and the </w:t>
      </w:r>
      <w:commentRangeStart w:id="196"/>
      <w:r w:rsidRPr="005C34D4">
        <w:rPr>
          <w:rFonts w:ascii="Arial" w:hAnsi="Arial" w:cs="Arial"/>
          <w:sz w:val="24"/>
        </w:rPr>
        <w:t xml:space="preserve">Near East. Of these connections the tripartite division of the cosmos as described by Poseidon in </w:t>
      </w:r>
      <w:r w:rsidRPr="005C34D4">
        <w:rPr>
          <w:rFonts w:ascii="Arial" w:hAnsi="Arial" w:cs="Arial"/>
          <w:i/>
          <w:sz w:val="24"/>
        </w:rPr>
        <w:t>Iliad</w:t>
      </w:r>
      <w:r w:rsidRPr="005C34D4">
        <w:rPr>
          <w:rFonts w:ascii="Arial" w:hAnsi="Arial" w:cs="Arial"/>
          <w:sz w:val="24"/>
        </w:rPr>
        <w:t xml:space="preserve"> XV resonates the most with the content of this thesis.</w:t>
      </w:r>
      <w:r w:rsidRPr="005C34D4">
        <w:rPr>
          <w:rStyle w:val="FootnoteReference"/>
          <w:rFonts w:ascii="Arial" w:hAnsi="Arial" w:cs="Arial"/>
          <w:sz w:val="24"/>
        </w:rPr>
        <w:footnoteReference w:id="140"/>
      </w:r>
      <w:commentRangeEnd w:id="196"/>
      <w:r w:rsidR="002B56F2">
        <w:rPr>
          <w:rStyle w:val="CommentReference"/>
        </w:rPr>
        <w:commentReference w:id="196"/>
      </w:r>
    </w:p>
    <w:p w14:paraId="5EC7D863" w14:textId="77777777" w:rsidR="00A25DE7" w:rsidRPr="005C34D4" w:rsidRDefault="00A25DE7" w:rsidP="005C34D4">
      <w:pPr>
        <w:spacing w:line="360" w:lineRule="auto"/>
        <w:jc w:val="both"/>
        <w:rPr>
          <w:rFonts w:ascii="Arial" w:hAnsi="Arial" w:cs="Arial"/>
          <w:sz w:val="24"/>
        </w:rPr>
      </w:pPr>
      <w:r w:rsidRPr="005C34D4">
        <w:rPr>
          <w:rFonts w:ascii="Arial" w:hAnsi="Arial" w:cs="Arial"/>
          <w:sz w:val="24"/>
        </w:rPr>
        <w:t xml:space="preserve">In </w:t>
      </w:r>
      <w:r w:rsidRPr="005C34D4">
        <w:rPr>
          <w:rFonts w:ascii="Arial" w:hAnsi="Arial" w:cs="Arial"/>
          <w:i/>
          <w:sz w:val="24"/>
        </w:rPr>
        <w:t>Iliad</w:t>
      </w:r>
      <w:r w:rsidRPr="005C34D4">
        <w:rPr>
          <w:rFonts w:ascii="Arial" w:hAnsi="Arial" w:cs="Arial"/>
          <w:sz w:val="24"/>
        </w:rPr>
        <w:t xml:space="preserve"> XV, Poseidon describes how the cosmos was divided amongst himself and his brothers by the drawing of lots: ‘When we cast lots, it fell to me to have my dwelling in the sea for evermore; Hades took the darkness of the realms under the earth, while air and sky and clouds were the portion that fell to Zeus; but earth and great Olympus are the common property of all’.</w:t>
      </w:r>
      <w:r w:rsidRPr="005C34D4">
        <w:rPr>
          <w:rStyle w:val="FootnoteReference"/>
          <w:rFonts w:ascii="Arial" w:hAnsi="Arial" w:cs="Arial"/>
          <w:sz w:val="24"/>
        </w:rPr>
        <w:footnoteReference w:id="141"/>
      </w:r>
      <w:r w:rsidRPr="005C34D4">
        <w:rPr>
          <w:rFonts w:ascii="Arial" w:hAnsi="Arial" w:cs="Arial"/>
          <w:sz w:val="24"/>
        </w:rPr>
        <w:t xml:space="preserve"> Whilst, at the beginning of the </w:t>
      </w:r>
      <w:r w:rsidRPr="005C34D4">
        <w:rPr>
          <w:rFonts w:ascii="Arial" w:hAnsi="Arial" w:cs="Arial"/>
          <w:i/>
          <w:sz w:val="24"/>
        </w:rPr>
        <w:t>Atrahasis</w:t>
      </w:r>
      <w:r w:rsidRPr="005C34D4">
        <w:rPr>
          <w:rFonts w:ascii="Arial" w:hAnsi="Arial" w:cs="Arial"/>
          <w:sz w:val="24"/>
        </w:rPr>
        <w:t xml:space="preserve">, the Babylonian pantheon divides the cosmos between them thus: </w:t>
      </w:r>
      <w:commentRangeStart w:id="197"/>
      <w:r w:rsidRPr="005C34D4">
        <w:rPr>
          <w:rFonts w:ascii="Arial" w:hAnsi="Arial" w:cs="Arial"/>
          <w:sz w:val="24"/>
        </w:rPr>
        <w:t>‘They grasped the flask of lots by the neck, they cast the lots; the gods made the division: Anu went up to heaven’ a second god – there is a lacuna here but it must be Enlil – ‘took the earth, for his subjects’, and ‘the bolts, the bar of the sea, were set for Enki, the far-sighted’.</w:t>
      </w:r>
      <w:r w:rsidRPr="005C34D4">
        <w:rPr>
          <w:rStyle w:val="FootnoteReference"/>
          <w:rFonts w:ascii="Arial" w:hAnsi="Arial" w:cs="Arial"/>
          <w:sz w:val="24"/>
        </w:rPr>
        <w:footnoteReference w:id="142"/>
      </w:r>
      <w:commentRangeEnd w:id="197"/>
      <w:r>
        <w:rPr>
          <w:rStyle w:val="CommentReference"/>
        </w:rPr>
        <w:commentReference w:id="197"/>
      </w:r>
      <w:r w:rsidRPr="005C34D4">
        <w:rPr>
          <w:rFonts w:ascii="Arial" w:hAnsi="Arial" w:cs="Arial"/>
          <w:sz w:val="24"/>
        </w:rPr>
        <w:t xml:space="preserve"> The similarities between these narratives </w:t>
      </w:r>
      <w:commentRangeStart w:id="198"/>
      <w:r w:rsidRPr="005C34D4">
        <w:rPr>
          <w:rFonts w:ascii="Arial" w:hAnsi="Arial" w:cs="Arial"/>
          <w:sz w:val="24"/>
        </w:rPr>
        <w:t>are striking but well recorded</w:t>
      </w:r>
      <w:commentRangeEnd w:id="198"/>
      <w:r w:rsidR="002B56F2">
        <w:rPr>
          <w:rStyle w:val="CommentReference"/>
        </w:rPr>
        <w:commentReference w:id="198"/>
      </w:r>
      <w:r w:rsidRPr="005C34D4">
        <w:rPr>
          <w:rFonts w:ascii="Arial" w:hAnsi="Arial" w:cs="Arial"/>
          <w:sz w:val="24"/>
        </w:rPr>
        <w:t xml:space="preserve">. Burkert, for instance, concluded that Poseidon’s speech from the </w:t>
      </w:r>
      <w:r w:rsidRPr="005C34D4">
        <w:rPr>
          <w:rFonts w:ascii="Arial" w:hAnsi="Arial" w:cs="Arial"/>
          <w:i/>
          <w:sz w:val="24"/>
        </w:rPr>
        <w:t xml:space="preserve">Iliad </w:t>
      </w:r>
      <w:r w:rsidRPr="005C34D4">
        <w:rPr>
          <w:rFonts w:ascii="Arial" w:hAnsi="Arial" w:cs="Arial"/>
          <w:sz w:val="24"/>
        </w:rPr>
        <w:t>is:‘close to being a translation of the Akkadian epic [</w:t>
      </w:r>
      <w:r w:rsidRPr="005C34D4">
        <w:rPr>
          <w:rFonts w:ascii="Arial" w:hAnsi="Arial" w:cs="Arial"/>
          <w:i/>
          <w:sz w:val="24"/>
        </w:rPr>
        <w:t>Atrahasis</w:t>
      </w:r>
      <w:r w:rsidRPr="005C34D4">
        <w:rPr>
          <w:rFonts w:ascii="Arial" w:hAnsi="Arial" w:cs="Arial"/>
          <w:sz w:val="24"/>
        </w:rPr>
        <w:t>]’.</w:t>
      </w:r>
      <w:r w:rsidRPr="005C34D4">
        <w:rPr>
          <w:rStyle w:val="FootnoteReference"/>
          <w:rFonts w:ascii="Arial" w:hAnsi="Arial" w:cs="Arial"/>
          <w:sz w:val="24"/>
        </w:rPr>
        <w:footnoteReference w:id="143"/>
      </w:r>
      <w:r w:rsidRPr="005C34D4">
        <w:rPr>
          <w:rFonts w:ascii="Arial" w:hAnsi="Arial" w:cs="Arial"/>
          <w:sz w:val="24"/>
        </w:rPr>
        <w:t xml:space="preserve"> But these are not the only descriptions of the cosmos to be found in ancient traditions. Hesiod similarly writes of ‘dark earth, misty Tartarus, the undraining sea, and the starry heaven’ which ‘all have their sources and extremities in order’.</w:t>
      </w:r>
      <w:r w:rsidRPr="005C34D4">
        <w:rPr>
          <w:rStyle w:val="FootnoteReference"/>
          <w:rFonts w:ascii="Arial" w:hAnsi="Arial" w:cs="Arial"/>
          <w:sz w:val="24"/>
        </w:rPr>
        <w:footnoteReference w:id="144"/>
      </w:r>
      <w:r w:rsidRPr="005C34D4">
        <w:rPr>
          <w:rFonts w:ascii="Arial" w:hAnsi="Arial" w:cs="Arial"/>
          <w:sz w:val="24"/>
        </w:rPr>
        <w:t xml:space="preserve"> Additionally ‘sky, earth, and sea’ make up the domains of Hecate’s power, the cosmos found on Achilles’ shield, and </w:t>
      </w:r>
      <w:r w:rsidRPr="005C34D4">
        <w:rPr>
          <w:rFonts w:ascii="Arial" w:hAnsi="Arial" w:cs="Arial"/>
          <w:sz w:val="24"/>
        </w:rPr>
        <w:lastRenderedPageBreak/>
        <w:t>the vision of Persephone before she is dragged into the realm of Hades.</w:t>
      </w:r>
      <w:r w:rsidRPr="005C34D4">
        <w:rPr>
          <w:rStyle w:val="FootnoteReference"/>
          <w:rFonts w:ascii="Arial" w:hAnsi="Arial" w:cs="Arial"/>
          <w:sz w:val="24"/>
        </w:rPr>
        <w:footnoteReference w:id="145"/>
      </w:r>
      <w:r w:rsidRPr="005C34D4">
        <w:rPr>
          <w:rFonts w:ascii="Arial" w:hAnsi="Arial" w:cs="Arial"/>
          <w:sz w:val="24"/>
        </w:rPr>
        <w:t xml:space="preserve"> The </w:t>
      </w:r>
      <w:r w:rsidRPr="005C34D4">
        <w:rPr>
          <w:rFonts w:ascii="Arial" w:hAnsi="Arial" w:cs="Arial"/>
          <w:i/>
          <w:sz w:val="24"/>
        </w:rPr>
        <w:t>Old Testament</w:t>
      </w:r>
      <w:r w:rsidRPr="005C34D4">
        <w:rPr>
          <w:rFonts w:ascii="Arial" w:hAnsi="Arial" w:cs="Arial"/>
          <w:sz w:val="24"/>
        </w:rPr>
        <w:t xml:space="preserve"> also describes a triad of heaven, earth and sea.</w:t>
      </w:r>
      <w:r w:rsidRPr="005C34D4">
        <w:rPr>
          <w:rStyle w:val="FootnoteReference"/>
          <w:rFonts w:ascii="Arial" w:hAnsi="Arial" w:cs="Arial"/>
          <w:sz w:val="24"/>
        </w:rPr>
        <w:footnoteReference w:id="146"/>
      </w:r>
      <w:r w:rsidRPr="005C34D4">
        <w:rPr>
          <w:rFonts w:ascii="Arial" w:hAnsi="Arial" w:cs="Arial"/>
          <w:sz w:val="24"/>
        </w:rPr>
        <w:t xml:space="preserve"> Thus it seems that in both Greek and Western Asiatic traditions, the cosmos was not conceived of as a unified entity but as a composition of parts, essentially: the heaven, the earth, the sea, and the underworld. </w:t>
      </w:r>
    </w:p>
    <w:p w14:paraId="33C52BA0" w14:textId="77777777" w:rsidR="00A25DE7" w:rsidRPr="005C34D4" w:rsidRDefault="00A25DE7" w:rsidP="005C34D4">
      <w:pPr>
        <w:spacing w:line="360" w:lineRule="auto"/>
        <w:jc w:val="both"/>
        <w:rPr>
          <w:rFonts w:ascii="Arial" w:hAnsi="Arial" w:cs="Arial"/>
          <w:sz w:val="24"/>
        </w:rPr>
      </w:pPr>
      <w:r w:rsidRPr="005C34D4">
        <w:rPr>
          <w:rFonts w:ascii="Arial" w:hAnsi="Arial" w:cs="Arial"/>
          <w:sz w:val="24"/>
        </w:rPr>
        <w:t>What is confusing amongst these traditions is that whilst the universe is typically imagined as constituting three primary parts, there is contention between whether these are: ‘</w:t>
      </w:r>
      <w:commentRangeStart w:id="199"/>
      <w:r w:rsidRPr="005C34D4">
        <w:rPr>
          <w:rFonts w:ascii="Arial" w:hAnsi="Arial" w:cs="Arial"/>
          <w:sz w:val="24"/>
        </w:rPr>
        <w:t xml:space="preserve">Sky – sea – underworld’, ‘sky – earth – sea’, or, more rarely, ‘sky – earth – underworld’. West argues that in Mesopotamia this discrepancy of thought stems from the less prominent role of the sea, </w:t>
      </w:r>
      <w:commentRangeEnd w:id="199"/>
      <w:r w:rsidR="002B56F2">
        <w:rPr>
          <w:rStyle w:val="CommentReference"/>
        </w:rPr>
        <w:commentReference w:id="199"/>
      </w:r>
      <w:r w:rsidRPr="005C34D4">
        <w:rPr>
          <w:rFonts w:ascii="Arial" w:hAnsi="Arial" w:cs="Arial"/>
          <w:sz w:val="24"/>
        </w:rPr>
        <w:t xml:space="preserve">as it was upon the flow of the Tigris and Euphrates rivers that life depended, and yet according to the </w:t>
      </w:r>
      <w:r w:rsidRPr="005C34D4">
        <w:rPr>
          <w:rFonts w:ascii="Arial" w:hAnsi="Arial" w:cs="Arial"/>
          <w:i/>
          <w:sz w:val="24"/>
        </w:rPr>
        <w:t>Atrahasis</w:t>
      </w:r>
      <w:r w:rsidRPr="005C34D4">
        <w:rPr>
          <w:rFonts w:ascii="Arial" w:hAnsi="Arial" w:cs="Arial"/>
          <w:sz w:val="24"/>
        </w:rPr>
        <w:t xml:space="preserve"> Enki was allotted the sea, not the underworld (see above).</w:t>
      </w:r>
      <w:r w:rsidRPr="005C34D4">
        <w:rPr>
          <w:rStyle w:val="FootnoteReference"/>
          <w:rFonts w:ascii="Arial" w:hAnsi="Arial" w:cs="Arial"/>
          <w:sz w:val="24"/>
        </w:rPr>
        <w:footnoteReference w:id="147"/>
      </w:r>
      <w:r w:rsidRPr="005C34D4">
        <w:rPr>
          <w:rFonts w:ascii="Arial" w:hAnsi="Arial" w:cs="Arial"/>
          <w:sz w:val="24"/>
        </w:rPr>
        <w:t xml:space="preserve"> However the tripartite scheme of ‘sky – earth – underworld’ is described in </w:t>
      </w:r>
      <w:r w:rsidRPr="005C34D4">
        <w:rPr>
          <w:rFonts w:ascii="Arial" w:hAnsi="Arial" w:cs="Arial"/>
          <w:i/>
          <w:sz w:val="24"/>
        </w:rPr>
        <w:t>Gilgamesh, Enkidu, and the Netherworld</w:t>
      </w:r>
      <w:r w:rsidRPr="005C34D4">
        <w:rPr>
          <w:rFonts w:ascii="Arial" w:hAnsi="Arial" w:cs="Arial"/>
          <w:sz w:val="24"/>
        </w:rPr>
        <w:t xml:space="preserve"> and presupposed in both </w:t>
      </w:r>
      <w:r w:rsidRPr="005C34D4">
        <w:rPr>
          <w:rFonts w:ascii="Arial" w:hAnsi="Arial" w:cs="Arial"/>
          <w:i/>
          <w:sz w:val="24"/>
        </w:rPr>
        <w:t>Nergal and Ereshkigal</w:t>
      </w:r>
      <w:r w:rsidRPr="005C34D4">
        <w:rPr>
          <w:rFonts w:ascii="Arial" w:hAnsi="Arial" w:cs="Arial"/>
          <w:sz w:val="24"/>
        </w:rPr>
        <w:t xml:space="preserve"> and </w:t>
      </w:r>
      <w:r w:rsidRPr="005C34D4">
        <w:rPr>
          <w:rFonts w:ascii="Arial" w:hAnsi="Arial" w:cs="Arial"/>
          <w:i/>
          <w:sz w:val="24"/>
        </w:rPr>
        <w:t xml:space="preserve">The Descent of Ishtar </w:t>
      </w:r>
      <w:r w:rsidRPr="005C34D4">
        <w:rPr>
          <w:rFonts w:ascii="Arial" w:hAnsi="Arial" w:cs="Arial"/>
          <w:sz w:val="24"/>
        </w:rPr>
        <w:t>where gods journey from sky to underworld without the world of men in between.</w:t>
      </w:r>
      <w:r w:rsidRPr="005C34D4">
        <w:rPr>
          <w:rStyle w:val="FootnoteReference"/>
          <w:rFonts w:ascii="Arial" w:hAnsi="Arial" w:cs="Arial"/>
          <w:sz w:val="24"/>
        </w:rPr>
        <w:footnoteReference w:id="148"/>
      </w:r>
      <w:r w:rsidRPr="005C34D4">
        <w:rPr>
          <w:rFonts w:ascii="Arial" w:hAnsi="Arial" w:cs="Arial"/>
          <w:sz w:val="24"/>
        </w:rPr>
        <w:t xml:space="preserve"> Given this variety of descriptions offered by both traditions, how then should we imagine the ancient cosmos known to Homer?</w:t>
      </w:r>
    </w:p>
    <w:p w14:paraId="2E2774EA" w14:textId="77777777" w:rsidR="00A25DE7" w:rsidRPr="005C34D4" w:rsidRDefault="00A25DE7" w:rsidP="005C34D4">
      <w:pPr>
        <w:spacing w:line="360" w:lineRule="auto"/>
        <w:jc w:val="both"/>
        <w:rPr>
          <w:rFonts w:ascii="Arial" w:hAnsi="Arial" w:cs="Arial"/>
          <w:sz w:val="24"/>
        </w:rPr>
      </w:pPr>
      <w:r w:rsidRPr="005C34D4">
        <w:rPr>
          <w:rFonts w:ascii="Arial" w:hAnsi="Arial" w:cs="Arial"/>
          <w:sz w:val="24"/>
        </w:rPr>
        <w:t xml:space="preserve">The key lies with a character already introduced in Hera’s cosmological narrative from the </w:t>
      </w:r>
      <w:r w:rsidRPr="005C34D4">
        <w:rPr>
          <w:rFonts w:ascii="Arial" w:hAnsi="Arial" w:cs="Arial"/>
          <w:i/>
          <w:sz w:val="24"/>
        </w:rPr>
        <w:t>Dios Apate</w:t>
      </w:r>
      <w:r w:rsidRPr="005C34D4">
        <w:rPr>
          <w:rFonts w:ascii="Arial" w:hAnsi="Arial" w:cs="Arial"/>
          <w:sz w:val="24"/>
        </w:rPr>
        <w:t xml:space="preserve">scene – Oceanus. In ancient Greek cosmology Oceanus was a personification of the River Oceanus, a fresh-water stream which encircled the flat earth, much (as we have seen) like Apsu in the Mesopotamian tradition. The springs of the River Oceanos flowed from a cave, the home of the god Oceanus himself, his wife Tethys, and their daughters the Oceanides. Oceanus was the son of Ouranus, the god of heaven, and Gaia, goddess of the earth. The River Oceanus marked the </w:t>
      </w:r>
      <w:r w:rsidRPr="005C34D4">
        <w:rPr>
          <w:rFonts w:ascii="Arial" w:hAnsi="Arial" w:cs="Arial"/>
          <w:i/>
          <w:sz w:val="24"/>
        </w:rPr>
        <w:t>outer boundaries</w:t>
      </w:r>
      <w:r w:rsidRPr="005C34D4">
        <w:rPr>
          <w:rFonts w:ascii="Arial" w:hAnsi="Arial" w:cs="Arial"/>
          <w:sz w:val="24"/>
        </w:rPr>
        <w:t xml:space="preserve"> of the (flat) earth, into which the sun, moon, and stars set and rose. The imagery of a solar boat likely originates from the conceit of the sun-god sailing the limits of </w:t>
      </w:r>
      <w:r w:rsidRPr="005C34D4">
        <w:rPr>
          <w:rFonts w:ascii="Arial" w:hAnsi="Arial" w:cs="Arial"/>
          <w:sz w:val="24"/>
        </w:rPr>
        <w:lastRenderedPageBreak/>
        <w:t xml:space="preserve">Oceanus during the night time hours, as the gods of day and night also possessed islands along the stream. Oceanus was the river from which all water on earth originated, and also whence the clouds gathered their moisture from descending into it. It was beyond the setting sun in the West, beneath the outer edge of Oceanus that the dark and misty shore of Hades could be located (according to the Homeric tradition), whilst Tartarus (the underground realm of the Titans) was imagined as wholly beneath the earth, rather than at its edges – </w:t>
      </w:r>
      <w:commentRangeStart w:id="200"/>
      <w:r w:rsidRPr="005C34D4">
        <w:rPr>
          <w:rFonts w:ascii="Arial" w:hAnsi="Arial" w:cs="Arial"/>
          <w:sz w:val="24"/>
        </w:rPr>
        <w:t>as Hades was</w:t>
      </w:r>
      <w:commentRangeEnd w:id="200"/>
      <w:r w:rsidR="002B56F2">
        <w:rPr>
          <w:rStyle w:val="CommentReference"/>
        </w:rPr>
        <w:commentReference w:id="200"/>
      </w:r>
      <w:r w:rsidRPr="005C34D4">
        <w:rPr>
          <w:rFonts w:ascii="Arial" w:hAnsi="Arial" w:cs="Arial"/>
          <w:sz w:val="24"/>
        </w:rPr>
        <w:t>.</w:t>
      </w:r>
      <w:r w:rsidRPr="005C34D4">
        <w:rPr>
          <w:rStyle w:val="FootnoteReference"/>
          <w:rFonts w:ascii="Arial" w:hAnsi="Arial" w:cs="Arial"/>
          <w:sz w:val="24"/>
        </w:rPr>
        <w:footnoteReference w:id="149"/>
      </w:r>
      <w:r w:rsidRPr="005C34D4">
        <w:rPr>
          <w:rFonts w:ascii="Arial" w:hAnsi="Arial" w:cs="Arial"/>
          <w:sz w:val="24"/>
        </w:rPr>
        <w:t xml:space="preserve"> A tributary of Oceanus known as the River Styx, imagined as a ‘horn’ of the Oceanus stream, flowed under the earth ‘through night’s blackness’ into the realm of Hades.</w:t>
      </w:r>
      <w:r w:rsidRPr="005C34D4">
        <w:rPr>
          <w:rStyle w:val="FootnoteReference"/>
          <w:rFonts w:ascii="Arial" w:hAnsi="Arial" w:cs="Arial"/>
          <w:sz w:val="24"/>
        </w:rPr>
        <w:footnoteReference w:id="150"/>
      </w:r>
      <w:r w:rsidRPr="005C34D4">
        <w:rPr>
          <w:rFonts w:ascii="Arial" w:hAnsi="Arial" w:cs="Arial"/>
          <w:sz w:val="24"/>
        </w:rPr>
        <w:t xml:space="preserve"> Thus Oceanus was imagined as the unifying force to all realms of the cosmos, sky – earth – sea – and underworld. The locations personified by the primordial gods Oceanus, Ouranus, and the Titans can therefore be thought of as re-imagined into the lots awarded to the Olympian trinity of Poseidon, Zeus and Hades, transforming them from primordial personifications of cosmic realms into divine overlords of the respective areas. Both Oceanus and Poseidon, for example, were known as girdlers or circlers of the earth drawing a deeper connection between Poseidon as god of the sea, and the more cosmological nature of Oceanus. </w:t>
      </w:r>
      <w:commentRangeStart w:id="201"/>
      <w:r w:rsidRPr="005C34D4">
        <w:rPr>
          <w:rFonts w:ascii="Arial" w:hAnsi="Arial" w:cs="Arial"/>
          <w:sz w:val="24"/>
        </w:rPr>
        <w:t xml:space="preserve">This transformation is further imagined in the Homeric narrative of Hera, where a parallel is drawn between the sexual (re)union of Oceanus and Tethys, and the union of Zeus and Hera. </w:t>
      </w:r>
      <w:commentRangeEnd w:id="201"/>
      <w:r w:rsidR="002B56F2">
        <w:rPr>
          <w:rStyle w:val="CommentReference"/>
        </w:rPr>
        <w:commentReference w:id="201"/>
      </w:r>
    </w:p>
    <w:p w14:paraId="3ABCFC0A" w14:textId="77777777" w:rsidR="00A25DE7" w:rsidRPr="005C34D4" w:rsidRDefault="00A25DE7" w:rsidP="005C34D4">
      <w:pPr>
        <w:spacing w:line="360" w:lineRule="auto"/>
        <w:jc w:val="both"/>
        <w:rPr>
          <w:rFonts w:ascii="Arial" w:hAnsi="Arial" w:cs="Arial"/>
          <w:sz w:val="24"/>
        </w:rPr>
      </w:pPr>
      <w:r w:rsidRPr="005C34D4">
        <w:rPr>
          <w:rFonts w:ascii="Arial" w:hAnsi="Arial" w:cs="Arial"/>
          <w:sz w:val="24"/>
        </w:rPr>
        <w:t xml:space="preserve">According to this Greek tradition, the earth was the only part of the cosmic construct ruled by a female entity - variously Gaia, Rhea, Demeter, Persephone – (just as Mesopotamia had the goddesses Ki, Ninhursaga, or Ninki) and as such was excluded from the division of cosmic lots between the three Olympian </w:t>
      </w:r>
      <w:commentRangeStart w:id="202"/>
      <w:r w:rsidRPr="005C34D4">
        <w:rPr>
          <w:rFonts w:ascii="Arial" w:hAnsi="Arial" w:cs="Arial"/>
          <w:sz w:val="24"/>
        </w:rPr>
        <w:t xml:space="preserve">brothers. </w:t>
      </w:r>
      <w:commentRangeEnd w:id="202"/>
      <w:r w:rsidR="002B56F2">
        <w:rPr>
          <w:rStyle w:val="CommentReference"/>
        </w:rPr>
        <w:commentReference w:id="202"/>
      </w:r>
      <w:r w:rsidRPr="005C34D4">
        <w:rPr>
          <w:rFonts w:ascii="Arial" w:hAnsi="Arial" w:cs="Arial"/>
          <w:sz w:val="24"/>
        </w:rPr>
        <w:t xml:space="preserve">‘Earth’ as Poseidon explains ‘was common to all’. Understanding the cosmos in this way, as fundamentally a masculine, tripartite structure consisting of: sky, girdling sea, and realm of the underworld, surrounding a central female earth in three dimensions or directions (see </w:t>
      </w:r>
      <w:r>
        <w:rPr>
          <w:rFonts w:ascii="Arial" w:hAnsi="Arial" w:cs="Arial"/>
          <w:sz w:val="24"/>
        </w:rPr>
        <w:t>Appendix Four</w:t>
      </w:r>
      <w:r w:rsidRPr="005C34D4">
        <w:rPr>
          <w:rFonts w:ascii="Arial" w:hAnsi="Arial" w:cs="Arial"/>
          <w:sz w:val="24"/>
        </w:rPr>
        <w:t xml:space="preserve">), goes some way to </w:t>
      </w:r>
      <w:r w:rsidRPr="005C34D4">
        <w:rPr>
          <w:rFonts w:ascii="Arial" w:hAnsi="Arial" w:cs="Arial"/>
          <w:sz w:val="24"/>
        </w:rPr>
        <w:lastRenderedPageBreak/>
        <w:t xml:space="preserve">explaining why - in the Greek cosmological tradition at least - there are simultaneously three supreme cosmic </w:t>
      </w:r>
      <w:commentRangeStart w:id="203"/>
      <w:r w:rsidRPr="005C34D4">
        <w:rPr>
          <w:rFonts w:ascii="Arial" w:hAnsi="Arial" w:cs="Arial"/>
          <w:i/>
          <w:sz w:val="24"/>
        </w:rPr>
        <w:t>levels</w:t>
      </w:r>
      <w:r w:rsidRPr="005C34D4">
        <w:rPr>
          <w:rFonts w:ascii="Arial" w:hAnsi="Arial" w:cs="Arial"/>
          <w:sz w:val="24"/>
        </w:rPr>
        <w:t xml:space="preserve"> (sky – sea – netherworld), and four cosmic </w:t>
      </w:r>
      <w:r w:rsidRPr="005C34D4">
        <w:rPr>
          <w:rFonts w:ascii="Arial" w:hAnsi="Arial" w:cs="Arial"/>
          <w:i/>
          <w:sz w:val="24"/>
        </w:rPr>
        <w:t>regions</w:t>
      </w:r>
      <w:r w:rsidRPr="005C34D4">
        <w:rPr>
          <w:rFonts w:ascii="Arial" w:hAnsi="Arial" w:cs="Arial"/>
          <w:sz w:val="24"/>
        </w:rPr>
        <w:t xml:space="preserve"> (sky – earth – sea – netherworld).</w:t>
      </w:r>
      <w:commentRangeEnd w:id="203"/>
      <w:r w:rsidR="002B56F2">
        <w:rPr>
          <w:rStyle w:val="CommentReference"/>
        </w:rPr>
        <w:commentReference w:id="203"/>
      </w:r>
    </w:p>
    <w:p w14:paraId="7F1DECF6" w14:textId="77777777" w:rsidR="00A25DE7" w:rsidRPr="00745BDD" w:rsidRDefault="00A25DE7" w:rsidP="00954335">
      <w:pPr>
        <w:jc w:val="center"/>
        <w:rPr>
          <w:rFonts w:ascii="Arial" w:hAnsi="Arial" w:cs="Arial"/>
        </w:rPr>
      </w:pPr>
      <w:r w:rsidRPr="00745BDD">
        <w:rPr>
          <w:rFonts w:ascii="Arial" w:hAnsi="Arial" w:cs="Arial"/>
        </w:rPr>
        <w:t>*</w:t>
      </w:r>
    </w:p>
    <w:p w14:paraId="3A1897B2" w14:textId="77777777" w:rsidR="00A25DE7" w:rsidRPr="00745BDD" w:rsidRDefault="00A25DE7" w:rsidP="00954335">
      <w:pPr>
        <w:jc w:val="both"/>
        <w:rPr>
          <w:rFonts w:ascii="Arial" w:hAnsi="Arial" w:cs="Arial"/>
          <w:b/>
          <w:i/>
        </w:rPr>
      </w:pPr>
      <w:r w:rsidRPr="00BF6542">
        <w:rPr>
          <w:rFonts w:ascii="Arial" w:hAnsi="Arial" w:cs="Arial"/>
          <w:b/>
          <w:i/>
          <w:sz w:val="24"/>
        </w:rPr>
        <w:t>Section Two: Literary techniques and tropes – Doorways and Journeys</w:t>
      </w:r>
    </w:p>
    <w:p w14:paraId="5C806B18" w14:textId="77777777" w:rsidR="00A25DE7" w:rsidRPr="00745BDD" w:rsidRDefault="00A25DE7" w:rsidP="00BF6542">
      <w:pPr>
        <w:spacing w:line="360" w:lineRule="auto"/>
        <w:jc w:val="both"/>
        <w:rPr>
          <w:rFonts w:ascii="Arial" w:hAnsi="Arial" w:cs="Arial"/>
        </w:rPr>
      </w:pPr>
      <w:r w:rsidRPr="00BF6542">
        <w:rPr>
          <w:rFonts w:ascii="Arial" w:hAnsi="Arial" w:cs="Arial"/>
          <w:sz w:val="24"/>
        </w:rPr>
        <w:t xml:space="preserve">As we have seen, the Greek and Mesopotamian cosmos was fundamentally imagined in tripartite form. However, various sources also provide us with further cosmological features such as the Gates or Pillars at the extremities of the earth. However, perhaps the most pervasive idea which spans from Western Asiatic into Greek traditions is the connection between the path of the sun and the journeying of the dead. This is a concept which is crucial to understanding Odysseus’ </w:t>
      </w:r>
      <w:r w:rsidRPr="00BF6542">
        <w:rPr>
          <w:rFonts w:ascii="Arial" w:hAnsi="Arial" w:cs="Arial"/>
          <w:i/>
          <w:sz w:val="24"/>
        </w:rPr>
        <w:t>nostos</w:t>
      </w:r>
      <w:r w:rsidRPr="00BF6542">
        <w:rPr>
          <w:rFonts w:ascii="Arial" w:hAnsi="Arial" w:cs="Arial"/>
          <w:sz w:val="24"/>
        </w:rPr>
        <w:t xml:space="preserve">, or ‘homecoming’, as a profound cosmic tale – and will be explored in Section Three.    </w:t>
      </w:r>
    </w:p>
    <w:p w14:paraId="459952FB" w14:textId="77777777" w:rsidR="00A25DE7" w:rsidRPr="00BF6542" w:rsidRDefault="00A25DE7" w:rsidP="00954335">
      <w:pPr>
        <w:pStyle w:val="ListParagraph"/>
        <w:numPr>
          <w:ilvl w:val="0"/>
          <w:numId w:val="41"/>
          <w:numberingChange w:id="204" w:author="Dorian" w:date="2015-11-20T19:28:00Z" w:original="%1:1:4:."/>
        </w:numPr>
        <w:jc w:val="both"/>
        <w:rPr>
          <w:rFonts w:ascii="Arial" w:hAnsi="Arial" w:cs="Arial"/>
          <w:b/>
          <w:i/>
          <w:sz w:val="24"/>
        </w:rPr>
      </w:pPr>
      <w:r w:rsidRPr="00BF6542">
        <w:rPr>
          <w:rFonts w:ascii="Arial" w:hAnsi="Arial" w:cs="Arial"/>
          <w:b/>
          <w:i/>
          <w:sz w:val="24"/>
        </w:rPr>
        <w:t xml:space="preserve">Gates and Pillars of Sky and Netherworld </w:t>
      </w:r>
    </w:p>
    <w:p w14:paraId="26114A2A" w14:textId="77777777" w:rsidR="00A25DE7" w:rsidRPr="00BF6542" w:rsidRDefault="00A25DE7" w:rsidP="00BF6542">
      <w:pPr>
        <w:spacing w:line="360" w:lineRule="auto"/>
        <w:jc w:val="both"/>
        <w:rPr>
          <w:rFonts w:ascii="Arial" w:hAnsi="Arial" w:cs="Arial"/>
          <w:sz w:val="24"/>
        </w:rPr>
      </w:pPr>
      <w:r w:rsidRPr="00BF6542">
        <w:rPr>
          <w:rFonts w:ascii="Arial" w:hAnsi="Arial" w:cs="Arial"/>
          <w:sz w:val="24"/>
        </w:rPr>
        <w:t>The three-tiered structure of the universe, as imagined in both Mesopotamian and Greek traditions, is intimately connected to a conceit that the sky and netherworld were formed by great domes, often held aloft by pillars, mountains, or, in Greek mythology, on the shoulders of the Titan Atlas.</w:t>
      </w:r>
      <w:r w:rsidRPr="00BF6542">
        <w:rPr>
          <w:rStyle w:val="FootnoteReference"/>
          <w:rFonts w:ascii="Arial" w:hAnsi="Arial" w:cs="Arial"/>
          <w:sz w:val="24"/>
        </w:rPr>
        <w:footnoteReference w:id="151"/>
      </w:r>
      <w:r w:rsidRPr="00BF6542">
        <w:rPr>
          <w:rFonts w:ascii="Arial" w:hAnsi="Arial" w:cs="Arial"/>
          <w:sz w:val="24"/>
        </w:rPr>
        <w:t xml:space="preserve"> These pillars or mountains were often perceived as gateways into (or, less commonly, out of) the Netherworld. In the </w:t>
      </w:r>
      <w:r w:rsidRPr="00BF6542">
        <w:rPr>
          <w:rFonts w:ascii="Arial" w:hAnsi="Arial" w:cs="Arial"/>
          <w:i/>
          <w:sz w:val="24"/>
        </w:rPr>
        <w:t>Epic of Gilgamesh</w:t>
      </w:r>
      <w:r w:rsidRPr="00BF6542">
        <w:rPr>
          <w:rFonts w:ascii="Arial" w:hAnsi="Arial" w:cs="Arial"/>
          <w:sz w:val="24"/>
        </w:rPr>
        <w:t xml:space="preserve"> for </w:t>
      </w:r>
      <w:commentRangeStart w:id="205"/>
      <w:r w:rsidRPr="00BF6542">
        <w:rPr>
          <w:rFonts w:ascii="Arial" w:hAnsi="Arial" w:cs="Arial"/>
          <w:sz w:val="24"/>
        </w:rPr>
        <w:t>instance, the hero travels to the gates of the sun god Shamash at the mountain of Mashu where the Scorpion men guard the entrance to Kurnugi – the land of darkness.</w:t>
      </w:r>
      <w:r w:rsidRPr="00BF6542">
        <w:rPr>
          <w:rStyle w:val="FootnoteReference"/>
          <w:rFonts w:ascii="Arial" w:hAnsi="Arial" w:cs="Arial"/>
          <w:sz w:val="24"/>
        </w:rPr>
        <w:footnoteReference w:id="152"/>
      </w:r>
      <w:r w:rsidRPr="00BF6542">
        <w:rPr>
          <w:rFonts w:ascii="Arial" w:hAnsi="Arial" w:cs="Arial"/>
          <w:sz w:val="24"/>
        </w:rPr>
        <w:t xml:space="preserve"> </w:t>
      </w:r>
      <w:commentRangeEnd w:id="205"/>
      <w:r w:rsidR="00264AC8">
        <w:rPr>
          <w:rStyle w:val="CommentReference"/>
        </w:rPr>
        <w:commentReference w:id="205"/>
      </w:r>
      <w:r w:rsidRPr="00BF6542">
        <w:rPr>
          <w:rFonts w:ascii="Arial" w:hAnsi="Arial" w:cs="Arial"/>
          <w:sz w:val="24"/>
        </w:rPr>
        <w:t xml:space="preserve">In later Greek tradition, the </w:t>
      </w:r>
      <w:r w:rsidRPr="00BF6542">
        <w:rPr>
          <w:rFonts w:ascii="Arial" w:hAnsi="Arial" w:cs="Arial"/>
          <w:i/>
          <w:sz w:val="24"/>
        </w:rPr>
        <w:t xml:space="preserve">psyche </w:t>
      </w:r>
      <w:r w:rsidRPr="00BF6542">
        <w:rPr>
          <w:rFonts w:ascii="Arial" w:hAnsi="Arial" w:cs="Arial"/>
          <w:sz w:val="24"/>
        </w:rPr>
        <w:t>of Heracles similarly journeyed to Hades by the scorpion-gate.</w:t>
      </w:r>
      <w:r w:rsidRPr="00BF6542">
        <w:rPr>
          <w:rStyle w:val="FootnoteReference"/>
          <w:rFonts w:ascii="Arial" w:hAnsi="Arial" w:cs="Arial"/>
          <w:sz w:val="24"/>
        </w:rPr>
        <w:footnoteReference w:id="153"/>
      </w:r>
      <w:r w:rsidRPr="00BF6542">
        <w:rPr>
          <w:rFonts w:ascii="Arial" w:hAnsi="Arial" w:cs="Arial"/>
          <w:sz w:val="24"/>
        </w:rPr>
        <w:t xml:space="preserve"> These scorpion-men were known in Akkadian as </w:t>
      </w:r>
      <w:r w:rsidRPr="00BF6542">
        <w:rPr>
          <w:rFonts w:ascii="Arial" w:hAnsi="Arial" w:cs="Arial"/>
          <w:i/>
          <w:sz w:val="24"/>
        </w:rPr>
        <w:t>girtablilu</w:t>
      </w:r>
      <w:r w:rsidRPr="00BF6542">
        <w:rPr>
          <w:rFonts w:ascii="Arial" w:hAnsi="Arial" w:cs="Arial"/>
          <w:sz w:val="24"/>
        </w:rPr>
        <w:t xml:space="preserve">, sharing a </w:t>
      </w:r>
      <w:commentRangeStart w:id="206"/>
      <w:r w:rsidRPr="00BF6542">
        <w:rPr>
          <w:rFonts w:ascii="Arial" w:hAnsi="Arial" w:cs="Arial"/>
          <w:sz w:val="24"/>
        </w:rPr>
        <w:t xml:space="preserve">linguistic origin with the constellation Scorpius, </w:t>
      </w:r>
      <w:commentRangeEnd w:id="206"/>
      <w:r w:rsidR="00264AC8">
        <w:rPr>
          <w:rStyle w:val="CommentReference"/>
        </w:rPr>
        <w:commentReference w:id="206"/>
      </w:r>
      <w:r w:rsidRPr="00BF6542">
        <w:rPr>
          <w:rFonts w:ascii="Arial" w:hAnsi="Arial" w:cs="Arial"/>
          <w:sz w:val="24"/>
        </w:rPr>
        <w:t xml:space="preserve">listed in the star catalogue </w:t>
      </w:r>
      <w:r w:rsidRPr="00BF6542">
        <w:rPr>
          <w:rFonts w:ascii="Arial" w:hAnsi="Arial" w:cs="Arial"/>
          <w:i/>
          <w:sz w:val="24"/>
        </w:rPr>
        <w:t>MUL.APIN</w:t>
      </w:r>
      <w:r w:rsidRPr="00BF6542">
        <w:rPr>
          <w:rFonts w:ascii="Arial" w:hAnsi="Arial" w:cs="Arial"/>
          <w:sz w:val="24"/>
        </w:rPr>
        <w:t xml:space="preserve"> as </w:t>
      </w:r>
      <w:r w:rsidRPr="00BF6542">
        <w:rPr>
          <w:rFonts w:ascii="Arial" w:hAnsi="Arial" w:cs="Arial"/>
          <w:sz w:val="24"/>
          <w:vertAlign w:val="superscript"/>
        </w:rPr>
        <w:t>MUL</w:t>
      </w:r>
      <w:r w:rsidRPr="00BF6542">
        <w:rPr>
          <w:rFonts w:ascii="Arial" w:hAnsi="Arial" w:cs="Arial"/>
          <w:sz w:val="24"/>
        </w:rPr>
        <w:t>GIR.TAB.</w:t>
      </w:r>
      <w:r w:rsidRPr="00BF6542">
        <w:rPr>
          <w:rStyle w:val="FootnoteReference"/>
          <w:rFonts w:ascii="Arial" w:hAnsi="Arial" w:cs="Arial"/>
          <w:sz w:val="24"/>
        </w:rPr>
        <w:footnoteReference w:id="154"/>
      </w:r>
      <w:r w:rsidRPr="00BF6542">
        <w:rPr>
          <w:rFonts w:ascii="Arial" w:hAnsi="Arial" w:cs="Arial"/>
          <w:sz w:val="24"/>
        </w:rPr>
        <w:t xml:space="preserve"> Furthermore, both Scorpius and its opposite constellation Taurus are represented as Gates of the Sun on cylinder seals of </w:t>
      </w:r>
      <w:r w:rsidRPr="00BF6542">
        <w:rPr>
          <w:rFonts w:ascii="Arial" w:hAnsi="Arial" w:cs="Arial"/>
          <w:sz w:val="24"/>
        </w:rPr>
        <w:lastRenderedPageBreak/>
        <w:t>the Assyrian era.</w:t>
      </w:r>
      <w:r w:rsidRPr="00BF6542">
        <w:rPr>
          <w:rStyle w:val="FootnoteReference"/>
          <w:rFonts w:ascii="Arial" w:hAnsi="Arial" w:cs="Arial"/>
          <w:sz w:val="24"/>
        </w:rPr>
        <w:footnoteReference w:id="155"/>
      </w:r>
      <w:r w:rsidRPr="00BF6542">
        <w:rPr>
          <w:rFonts w:ascii="Arial" w:hAnsi="Arial" w:cs="Arial"/>
          <w:sz w:val="24"/>
        </w:rPr>
        <w:t xml:space="preserve"> This connection has given rise to the argument that the Scorpion-men of the </w:t>
      </w:r>
      <w:r w:rsidRPr="00BF6542">
        <w:rPr>
          <w:rFonts w:ascii="Arial" w:hAnsi="Arial" w:cs="Arial"/>
          <w:i/>
          <w:sz w:val="24"/>
        </w:rPr>
        <w:t>Gilgamesh</w:t>
      </w:r>
      <w:r w:rsidRPr="00BF6542">
        <w:rPr>
          <w:rFonts w:ascii="Arial" w:hAnsi="Arial" w:cs="Arial"/>
          <w:sz w:val="24"/>
        </w:rPr>
        <w:t xml:space="preserve"> are fictional representations of the constellation Scorpius itself, guarding the suns path along the zodiac where it crosses over the </w:t>
      </w:r>
      <w:commentRangeStart w:id="207"/>
      <w:r w:rsidRPr="00BF6542">
        <w:rPr>
          <w:rFonts w:ascii="Arial" w:hAnsi="Arial" w:cs="Arial"/>
          <w:sz w:val="24"/>
        </w:rPr>
        <w:t>Western horizon at the spring equinox, marking ‘the gateway into the underworld’.</w:t>
      </w:r>
      <w:r w:rsidRPr="00BF6542">
        <w:rPr>
          <w:rStyle w:val="FootnoteReference"/>
          <w:rFonts w:ascii="Arial" w:hAnsi="Arial" w:cs="Arial"/>
          <w:sz w:val="24"/>
        </w:rPr>
        <w:footnoteReference w:id="156"/>
      </w:r>
      <w:r w:rsidRPr="00BF6542">
        <w:rPr>
          <w:rFonts w:ascii="Arial" w:hAnsi="Arial" w:cs="Arial"/>
          <w:sz w:val="24"/>
        </w:rPr>
        <w:t xml:space="preserve"> </w:t>
      </w:r>
      <w:commentRangeEnd w:id="207"/>
      <w:r w:rsidR="00264AC8">
        <w:rPr>
          <w:rStyle w:val="CommentReference"/>
        </w:rPr>
        <w:commentReference w:id="207"/>
      </w:r>
      <w:commentRangeStart w:id="208"/>
      <w:r w:rsidRPr="00BF6542">
        <w:rPr>
          <w:rFonts w:ascii="Arial" w:hAnsi="Arial" w:cs="Arial"/>
          <w:sz w:val="24"/>
        </w:rPr>
        <w:t xml:space="preserve">Such an intimate connection </w:t>
      </w:r>
      <w:commentRangeEnd w:id="208"/>
      <w:r>
        <w:rPr>
          <w:rStyle w:val="CommentReference"/>
        </w:rPr>
        <w:commentReference w:id="208"/>
      </w:r>
      <w:r w:rsidRPr="00BF6542">
        <w:rPr>
          <w:rFonts w:ascii="Arial" w:hAnsi="Arial" w:cs="Arial"/>
          <w:sz w:val="24"/>
        </w:rPr>
        <w:t xml:space="preserve">between the narrative account of the </w:t>
      </w:r>
      <w:r w:rsidRPr="00BF6542">
        <w:rPr>
          <w:rFonts w:ascii="Arial" w:hAnsi="Arial" w:cs="Arial"/>
          <w:i/>
          <w:sz w:val="24"/>
        </w:rPr>
        <w:t>Gilgamesh</w:t>
      </w:r>
      <w:r w:rsidRPr="00BF6542">
        <w:rPr>
          <w:rFonts w:ascii="Arial" w:hAnsi="Arial" w:cs="Arial"/>
          <w:sz w:val="24"/>
        </w:rPr>
        <w:t xml:space="preserve"> and the tangible cosmology of the corporeal world supports the suggestion that the epic itself is a re-enactment, or re-imagining of astronomical </w:t>
      </w:r>
      <w:commentRangeStart w:id="209"/>
      <w:r w:rsidRPr="00BF6542">
        <w:rPr>
          <w:rFonts w:ascii="Arial" w:hAnsi="Arial" w:cs="Arial"/>
          <w:sz w:val="24"/>
        </w:rPr>
        <w:t>phenomena</w:t>
      </w:r>
      <w:commentRangeEnd w:id="209"/>
      <w:r w:rsidR="00264AC8">
        <w:rPr>
          <w:rStyle w:val="CommentReference"/>
        </w:rPr>
        <w:commentReference w:id="209"/>
      </w:r>
      <w:r w:rsidRPr="00BF6542">
        <w:rPr>
          <w:rFonts w:ascii="Arial" w:hAnsi="Arial" w:cs="Arial"/>
          <w:sz w:val="24"/>
        </w:rPr>
        <w:t>. But does this such a narrative representation suggest that the protagonist Gilgamesh, who journeys the path of the sun, symbolises the sun-god himself?</w:t>
      </w:r>
    </w:p>
    <w:p w14:paraId="00570514" w14:textId="77777777" w:rsidR="00A25DE7" w:rsidRPr="00BF6542" w:rsidRDefault="00A25DE7" w:rsidP="00954335">
      <w:pPr>
        <w:pStyle w:val="ListParagraph"/>
        <w:numPr>
          <w:ilvl w:val="0"/>
          <w:numId w:val="41"/>
          <w:numberingChange w:id="210" w:author="Dorian" w:date="2015-11-20T19:28:00Z" w:original="%1:2:4:."/>
        </w:numPr>
        <w:jc w:val="both"/>
        <w:rPr>
          <w:rFonts w:ascii="Arial" w:hAnsi="Arial" w:cs="Arial"/>
          <w:b/>
          <w:i/>
          <w:sz w:val="24"/>
        </w:rPr>
      </w:pPr>
      <w:r w:rsidRPr="00BF6542">
        <w:rPr>
          <w:rFonts w:ascii="Arial" w:hAnsi="Arial" w:cs="Arial"/>
          <w:b/>
          <w:sz w:val="24"/>
        </w:rPr>
        <w:t>Katabasis</w:t>
      </w:r>
      <w:r w:rsidRPr="00BF6542">
        <w:rPr>
          <w:rFonts w:ascii="Arial" w:hAnsi="Arial" w:cs="Arial"/>
          <w:b/>
          <w:i/>
          <w:sz w:val="24"/>
        </w:rPr>
        <w:t xml:space="preserve"> and the Solar Cycle</w:t>
      </w:r>
    </w:p>
    <w:p w14:paraId="256A7F3F" w14:textId="77777777" w:rsidR="00A25DE7" w:rsidRPr="00BF6542" w:rsidRDefault="00A25DE7" w:rsidP="00BF6542">
      <w:pPr>
        <w:spacing w:line="360" w:lineRule="auto"/>
        <w:jc w:val="both"/>
        <w:rPr>
          <w:rFonts w:ascii="Arial" w:hAnsi="Arial" w:cs="Arial"/>
          <w:sz w:val="24"/>
        </w:rPr>
      </w:pPr>
      <w:r w:rsidRPr="00BF6542">
        <w:rPr>
          <w:rFonts w:ascii="Arial" w:hAnsi="Arial" w:cs="Arial"/>
          <w:sz w:val="24"/>
        </w:rPr>
        <w:t xml:space="preserve">The protagonist’s journey to the far west, through a gateway and into the dark realm of the dead is a recurring theme well founded in the epic tradition, and is known as </w:t>
      </w:r>
      <w:r w:rsidRPr="00BF6542">
        <w:rPr>
          <w:rFonts w:ascii="Arial" w:hAnsi="Arial" w:cs="Arial"/>
          <w:i/>
          <w:sz w:val="24"/>
        </w:rPr>
        <w:t>katabasis</w:t>
      </w:r>
      <w:r w:rsidRPr="00BF6542">
        <w:rPr>
          <w:rFonts w:ascii="Arial" w:hAnsi="Arial" w:cs="Arial"/>
          <w:sz w:val="24"/>
        </w:rPr>
        <w:t xml:space="preserve">(from the Greek </w:t>
      </w:r>
      <w:r w:rsidRPr="00BF6542">
        <w:rPr>
          <w:rFonts w:ascii="Arial" w:hAnsi="Arial" w:cs="Arial"/>
          <w:i/>
          <w:sz w:val="24"/>
        </w:rPr>
        <w:t>κατα</w:t>
      </w:r>
      <w:r w:rsidRPr="00BF6542">
        <w:rPr>
          <w:rFonts w:ascii="Arial" w:hAnsi="Arial" w:cs="Arial"/>
          <w:sz w:val="24"/>
        </w:rPr>
        <w:t xml:space="preserve"> ‘down’ and </w:t>
      </w:r>
      <w:r w:rsidRPr="00BF6542">
        <w:rPr>
          <w:rFonts w:ascii="Arial" w:hAnsi="Arial" w:cs="Arial"/>
          <w:i/>
          <w:sz w:val="24"/>
        </w:rPr>
        <w:t>βαινω</w:t>
      </w:r>
      <w:r w:rsidRPr="00BF6542">
        <w:rPr>
          <w:rFonts w:ascii="Arial" w:hAnsi="Arial" w:cs="Arial"/>
          <w:sz w:val="24"/>
        </w:rPr>
        <w:t xml:space="preserve"> ‘go’). It appears in the </w:t>
      </w:r>
      <w:r w:rsidRPr="00BF6542">
        <w:rPr>
          <w:rFonts w:ascii="Arial" w:hAnsi="Arial" w:cs="Arial"/>
          <w:i/>
          <w:sz w:val="24"/>
        </w:rPr>
        <w:t>Gilgamesh</w:t>
      </w:r>
      <w:r w:rsidRPr="00BF6542">
        <w:rPr>
          <w:rFonts w:ascii="Arial" w:hAnsi="Arial" w:cs="Arial"/>
          <w:sz w:val="24"/>
        </w:rPr>
        <w:t xml:space="preserve"> and Homer’s </w:t>
      </w:r>
      <w:r w:rsidRPr="00BF6542">
        <w:rPr>
          <w:rFonts w:ascii="Arial" w:hAnsi="Arial" w:cs="Arial"/>
          <w:i/>
          <w:sz w:val="24"/>
        </w:rPr>
        <w:t>Odyssey</w:t>
      </w:r>
      <w:r w:rsidRPr="00BF6542">
        <w:rPr>
          <w:rFonts w:ascii="Arial" w:hAnsi="Arial" w:cs="Arial"/>
          <w:sz w:val="24"/>
        </w:rPr>
        <w:t xml:space="preserve"> as well as later epics such as Virgil’s </w:t>
      </w:r>
      <w:r w:rsidRPr="00BF6542">
        <w:rPr>
          <w:rFonts w:ascii="Arial" w:hAnsi="Arial" w:cs="Arial"/>
          <w:i/>
          <w:sz w:val="24"/>
        </w:rPr>
        <w:t>Aeneid</w:t>
      </w:r>
      <w:r w:rsidRPr="00BF6542">
        <w:rPr>
          <w:rFonts w:ascii="Arial" w:hAnsi="Arial" w:cs="Arial"/>
          <w:sz w:val="24"/>
        </w:rPr>
        <w:t xml:space="preserve"> and Dante’s </w:t>
      </w:r>
      <w:r w:rsidRPr="00BF6542">
        <w:rPr>
          <w:rFonts w:ascii="Arial" w:hAnsi="Arial" w:cs="Arial"/>
          <w:i/>
          <w:sz w:val="24"/>
        </w:rPr>
        <w:t>Divine Comedy</w:t>
      </w:r>
      <w:r w:rsidRPr="00BF6542">
        <w:rPr>
          <w:rFonts w:ascii="Arial" w:hAnsi="Arial" w:cs="Arial"/>
          <w:sz w:val="24"/>
        </w:rPr>
        <w:t xml:space="preserve">. The </w:t>
      </w:r>
      <w:r w:rsidRPr="00BF6542">
        <w:rPr>
          <w:rFonts w:ascii="Arial" w:hAnsi="Arial" w:cs="Arial"/>
          <w:i/>
          <w:sz w:val="24"/>
        </w:rPr>
        <w:t>katabasis</w:t>
      </w:r>
      <w:r w:rsidRPr="00BF6542">
        <w:rPr>
          <w:rFonts w:ascii="Arial" w:hAnsi="Arial" w:cs="Arial"/>
          <w:sz w:val="24"/>
        </w:rPr>
        <w:t xml:space="preserve"> episode is intimately connected with ancient perceptions of cosmology and solar movement, as well as religious beliefs concerning the souls of the dead. </w:t>
      </w:r>
    </w:p>
    <w:p w14:paraId="01A06976" w14:textId="77777777" w:rsidR="00A25DE7" w:rsidRPr="00BF6542" w:rsidRDefault="00A25DE7" w:rsidP="00BF6542">
      <w:pPr>
        <w:spacing w:line="360" w:lineRule="auto"/>
        <w:jc w:val="both"/>
        <w:rPr>
          <w:rFonts w:ascii="Arial" w:hAnsi="Arial" w:cs="Arial"/>
          <w:sz w:val="24"/>
        </w:rPr>
      </w:pPr>
      <w:r w:rsidRPr="00BF6542">
        <w:rPr>
          <w:rFonts w:ascii="Arial" w:hAnsi="Arial" w:cs="Arial"/>
          <w:sz w:val="24"/>
        </w:rPr>
        <w:t xml:space="preserve">As described above and in the preceding chapter, the voyage of Gilgamesh is intimately connected to the cosmic path of the sun. A Hittite fragment based on an older version of the (SAV) </w:t>
      </w:r>
      <w:r w:rsidRPr="00BF6542">
        <w:rPr>
          <w:rFonts w:ascii="Arial" w:hAnsi="Arial" w:cs="Arial"/>
          <w:i/>
          <w:sz w:val="24"/>
        </w:rPr>
        <w:t xml:space="preserve">Gilgamesh </w:t>
      </w:r>
      <w:r w:rsidRPr="00BF6542">
        <w:rPr>
          <w:rFonts w:ascii="Arial" w:hAnsi="Arial" w:cs="Arial"/>
          <w:sz w:val="24"/>
        </w:rPr>
        <w:t xml:space="preserve">Epicdescribes the counsel of the gods </w:t>
      </w:r>
      <w:commentRangeStart w:id="211"/>
      <w:r w:rsidRPr="00BF6542">
        <w:rPr>
          <w:rFonts w:ascii="Arial" w:hAnsi="Arial" w:cs="Arial"/>
          <w:sz w:val="24"/>
        </w:rPr>
        <w:t xml:space="preserve">which should appear at the beginning of Tablet VII </w:t>
      </w:r>
      <w:commentRangeEnd w:id="211"/>
      <w:r>
        <w:rPr>
          <w:rStyle w:val="CommentReference"/>
        </w:rPr>
        <w:commentReference w:id="211"/>
      </w:r>
      <w:r w:rsidRPr="00BF6542">
        <w:rPr>
          <w:rFonts w:ascii="Arial" w:hAnsi="Arial" w:cs="Arial"/>
          <w:sz w:val="24"/>
        </w:rPr>
        <w:t>– where the gods decide on the fate of the heroes Gilgamesh and Enkidu after the slaughter the Bull of Heaven. Here, Enlil ‘was at wroth at celestial Shamash [the Sun]’ and rages: ‘”How like a comrade you [Shamash] marched with them [Gilgamesh and Enkidu] daily!”’ demonstrating how intimate the hero was with the sun-god.</w:t>
      </w:r>
      <w:r w:rsidRPr="00BF6542">
        <w:rPr>
          <w:rStyle w:val="FootnoteReference"/>
          <w:rFonts w:ascii="Arial" w:hAnsi="Arial" w:cs="Arial"/>
          <w:sz w:val="24"/>
        </w:rPr>
        <w:footnoteReference w:id="157"/>
      </w:r>
      <w:r w:rsidRPr="00BF6542">
        <w:rPr>
          <w:rFonts w:ascii="Arial" w:hAnsi="Arial" w:cs="Arial"/>
          <w:sz w:val="24"/>
        </w:rPr>
        <w:t xml:space="preserve"> Furthermore Gilgamesh travels through the tunnel in the mountain which ‘follows the sun’s road to his rising’ before emerging into the bright, jewelled </w:t>
      </w:r>
      <w:r w:rsidRPr="00BF6542">
        <w:rPr>
          <w:rFonts w:ascii="Arial" w:hAnsi="Arial" w:cs="Arial"/>
          <w:sz w:val="24"/>
        </w:rPr>
        <w:lastRenderedPageBreak/>
        <w:t>garden of the sun.</w:t>
      </w:r>
      <w:r w:rsidRPr="00BF6542">
        <w:rPr>
          <w:rStyle w:val="FootnoteReference"/>
          <w:rFonts w:ascii="Arial" w:hAnsi="Arial" w:cs="Arial"/>
          <w:sz w:val="24"/>
        </w:rPr>
        <w:footnoteReference w:id="158"/>
      </w:r>
      <w:r w:rsidRPr="00BF6542">
        <w:rPr>
          <w:rFonts w:ascii="Arial" w:hAnsi="Arial" w:cs="Arial"/>
          <w:sz w:val="24"/>
        </w:rPr>
        <w:t xml:space="preserve"> In other words, Gilgamesh has followed the exact path of the sun to reach the Netherworld, and his re-emergence from the Netherworld should be imagined as synonymous with the rising sun.</w:t>
      </w:r>
      <w:r w:rsidRPr="00BF6542">
        <w:rPr>
          <w:rStyle w:val="FootnoteReference"/>
          <w:rFonts w:ascii="Arial" w:hAnsi="Arial" w:cs="Arial"/>
          <w:sz w:val="24"/>
        </w:rPr>
        <w:footnoteReference w:id="159"/>
      </w:r>
      <w:r w:rsidRPr="00BF6542">
        <w:rPr>
          <w:rFonts w:ascii="Arial" w:hAnsi="Arial" w:cs="Arial"/>
          <w:sz w:val="24"/>
        </w:rPr>
        <w:t xml:space="preserve"> Similarly, in Homer’s </w:t>
      </w:r>
      <w:r w:rsidRPr="00BF6542">
        <w:rPr>
          <w:rFonts w:ascii="Arial" w:hAnsi="Arial" w:cs="Arial"/>
          <w:i/>
          <w:sz w:val="24"/>
        </w:rPr>
        <w:t>Odyssey</w:t>
      </w:r>
      <w:r w:rsidRPr="00BF6542">
        <w:rPr>
          <w:rFonts w:ascii="Arial" w:hAnsi="Arial" w:cs="Arial"/>
          <w:sz w:val="24"/>
        </w:rPr>
        <w:t>, Odysseus makes a journey into the netherworld. Like Gilgamesh, Odysseus is directed to follow the path of the sun to the end of the earth, like Gilgamesh he crosses a Stygian river, and like Gilgamesh he returns again in the east – and his return is compared to the sunrise ‘where the Daughter of Dawn has her dwellings and her dancing-floors and the Sun his uprising’</w:t>
      </w:r>
      <w:commentRangeStart w:id="212"/>
      <w:r w:rsidRPr="00BF6542">
        <w:rPr>
          <w:rFonts w:ascii="Arial" w:hAnsi="Arial" w:cs="Arial"/>
          <w:sz w:val="24"/>
        </w:rPr>
        <w:t>.</w:t>
      </w:r>
      <w:r w:rsidRPr="00BF6542">
        <w:rPr>
          <w:rStyle w:val="FootnoteReference"/>
          <w:rFonts w:ascii="Arial" w:hAnsi="Arial" w:cs="Arial"/>
          <w:sz w:val="24"/>
        </w:rPr>
        <w:footnoteReference w:id="160"/>
      </w:r>
      <w:commentRangeEnd w:id="212"/>
      <w:r>
        <w:rPr>
          <w:rStyle w:val="CommentReference"/>
        </w:rPr>
        <w:commentReference w:id="212"/>
      </w:r>
      <w:r w:rsidRPr="00BF6542">
        <w:rPr>
          <w:rFonts w:ascii="Arial" w:hAnsi="Arial" w:cs="Arial"/>
          <w:sz w:val="24"/>
        </w:rPr>
        <w:t xml:space="preserve"> An interesting narrative anomaly found within this episode of the </w:t>
      </w:r>
      <w:r w:rsidRPr="00BF6542">
        <w:rPr>
          <w:rFonts w:ascii="Arial" w:hAnsi="Arial" w:cs="Arial"/>
          <w:i/>
          <w:sz w:val="24"/>
        </w:rPr>
        <w:t xml:space="preserve">Odyssey </w:t>
      </w:r>
      <w:r w:rsidRPr="00BF6542">
        <w:rPr>
          <w:rFonts w:ascii="Arial" w:hAnsi="Arial" w:cs="Arial"/>
          <w:sz w:val="24"/>
        </w:rPr>
        <w:t xml:space="preserve">is that Odysseus leaves Circe’s island </w:t>
      </w:r>
      <w:commentRangeStart w:id="213"/>
      <w:r w:rsidRPr="00BF6542">
        <w:rPr>
          <w:rFonts w:ascii="Arial" w:hAnsi="Arial" w:cs="Arial"/>
          <w:sz w:val="24"/>
        </w:rPr>
        <w:t>Aeaea</w:t>
      </w:r>
      <w:commentRangeEnd w:id="213"/>
      <w:r>
        <w:rPr>
          <w:rStyle w:val="CommentReference"/>
        </w:rPr>
        <w:commentReference w:id="213"/>
      </w:r>
      <w:r w:rsidRPr="00BF6542">
        <w:rPr>
          <w:rFonts w:ascii="Arial" w:hAnsi="Arial" w:cs="Arial"/>
          <w:sz w:val="24"/>
        </w:rPr>
        <w:t xml:space="preserve"> in the West, journeys further west to enter the realm of the dead but returns to the same island in the East (as per the quote above). However, this narrative anomaly is explained by Gregory Nagy as being connected to the cycle of the sun: ‘in returning to the island of Circe by crossing the circular cosmic river Okeanus for the second time, the hero has come full circle, experience sunrise after having experienced </w:t>
      </w:r>
      <w:commentRangeStart w:id="214"/>
      <w:r w:rsidRPr="00BF6542">
        <w:rPr>
          <w:rFonts w:ascii="Arial" w:hAnsi="Arial" w:cs="Arial"/>
          <w:sz w:val="24"/>
        </w:rPr>
        <w:t>sunset</w:t>
      </w:r>
      <w:commentRangeEnd w:id="214"/>
      <w:r>
        <w:rPr>
          <w:rStyle w:val="CommentReference"/>
        </w:rPr>
        <w:commentReference w:id="214"/>
      </w:r>
      <w:r w:rsidRPr="00BF6542">
        <w:rPr>
          <w:rFonts w:ascii="Arial" w:hAnsi="Arial" w:cs="Arial"/>
          <w:sz w:val="24"/>
        </w:rPr>
        <w:t xml:space="preserve">’. Nagy also argues that the name Circe (Grk. </w:t>
      </w:r>
      <w:r w:rsidRPr="00BF6542">
        <w:rPr>
          <w:rFonts w:ascii="Arial" w:hAnsi="Arial" w:cs="Arial"/>
          <w:i/>
          <w:sz w:val="24"/>
        </w:rPr>
        <w:t>Κιρκη</w:t>
      </w:r>
      <w:r w:rsidRPr="00BF6542">
        <w:rPr>
          <w:rFonts w:ascii="Arial" w:hAnsi="Arial" w:cs="Arial"/>
          <w:sz w:val="24"/>
        </w:rPr>
        <w:t xml:space="preserve">) may be cognate with the form </w:t>
      </w:r>
      <w:r w:rsidRPr="00BF6542">
        <w:rPr>
          <w:rFonts w:ascii="Arial" w:hAnsi="Arial" w:cs="Arial"/>
          <w:i/>
          <w:sz w:val="24"/>
        </w:rPr>
        <w:t>κρικος</w:t>
      </w:r>
      <w:r w:rsidRPr="00BF6542">
        <w:rPr>
          <w:rFonts w:ascii="Arial" w:hAnsi="Arial" w:cs="Arial"/>
          <w:sz w:val="24"/>
        </w:rPr>
        <w:t xml:space="preserve"> – meaning ‘circle’.</w:t>
      </w:r>
      <w:r w:rsidRPr="00BF6542">
        <w:rPr>
          <w:rStyle w:val="FootnoteReference"/>
          <w:rFonts w:ascii="Arial" w:hAnsi="Arial" w:cs="Arial"/>
          <w:sz w:val="24"/>
        </w:rPr>
        <w:footnoteReference w:id="161"/>
      </w:r>
      <w:r w:rsidRPr="00BF6542">
        <w:rPr>
          <w:rFonts w:ascii="Arial" w:hAnsi="Arial" w:cs="Arial"/>
          <w:sz w:val="24"/>
        </w:rPr>
        <w:t xml:space="preserve"> This adds further weight to the argument that Odysseus’ katabasis episode is a representation of the solar cycle. Yet the fact that both of these heroes follow the path of the sun does not mean that they should be considered as directly representing the sun himself, Gilgamesh is not Shamash, nor is Odysseus Helios (see Section Three below).</w:t>
      </w:r>
    </w:p>
    <w:p w14:paraId="01FA8001" w14:textId="77777777" w:rsidR="00A25DE7" w:rsidRPr="00BF6542" w:rsidRDefault="00A25DE7" w:rsidP="00BF6542">
      <w:pPr>
        <w:spacing w:line="360" w:lineRule="auto"/>
        <w:jc w:val="both"/>
        <w:rPr>
          <w:rFonts w:ascii="Arial" w:hAnsi="Arial" w:cs="Arial"/>
          <w:sz w:val="24"/>
        </w:rPr>
      </w:pPr>
      <w:r w:rsidRPr="00BF6542">
        <w:rPr>
          <w:rFonts w:ascii="Arial" w:hAnsi="Arial" w:cs="Arial"/>
          <w:sz w:val="24"/>
        </w:rPr>
        <w:t>The Netherworld is presented as the home of the dead in various Western Asiatic and Greek-speaking traditions. In Ugaritic literature for example, one reads of such idioms as ‘to reach the sunset’ or ‘to enter the host of the sun’ used to signify death.</w:t>
      </w:r>
      <w:r w:rsidRPr="00BF6542">
        <w:rPr>
          <w:rStyle w:val="FootnoteReference"/>
          <w:rFonts w:ascii="Arial" w:hAnsi="Arial" w:cs="Arial"/>
          <w:sz w:val="24"/>
        </w:rPr>
        <w:footnoteReference w:id="162"/>
      </w:r>
      <w:r w:rsidRPr="00BF6542">
        <w:rPr>
          <w:rFonts w:ascii="Arial" w:hAnsi="Arial" w:cs="Arial"/>
          <w:sz w:val="24"/>
        </w:rPr>
        <w:t xml:space="preserve"> In Homer’s </w:t>
      </w:r>
      <w:r w:rsidRPr="00BF6542">
        <w:rPr>
          <w:rFonts w:ascii="Arial" w:hAnsi="Arial" w:cs="Arial"/>
          <w:i/>
          <w:sz w:val="24"/>
        </w:rPr>
        <w:t xml:space="preserve">Odyssey </w:t>
      </w:r>
      <w:r w:rsidRPr="00BF6542">
        <w:rPr>
          <w:rFonts w:ascii="Arial" w:hAnsi="Arial" w:cs="Arial"/>
          <w:sz w:val="24"/>
        </w:rPr>
        <w:t xml:space="preserve">the psychopomp Hermes is described as guiding the ghosts of the dead along the path of the sun to the West and into the Netherworld: </w:t>
      </w:r>
      <w:commentRangeStart w:id="215"/>
      <w:r w:rsidRPr="00BF6542">
        <w:rPr>
          <w:rFonts w:ascii="Arial" w:hAnsi="Arial" w:cs="Arial"/>
          <w:sz w:val="24"/>
        </w:rPr>
        <w:t xml:space="preserve">‘so did gracious Hermes lead them [the ghosts of the suitors] downwards along the dank path. They passed the stream of </w:t>
      </w:r>
      <w:r w:rsidRPr="00BF6542">
        <w:rPr>
          <w:rFonts w:ascii="Arial" w:hAnsi="Arial" w:cs="Arial"/>
          <w:sz w:val="24"/>
        </w:rPr>
        <w:lastRenderedPageBreak/>
        <w:t>Oceanus, the White Rock, the Gates of the Sun, and the City of Dreams, and soon came to the Field of Asphodel, where the souls, the phantoms of dead live.’</w:t>
      </w:r>
      <w:commentRangeEnd w:id="215"/>
      <w:r w:rsidR="009654D9">
        <w:rPr>
          <w:rStyle w:val="CommentReference"/>
        </w:rPr>
        <w:commentReference w:id="215"/>
      </w:r>
      <w:r w:rsidRPr="00BF6542">
        <w:rPr>
          <w:rStyle w:val="FootnoteReference"/>
          <w:rFonts w:ascii="Arial" w:hAnsi="Arial" w:cs="Arial"/>
          <w:sz w:val="24"/>
        </w:rPr>
        <w:footnoteReference w:id="163"/>
      </w:r>
      <w:r w:rsidRPr="00BF6542">
        <w:rPr>
          <w:rFonts w:ascii="Arial" w:hAnsi="Arial" w:cs="Arial"/>
          <w:sz w:val="24"/>
        </w:rPr>
        <w:t xml:space="preserve"> This connection with the suns path and the journey of the dead into the netherworld explains why Gilgamesh and Odysseus follow the path of the sun to reach the Underworld in their quests. But the fact that the two heroes successfully journeyed through the realm of the dead, and emulated the sun to do so, does not mean that they are symbolic duplications of the sun. The feat merely attests that they, as mortals, used their knowledge of the cosmos in order to complete their quests. </w:t>
      </w:r>
      <w:commentRangeStart w:id="216"/>
      <w:r w:rsidRPr="00BF6542">
        <w:rPr>
          <w:rFonts w:ascii="Arial" w:hAnsi="Arial" w:cs="Arial"/>
          <w:sz w:val="24"/>
        </w:rPr>
        <w:t xml:space="preserve">In doing so they are </w:t>
      </w:r>
      <w:r w:rsidRPr="00BF6542">
        <w:rPr>
          <w:rFonts w:ascii="Arial" w:hAnsi="Arial" w:cs="Arial"/>
          <w:i/>
          <w:sz w:val="24"/>
        </w:rPr>
        <w:t xml:space="preserve">like </w:t>
      </w:r>
      <w:r w:rsidRPr="00BF6542">
        <w:rPr>
          <w:rFonts w:ascii="Arial" w:hAnsi="Arial" w:cs="Arial"/>
          <w:sz w:val="24"/>
        </w:rPr>
        <w:t xml:space="preserve">the sun, but are not embodiments of the celestial body itself. </w:t>
      </w:r>
      <w:commentRangeEnd w:id="216"/>
      <w:r w:rsidR="009654D9">
        <w:rPr>
          <w:rStyle w:val="CommentReference"/>
        </w:rPr>
        <w:commentReference w:id="216"/>
      </w:r>
    </w:p>
    <w:p w14:paraId="020D5952" w14:textId="77777777" w:rsidR="00A25DE7" w:rsidRPr="00BF6542" w:rsidRDefault="00A25DE7" w:rsidP="00BF6542">
      <w:pPr>
        <w:spacing w:line="360" w:lineRule="auto"/>
        <w:jc w:val="both"/>
        <w:rPr>
          <w:rFonts w:ascii="Arial" w:hAnsi="Arial" w:cs="Arial"/>
          <w:sz w:val="24"/>
        </w:rPr>
      </w:pPr>
      <w:r w:rsidRPr="00BF6542">
        <w:rPr>
          <w:rFonts w:ascii="Arial" w:hAnsi="Arial" w:cs="Arial"/>
          <w:sz w:val="24"/>
        </w:rPr>
        <w:t xml:space="preserve">The significance of these parallels between the two traditions goes beyond a mere recognition of Eastern influences on the text of Homer. </w:t>
      </w:r>
      <w:commentRangeStart w:id="217"/>
      <w:r w:rsidRPr="00BF6542">
        <w:rPr>
          <w:rFonts w:ascii="Arial" w:hAnsi="Arial" w:cs="Arial"/>
          <w:sz w:val="24"/>
        </w:rPr>
        <w:t>It signifies an Eastern influence, or indeed an Eastern origin of specific religious cosmological beliefs of the ancient Greeks</w:t>
      </w:r>
      <w:commentRangeEnd w:id="217"/>
      <w:r w:rsidR="009654D9">
        <w:rPr>
          <w:rStyle w:val="CommentReference"/>
        </w:rPr>
        <w:commentReference w:id="217"/>
      </w:r>
      <w:r w:rsidRPr="00BF6542">
        <w:rPr>
          <w:rFonts w:ascii="Arial" w:hAnsi="Arial" w:cs="Arial"/>
          <w:sz w:val="24"/>
        </w:rPr>
        <w:t xml:space="preserve">. It is significant that this astronomical knowledge was worthy of being transmitted in the texts of Homer, whether for scientific or religious reasons – astronomy formed a central part of the cultures of both nations.    </w:t>
      </w:r>
    </w:p>
    <w:p w14:paraId="55284B2E" w14:textId="77777777" w:rsidR="00A25DE7" w:rsidRPr="00745BDD" w:rsidRDefault="00A25DE7" w:rsidP="00954335">
      <w:pPr>
        <w:jc w:val="center"/>
        <w:rPr>
          <w:rFonts w:ascii="Arial" w:hAnsi="Arial" w:cs="Arial"/>
          <w:caps/>
        </w:rPr>
      </w:pPr>
      <w:r w:rsidRPr="00745BDD">
        <w:rPr>
          <w:rFonts w:ascii="Arial" w:hAnsi="Arial" w:cs="Arial"/>
          <w:caps/>
        </w:rPr>
        <w:t>*</w:t>
      </w:r>
    </w:p>
    <w:p w14:paraId="05D9119B" w14:textId="77777777" w:rsidR="00A25DE7" w:rsidRPr="00BF6542" w:rsidRDefault="00A25DE7" w:rsidP="00954335">
      <w:pPr>
        <w:jc w:val="both"/>
        <w:rPr>
          <w:rFonts w:ascii="Arial" w:hAnsi="Arial" w:cs="Arial"/>
          <w:b/>
          <w:i/>
          <w:sz w:val="24"/>
        </w:rPr>
      </w:pPr>
      <w:r w:rsidRPr="00BF6542">
        <w:rPr>
          <w:rFonts w:ascii="Arial" w:hAnsi="Arial" w:cs="Arial"/>
          <w:b/>
          <w:i/>
          <w:sz w:val="24"/>
        </w:rPr>
        <w:t>Section Three: Character study – Solar Gods and Mythic Heroes</w:t>
      </w:r>
    </w:p>
    <w:p w14:paraId="73852545" w14:textId="77777777" w:rsidR="00A25DE7" w:rsidRPr="00BF6542" w:rsidRDefault="00A25DE7" w:rsidP="00954335">
      <w:pPr>
        <w:pStyle w:val="ListParagraph"/>
        <w:numPr>
          <w:ilvl w:val="1"/>
          <w:numId w:val="41"/>
          <w:numberingChange w:id="218" w:author="Dorian" w:date="2015-11-20T19:28:00Z" w:original="%2:1:4:."/>
        </w:numPr>
        <w:jc w:val="both"/>
        <w:rPr>
          <w:rFonts w:ascii="Arial" w:hAnsi="Arial" w:cs="Arial"/>
          <w:b/>
          <w:i/>
          <w:sz w:val="24"/>
        </w:rPr>
      </w:pPr>
      <w:r w:rsidRPr="00BF6542">
        <w:rPr>
          <w:rFonts w:ascii="Arial" w:hAnsi="Arial" w:cs="Arial"/>
          <w:b/>
          <w:i/>
          <w:sz w:val="24"/>
        </w:rPr>
        <w:t>Odysseus and the sun</w:t>
      </w:r>
    </w:p>
    <w:p w14:paraId="55F3D096" w14:textId="77777777" w:rsidR="00A25DE7" w:rsidRPr="00BF6542" w:rsidRDefault="00A25DE7" w:rsidP="00BF6542">
      <w:pPr>
        <w:spacing w:line="360" w:lineRule="auto"/>
        <w:jc w:val="both"/>
        <w:rPr>
          <w:rFonts w:ascii="Arial" w:hAnsi="Arial" w:cs="Arial"/>
          <w:sz w:val="24"/>
        </w:rPr>
      </w:pPr>
      <w:r w:rsidRPr="00BF6542">
        <w:rPr>
          <w:rFonts w:ascii="Arial" w:hAnsi="Arial" w:cs="Arial"/>
          <w:sz w:val="24"/>
        </w:rPr>
        <w:t xml:space="preserve">The notion that </w:t>
      </w:r>
      <w:commentRangeStart w:id="219"/>
      <w:r w:rsidRPr="00BF6542">
        <w:rPr>
          <w:rFonts w:ascii="Arial" w:hAnsi="Arial" w:cs="Arial"/>
          <w:sz w:val="24"/>
        </w:rPr>
        <w:t xml:space="preserve">Odysseus was a personification of the sun began as early as 1812, with </w:t>
      </w:r>
      <w:commentRangeEnd w:id="219"/>
      <w:r w:rsidR="009654D9">
        <w:rPr>
          <w:rStyle w:val="CommentReference"/>
        </w:rPr>
        <w:commentReference w:id="219"/>
      </w:r>
      <w:r w:rsidRPr="00BF6542">
        <w:rPr>
          <w:rFonts w:ascii="Arial" w:hAnsi="Arial" w:cs="Arial"/>
          <w:sz w:val="24"/>
        </w:rPr>
        <w:t>the work of Georg Creuzer,</w:t>
      </w:r>
      <w:r w:rsidRPr="00BF6542">
        <w:rPr>
          <w:rStyle w:val="FootnoteReference"/>
          <w:rFonts w:ascii="Arial" w:hAnsi="Arial" w:cs="Arial"/>
          <w:sz w:val="24"/>
        </w:rPr>
        <w:footnoteReference w:id="164"/>
      </w:r>
      <w:r w:rsidRPr="00BF6542">
        <w:rPr>
          <w:rFonts w:ascii="Arial" w:hAnsi="Arial" w:cs="Arial"/>
          <w:sz w:val="24"/>
        </w:rPr>
        <w:t xml:space="preserve"> and was further argued by Gilbert Murray in </w:t>
      </w:r>
      <w:r w:rsidRPr="00BF6542">
        <w:rPr>
          <w:rFonts w:ascii="Arial" w:hAnsi="Arial" w:cs="Arial"/>
          <w:i/>
          <w:sz w:val="24"/>
        </w:rPr>
        <w:t>The Rise of the Greek Epic</w:t>
      </w:r>
      <w:r w:rsidRPr="00BF6542">
        <w:rPr>
          <w:rFonts w:ascii="Arial" w:hAnsi="Arial" w:cs="Arial"/>
          <w:sz w:val="24"/>
        </w:rPr>
        <w:t xml:space="preserve"> where he stated: </w:t>
      </w:r>
      <w:commentRangeStart w:id="220"/>
      <w:r w:rsidRPr="00BF6542">
        <w:rPr>
          <w:rFonts w:ascii="Arial" w:hAnsi="Arial" w:cs="Arial"/>
          <w:sz w:val="24"/>
        </w:rPr>
        <w:t>‘can we any longer neglect the other solar characteristics that seem to cling about Odysseus: that the Sun is his rival and enemy</w:t>
      </w:r>
      <w:commentRangeEnd w:id="220"/>
      <w:r>
        <w:rPr>
          <w:rStyle w:val="CommentReference"/>
        </w:rPr>
        <w:commentReference w:id="220"/>
      </w:r>
      <w:r w:rsidRPr="00BF6542">
        <w:rPr>
          <w:rFonts w:ascii="Arial" w:hAnsi="Arial" w:cs="Arial"/>
          <w:sz w:val="24"/>
        </w:rPr>
        <w:t xml:space="preserve">; that he goes under the world in the West, visits the realm of the dead and comes up in the extreme East, “where the Daughter of Dawn has her dwellings and her dancing-floors and the Sun his uprising” [XII.1-5]; that he is brought back home asleep, in a magic boat, like the Sun in Mimnermus, by Phaiakes who do even the furthest journeys in twenty-four </w:t>
      </w:r>
      <w:r w:rsidRPr="00BF6542">
        <w:rPr>
          <w:rFonts w:ascii="Arial" w:hAnsi="Arial" w:cs="Arial"/>
          <w:sz w:val="24"/>
        </w:rPr>
        <w:lastRenderedPageBreak/>
        <w:t>hours; that he lives in an island in the sea, “low-lying, apart from others, furthest of all towards the sunset” [IX.25-30], a description that cannot be twisted so as to suit Ithaca; that he is a Far-darter of arrows; that his death comes to him out of the sea; and that, like most Year-kings, he is doomed to be slain by his son?’</w:t>
      </w:r>
      <w:r w:rsidRPr="00BF6542">
        <w:rPr>
          <w:rStyle w:val="FootnoteReference"/>
          <w:rFonts w:ascii="Arial" w:hAnsi="Arial" w:cs="Arial"/>
          <w:sz w:val="24"/>
        </w:rPr>
        <w:footnoteReference w:id="165"/>
      </w:r>
      <w:r w:rsidRPr="00BF6542">
        <w:rPr>
          <w:rFonts w:ascii="Arial" w:hAnsi="Arial" w:cs="Arial"/>
          <w:sz w:val="24"/>
        </w:rPr>
        <w:t xml:space="preserve"> Though it may have subsequently been dismissed as Pan-Babylonian fancy, the notion that Odysseus may in some way or on some level represent the sun should be revised in light of the preceding evidence of this thesis which has demonstrated the presence of astral content within the Homeric epic. </w:t>
      </w:r>
    </w:p>
    <w:p w14:paraId="0595E289" w14:textId="77777777" w:rsidR="00A25DE7" w:rsidRPr="00BF6542" w:rsidRDefault="00A25DE7" w:rsidP="00BF6542">
      <w:pPr>
        <w:spacing w:line="360" w:lineRule="auto"/>
        <w:jc w:val="both"/>
        <w:rPr>
          <w:rFonts w:ascii="Arial" w:hAnsi="Arial" w:cs="Arial"/>
          <w:sz w:val="24"/>
        </w:rPr>
      </w:pPr>
      <w:r w:rsidRPr="00BF6542">
        <w:rPr>
          <w:rFonts w:ascii="Arial" w:hAnsi="Arial" w:cs="Arial"/>
          <w:sz w:val="24"/>
        </w:rPr>
        <w:t xml:space="preserve">The first point of call is to examine descriptions and epithets associated with the character in order to ascertain whether or not he is associated with any celestial body, or specifically the sun. Indeed, the first word of the second line of the </w:t>
      </w:r>
      <w:commentRangeStart w:id="221"/>
      <w:r w:rsidRPr="00BF6542">
        <w:rPr>
          <w:rFonts w:ascii="Arial" w:hAnsi="Arial" w:cs="Arial"/>
          <w:i/>
          <w:sz w:val="24"/>
        </w:rPr>
        <w:t xml:space="preserve">Odyssey </w:t>
      </w:r>
      <w:r w:rsidRPr="00BF6542">
        <w:rPr>
          <w:rFonts w:ascii="Arial" w:hAnsi="Arial" w:cs="Arial"/>
          <w:sz w:val="24"/>
        </w:rPr>
        <w:t xml:space="preserve">is </w:t>
      </w:r>
      <w:r w:rsidRPr="00BF6542">
        <w:rPr>
          <w:rFonts w:ascii="Arial" w:hAnsi="Arial" w:cs="Arial"/>
          <w:i/>
          <w:sz w:val="24"/>
        </w:rPr>
        <w:t>πλαγχθη</w:t>
      </w:r>
      <w:r w:rsidRPr="00BF6542">
        <w:rPr>
          <w:rFonts w:ascii="Arial" w:hAnsi="Arial" w:cs="Arial"/>
          <w:sz w:val="24"/>
        </w:rPr>
        <w:t>– ‘veered’, ‘wandered’ – a word which is borrowed into English as ‘planet’. Odysseus is ‘the wandering one’ or ‘the one that doesn’t stay in one place’, ‘the one that zigs and zags’ as far as ancient views of astronomy would have it.</w:t>
      </w:r>
      <w:commentRangeEnd w:id="221"/>
      <w:r>
        <w:rPr>
          <w:rStyle w:val="CommentReference"/>
        </w:rPr>
        <w:commentReference w:id="221"/>
      </w:r>
      <w:r w:rsidRPr="00BF6542">
        <w:rPr>
          <w:rStyle w:val="FootnoteReference"/>
          <w:rFonts w:ascii="Arial" w:hAnsi="Arial" w:cs="Arial"/>
          <w:sz w:val="24"/>
        </w:rPr>
        <w:footnoteReference w:id="166"/>
      </w:r>
      <w:r w:rsidRPr="00BF6542">
        <w:rPr>
          <w:rFonts w:ascii="Arial" w:hAnsi="Arial" w:cs="Arial"/>
          <w:sz w:val="24"/>
        </w:rPr>
        <w:t xml:space="preserve"> Yet this is not Odysseus’ only celestial connection. In </w:t>
      </w:r>
      <w:r w:rsidRPr="00BF6542">
        <w:rPr>
          <w:rFonts w:ascii="Arial" w:hAnsi="Arial" w:cs="Arial"/>
          <w:i/>
          <w:sz w:val="24"/>
        </w:rPr>
        <w:t xml:space="preserve">Odyssey </w:t>
      </w:r>
      <w:r w:rsidRPr="00BF6542">
        <w:rPr>
          <w:rFonts w:ascii="Arial" w:hAnsi="Arial" w:cs="Arial"/>
          <w:sz w:val="24"/>
        </w:rPr>
        <w:t xml:space="preserve">XIX.234-235 a simile is employed which compares Odysseus’ clothing to the sun: ‘And I noted the tunic about his body, all shining as is the sheen upon the / skin of a dried onion, so soft it was; and it glistened like the sun’ thus evoking a comparison between the hero and the solar light. Finally, Odysseus’ peculiar and much translated epithet could also be indicative of his solar nature. Just as he ‘wanders’ like the planets; Odysseus is also described in very first line of the </w:t>
      </w:r>
      <w:r w:rsidRPr="00BF6542">
        <w:rPr>
          <w:rFonts w:ascii="Arial" w:hAnsi="Arial" w:cs="Arial"/>
          <w:i/>
          <w:sz w:val="24"/>
        </w:rPr>
        <w:t xml:space="preserve">Odyssey </w:t>
      </w:r>
      <w:r w:rsidRPr="00BF6542">
        <w:rPr>
          <w:rFonts w:ascii="Arial" w:hAnsi="Arial" w:cs="Arial"/>
          <w:sz w:val="24"/>
        </w:rPr>
        <w:t xml:space="preserve">as </w:t>
      </w:r>
      <w:r w:rsidRPr="00BF6542">
        <w:rPr>
          <w:rFonts w:ascii="Arial" w:hAnsi="Arial" w:cs="Arial"/>
          <w:i/>
          <w:sz w:val="24"/>
        </w:rPr>
        <w:t xml:space="preserve">πολυτροπον </w:t>
      </w:r>
      <w:r w:rsidRPr="00BF6542">
        <w:rPr>
          <w:rFonts w:ascii="Arial" w:hAnsi="Arial" w:cs="Arial"/>
          <w:sz w:val="24"/>
        </w:rPr>
        <w:t>which has been variously translated as: ‘of many devices’, ‘resourceful’, ‘of many ways’, and much more.</w:t>
      </w:r>
      <w:r w:rsidRPr="00BF6542">
        <w:rPr>
          <w:rStyle w:val="FootnoteReference"/>
          <w:rFonts w:ascii="Arial" w:hAnsi="Arial" w:cs="Arial"/>
          <w:sz w:val="24"/>
        </w:rPr>
        <w:footnoteReference w:id="167"/>
      </w:r>
      <w:r w:rsidRPr="00BF6542">
        <w:rPr>
          <w:rFonts w:ascii="Arial" w:hAnsi="Arial" w:cs="Arial"/>
          <w:sz w:val="24"/>
        </w:rPr>
        <w:t xml:space="preserve"> However, if the word is translated literally it gives us ‘much-turned’. Liddell and Scott associate the word </w:t>
      </w:r>
      <w:r w:rsidRPr="00BF6542">
        <w:rPr>
          <w:rFonts w:ascii="Arial" w:hAnsi="Arial" w:cs="Arial"/>
          <w:i/>
          <w:sz w:val="24"/>
        </w:rPr>
        <w:t>tropai</w:t>
      </w:r>
      <w:r w:rsidRPr="00BF6542">
        <w:rPr>
          <w:rFonts w:ascii="Arial" w:hAnsi="Arial" w:cs="Arial"/>
          <w:sz w:val="24"/>
        </w:rPr>
        <w:t xml:space="preserve"> (</w:t>
      </w:r>
      <w:r w:rsidRPr="00BF6542">
        <w:rPr>
          <w:rFonts w:ascii="Arial" w:hAnsi="Arial" w:cs="Arial"/>
          <w:i/>
          <w:sz w:val="24"/>
        </w:rPr>
        <w:t>τροπη</w:t>
      </w:r>
      <w:r w:rsidRPr="00BF6542">
        <w:rPr>
          <w:rFonts w:ascii="Arial" w:hAnsi="Arial" w:cs="Arial"/>
          <w:sz w:val="24"/>
        </w:rPr>
        <w:t>) primarily with the point on the horizon where the sun sets or rises, or other solar phenomena such as the solstices (or equinoxes) which is the manner that both Homer and Hesiod otherwise use the term.</w:t>
      </w:r>
      <w:r w:rsidRPr="00BF6542">
        <w:rPr>
          <w:rStyle w:val="FootnoteReference"/>
          <w:rFonts w:ascii="Arial" w:hAnsi="Arial" w:cs="Arial"/>
          <w:sz w:val="24"/>
        </w:rPr>
        <w:footnoteReference w:id="168"/>
      </w:r>
      <w:r w:rsidRPr="00BF6542">
        <w:rPr>
          <w:rFonts w:ascii="Arial" w:hAnsi="Arial" w:cs="Arial"/>
          <w:sz w:val="24"/>
        </w:rPr>
        <w:t xml:space="preserve"> This connection with </w:t>
      </w:r>
      <w:r w:rsidRPr="00BF6542">
        <w:rPr>
          <w:rFonts w:ascii="Arial" w:hAnsi="Arial" w:cs="Arial"/>
          <w:i/>
          <w:sz w:val="24"/>
        </w:rPr>
        <w:t>tropai</w:t>
      </w:r>
      <w:r w:rsidRPr="00BF6542">
        <w:rPr>
          <w:rFonts w:ascii="Arial" w:hAnsi="Arial" w:cs="Arial"/>
          <w:sz w:val="24"/>
        </w:rPr>
        <w:t xml:space="preserve">and solar movement </w:t>
      </w:r>
      <w:r w:rsidRPr="00BF6542">
        <w:rPr>
          <w:rFonts w:ascii="Arial" w:hAnsi="Arial" w:cs="Arial"/>
          <w:sz w:val="24"/>
        </w:rPr>
        <w:lastRenderedPageBreak/>
        <w:t xml:space="preserve">(specifically calendrical ones such as the marking of days and the solstices) therefore leads to an interpretation of Odysseus </w:t>
      </w:r>
      <w:r w:rsidRPr="00BF6542">
        <w:rPr>
          <w:rFonts w:ascii="Arial" w:hAnsi="Arial" w:cs="Arial"/>
          <w:i/>
          <w:sz w:val="24"/>
        </w:rPr>
        <w:t xml:space="preserve">πολυτροπον </w:t>
      </w:r>
      <w:r w:rsidRPr="00BF6542">
        <w:rPr>
          <w:rFonts w:ascii="Arial" w:hAnsi="Arial" w:cs="Arial"/>
          <w:sz w:val="24"/>
        </w:rPr>
        <w:t xml:space="preserve">as ‘much-turning (like the sun)’. Such a translation is far more faithful to the original epithet than the interpretive ‘resourceful’ or ‘of many devices’ – a translation which would derive from </w:t>
      </w:r>
      <w:r w:rsidRPr="00BF6542">
        <w:rPr>
          <w:rFonts w:ascii="Arial" w:hAnsi="Arial" w:cs="Arial"/>
          <w:i/>
          <w:sz w:val="24"/>
        </w:rPr>
        <w:t>τεχνη</w:t>
      </w:r>
      <w:r w:rsidRPr="00BF6542">
        <w:rPr>
          <w:rFonts w:ascii="Arial" w:hAnsi="Arial" w:cs="Arial"/>
          <w:sz w:val="24"/>
        </w:rPr>
        <w:t xml:space="preserve">, not </w:t>
      </w:r>
      <w:commentRangeStart w:id="222"/>
      <w:r w:rsidRPr="00BF6542">
        <w:rPr>
          <w:rFonts w:ascii="Arial" w:hAnsi="Arial" w:cs="Arial"/>
          <w:i/>
          <w:sz w:val="24"/>
        </w:rPr>
        <w:t>τροπη</w:t>
      </w:r>
      <w:commentRangeEnd w:id="222"/>
      <w:r>
        <w:rPr>
          <w:rStyle w:val="CommentReference"/>
        </w:rPr>
        <w:commentReference w:id="222"/>
      </w:r>
      <w:r w:rsidRPr="00BF6542">
        <w:rPr>
          <w:rFonts w:ascii="Arial" w:hAnsi="Arial" w:cs="Arial"/>
          <w:sz w:val="24"/>
        </w:rPr>
        <w:t>.</w:t>
      </w:r>
    </w:p>
    <w:p w14:paraId="622065A7" w14:textId="77777777" w:rsidR="00A25DE7" w:rsidRPr="00BF6542" w:rsidRDefault="00A25DE7" w:rsidP="00BF6542">
      <w:pPr>
        <w:spacing w:line="360" w:lineRule="auto"/>
        <w:jc w:val="both"/>
        <w:rPr>
          <w:rFonts w:ascii="Arial" w:hAnsi="Arial" w:cs="Arial"/>
          <w:sz w:val="24"/>
        </w:rPr>
      </w:pPr>
      <w:r w:rsidRPr="00BF6542">
        <w:rPr>
          <w:rFonts w:ascii="Arial" w:hAnsi="Arial" w:cs="Arial"/>
          <w:sz w:val="24"/>
        </w:rPr>
        <w:t xml:space="preserve">The notion of a ‘solar-Odysseus’ also shares motifs with the Mesopotamian literary culture. The Mesopotamian god Shamash (like the Egyptian Atum-Ra) is typified as sailing in a boat, just as Odysseus, and indeed Gilgamesh, are among the most nautical heroes in mythology (excepting perhaps Jason). A second common motif is the circular imagery associated with the sun which represents both its shape, and its course. The most familiar example is perhaps the Egyptian </w:t>
      </w:r>
      <w:commentRangeStart w:id="223"/>
      <w:commentRangeStart w:id="224"/>
      <w:r w:rsidRPr="00BF6542">
        <w:rPr>
          <w:rFonts w:ascii="Arial" w:hAnsi="Arial" w:cs="Arial"/>
          <w:sz w:val="24"/>
        </w:rPr>
        <w:t>ouraboros</w:t>
      </w:r>
      <w:commentRangeEnd w:id="223"/>
      <w:r>
        <w:rPr>
          <w:rStyle w:val="CommentReference"/>
        </w:rPr>
        <w:commentReference w:id="223"/>
      </w:r>
      <w:commentRangeEnd w:id="224"/>
      <w:r>
        <w:rPr>
          <w:rStyle w:val="CommentReference"/>
        </w:rPr>
        <w:commentReference w:id="224"/>
      </w:r>
      <w:r w:rsidRPr="00BF6542">
        <w:rPr>
          <w:rFonts w:ascii="Arial" w:hAnsi="Arial" w:cs="Arial"/>
          <w:sz w:val="24"/>
        </w:rPr>
        <w:t xml:space="preserve">. Yet Mesopotamian cosmology also features a circular path of the sun, as depicted in a cosmic map drawn </w:t>
      </w:r>
      <w:r w:rsidRPr="00BF6542">
        <w:rPr>
          <w:rFonts w:ascii="Arial" w:hAnsi="Arial" w:cs="Arial"/>
          <w:i/>
          <w:sz w:val="24"/>
        </w:rPr>
        <w:t>c.</w:t>
      </w:r>
      <w:r w:rsidRPr="00BF6542">
        <w:rPr>
          <w:rFonts w:ascii="Arial" w:hAnsi="Arial" w:cs="Arial"/>
          <w:sz w:val="24"/>
        </w:rPr>
        <w:t>7</w:t>
      </w:r>
      <w:r w:rsidRPr="00BF6542">
        <w:rPr>
          <w:rFonts w:ascii="Arial" w:hAnsi="Arial" w:cs="Arial"/>
          <w:sz w:val="24"/>
          <w:vertAlign w:val="superscript"/>
        </w:rPr>
        <w:t>th</w:t>
      </w:r>
      <w:r w:rsidRPr="00BF6542">
        <w:rPr>
          <w:rFonts w:ascii="Arial" w:hAnsi="Arial" w:cs="Arial"/>
          <w:sz w:val="24"/>
        </w:rPr>
        <w:t xml:space="preserve"> century BCE. As already demonstrated in Section One above, the Babylonian cosmos is also surrounded by a primeval river, as it is in the Greek tradition. The circular path of the sun is often divided horizontally in half, so that the lower half represents the hours of night, and the upper half representing the sky – or hours of daylight. We have seen that this imagery is evoked by the voyage of Gilgamesh who follows the path of the sun until the end of the earth, then crosses over a river into the netherworld,</w:t>
      </w:r>
      <w:r w:rsidRPr="00BF6542">
        <w:rPr>
          <w:rStyle w:val="FootnoteReference"/>
          <w:rFonts w:ascii="Arial" w:hAnsi="Arial" w:cs="Arial"/>
          <w:sz w:val="24"/>
        </w:rPr>
        <w:footnoteReference w:id="169"/>
      </w:r>
      <w:r w:rsidRPr="00BF6542">
        <w:rPr>
          <w:rFonts w:ascii="Arial" w:hAnsi="Arial" w:cs="Arial"/>
          <w:sz w:val="24"/>
        </w:rPr>
        <w:t xml:space="preserve"> and is similarly evoked by the adventures of Odysseus. Finally, there are at least three incidents in the </w:t>
      </w:r>
      <w:r w:rsidRPr="00BF6542">
        <w:rPr>
          <w:rFonts w:ascii="Arial" w:hAnsi="Arial" w:cs="Arial"/>
          <w:i/>
          <w:sz w:val="24"/>
        </w:rPr>
        <w:t>Odyssey</w:t>
      </w:r>
      <w:r w:rsidRPr="00BF6542">
        <w:rPr>
          <w:rFonts w:ascii="Arial" w:hAnsi="Arial" w:cs="Arial"/>
          <w:sz w:val="24"/>
        </w:rPr>
        <w:t xml:space="preserve"> where Odysseus’ behaviour is associated with the sun or solar powers. The most famous example is the Archery Contest in Rhapsode XXI where Odysseus takes up his bow (an image </w:t>
      </w:r>
      <w:commentRangeStart w:id="225"/>
      <w:r w:rsidRPr="00BF6542">
        <w:rPr>
          <w:rFonts w:ascii="Arial" w:hAnsi="Arial" w:cs="Arial"/>
          <w:sz w:val="24"/>
        </w:rPr>
        <w:t>directly likened to Apollo the sun-god</w:t>
      </w:r>
      <w:commentRangeEnd w:id="225"/>
      <w:r>
        <w:rPr>
          <w:rStyle w:val="CommentReference"/>
        </w:rPr>
        <w:commentReference w:id="225"/>
      </w:r>
      <w:r w:rsidRPr="00BF6542">
        <w:rPr>
          <w:rFonts w:ascii="Arial" w:hAnsi="Arial" w:cs="Arial"/>
          <w:sz w:val="24"/>
        </w:rPr>
        <w:t xml:space="preserve">) and fires a bronze tipped arrow through twelve axe heads – evocative of the path of the sun through the twelve months or </w:t>
      </w:r>
      <w:commentRangeStart w:id="226"/>
      <w:r w:rsidRPr="00BF6542">
        <w:rPr>
          <w:rFonts w:ascii="Arial" w:hAnsi="Arial" w:cs="Arial"/>
          <w:sz w:val="24"/>
        </w:rPr>
        <w:t xml:space="preserve">zodiac constellations. </w:t>
      </w:r>
      <w:commentRangeEnd w:id="226"/>
      <w:r w:rsidR="005F1B58">
        <w:rPr>
          <w:rStyle w:val="CommentReference"/>
        </w:rPr>
        <w:commentReference w:id="226"/>
      </w:r>
      <w:r w:rsidRPr="00BF6542">
        <w:rPr>
          <w:rFonts w:ascii="Arial" w:hAnsi="Arial" w:cs="Arial"/>
          <w:sz w:val="24"/>
        </w:rPr>
        <w:t>However, there is also another incident in Rhapsode XII. Here, Odysseus appears to work in conjunction with the Sun in order to melt the wax he requires to clog the ears of his companions in order to save them from hearing the deadly Siren-song:</w:t>
      </w:r>
      <w:r w:rsidRPr="00BF6542">
        <w:rPr>
          <w:rStyle w:val="FootnoteReference"/>
          <w:rFonts w:ascii="Arial" w:hAnsi="Arial" w:cs="Arial"/>
          <w:sz w:val="24"/>
        </w:rPr>
        <w:footnoteReference w:id="170"/>
      </w:r>
    </w:p>
    <w:p w14:paraId="0FE8A73D" w14:textId="77777777" w:rsidR="00A25DE7" w:rsidRDefault="00A25DE7" w:rsidP="00954335">
      <w:pPr>
        <w:spacing w:line="240" w:lineRule="auto"/>
        <w:contextualSpacing/>
        <w:jc w:val="center"/>
        <w:rPr>
          <w:rFonts w:ascii="Arial" w:hAnsi="Arial" w:cs="Arial"/>
        </w:rPr>
      </w:pPr>
    </w:p>
    <w:p w14:paraId="6B649464" w14:textId="77777777" w:rsidR="00A25DE7" w:rsidRPr="00745BDD" w:rsidRDefault="00A25DE7" w:rsidP="00954335">
      <w:pPr>
        <w:spacing w:line="240" w:lineRule="auto"/>
        <w:contextualSpacing/>
        <w:jc w:val="center"/>
        <w:rPr>
          <w:rFonts w:ascii="Arial" w:hAnsi="Arial" w:cs="Arial"/>
        </w:rPr>
      </w:pPr>
      <w:r w:rsidRPr="00745BDD">
        <w:rPr>
          <w:rFonts w:ascii="Arial" w:hAnsi="Arial" w:cs="Arial"/>
        </w:rPr>
        <w:lastRenderedPageBreak/>
        <w:t>‘Then I, taking a great wheel of wax, with the sharp bronze</w:t>
      </w:r>
    </w:p>
    <w:p w14:paraId="0C9DBA3D" w14:textId="77777777" w:rsidR="00A25DE7" w:rsidRPr="00745BDD" w:rsidRDefault="00A25DE7" w:rsidP="00954335">
      <w:pPr>
        <w:spacing w:line="240" w:lineRule="auto"/>
        <w:contextualSpacing/>
        <w:jc w:val="center"/>
        <w:rPr>
          <w:rFonts w:ascii="Arial" w:hAnsi="Arial" w:cs="Arial"/>
        </w:rPr>
      </w:pPr>
      <w:r w:rsidRPr="00745BDD">
        <w:rPr>
          <w:rFonts w:ascii="Arial" w:hAnsi="Arial" w:cs="Arial"/>
        </w:rPr>
        <w:t>cut a little piece off, and rubbed it together in my heavy</w:t>
      </w:r>
    </w:p>
    <w:p w14:paraId="19FE7E05" w14:textId="77777777" w:rsidR="00A25DE7" w:rsidRPr="00745BDD" w:rsidRDefault="00A25DE7" w:rsidP="00954335">
      <w:pPr>
        <w:spacing w:line="240" w:lineRule="auto"/>
        <w:contextualSpacing/>
        <w:jc w:val="center"/>
        <w:rPr>
          <w:rFonts w:ascii="Arial" w:hAnsi="Arial" w:cs="Arial"/>
        </w:rPr>
      </w:pPr>
      <w:r w:rsidRPr="00745BDD">
        <w:rPr>
          <w:rFonts w:ascii="Arial" w:hAnsi="Arial" w:cs="Arial"/>
        </w:rPr>
        <w:t>hands, and soon the wax grew softer, under the powerful stress</w:t>
      </w:r>
    </w:p>
    <w:p w14:paraId="533540B6" w14:textId="77777777" w:rsidR="00A25DE7" w:rsidRPr="00745BDD" w:rsidRDefault="00A25DE7" w:rsidP="00954335">
      <w:pPr>
        <w:spacing w:line="240" w:lineRule="auto"/>
        <w:contextualSpacing/>
        <w:jc w:val="center"/>
        <w:rPr>
          <w:rFonts w:ascii="Arial" w:hAnsi="Arial" w:cs="Arial"/>
        </w:rPr>
      </w:pPr>
      <w:r w:rsidRPr="00745BDD">
        <w:rPr>
          <w:rFonts w:ascii="Arial" w:hAnsi="Arial" w:cs="Arial"/>
        </w:rPr>
        <w:t>of the sun, and the heat and light of Hyperion’s lordling.’</w:t>
      </w:r>
    </w:p>
    <w:p w14:paraId="3D00571D" w14:textId="77777777" w:rsidR="00A25DE7" w:rsidRPr="00745BDD" w:rsidRDefault="00A25DE7" w:rsidP="00954335">
      <w:pPr>
        <w:spacing w:line="240" w:lineRule="auto"/>
        <w:contextualSpacing/>
        <w:jc w:val="center"/>
        <w:rPr>
          <w:rFonts w:ascii="Arial" w:hAnsi="Arial" w:cs="Arial"/>
        </w:rPr>
      </w:pPr>
    </w:p>
    <w:p w14:paraId="511ADAEF" w14:textId="77777777" w:rsidR="00A25DE7" w:rsidRPr="00BF6542" w:rsidRDefault="00A25DE7" w:rsidP="00BF6542">
      <w:pPr>
        <w:spacing w:line="360" w:lineRule="auto"/>
        <w:contextualSpacing/>
        <w:jc w:val="both"/>
        <w:rPr>
          <w:rFonts w:ascii="Arial" w:hAnsi="Arial" w:cs="Arial"/>
          <w:sz w:val="24"/>
        </w:rPr>
      </w:pPr>
      <w:r w:rsidRPr="00BF6542">
        <w:rPr>
          <w:rFonts w:ascii="Arial" w:hAnsi="Arial" w:cs="Arial"/>
          <w:sz w:val="24"/>
        </w:rPr>
        <w:t xml:space="preserve">Here, in Lattimore’s translation the wax grows softer ‘under the powerful stress of the sun </w:t>
      </w:r>
      <w:r w:rsidRPr="00BF6542">
        <w:rPr>
          <w:rFonts w:ascii="Arial" w:hAnsi="Arial" w:cs="Arial"/>
          <w:i/>
          <w:sz w:val="24"/>
        </w:rPr>
        <w:t xml:space="preserve">and </w:t>
      </w:r>
      <w:r w:rsidRPr="00BF6542">
        <w:rPr>
          <w:rFonts w:ascii="Arial" w:hAnsi="Arial" w:cs="Arial"/>
          <w:sz w:val="24"/>
        </w:rPr>
        <w:t xml:space="preserve">the heat and light of Hyperion’s lordling [the Sun]’. Why this dual reference to the sun? Are we to connect the ‘powerful stress’ of the sun with Odysseus’ own ‘heavy hands’, whilst the heat and light of the real sun (Hyperion) also helps to soften the wax? If so, then this passage may well be one of the most direct references to Odysseus resembling, or in some way possessing </w:t>
      </w:r>
      <w:commentRangeStart w:id="227"/>
      <w:r w:rsidRPr="00BF6542">
        <w:rPr>
          <w:rFonts w:ascii="Arial" w:hAnsi="Arial" w:cs="Arial"/>
          <w:sz w:val="24"/>
        </w:rPr>
        <w:t xml:space="preserve">solar qualities. </w:t>
      </w:r>
      <w:commentRangeEnd w:id="227"/>
      <w:r w:rsidR="005F1B58">
        <w:rPr>
          <w:rStyle w:val="CommentReference"/>
        </w:rPr>
        <w:commentReference w:id="227"/>
      </w:r>
      <w:r w:rsidRPr="00BF6542">
        <w:rPr>
          <w:rFonts w:ascii="Arial" w:hAnsi="Arial" w:cs="Arial"/>
          <w:sz w:val="24"/>
        </w:rPr>
        <w:t>Admittedly, this peculiar translation may just be an anomaly or error on Lattimore’s part. Yet in the Greek the conjunction ‘</w:t>
      </w:r>
      <w:r w:rsidRPr="00BF6542">
        <w:rPr>
          <w:rFonts w:ascii="Arial" w:hAnsi="Arial" w:cs="Arial"/>
          <w:i/>
          <w:sz w:val="24"/>
        </w:rPr>
        <w:t>τε</w:t>
      </w:r>
      <w:r w:rsidRPr="00BF6542">
        <w:rPr>
          <w:rFonts w:ascii="Arial" w:hAnsi="Arial" w:cs="Arial"/>
          <w:sz w:val="24"/>
        </w:rPr>
        <w:t xml:space="preserve">’ is clearly used: </w:t>
      </w:r>
      <w:commentRangeStart w:id="228"/>
      <w:r w:rsidRPr="00BF6542">
        <w:rPr>
          <w:rFonts w:ascii="Arial" w:hAnsi="Arial" w:cs="Arial"/>
          <w:sz w:val="24"/>
        </w:rPr>
        <w:t>‘</w:t>
      </w:r>
      <w:r w:rsidRPr="00BF6542">
        <w:rPr>
          <w:rFonts w:ascii="Arial" w:hAnsi="Arial" w:cs="Arial"/>
          <w:i/>
          <w:sz w:val="24"/>
        </w:rPr>
        <w:t xml:space="preserve">αιψα δ’ιανετο κηρος, επεικελετομεγαλη ις / Ήελιου τ’ αυγη Ύπεριονιδαο ανακτος’ </w:t>
      </w:r>
      <w:commentRangeEnd w:id="228"/>
      <w:r>
        <w:rPr>
          <w:rStyle w:val="CommentReference"/>
        </w:rPr>
        <w:commentReference w:id="228"/>
      </w:r>
      <w:r w:rsidRPr="00BF6542">
        <w:rPr>
          <w:rFonts w:ascii="Arial" w:hAnsi="Arial" w:cs="Arial"/>
          <w:sz w:val="24"/>
        </w:rPr>
        <w:t>separating the great strength of Helios, and the light of the sun which belongs to the lord Hyperion. Either there are two suns at work, manifested as Helios and Hyperion, or Odysseus and the Sun are acting together in order to soften the wax. Either scenario suggests that, in some way, Odysseus possesses or utilises the power of the sun in this episode. Finally there is the solar eclipse prophesied by Theoclymenus in Rhapsode XX which gives a harrowing account of the forthcoming death of the suitors at the hands of Odysseus:</w:t>
      </w:r>
      <w:r w:rsidRPr="00BF6542">
        <w:rPr>
          <w:rStyle w:val="FootnoteReference"/>
          <w:rFonts w:ascii="Arial" w:hAnsi="Arial" w:cs="Arial"/>
          <w:sz w:val="24"/>
        </w:rPr>
        <w:footnoteReference w:id="171"/>
      </w:r>
    </w:p>
    <w:p w14:paraId="0E4DF624" w14:textId="77777777" w:rsidR="00A25DE7" w:rsidRPr="00745BDD" w:rsidRDefault="00A25DE7" w:rsidP="00954335">
      <w:pPr>
        <w:spacing w:line="240" w:lineRule="auto"/>
        <w:contextualSpacing/>
        <w:jc w:val="both"/>
        <w:rPr>
          <w:rFonts w:ascii="Arial" w:hAnsi="Arial" w:cs="Arial"/>
        </w:rPr>
      </w:pPr>
    </w:p>
    <w:p w14:paraId="5FE88B75" w14:textId="77777777" w:rsidR="00A25DE7" w:rsidRPr="00745BDD" w:rsidRDefault="00A25DE7" w:rsidP="00954335">
      <w:pPr>
        <w:spacing w:line="240" w:lineRule="auto"/>
        <w:contextualSpacing/>
        <w:jc w:val="center"/>
        <w:rPr>
          <w:rFonts w:ascii="Arial" w:hAnsi="Arial" w:cs="Arial"/>
        </w:rPr>
      </w:pPr>
      <w:r w:rsidRPr="00745BDD">
        <w:rPr>
          <w:rFonts w:ascii="Arial" w:hAnsi="Arial" w:cs="Arial"/>
        </w:rPr>
        <w:t>‘Godlike Theoklymenos now spoke out among them:</w:t>
      </w:r>
    </w:p>
    <w:p w14:paraId="773AF32C" w14:textId="77777777" w:rsidR="00A25DE7" w:rsidRPr="00745BDD" w:rsidRDefault="00A25DE7" w:rsidP="00954335">
      <w:pPr>
        <w:spacing w:line="240" w:lineRule="auto"/>
        <w:contextualSpacing/>
        <w:jc w:val="center"/>
        <w:rPr>
          <w:rFonts w:ascii="Arial" w:hAnsi="Arial" w:cs="Arial"/>
        </w:rPr>
      </w:pPr>
      <w:r w:rsidRPr="00745BDD">
        <w:rPr>
          <w:rFonts w:ascii="Arial" w:hAnsi="Arial" w:cs="Arial"/>
        </w:rPr>
        <w:t>“Poor wretches, what evil has come on you? Your heads and faces</w:t>
      </w:r>
    </w:p>
    <w:p w14:paraId="2B8FDFDD" w14:textId="77777777" w:rsidR="00A25DE7" w:rsidRPr="00745BDD" w:rsidRDefault="00A25DE7" w:rsidP="00954335">
      <w:pPr>
        <w:spacing w:line="240" w:lineRule="auto"/>
        <w:contextualSpacing/>
        <w:jc w:val="center"/>
        <w:rPr>
          <w:rFonts w:ascii="Arial" w:hAnsi="Arial" w:cs="Arial"/>
        </w:rPr>
      </w:pPr>
      <w:r w:rsidRPr="00745BDD">
        <w:rPr>
          <w:rFonts w:ascii="Arial" w:hAnsi="Arial" w:cs="Arial"/>
        </w:rPr>
        <w:t>And the knees underneath you are shrouded in night and darkness;</w:t>
      </w:r>
    </w:p>
    <w:p w14:paraId="498BE4F2" w14:textId="77777777" w:rsidR="00A25DE7" w:rsidRPr="00745BDD" w:rsidRDefault="00A25DE7" w:rsidP="00954335">
      <w:pPr>
        <w:spacing w:line="240" w:lineRule="auto"/>
        <w:contextualSpacing/>
        <w:jc w:val="center"/>
        <w:rPr>
          <w:rFonts w:ascii="Arial" w:hAnsi="Arial" w:cs="Arial"/>
        </w:rPr>
      </w:pPr>
      <w:r w:rsidRPr="00745BDD">
        <w:rPr>
          <w:rFonts w:ascii="Arial" w:hAnsi="Arial" w:cs="Arial"/>
        </w:rPr>
        <w:t>A sound of wailing has broken out, your cheeks are covered</w:t>
      </w:r>
    </w:p>
    <w:p w14:paraId="16DAF295" w14:textId="77777777" w:rsidR="00A25DE7" w:rsidRPr="00745BDD" w:rsidRDefault="00A25DE7" w:rsidP="00954335">
      <w:pPr>
        <w:spacing w:line="240" w:lineRule="auto"/>
        <w:contextualSpacing/>
        <w:jc w:val="center"/>
        <w:rPr>
          <w:rFonts w:ascii="Arial" w:hAnsi="Arial" w:cs="Arial"/>
        </w:rPr>
      </w:pPr>
      <w:r w:rsidRPr="00745BDD">
        <w:rPr>
          <w:rFonts w:ascii="Arial" w:hAnsi="Arial" w:cs="Arial"/>
        </w:rPr>
        <w:t>With tears and the walls bleed, and the fine supporting pillars.</w:t>
      </w:r>
    </w:p>
    <w:p w14:paraId="6898E95C" w14:textId="77777777" w:rsidR="00A25DE7" w:rsidRPr="00745BDD" w:rsidRDefault="00A25DE7" w:rsidP="00954335">
      <w:pPr>
        <w:spacing w:line="240" w:lineRule="auto"/>
        <w:contextualSpacing/>
        <w:jc w:val="center"/>
        <w:rPr>
          <w:rFonts w:ascii="Arial" w:hAnsi="Arial" w:cs="Arial"/>
        </w:rPr>
      </w:pPr>
      <w:r w:rsidRPr="00745BDD">
        <w:rPr>
          <w:rFonts w:ascii="Arial" w:hAnsi="Arial" w:cs="Arial"/>
        </w:rPr>
        <w:t>All the forecourt is huddled with ghosts, the yard is full of them</w:t>
      </w:r>
    </w:p>
    <w:p w14:paraId="4D3D6735" w14:textId="77777777" w:rsidR="00A25DE7" w:rsidRPr="00745BDD" w:rsidRDefault="00A25DE7" w:rsidP="00954335">
      <w:pPr>
        <w:spacing w:line="240" w:lineRule="auto"/>
        <w:contextualSpacing/>
        <w:jc w:val="center"/>
        <w:rPr>
          <w:rFonts w:ascii="Arial" w:hAnsi="Arial" w:cs="Arial"/>
        </w:rPr>
      </w:pPr>
      <w:r w:rsidRPr="00745BDD">
        <w:rPr>
          <w:rFonts w:ascii="Arial" w:hAnsi="Arial" w:cs="Arial"/>
        </w:rPr>
        <w:t>As they flock down to the underworld and darkness. The sun</w:t>
      </w:r>
    </w:p>
    <w:p w14:paraId="47AD2E9A" w14:textId="77777777" w:rsidR="00A25DE7" w:rsidRPr="00745BDD" w:rsidRDefault="00A25DE7" w:rsidP="00954335">
      <w:pPr>
        <w:spacing w:line="240" w:lineRule="auto"/>
        <w:contextualSpacing/>
        <w:jc w:val="center"/>
        <w:rPr>
          <w:rFonts w:ascii="Arial" w:hAnsi="Arial" w:cs="Arial"/>
        </w:rPr>
      </w:pPr>
      <w:r w:rsidRPr="00745BDD">
        <w:rPr>
          <w:rFonts w:ascii="Arial" w:hAnsi="Arial" w:cs="Arial"/>
        </w:rPr>
        <w:t>Has perished out of the sky, and a foul mist has come over.’</w:t>
      </w:r>
    </w:p>
    <w:p w14:paraId="59E19552" w14:textId="77777777" w:rsidR="00A25DE7" w:rsidRPr="00745BDD" w:rsidRDefault="00A25DE7" w:rsidP="00954335">
      <w:pPr>
        <w:spacing w:line="240" w:lineRule="auto"/>
        <w:contextualSpacing/>
        <w:jc w:val="both"/>
        <w:rPr>
          <w:rFonts w:ascii="Arial" w:hAnsi="Arial" w:cs="Arial"/>
        </w:rPr>
      </w:pPr>
    </w:p>
    <w:p w14:paraId="3E2A60A7" w14:textId="77777777" w:rsidR="00A25DE7" w:rsidRPr="00BF6542" w:rsidRDefault="00A25DE7" w:rsidP="00BF6542">
      <w:pPr>
        <w:spacing w:line="360" w:lineRule="auto"/>
        <w:jc w:val="both"/>
        <w:rPr>
          <w:rFonts w:ascii="Arial" w:hAnsi="Arial" w:cs="Arial"/>
          <w:sz w:val="24"/>
          <w:szCs w:val="24"/>
        </w:rPr>
      </w:pPr>
      <w:r w:rsidRPr="00BF6542">
        <w:rPr>
          <w:rFonts w:ascii="Arial" w:hAnsi="Arial" w:cs="Arial"/>
          <w:sz w:val="24"/>
          <w:szCs w:val="24"/>
        </w:rPr>
        <w:t xml:space="preserve">This section has already been noted for its calendrical import (Chapter Two, Section 3.c) but it also connects Odysseus directly to the sun. Some have commented on its similarities with the feast on Helios’ cattle at Thrinacia in </w:t>
      </w:r>
      <w:r w:rsidRPr="00BF6542">
        <w:rPr>
          <w:rFonts w:ascii="Arial" w:hAnsi="Arial" w:cs="Arial"/>
          <w:sz w:val="24"/>
          <w:szCs w:val="24"/>
        </w:rPr>
        <w:lastRenderedPageBreak/>
        <w:t>Rhapsode XII.</w:t>
      </w:r>
      <w:r w:rsidRPr="00BF6542">
        <w:rPr>
          <w:rStyle w:val="FootnoteReference"/>
          <w:rFonts w:ascii="Arial" w:hAnsi="Arial" w:cs="Arial"/>
          <w:sz w:val="24"/>
          <w:szCs w:val="24"/>
        </w:rPr>
        <w:footnoteReference w:id="172"/>
      </w:r>
      <w:r w:rsidRPr="00BF6542">
        <w:rPr>
          <w:rFonts w:ascii="Arial" w:hAnsi="Arial" w:cs="Arial"/>
          <w:sz w:val="24"/>
          <w:szCs w:val="24"/>
        </w:rPr>
        <w:t xml:space="preserve"> Yet, more importantly, the prophecy connects the power of Odysseus to slaughter the suitors (with his Apollonian arrows) directly with the </w:t>
      </w:r>
      <w:commentRangeStart w:id="229"/>
      <w:r w:rsidRPr="00BF6542">
        <w:rPr>
          <w:rFonts w:ascii="Arial" w:hAnsi="Arial" w:cs="Arial"/>
          <w:sz w:val="24"/>
          <w:szCs w:val="24"/>
        </w:rPr>
        <w:t>ominous solar phenomena of the eclipse</w:t>
      </w:r>
      <w:commentRangeEnd w:id="229"/>
      <w:r>
        <w:rPr>
          <w:rStyle w:val="CommentReference"/>
        </w:rPr>
        <w:commentReference w:id="229"/>
      </w:r>
      <w:r w:rsidRPr="00BF6542">
        <w:rPr>
          <w:rFonts w:ascii="Arial" w:hAnsi="Arial" w:cs="Arial"/>
          <w:sz w:val="24"/>
          <w:szCs w:val="24"/>
        </w:rPr>
        <w:t>.</w:t>
      </w:r>
      <w:r w:rsidRPr="00BF6542">
        <w:rPr>
          <w:rStyle w:val="FootnoteReference"/>
          <w:rFonts w:ascii="Arial" w:hAnsi="Arial" w:cs="Arial"/>
          <w:sz w:val="24"/>
          <w:szCs w:val="24"/>
        </w:rPr>
        <w:footnoteReference w:id="173"/>
      </w:r>
      <w:r w:rsidRPr="00BF6542">
        <w:rPr>
          <w:rFonts w:ascii="Arial" w:hAnsi="Arial" w:cs="Arial"/>
          <w:sz w:val="24"/>
          <w:szCs w:val="24"/>
        </w:rPr>
        <w:t xml:space="preserve"> Furthermore it refers to the </w:t>
      </w:r>
      <w:commentRangeStart w:id="230"/>
      <w:r w:rsidRPr="00BF6542">
        <w:rPr>
          <w:rFonts w:ascii="Arial" w:hAnsi="Arial" w:cs="Arial"/>
          <w:sz w:val="24"/>
          <w:szCs w:val="24"/>
        </w:rPr>
        <w:t>suns</w:t>
      </w:r>
      <w:commentRangeEnd w:id="230"/>
      <w:r>
        <w:rPr>
          <w:rStyle w:val="CommentReference"/>
        </w:rPr>
        <w:commentReference w:id="230"/>
      </w:r>
      <w:r w:rsidRPr="00BF6542">
        <w:rPr>
          <w:rFonts w:ascii="Arial" w:hAnsi="Arial" w:cs="Arial"/>
          <w:sz w:val="24"/>
          <w:szCs w:val="24"/>
        </w:rPr>
        <w:t xml:space="preserve"> role as psychopomp, leading the ghosts of the suitors flocking in the courtyard down into the underworld just as they do at the start of Rhapsode XXIV. Quite literally perhaps, Odysseus in his Apollo-like role, slaughters so many suitors that he as symbolic of the sun must leave the sky (the eclipse) in order to lead them to the underworld. In short, connecting Odysseus, yet again, to the regenerative and ritual authority of the sun.</w:t>
      </w:r>
    </w:p>
    <w:p w14:paraId="7ACAB5CA" w14:textId="77777777" w:rsidR="00A25DE7" w:rsidRPr="00BF6542" w:rsidRDefault="00A25DE7" w:rsidP="00BF6542">
      <w:pPr>
        <w:spacing w:line="360" w:lineRule="auto"/>
        <w:jc w:val="both"/>
        <w:rPr>
          <w:rFonts w:ascii="Arial" w:hAnsi="Arial" w:cs="Arial"/>
          <w:sz w:val="24"/>
          <w:szCs w:val="24"/>
        </w:rPr>
      </w:pPr>
    </w:p>
    <w:p w14:paraId="4DACFF64" w14:textId="77777777" w:rsidR="00A25DE7" w:rsidRPr="00BF6542" w:rsidRDefault="00A25DE7" w:rsidP="00BF6542">
      <w:pPr>
        <w:spacing w:line="360" w:lineRule="auto"/>
        <w:jc w:val="both"/>
        <w:rPr>
          <w:rFonts w:ascii="Arial" w:hAnsi="Arial" w:cs="Arial"/>
          <w:sz w:val="24"/>
          <w:szCs w:val="24"/>
        </w:rPr>
      </w:pPr>
      <w:r w:rsidRPr="00BF6542">
        <w:rPr>
          <w:rFonts w:ascii="Arial" w:hAnsi="Arial" w:cs="Arial"/>
          <w:sz w:val="24"/>
          <w:szCs w:val="24"/>
        </w:rPr>
        <w:t xml:space="preserve">Therefore the description of Odysseus the ‘much-turning’, as one whose journeys evoke a celestial path, in a boat, wearing a tunic that shines like the sun, who fires an arrow (symbolic of Apollo) through twelve axe heads (the months of the year), seems to fit well with a solar-alter ego as Murray suggested nearly a century ago. And yet, it is unnecessary to </w:t>
      </w:r>
      <w:commentRangeStart w:id="231"/>
      <w:r w:rsidRPr="00BF6542">
        <w:rPr>
          <w:rFonts w:ascii="Arial" w:hAnsi="Arial" w:cs="Arial"/>
          <w:sz w:val="24"/>
          <w:szCs w:val="24"/>
        </w:rPr>
        <w:t>collate Odysseus himself with Helios</w:t>
      </w:r>
      <w:commentRangeEnd w:id="231"/>
      <w:r>
        <w:rPr>
          <w:rStyle w:val="CommentReference"/>
        </w:rPr>
        <w:commentReference w:id="231"/>
      </w:r>
      <w:r w:rsidRPr="00BF6542">
        <w:rPr>
          <w:rFonts w:ascii="Arial" w:hAnsi="Arial" w:cs="Arial"/>
          <w:sz w:val="24"/>
          <w:szCs w:val="24"/>
        </w:rPr>
        <w:t xml:space="preserve"> – if nothing else they are clearly demarcated as separate, even </w:t>
      </w:r>
      <w:r w:rsidRPr="00BF6542">
        <w:rPr>
          <w:rFonts w:ascii="Arial" w:hAnsi="Arial" w:cs="Arial"/>
          <w:i/>
          <w:sz w:val="24"/>
          <w:szCs w:val="24"/>
        </w:rPr>
        <w:t>antagonistic</w:t>
      </w:r>
      <w:r w:rsidRPr="00BF6542">
        <w:rPr>
          <w:rFonts w:ascii="Arial" w:hAnsi="Arial" w:cs="Arial"/>
          <w:sz w:val="24"/>
          <w:szCs w:val="24"/>
        </w:rPr>
        <w:t xml:space="preserve">,characters in the </w:t>
      </w:r>
      <w:r w:rsidRPr="00BF6542">
        <w:rPr>
          <w:rFonts w:ascii="Arial" w:hAnsi="Arial" w:cs="Arial"/>
          <w:i/>
          <w:sz w:val="24"/>
          <w:szCs w:val="24"/>
        </w:rPr>
        <w:t>Odyssey</w:t>
      </w:r>
      <w:r w:rsidRPr="00BF6542">
        <w:rPr>
          <w:rFonts w:ascii="Arial" w:hAnsi="Arial" w:cs="Arial"/>
          <w:sz w:val="24"/>
          <w:szCs w:val="24"/>
        </w:rPr>
        <w:t xml:space="preserve"> (Gilgamesh and Shamash are also separate characters in the </w:t>
      </w:r>
      <w:r w:rsidRPr="00BF6542">
        <w:rPr>
          <w:rFonts w:ascii="Arial" w:hAnsi="Arial" w:cs="Arial"/>
          <w:i/>
          <w:sz w:val="24"/>
          <w:szCs w:val="24"/>
        </w:rPr>
        <w:t>Gilgamesh</w:t>
      </w:r>
      <w:r w:rsidRPr="00BF6542">
        <w:rPr>
          <w:rFonts w:ascii="Arial" w:hAnsi="Arial" w:cs="Arial"/>
          <w:sz w:val="24"/>
          <w:szCs w:val="24"/>
        </w:rPr>
        <w:t>).</w:t>
      </w:r>
      <w:r w:rsidRPr="00BF6542">
        <w:rPr>
          <w:rStyle w:val="FootnoteReference"/>
          <w:rFonts w:ascii="Arial" w:hAnsi="Arial" w:cs="Arial"/>
          <w:sz w:val="24"/>
          <w:szCs w:val="24"/>
        </w:rPr>
        <w:footnoteReference w:id="174"/>
      </w:r>
      <w:r w:rsidRPr="00BF6542">
        <w:rPr>
          <w:rFonts w:ascii="Arial" w:hAnsi="Arial" w:cs="Arial"/>
          <w:sz w:val="24"/>
          <w:szCs w:val="24"/>
        </w:rPr>
        <w:t xml:space="preserve"> Whilst it is clear that Odysseus could not be Helios himself, </w:t>
      </w:r>
      <w:commentRangeStart w:id="232"/>
      <w:r w:rsidRPr="00BF6542">
        <w:rPr>
          <w:rFonts w:ascii="Arial" w:hAnsi="Arial" w:cs="Arial"/>
          <w:sz w:val="24"/>
          <w:szCs w:val="24"/>
        </w:rPr>
        <w:t>his solar characteristics and associations, as Murray said, are unavoidable</w:t>
      </w:r>
      <w:commentRangeEnd w:id="232"/>
      <w:r>
        <w:rPr>
          <w:rStyle w:val="CommentReference"/>
        </w:rPr>
        <w:commentReference w:id="232"/>
      </w:r>
      <w:r w:rsidRPr="00BF6542">
        <w:rPr>
          <w:rFonts w:ascii="Arial" w:hAnsi="Arial" w:cs="Arial"/>
          <w:sz w:val="24"/>
          <w:szCs w:val="24"/>
        </w:rPr>
        <w:t xml:space="preserve">. These associations extend beyond mimicking the path of the sun in the </w:t>
      </w:r>
      <w:r w:rsidRPr="00BF6542">
        <w:rPr>
          <w:rFonts w:ascii="Arial" w:hAnsi="Arial" w:cs="Arial"/>
          <w:i/>
          <w:sz w:val="24"/>
          <w:szCs w:val="24"/>
        </w:rPr>
        <w:t>katabasis</w:t>
      </w:r>
      <w:r w:rsidRPr="00BF6542">
        <w:rPr>
          <w:rFonts w:ascii="Arial" w:hAnsi="Arial" w:cs="Arial"/>
          <w:sz w:val="24"/>
          <w:szCs w:val="24"/>
        </w:rPr>
        <w:t xml:space="preserve"> episode and the narrative accounts of Rhapsodes XII, XX, and XXI. They occur repeatedly through the levels of simile, epithet, character traits, narrative, and symbolism, and cannot therefore be simply dismissed as pan-Babylonian sympathies. But if he is not Helios himself, why is Odysseus so connected to the sun throughout the </w:t>
      </w:r>
      <w:r w:rsidRPr="00BF6542">
        <w:rPr>
          <w:rFonts w:ascii="Arial" w:hAnsi="Arial" w:cs="Arial"/>
          <w:i/>
          <w:sz w:val="24"/>
          <w:szCs w:val="24"/>
        </w:rPr>
        <w:t>Odyssey</w:t>
      </w:r>
      <w:r w:rsidRPr="00BF6542">
        <w:rPr>
          <w:rFonts w:ascii="Arial" w:hAnsi="Arial" w:cs="Arial"/>
          <w:sz w:val="24"/>
          <w:szCs w:val="24"/>
        </w:rPr>
        <w:t>?</w:t>
      </w:r>
    </w:p>
    <w:p w14:paraId="00CE86A9" w14:textId="77777777" w:rsidR="00A25DE7" w:rsidRPr="00BF6542" w:rsidRDefault="00A25DE7" w:rsidP="00BF6542">
      <w:pPr>
        <w:spacing w:line="360" w:lineRule="auto"/>
        <w:jc w:val="both"/>
        <w:rPr>
          <w:rFonts w:ascii="Arial" w:hAnsi="Arial" w:cs="Arial"/>
          <w:sz w:val="24"/>
          <w:szCs w:val="24"/>
        </w:rPr>
      </w:pPr>
      <w:r w:rsidRPr="00BF6542">
        <w:rPr>
          <w:rFonts w:ascii="Arial" w:hAnsi="Arial" w:cs="Arial"/>
          <w:sz w:val="24"/>
          <w:szCs w:val="24"/>
        </w:rPr>
        <w:t xml:space="preserve">This problem may be solved by the powerful linguistic relationship contained within the epic between the major themes: </w:t>
      </w:r>
      <w:r w:rsidRPr="00BF6542">
        <w:rPr>
          <w:rFonts w:ascii="Arial" w:hAnsi="Arial" w:cs="Arial"/>
          <w:i/>
          <w:sz w:val="24"/>
          <w:szCs w:val="24"/>
        </w:rPr>
        <w:t xml:space="preserve">nostos </w:t>
      </w:r>
      <w:r w:rsidRPr="00BF6542">
        <w:rPr>
          <w:rFonts w:ascii="Arial" w:hAnsi="Arial" w:cs="Arial"/>
          <w:sz w:val="24"/>
          <w:szCs w:val="24"/>
        </w:rPr>
        <w:t>(</w:t>
      </w:r>
      <w:r w:rsidRPr="00BF6542">
        <w:rPr>
          <w:rFonts w:ascii="Arial" w:hAnsi="Arial" w:cs="Arial"/>
          <w:i/>
          <w:sz w:val="24"/>
          <w:szCs w:val="24"/>
        </w:rPr>
        <w:t>νοστος</w:t>
      </w:r>
      <w:r w:rsidRPr="00BF6542">
        <w:rPr>
          <w:rFonts w:ascii="Arial" w:hAnsi="Arial" w:cs="Arial"/>
          <w:sz w:val="24"/>
          <w:szCs w:val="24"/>
        </w:rPr>
        <w:t xml:space="preserve">), often translated as ‘home-coming’, and </w:t>
      </w:r>
      <w:r w:rsidRPr="00BF6542">
        <w:rPr>
          <w:rFonts w:ascii="Arial" w:hAnsi="Arial" w:cs="Arial"/>
          <w:i/>
          <w:sz w:val="24"/>
          <w:szCs w:val="24"/>
        </w:rPr>
        <w:t>noos</w:t>
      </w:r>
      <w:r w:rsidRPr="00BF6542">
        <w:rPr>
          <w:rFonts w:ascii="Arial" w:hAnsi="Arial" w:cs="Arial"/>
          <w:sz w:val="24"/>
          <w:szCs w:val="24"/>
        </w:rPr>
        <w:t>(</w:t>
      </w:r>
      <w:r w:rsidRPr="00BF6542">
        <w:rPr>
          <w:rFonts w:ascii="Arial" w:hAnsi="Arial" w:cs="Arial"/>
          <w:i/>
          <w:sz w:val="24"/>
          <w:szCs w:val="24"/>
        </w:rPr>
        <w:t>νοος</w:t>
      </w:r>
      <w:r w:rsidRPr="00BF6542">
        <w:rPr>
          <w:rFonts w:ascii="Arial" w:hAnsi="Arial" w:cs="Arial"/>
          <w:sz w:val="24"/>
          <w:szCs w:val="24"/>
        </w:rPr>
        <w:t xml:space="preserve">), or ‘consciousness’. These two words first appear in lines three and five of the proem. Gregory Nagy explains that the two </w:t>
      </w:r>
      <w:r w:rsidRPr="00BF6542">
        <w:rPr>
          <w:rFonts w:ascii="Arial" w:hAnsi="Arial" w:cs="Arial"/>
          <w:sz w:val="24"/>
          <w:szCs w:val="24"/>
        </w:rPr>
        <w:lastRenderedPageBreak/>
        <w:t xml:space="preserve">words together form a micro-narrative of the entire </w:t>
      </w:r>
      <w:r w:rsidRPr="00BF6542">
        <w:rPr>
          <w:rFonts w:ascii="Arial" w:hAnsi="Arial" w:cs="Arial"/>
          <w:i/>
          <w:sz w:val="24"/>
          <w:szCs w:val="24"/>
        </w:rPr>
        <w:t>Odyssey</w:t>
      </w:r>
      <w:r w:rsidRPr="00BF6542">
        <w:rPr>
          <w:rFonts w:ascii="Arial" w:hAnsi="Arial" w:cs="Arial"/>
          <w:sz w:val="24"/>
          <w:szCs w:val="24"/>
        </w:rPr>
        <w:t>, inasmuch as the interaction of these two terms in the first ten lines form a compressed version of the plot which can be traced throughout the twenty-four rhapsodies.</w:t>
      </w:r>
      <w:r w:rsidRPr="00BF6542">
        <w:rPr>
          <w:rStyle w:val="FootnoteReference"/>
          <w:rFonts w:ascii="Arial" w:hAnsi="Arial" w:cs="Arial"/>
          <w:sz w:val="24"/>
          <w:szCs w:val="24"/>
        </w:rPr>
        <w:footnoteReference w:id="175"/>
      </w:r>
      <w:r w:rsidRPr="00BF6542">
        <w:rPr>
          <w:rFonts w:ascii="Arial" w:hAnsi="Arial" w:cs="Arial"/>
          <w:sz w:val="24"/>
          <w:szCs w:val="24"/>
        </w:rPr>
        <w:t xml:space="preserve"> </w:t>
      </w:r>
      <w:commentRangeStart w:id="233"/>
      <w:r w:rsidRPr="00BF6542">
        <w:rPr>
          <w:rFonts w:ascii="Arial" w:hAnsi="Arial" w:cs="Arial"/>
          <w:sz w:val="24"/>
          <w:szCs w:val="24"/>
        </w:rPr>
        <w:t>Nagy goes on to make a parallel</w:t>
      </w:r>
      <w:commentRangeEnd w:id="233"/>
      <w:r>
        <w:rPr>
          <w:rStyle w:val="CommentReference"/>
        </w:rPr>
        <w:commentReference w:id="233"/>
      </w:r>
      <w:r w:rsidRPr="00BF6542">
        <w:rPr>
          <w:rFonts w:ascii="Arial" w:hAnsi="Arial" w:cs="Arial"/>
          <w:sz w:val="24"/>
          <w:szCs w:val="24"/>
        </w:rPr>
        <w:t xml:space="preserve"> with the idea of </w:t>
      </w:r>
      <w:r w:rsidRPr="00BF6542">
        <w:rPr>
          <w:rFonts w:ascii="Arial" w:hAnsi="Arial" w:cs="Arial"/>
          <w:i/>
          <w:sz w:val="24"/>
          <w:szCs w:val="24"/>
        </w:rPr>
        <w:t>noos</w:t>
      </w:r>
      <w:r w:rsidRPr="00BF6542">
        <w:rPr>
          <w:rFonts w:ascii="Arial" w:hAnsi="Arial" w:cs="Arial"/>
          <w:sz w:val="24"/>
          <w:szCs w:val="24"/>
        </w:rPr>
        <w:t xml:space="preserve"> as a metaphor for awakening or enlightenment (</w:t>
      </w:r>
      <w:r w:rsidRPr="00BF6542">
        <w:rPr>
          <w:rFonts w:ascii="Arial" w:hAnsi="Arial" w:cs="Arial"/>
          <w:i/>
          <w:sz w:val="24"/>
          <w:szCs w:val="24"/>
        </w:rPr>
        <w:t>noos</w:t>
      </w:r>
      <w:r w:rsidRPr="00BF6542">
        <w:rPr>
          <w:rFonts w:ascii="Arial" w:hAnsi="Arial" w:cs="Arial"/>
          <w:sz w:val="24"/>
          <w:szCs w:val="24"/>
        </w:rPr>
        <w:t xml:space="preserve">, like </w:t>
      </w:r>
      <w:r w:rsidRPr="00BF6542">
        <w:rPr>
          <w:rFonts w:ascii="Arial" w:hAnsi="Arial" w:cs="Arial"/>
          <w:i/>
          <w:sz w:val="24"/>
          <w:szCs w:val="24"/>
        </w:rPr>
        <w:t>nostos</w:t>
      </w:r>
      <w:r w:rsidRPr="00BF6542">
        <w:rPr>
          <w:rFonts w:ascii="Arial" w:hAnsi="Arial" w:cs="Arial"/>
          <w:sz w:val="24"/>
          <w:szCs w:val="24"/>
        </w:rPr>
        <w:t xml:space="preserve">,indicates a return, referring not to simply consciousness but the act of returning to consciousness from a period of unconsciousness), with the setting and rising of the sun. The term </w:t>
      </w:r>
      <w:r w:rsidRPr="00BF6542">
        <w:rPr>
          <w:rFonts w:ascii="Arial" w:hAnsi="Arial" w:cs="Arial"/>
          <w:i/>
          <w:sz w:val="24"/>
          <w:szCs w:val="24"/>
        </w:rPr>
        <w:t xml:space="preserve">nostos </w:t>
      </w:r>
      <w:r w:rsidRPr="00BF6542">
        <w:rPr>
          <w:rFonts w:ascii="Arial" w:hAnsi="Arial" w:cs="Arial"/>
          <w:sz w:val="24"/>
          <w:szCs w:val="24"/>
        </w:rPr>
        <w:t>too has associations with the mechanics of sunset and sunrise.</w:t>
      </w:r>
      <w:r w:rsidRPr="00BF6542">
        <w:rPr>
          <w:rStyle w:val="FootnoteReference"/>
          <w:rFonts w:ascii="Arial" w:hAnsi="Arial" w:cs="Arial"/>
          <w:sz w:val="24"/>
          <w:szCs w:val="24"/>
        </w:rPr>
        <w:footnoteReference w:id="176"/>
      </w:r>
      <w:r w:rsidRPr="00BF6542">
        <w:rPr>
          <w:rFonts w:ascii="Arial" w:hAnsi="Arial" w:cs="Arial"/>
          <w:sz w:val="24"/>
          <w:szCs w:val="24"/>
        </w:rPr>
        <w:t xml:space="preserve"> The relationship between these terms and the sun is best visualised when Odysseus finally returns home to Ithaca in Rhapsode XIII. He returns asleep, on the ship of the Phaeacians, just as the sun rises.</w:t>
      </w:r>
      <w:r w:rsidRPr="00BF6542">
        <w:rPr>
          <w:rStyle w:val="FootnoteReference"/>
          <w:rFonts w:ascii="Arial" w:hAnsi="Arial" w:cs="Arial"/>
          <w:sz w:val="24"/>
          <w:szCs w:val="24"/>
        </w:rPr>
        <w:footnoteReference w:id="177"/>
      </w:r>
      <w:r w:rsidRPr="00BF6542">
        <w:rPr>
          <w:rFonts w:ascii="Arial" w:hAnsi="Arial" w:cs="Arial"/>
          <w:sz w:val="24"/>
          <w:szCs w:val="24"/>
        </w:rPr>
        <w:t xml:space="preserve"> Odysseus, the sleeping passenger on the boat, wakes up back on his homeland. The homecoming, </w:t>
      </w:r>
      <w:r w:rsidRPr="00BF6542">
        <w:rPr>
          <w:rFonts w:ascii="Arial" w:hAnsi="Arial" w:cs="Arial"/>
          <w:i/>
          <w:sz w:val="24"/>
          <w:szCs w:val="24"/>
        </w:rPr>
        <w:t>nostos</w:t>
      </w:r>
      <w:r w:rsidRPr="00BF6542">
        <w:rPr>
          <w:rFonts w:ascii="Arial" w:hAnsi="Arial" w:cs="Arial"/>
          <w:sz w:val="24"/>
          <w:szCs w:val="24"/>
        </w:rPr>
        <w:t xml:space="preserve">,is thus synchronised with both the rising of the sun and the return to consciousness – </w:t>
      </w:r>
      <w:r w:rsidRPr="00BF6542">
        <w:rPr>
          <w:rFonts w:ascii="Arial" w:hAnsi="Arial" w:cs="Arial"/>
          <w:i/>
          <w:sz w:val="24"/>
          <w:szCs w:val="24"/>
        </w:rPr>
        <w:t>noos</w:t>
      </w:r>
      <w:r w:rsidRPr="00BF6542">
        <w:rPr>
          <w:rFonts w:ascii="Arial" w:hAnsi="Arial" w:cs="Arial"/>
          <w:sz w:val="24"/>
          <w:szCs w:val="24"/>
        </w:rPr>
        <w:t>. This symbolism is further enhanced by the fact that Odysseus’ sleep aboard the ship of the Phaeacians is compared to death itself - just as the journey in and out of the Realm of the Dead is also connected to the solar path.</w:t>
      </w:r>
      <w:r w:rsidRPr="00BF6542">
        <w:rPr>
          <w:rStyle w:val="FootnoteReference"/>
          <w:rFonts w:ascii="Arial" w:hAnsi="Arial" w:cs="Arial"/>
          <w:sz w:val="24"/>
          <w:szCs w:val="24"/>
        </w:rPr>
        <w:footnoteReference w:id="178"/>
      </w:r>
      <w:r w:rsidRPr="00BF6542">
        <w:rPr>
          <w:rFonts w:ascii="Arial" w:hAnsi="Arial" w:cs="Arial"/>
          <w:i/>
          <w:sz w:val="24"/>
          <w:szCs w:val="24"/>
        </w:rPr>
        <w:t>Nostos</w:t>
      </w:r>
      <w:r w:rsidRPr="00BF6542">
        <w:rPr>
          <w:rFonts w:ascii="Arial" w:hAnsi="Arial" w:cs="Arial"/>
          <w:sz w:val="24"/>
          <w:szCs w:val="24"/>
        </w:rPr>
        <w:t xml:space="preserve"> should therefore be understood as the mundane or physical journey, whilst </w:t>
      </w:r>
      <w:r w:rsidRPr="00BF6542">
        <w:rPr>
          <w:rFonts w:ascii="Arial" w:hAnsi="Arial" w:cs="Arial"/>
          <w:i/>
          <w:sz w:val="24"/>
          <w:szCs w:val="24"/>
        </w:rPr>
        <w:t>noos</w:t>
      </w:r>
      <w:r w:rsidRPr="00BF6542">
        <w:rPr>
          <w:rFonts w:ascii="Arial" w:hAnsi="Arial" w:cs="Arial"/>
          <w:sz w:val="24"/>
          <w:szCs w:val="24"/>
        </w:rPr>
        <w:t xml:space="preserve"> represents the esoteric or spiritual journey. It is here in Rhapsode XIII of the </w:t>
      </w:r>
      <w:r w:rsidRPr="00BF6542">
        <w:rPr>
          <w:rFonts w:ascii="Arial" w:hAnsi="Arial" w:cs="Arial"/>
          <w:i/>
          <w:sz w:val="24"/>
          <w:szCs w:val="24"/>
        </w:rPr>
        <w:t>Odyssey</w:t>
      </w:r>
      <w:r w:rsidRPr="00BF6542">
        <w:rPr>
          <w:rFonts w:ascii="Arial" w:hAnsi="Arial" w:cs="Arial"/>
          <w:sz w:val="24"/>
          <w:szCs w:val="24"/>
        </w:rPr>
        <w:t xml:space="preserve"> that the Greek poetic tradition which combines the daily regeneration of the sun with the rising of the dead person’s soul is expressed most clearly.</w:t>
      </w:r>
      <w:r w:rsidRPr="00BF6542">
        <w:rPr>
          <w:rStyle w:val="FootnoteReference"/>
          <w:rFonts w:ascii="Arial" w:hAnsi="Arial" w:cs="Arial"/>
          <w:sz w:val="24"/>
          <w:szCs w:val="24"/>
        </w:rPr>
        <w:footnoteReference w:id="179"/>
      </w:r>
      <w:r w:rsidRPr="00BF6542">
        <w:rPr>
          <w:rFonts w:ascii="Arial" w:hAnsi="Arial" w:cs="Arial"/>
          <w:sz w:val="24"/>
          <w:szCs w:val="24"/>
        </w:rPr>
        <w:t xml:space="preserve"> The proem is thus not the only micronarrative of this spiritual journey – as the </w:t>
      </w:r>
      <w:r w:rsidRPr="00BF6542">
        <w:rPr>
          <w:rFonts w:ascii="Arial" w:hAnsi="Arial" w:cs="Arial"/>
          <w:i/>
          <w:sz w:val="24"/>
          <w:szCs w:val="24"/>
        </w:rPr>
        <w:t>katabasis</w:t>
      </w:r>
      <w:r w:rsidRPr="00BF6542">
        <w:rPr>
          <w:rFonts w:ascii="Arial" w:hAnsi="Arial" w:cs="Arial"/>
          <w:sz w:val="24"/>
          <w:szCs w:val="24"/>
        </w:rPr>
        <w:t xml:space="preserve"> episode also represents the same journey of the soul. Homer then refers to this process of spiritual awakening ambiguously – in the proem, figuratively – in the episode of Rhapsode XIII, and literally – during the </w:t>
      </w:r>
      <w:r w:rsidRPr="00BF6542">
        <w:rPr>
          <w:rFonts w:ascii="Arial" w:hAnsi="Arial" w:cs="Arial"/>
          <w:i/>
          <w:sz w:val="24"/>
          <w:szCs w:val="24"/>
        </w:rPr>
        <w:t>katabasis</w:t>
      </w:r>
      <w:r w:rsidRPr="00BF6542">
        <w:rPr>
          <w:rFonts w:ascii="Arial" w:hAnsi="Arial" w:cs="Arial"/>
          <w:sz w:val="24"/>
          <w:szCs w:val="24"/>
        </w:rPr>
        <w:t xml:space="preserve"> of Rhapsode XI. Odysseus’ odyssey therefore, is nothing </w:t>
      </w:r>
      <w:r w:rsidRPr="00BF6542">
        <w:rPr>
          <w:rFonts w:ascii="Arial" w:hAnsi="Arial" w:cs="Arial"/>
          <w:sz w:val="24"/>
          <w:szCs w:val="24"/>
        </w:rPr>
        <w:lastRenderedPageBreak/>
        <w:t>less than a substitute for a mystical journey of the soul through the cosmos itself.</w:t>
      </w:r>
      <w:r w:rsidRPr="00BF6542">
        <w:rPr>
          <w:rStyle w:val="FootnoteReference"/>
          <w:rFonts w:ascii="Arial" w:hAnsi="Arial" w:cs="Arial"/>
          <w:sz w:val="24"/>
          <w:szCs w:val="24"/>
        </w:rPr>
        <w:footnoteReference w:id="180"/>
      </w:r>
    </w:p>
    <w:p w14:paraId="0E10A105" w14:textId="77777777" w:rsidR="00A25DE7" w:rsidRPr="00BF6542" w:rsidRDefault="00A25DE7" w:rsidP="00BF6542">
      <w:pPr>
        <w:spacing w:line="360" w:lineRule="auto"/>
        <w:jc w:val="center"/>
        <w:rPr>
          <w:rFonts w:ascii="Arial" w:hAnsi="Arial" w:cs="Arial"/>
          <w:sz w:val="24"/>
          <w:szCs w:val="24"/>
        </w:rPr>
      </w:pPr>
      <w:r w:rsidRPr="00BF6542">
        <w:rPr>
          <w:rFonts w:ascii="Arial" w:hAnsi="Arial" w:cs="Arial"/>
          <w:sz w:val="24"/>
          <w:szCs w:val="24"/>
        </w:rPr>
        <w:t>*</w:t>
      </w:r>
    </w:p>
    <w:p w14:paraId="2EFDE2F5" w14:textId="77777777" w:rsidR="00A25DE7" w:rsidRPr="00745BDD" w:rsidRDefault="00A25DE7" w:rsidP="00BF6542">
      <w:pPr>
        <w:spacing w:line="360" w:lineRule="auto"/>
        <w:jc w:val="both"/>
        <w:rPr>
          <w:rFonts w:ascii="Arial" w:hAnsi="Arial" w:cs="Arial"/>
          <w:b/>
        </w:rPr>
      </w:pPr>
      <w:r w:rsidRPr="00BF6542">
        <w:rPr>
          <w:rFonts w:ascii="Arial" w:hAnsi="Arial" w:cs="Arial"/>
          <w:sz w:val="24"/>
          <w:szCs w:val="24"/>
        </w:rPr>
        <w:t xml:space="preserve">The cosmology of Homer’s </w:t>
      </w:r>
      <w:r w:rsidRPr="00BF6542">
        <w:rPr>
          <w:rFonts w:ascii="Arial" w:hAnsi="Arial" w:cs="Arial"/>
          <w:i/>
          <w:sz w:val="24"/>
          <w:szCs w:val="24"/>
        </w:rPr>
        <w:t>Odyssey</w:t>
      </w:r>
      <w:r w:rsidRPr="00BF6542">
        <w:rPr>
          <w:rFonts w:ascii="Arial" w:hAnsi="Arial" w:cs="Arial"/>
          <w:sz w:val="24"/>
          <w:szCs w:val="24"/>
        </w:rPr>
        <w:t xml:space="preserve"> (and by association the </w:t>
      </w:r>
      <w:r w:rsidRPr="00BF6542">
        <w:rPr>
          <w:rFonts w:ascii="Arial" w:hAnsi="Arial" w:cs="Arial"/>
          <w:i/>
          <w:sz w:val="24"/>
          <w:szCs w:val="24"/>
        </w:rPr>
        <w:t xml:space="preserve">Iliad </w:t>
      </w:r>
      <w:r w:rsidRPr="00BF6542">
        <w:rPr>
          <w:rFonts w:ascii="Arial" w:hAnsi="Arial" w:cs="Arial"/>
          <w:sz w:val="24"/>
          <w:szCs w:val="24"/>
        </w:rPr>
        <w:t xml:space="preserve">also) owes much of its tradition to the Near East. The very cosmogonical myths which form the basis of Greek understandings of the universe, as well as the structure of the heavens themselves can all be shown to have pre-empted Homer in the Mesopotamian literary oeuvre. Homer is unique however in his comprehensive treatment of the hero Odysseus, a mortal man who parallels the sun god himself in his characteristic features, his adventures, but most particularly in the experience of his own cosmic odyssey – a journey which takes him to the ends of the earth and beyond, a journey which takes the reader through both Asian and Greek traditions, a journey which is still revealing universal meaning in both the terrestrial and celestial worlds.  </w:t>
      </w:r>
    </w:p>
    <w:p w14:paraId="5CF8A170" w14:textId="77777777" w:rsidR="00A25DE7" w:rsidRPr="00745BDD" w:rsidRDefault="00A25DE7" w:rsidP="00680D30">
      <w:pPr>
        <w:spacing w:line="240" w:lineRule="auto"/>
        <w:contextualSpacing/>
        <w:rPr>
          <w:rFonts w:ascii="Arial" w:hAnsi="Arial" w:cs="Arial"/>
        </w:rPr>
      </w:pPr>
    </w:p>
    <w:p w14:paraId="4956325F" w14:textId="77777777" w:rsidR="00A25DE7" w:rsidRPr="00745BDD" w:rsidRDefault="00A25DE7" w:rsidP="00680D30">
      <w:pPr>
        <w:spacing w:line="240" w:lineRule="auto"/>
        <w:contextualSpacing/>
        <w:rPr>
          <w:rFonts w:ascii="Arial" w:hAnsi="Arial" w:cs="Arial"/>
          <w:b/>
        </w:rPr>
      </w:pPr>
    </w:p>
    <w:p w14:paraId="0AD73F3B" w14:textId="77777777" w:rsidR="00A25DE7" w:rsidRPr="00745BDD" w:rsidRDefault="00A25DE7" w:rsidP="00680D30">
      <w:pPr>
        <w:spacing w:line="240" w:lineRule="auto"/>
        <w:contextualSpacing/>
        <w:rPr>
          <w:rFonts w:ascii="Arial" w:hAnsi="Arial" w:cs="Arial"/>
          <w:b/>
        </w:rPr>
      </w:pPr>
    </w:p>
    <w:p w14:paraId="7EA1704E" w14:textId="77777777" w:rsidR="00A25DE7" w:rsidRPr="00745BDD" w:rsidRDefault="00A25DE7" w:rsidP="00680D30">
      <w:pPr>
        <w:spacing w:line="240" w:lineRule="auto"/>
        <w:contextualSpacing/>
        <w:rPr>
          <w:rFonts w:ascii="Arial" w:hAnsi="Arial" w:cs="Arial"/>
          <w:b/>
        </w:rPr>
      </w:pPr>
    </w:p>
    <w:p w14:paraId="125E512E" w14:textId="77777777" w:rsidR="00A25DE7" w:rsidRPr="00745BDD" w:rsidRDefault="00A25DE7" w:rsidP="00680D30">
      <w:pPr>
        <w:spacing w:line="240" w:lineRule="auto"/>
        <w:contextualSpacing/>
        <w:rPr>
          <w:rFonts w:ascii="Arial" w:hAnsi="Arial" w:cs="Arial"/>
          <w:b/>
        </w:rPr>
      </w:pPr>
    </w:p>
    <w:p w14:paraId="475D1A77" w14:textId="77777777" w:rsidR="00A25DE7" w:rsidRPr="00745BDD" w:rsidRDefault="00A25DE7" w:rsidP="00680D30">
      <w:pPr>
        <w:spacing w:line="240" w:lineRule="auto"/>
        <w:contextualSpacing/>
        <w:rPr>
          <w:rFonts w:ascii="Arial" w:hAnsi="Arial" w:cs="Arial"/>
          <w:b/>
        </w:rPr>
      </w:pPr>
    </w:p>
    <w:p w14:paraId="59CD2F61" w14:textId="77777777" w:rsidR="00A25DE7" w:rsidRPr="00745BDD" w:rsidRDefault="00A25DE7" w:rsidP="00680D30">
      <w:pPr>
        <w:spacing w:line="240" w:lineRule="auto"/>
        <w:contextualSpacing/>
        <w:rPr>
          <w:rFonts w:ascii="Arial" w:hAnsi="Arial" w:cs="Arial"/>
          <w:b/>
        </w:rPr>
      </w:pPr>
    </w:p>
    <w:p w14:paraId="2F9F8883" w14:textId="77777777" w:rsidR="00A25DE7" w:rsidRPr="00745BDD" w:rsidRDefault="00A25DE7" w:rsidP="00680D30">
      <w:pPr>
        <w:spacing w:line="240" w:lineRule="auto"/>
        <w:contextualSpacing/>
        <w:rPr>
          <w:rFonts w:ascii="Arial" w:hAnsi="Arial" w:cs="Arial"/>
          <w:b/>
        </w:rPr>
      </w:pPr>
    </w:p>
    <w:p w14:paraId="1644CF20" w14:textId="77777777" w:rsidR="00A25DE7" w:rsidRPr="00745BDD" w:rsidRDefault="00A25DE7" w:rsidP="00680D30">
      <w:pPr>
        <w:spacing w:line="240" w:lineRule="auto"/>
        <w:contextualSpacing/>
        <w:rPr>
          <w:rFonts w:ascii="Arial" w:hAnsi="Arial" w:cs="Arial"/>
          <w:b/>
        </w:rPr>
      </w:pPr>
    </w:p>
    <w:p w14:paraId="68CAC7AE" w14:textId="77777777" w:rsidR="00A25DE7" w:rsidRPr="00745BDD" w:rsidRDefault="00A25DE7" w:rsidP="00680D30">
      <w:pPr>
        <w:spacing w:line="240" w:lineRule="auto"/>
        <w:contextualSpacing/>
        <w:rPr>
          <w:rFonts w:ascii="Arial" w:hAnsi="Arial" w:cs="Arial"/>
          <w:b/>
        </w:rPr>
      </w:pPr>
    </w:p>
    <w:p w14:paraId="465B3BDF" w14:textId="77777777" w:rsidR="00A25DE7" w:rsidRPr="00745BDD" w:rsidRDefault="00A25DE7" w:rsidP="00680D30">
      <w:pPr>
        <w:spacing w:line="240" w:lineRule="auto"/>
        <w:contextualSpacing/>
        <w:rPr>
          <w:rFonts w:ascii="Arial" w:hAnsi="Arial" w:cs="Arial"/>
          <w:b/>
        </w:rPr>
      </w:pPr>
    </w:p>
    <w:p w14:paraId="3514B5CD" w14:textId="77777777" w:rsidR="00A25DE7" w:rsidRPr="00745BDD" w:rsidRDefault="00A25DE7" w:rsidP="00680D30">
      <w:pPr>
        <w:spacing w:line="240" w:lineRule="auto"/>
        <w:contextualSpacing/>
        <w:rPr>
          <w:rFonts w:ascii="Arial" w:hAnsi="Arial" w:cs="Arial"/>
          <w:b/>
        </w:rPr>
      </w:pPr>
    </w:p>
    <w:p w14:paraId="768F4080" w14:textId="77777777" w:rsidR="00A25DE7" w:rsidRPr="00745BDD" w:rsidRDefault="00A25DE7" w:rsidP="00680D30">
      <w:pPr>
        <w:spacing w:line="240" w:lineRule="auto"/>
        <w:contextualSpacing/>
        <w:rPr>
          <w:rFonts w:ascii="Arial" w:hAnsi="Arial" w:cs="Arial"/>
          <w:b/>
        </w:rPr>
      </w:pPr>
    </w:p>
    <w:p w14:paraId="70AA7631" w14:textId="77777777" w:rsidR="00A25DE7" w:rsidRPr="00745BDD" w:rsidRDefault="00A25DE7" w:rsidP="00680D30">
      <w:pPr>
        <w:spacing w:line="240" w:lineRule="auto"/>
        <w:contextualSpacing/>
        <w:rPr>
          <w:rFonts w:ascii="Arial" w:hAnsi="Arial" w:cs="Arial"/>
          <w:b/>
        </w:rPr>
      </w:pPr>
    </w:p>
    <w:p w14:paraId="56853434" w14:textId="77777777" w:rsidR="00A25DE7" w:rsidRPr="00745BDD" w:rsidRDefault="00A25DE7" w:rsidP="00680D30">
      <w:pPr>
        <w:spacing w:line="240" w:lineRule="auto"/>
        <w:contextualSpacing/>
        <w:rPr>
          <w:rFonts w:ascii="Arial" w:hAnsi="Arial" w:cs="Arial"/>
          <w:b/>
        </w:rPr>
      </w:pPr>
    </w:p>
    <w:p w14:paraId="4F309937" w14:textId="77777777" w:rsidR="00A25DE7" w:rsidRPr="00745BDD" w:rsidRDefault="00A25DE7" w:rsidP="00680D30">
      <w:pPr>
        <w:spacing w:line="240" w:lineRule="auto"/>
        <w:contextualSpacing/>
        <w:rPr>
          <w:rFonts w:ascii="Arial" w:hAnsi="Arial" w:cs="Arial"/>
          <w:b/>
        </w:rPr>
      </w:pPr>
    </w:p>
    <w:p w14:paraId="1672A328" w14:textId="77777777" w:rsidR="00A25DE7" w:rsidRPr="00745BDD" w:rsidRDefault="00A25DE7" w:rsidP="00680D30">
      <w:pPr>
        <w:spacing w:line="240" w:lineRule="auto"/>
        <w:contextualSpacing/>
        <w:rPr>
          <w:rFonts w:ascii="Arial" w:hAnsi="Arial" w:cs="Arial"/>
          <w:b/>
        </w:rPr>
      </w:pPr>
    </w:p>
    <w:p w14:paraId="46E9F6A5" w14:textId="77777777" w:rsidR="00A25DE7" w:rsidRPr="00745BDD" w:rsidRDefault="00A25DE7" w:rsidP="00680D30">
      <w:pPr>
        <w:spacing w:line="240" w:lineRule="auto"/>
        <w:contextualSpacing/>
        <w:rPr>
          <w:rFonts w:ascii="Arial" w:hAnsi="Arial" w:cs="Arial"/>
          <w:b/>
        </w:rPr>
      </w:pPr>
    </w:p>
    <w:p w14:paraId="18A7EBDD" w14:textId="77777777" w:rsidR="00A25DE7" w:rsidRPr="00745BDD" w:rsidRDefault="00A25DE7" w:rsidP="00680D30">
      <w:pPr>
        <w:spacing w:line="240" w:lineRule="auto"/>
        <w:contextualSpacing/>
        <w:rPr>
          <w:rFonts w:ascii="Arial" w:hAnsi="Arial" w:cs="Arial"/>
          <w:b/>
        </w:rPr>
      </w:pPr>
    </w:p>
    <w:p w14:paraId="7D10418B" w14:textId="77777777" w:rsidR="00A25DE7" w:rsidRPr="00745BDD" w:rsidRDefault="00A25DE7" w:rsidP="000F4126">
      <w:pPr>
        <w:spacing w:line="240" w:lineRule="auto"/>
        <w:contextualSpacing/>
        <w:rPr>
          <w:rFonts w:ascii="Arial" w:hAnsi="Arial" w:cs="Arial"/>
          <w:b/>
        </w:rPr>
      </w:pPr>
    </w:p>
    <w:p w14:paraId="73AF5D8A" w14:textId="77777777" w:rsidR="00A25DE7" w:rsidRPr="00745BDD" w:rsidRDefault="00A25DE7" w:rsidP="000F4126">
      <w:pPr>
        <w:spacing w:line="240" w:lineRule="auto"/>
        <w:contextualSpacing/>
        <w:rPr>
          <w:rFonts w:ascii="Arial" w:hAnsi="Arial" w:cs="Arial"/>
          <w:sz w:val="28"/>
          <w:u w:val="single"/>
        </w:rPr>
      </w:pPr>
    </w:p>
    <w:p w14:paraId="29A474A4" w14:textId="77777777" w:rsidR="00A25DE7" w:rsidRPr="00745BDD" w:rsidRDefault="00A25DE7" w:rsidP="00866A3C">
      <w:pPr>
        <w:spacing w:line="240" w:lineRule="auto"/>
        <w:contextualSpacing/>
        <w:jc w:val="center"/>
        <w:rPr>
          <w:rFonts w:ascii="Arial" w:hAnsi="Arial" w:cs="Arial"/>
          <w:sz w:val="28"/>
          <w:u w:val="single"/>
        </w:rPr>
      </w:pPr>
    </w:p>
    <w:p w14:paraId="251B74A6" w14:textId="77777777" w:rsidR="00A25DE7" w:rsidRPr="00745BDD" w:rsidRDefault="00A25DE7" w:rsidP="00866A3C">
      <w:pPr>
        <w:spacing w:line="240" w:lineRule="auto"/>
        <w:contextualSpacing/>
        <w:jc w:val="center"/>
        <w:rPr>
          <w:rFonts w:ascii="Arial" w:hAnsi="Arial" w:cs="Arial"/>
          <w:sz w:val="28"/>
          <w:u w:val="single"/>
        </w:rPr>
      </w:pPr>
    </w:p>
    <w:p w14:paraId="2956B935" w14:textId="77777777" w:rsidR="00A25DE7" w:rsidRPr="00745BDD" w:rsidRDefault="00A25DE7" w:rsidP="00BF6542">
      <w:pPr>
        <w:spacing w:line="240" w:lineRule="auto"/>
        <w:contextualSpacing/>
        <w:jc w:val="center"/>
        <w:rPr>
          <w:rFonts w:ascii="Arial" w:hAnsi="Arial" w:cs="Arial"/>
          <w:sz w:val="28"/>
          <w:u w:val="single"/>
        </w:rPr>
      </w:pPr>
      <w:r w:rsidRPr="00745BDD">
        <w:rPr>
          <w:rFonts w:ascii="Arial" w:hAnsi="Arial" w:cs="Arial"/>
          <w:sz w:val="28"/>
          <w:u w:val="single"/>
        </w:rPr>
        <w:lastRenderedPageBreak/>
        <w:t>Conclusion</w:t>
      </w:r>
    </w:p>
    <w:p w14:paraId="7F0BE2DE" w14:textId="77777777" w:rsidR="00A25DE7" w:rsidRPr="00745BDD" w:rsidRDefault="00A25DE7" w:rsidP="00866A3C">
      <w:pPr>
        <w:spacing w:line="240" w:lineRule="auto"/>
        <w:contextualSpacing/>
        <w:jc w:val="center"/>
        <w:rPr>
          <w:rFonts w:ascii="Arial" w:hAnsi="Arial" w:cs="Arial"/>
          <w:sz w:val="28"/>
          <w:u w:val="single"/>
        </w:rPr>
      </w:pPr>
    </w:p>
    <w:p w14:paraId="060B5CD5" w14:textId="77777777" w:rsidR="00A25DE7" w:rsidRDefault="00A25DE7" w:rsidP="00461185">
      <w:pPr>
        <w:spacing w:line="360" w:lineRule="auto"/>
        <w:contextualSpacing/>
        <w:jc w:val="both"/>
        <w:rPr>
          <w:rFonts w:ascii="Arial" w:hAnsi="Arial" w:cs="Arial"/>
          <w:sz w:val="24"/>
          <w:szCs w:val="24"/>
        </w:rPr>
      </w:pPr>
      <w:r>
        <w:rPr>
          <w:rFonts w:ascii="Arial" w:hAnsi="Arial" w:cs="Arial"/>
          <w:sz w:val="24"/>
          <w:szCs w:val="24"/>
        </w:rPr>
        <w:t xml:space="preserve">This thesis in its own way corroborates the founding </w:t>
      </w:r>
      <w:commentRangeStart w:id="234"/>
      <w:r>
        <w:rPr>
          <w:rFonts w:ascii="Arial" w:hAnsi="Arial" w:cs="Arial"/>
          <w:sz w:val="24"/>
          <w:szCs w:val="24"/>
        </w:rPr>
        <w:t>premise of the pan-Babylonian school - to reveal the celestial sky in ancient literature</w:t>
      </w:r>
      <w:commentRangeEnd w:id="234"/>
      <w:r w:rsidR="005F1B58">
        <w:rPr>
          <w:rStyle w:val="CommentReference"/>
        </w:rPr>
        <w:commentReference w:id="234"/>
      </w:r>
      <w:r>
        <w:rPr>
          <w:rFonts w:ascii="Arial" w:hAnsi="Arial" w:cs="Arial"/>
          <w:sz w:val="24"/>
          <w:szCs w:val="24"/>
        </w:rPr>
        <w:t xml:space="preserve">.Whilst Cooley has demonstrated that ‘Mesopotamian literature was highly aware of and fully incorporated then-contemporary celestial-science concepts’, this paper has cautiously extended his conclusion into the </w:t>
      </w:r>
      <w:commentRangeStart w:id="235"/>
      <w:r>
        <w:rPr>
          <w:rFonts w:ascii="Arial" w:hAnsi="Arial" w:cs="Arial"/>
          <w:sz w:val="24"/>
          <w:szCs w:val="24"/>
        </w:rPr>
        <w:t xml:space="preserve">Greek literature of the Homeric </w:t>
      </w:r>
      <w:commentRangeEnd w:id="235"/>
      <w:r w:rsidR="005F1B58">
        <w:rPr>
          <w:rStyle w:val="CommentReference"/>
        </w:rPr>
        <w:commentReference w:id="235"/>
      </w:r>
      <w:r>
        <w:rPr>
          <w:rFonts w:ascii="Arial" w:hAnsi="Arial" w:cs="Arial"/>
          <w:sz w:val="24"/>
          <w:szCs w:val="24"/>
        </w:rPr>
        <w:t>period.</w:t>
      </w:r>
      <w:r>
        <w:rPr>
          <w:rStyle w:val="FootnoteReference"/>
          <w:rFonts w:ascii="Arial" w:hAnsi="Arial" w:cs="Arial"/>
          <w:sz w:val="24"/>
          <w:szCs w:val="24"/>
        </w:rPr>
        <w:footnoteReference w:id="181"/>
      </w:r>
      <w:r>
        <w:rPr>
          <w:rFonts w:ascii="Arial" w:hAnsi="Arial" w:cs="Arial"/>
          <w:sz w:val="24"/>
          <w:szCs w:val="24"/>
        </w:rPr>
        <w:t xml:space="preserve"> The presence of celestial concepts in poetic literature of the Early Archaic period should not be surprising considering the central importance of the night sky in both Mesopotamian and Greek culture. However, whilst Cooley’s conclusions centre primarily on the mantic traditions of the Near East, this thesis has considered the </w:t>
      </w:r>
      <w:commentRangeStart w:id="236"/>
      <w:r>
        <w:rPr>
          <w:rFonts w:ascii="Arial" w:hAnsi="Arial" w:cs="Arial"/>
          <w:sz w:val="24"/>
          <w:szCs w:val="24"/>
        </w:rPr>
        <w:t>broader cosmic knowledge of the ancient world.</w:t>
      </w:r>
      <w:commentRangeEnd w:id="236"/>
      <w:r w:rsidR="005F1B58">
        <w:rPr>
          <w:rStyle w:val="CommentReference"/>
        </w:rPr>
        <w:commentReference w:id="236"/>
      </w:r>
    </w:p>
    <w:p w14:paraId="7CF5065B" w14:textId="77777777" w:rsidR="00A25DE7" w:rsidRDefault="00A25DE7" w:rsidP="00461185">
      <w:pPr>
        <w:spacing w:line="360" w:lineRule="auto"/>
        <w:contextualSpacing/>
        <w:jc w:val="both"/>
        <w:rPr>
          <w:rFonts w:ascii="Arial" w:hAnsi="Arial" w:cs="Arial"/>
          <w:sz w:val="24"/>
          <w:szCs w:val="24"/>
        </w:rPr>
      </w:pPr>
    </w:p>
    <w:p w14:paraId="5F01CCFD" w14:textId="77777777" w:rsidR="00A25DE7" w:rsidRDefault="00A25DE7" w:rsidP="00461185">
      <w:pPr>
        <w:spacing w:line="360" w:lineRule="auto"/>
        <w:contextualSpacing/>
        <w:jc w:val="both"/>
        <w:rPr>
          <w:rFonts w:ascii="Arial" w:hAnsi="Arial" w:cs="Arial"/>
          <w:sz w:val="24"/>
          <w:szCs w:val="24"/>
        </w:rPr>
      </w:pPr>
      <w:r>
        <w:rPr>
          <w:rFonts w:ascii="Arial" w:hAnsi="Arial" w:cs="Arial"/>
          <w:sz w:val="24"/>
          <w:szCs w:val="24"/>
        </w:rPr>
        <w:t xml:space="preserve">This thesis has examined imaginative descriptions of individual constellations and the cosmos at large, solar characteristics and celestial associations of goddesses and heroes, and particular horological literary formulas and tropes across the epics and poetic mythologies of both the Greeks and Babylonians. The consistency and pervasive nature of this celestial content undeniably demonstrates at the very least that the cosmos at both the macro and micro level formed an integral part of the </w:t>
      </w:r>
      <w:commentRangeStart w:id="237"/>
      <w:r>
        <w:rPr>
          <w:rFonts w:ascii="Arial" w:hAnsi="Arial" w:cs="Arial"/>
          <w:sz w:val="24"/>
          <w:szCs w:val="24"/>
        </w:rPr>
        <w:t>world of Homeric narrative</w:t>
      </w:r>
      <w:commentRangeEnd w:id="237"/>
      <w:r w:rsidR="00E40062">
        <w:rPr>
          <w:rStyle w:val="CommentReference"/>
        </w:rPr>
        <w:commentReference w:id="237"/>
      </w:r>
      <w:r>
        <w:rPr>
          <w:rFonts w:ascii="Arial" w:hAnsi="Arial" w:cs="Arial"/>
          <w:sz w:val="24"/>
          <w:szCs w:val="24"/>
        </w:rPr>
        <w:t xml:space="preserve">. That a substantial part of this celestial content has been demonstrated to either originate or mirror the astronomical knowledge conveyed in the literature of the Western Asiatic also contributes to the steady academic destruction of perceived cultural boundaries between the two continents. </w:t>
      </w:r>
    </w:p>
    <w:p w14:paraId="6321F088" w14:textId="77777777" w:rsidR="00A25DE7" w:rsidRDefault="00A25DE7" w:rsidP="00461185">
      <w:pPr>
        <w:spacing w:line="360" w:lineRule="auto"/>
        <w:contextualSpacing/>
        <w:jc w:val="both"/>
        <w:rPr>
          <w:rFonts w:ascii="Arial" w:hAnsi="Arial" w:cs="Arial"/>
          <w:sz w:val="24"/>
          <w:szCs w:val="24"/>
        </w:rPr>
      </w:pPr>
    </w:p>
    <w:p w14:paraId="28157D74" w14:textId="77777777" w:rsidR="00A25DE7" w:rsidRPr="007E406B" w:rsidRDefault="00A25DE7" w:rsidP="00461185">
      <w:pPr>
        <w:spacing w:line="360" w:lineRule="auto"/>
        <w:contextualSpacing/>
        <w:jc w:val="both"/>
        <w:rPr>
          <w:rFonts w:ascii="Arial" w:hAnsi="Arial" w:cs="Arial"/>
          <w:sz w:val="24"/>
          <w:szCs w:val="24"/>
        </w:rPr>
      </w:pPr>
      <w:r>
        <w:rPr>
          <w:rFonts w:ascii="Arial" w:hAnsi="Arial" w:cs="Arial"/>
          <w:sz w:val="24"/>
          <w:szCs w:val="24"/>
        </w:rPr>
        <w:t>Though the limitations of this thesis have prevented a more comprehensive study of the</w:t>
      </w:r>
      <w:commentRangeStart w:id="238"/>
      <w:r>
        <w:rPr>
          <w:rFonts w:ascii="Arial" w:hAnsi="Arial" w:cs="Arial"/>
          <w:sz w:val="24"/>
          <w:szCs w:val="24"/>
        </w:rPr>
        <w:t xml:space="preserve"> constellations, characters, and cosmic structure within the Homeric oeuvre</w:t>
      </w:r>
      <w:commentRangeEnd w:id="238"/>
      <w:r w:rsidR="00E40062">
        <w:rPr>
          <w:rStyle w:val="CommentReference"/>
        </w:rPr>
        <w:commentReference w:id="238"/>
      </w:r>
      <w:r>
        <w:rPr>
          <w:rFonts w:ascii="Arial" w:hAnsi="Arial" w:cs="Arial"/>
          <w:sz w:val="24"/>
          <w:szCs w:val="24"/>
        </w:rPr>
        <w:t xml:space="preserve">, it is hoped that future research may extend the premises and conclusions of this paper. Additionally, an attempt should be made in future to consider ancient interpretations of the celestial features of Homer – specifically the Neoplatonic belief in the spiritual cosmic journey which Homer allegorised through the Odyssean saga. Finally it is hoped that the </w:t>
      </w:r>
      <w:commentRangeStart w:id="239"/>
      <w:r>
        <w:rPr>
          <w:rFonts w:ascii="Arial" w:hAnsi="Arial" w:cs="Arial"/>
          <w:sz w:val="24"/>
          <w:szCs w:val="24"/>
        </w:rPr>
        <w:t>cross-cultural neo-pan-</w:t>
      </w:r>
      <w:r>
        <w:rPr>
          <w:rFonts w:ascii="Arial" w:hAnsi="Arial" w:cs="Arial"/>
          <w:sz w:val="24"/>
          <w:szCs w:val="24"/>
        </w:rPr>
        <w:lastRenderedPageBreak/>
        <w:t>Babylonian</w:t>
      </w:r>
      <w:commentRangeEnd w:id="239"/>
      <w:r w:rsidR="00367539">
        <w:rPr>
          <w:rStyle w:val="CommentReference"/>
        </w:rPr>
        <w:commentReference w:id="239"/>
      </w:r>
      <w:r>
        <w:rPr>
          <w:rFonts w:ascii="Arial" w:hAnsi="Arial" w:cs="Arial"/>
          <w:sz w:val="24"/>
          <w:szCs w:val="24"/>
        </w:rPr>
        <w:t xml:space="preserve"> approach to ancient literature which manifests in this thesis makes an appearance in other classical research and education.</w:t>
      </w:r>
    </w:p>
    <w:p w14:paraId="5B7AA222" w14:textId="77777777" w:rsidR="00A25DE7" w:rsidRPr="00745BDD" w:rsidRDefault="00A25DE7" w:rsidP="00866A3C">
      <w:pPr>
        <w:spacing w:line="240" w:lineRule="auto"/>
        <w:contextualSpacing/>
        <w:jc w:val="both"/>
        <w:rPr>
          <w:rFonts w:ascii="Arial" w:hAnsi="Arial" w:cs="Arial"/>
          <w:sz w:val="23"/>
          <w:szCs w:val="23"/>
        </w:rPr>
      </w:pPr>
    </w:p>
    <w:p w14:paraId="0AAAC7C6" w14:textId="77777777" w:rsidR="00A25DE7" w:rsidRPr="00745BDD" w:rsidRDefault="00A25DE7" w:rsidP="00866A3C">
      <w:pPr>
        <w:spacing w:line="240" w:lineRule="auto"/>
        <w:contextualSpacing/>
        <w:jc w:val="both"/>
        <w:rPr>
          <w:rFonts w:ascii="Arial" w:hAnsi="Arial" w:cs="Arial"/>
          <w:sz w:val="23"/>
          <w:szCs w:val="23"/>
        </w:rPr>
      </w:pPr>
    </w:p>
    <w:p w14:paraId="54BEAD1A" w14:textId="77777777" w:rsidR="00A25DE7" w:rsidRPr="00745BDD" w:rsidRDefault="00A25DE7" w:rsidP="00866A3C">
      <w:pPr>
        <w:spacing w:line="240" w:lineRule="auto"/>
        <w:contextualSpacing/>
        <w:jc w:val="both"/>
        <w:rPr>
          <w:rFonts w:ascii="Arial" w:hAnsi="Arial" w:cs="Arial"/>
          <w:sz w:val="23"/>
          <w:szCs w:val="23"/>
        </w:rPr>
      </w:pPr>
    </w:p>
    <w:p w14:paraId="3203A4CC" w14:textId="77777777" w:rsidR="00A25DE7" w:rsidRPr="00745BDD" w:rsidRDefault="00A25DE7" w:rsidP="00866A3C">
      <w:pPr>
        <w:spacing w:line="240" w:lineRule="auto"/>
        <w:contextualSpacing/>
        <w:jc w:val="both"/>
        <w:rPr>
          <w:rFonts w:ascii="Arial" w:hAnsi="Arial" w:cs="Arial"/>
          <w:sz w:val="23"/>
          <w:szCs w:val="23"/>
        </w:rPr>
      </w:pPr>
    </w:p>
    <w:p w14:paraId="50D60498" w14:textId="77777777" w:rsidR="00A25DE7" w:rsidRPr="00745BDD" w:rsidRDefault="00A25DE7" w:rsidP="00866A3C">
      <w:pPr>
        <w:spacing w:line="240" w:lineRule="auto"/>
        <w:contextualSpacing/>
        <w:jc w:val="both"/>
        <w:rPr>
          <w:rFonts w:ascii="Arial" w:hAnsi="Arial" w:cs="Arial"/>
          <w:sz w:val="23"/>
          <w:szCs w:val="23"/>
        </w:rPr>
      </w:pPr>
    </w:p>
    <w:p w14:paraId="3D7B16EE" w14:textId="77777777" w:rsidR="00A25DE7" w:rsidRPr="00745BDD" w:rsidRDefault="00A25DE7" w:rsidP="00866A3C">
      <w:pPr>
        <w:spacing w:line="240" w:lineRule="auto"/>
        <w:contextualSpacing/>
        <w:jc w:val="both"/>
        <w:rPr>
          <w:rFonts w:ascii="Arial" w:hAnsi="Arial" w:cs="Arial"/>
          <w:sz w:val="23"/>
          <w:szCs w:val="23"/>
        </w:rPr>
      </w:pPr>
    </w:p>
    <w:p w14:paraId="362B8EE4" w14:textId="77777777" w:rsidR="00A25DE7" w:rsidRPr="00745BDD" w:rsidRDefault="00A25DE7" w:rsidP="00866A3C">
      <w:pPr>
        <w:spacing w:line="240" w:lineRule="auto"/>
        <w:contextualSpacing/>
        <w:jc w:val="both"/>
        <w:rPr>
          <w:rFonts w:ascii="Arial" w:hAnsi="Arial" w:cs="Arial"/>
          <w:sz w:val="23"/>
          <w:szCs w:val="23"/>
        </w:rPr>
      </w:pPr>
    </w:p>
    <w:p w14:paraId="40157FEB" w14:textId="77777777" w:rsidR="00A25DE7" w:rsidRPr="00745BDD" w:rsidRDefault="00A25DE7" w:rsidP="00866A3C">
      <w:pPr>
        <w:spacing w:line="240" w:lineRule="auto"/>
        <w:contextualSpacing/>
        <w:jc w:val="both"/>
        <w:rPr>
          <w:rFonts w:ascii="Arial" w:hAnsi="Arial" w:cs="Arial"/>
          <w:sz w:val="23"/>
          <w:szCs w:val="23"/>
        </w:rPr>
      </w:pPr>
    </w:p>
    <w:p w14:paraId="13D931F7" w14:textId="77777777" w:rsidR="00A25DE7" w:rsidRPr="00745BDD" w:rsidRDefault="00A25DE7" w:rsidP="00866A3C">
      <w:pPr>
        <w:spacing w:line="240" w:lineRule="auto"/>
        <w:contextualSpacing/>
        <w:jc w:val="both"/>
        <w:rPr>
          <w:rFonts w:ascii="Arial" w:hAnsi="Arial" w:cs="Arial"/>
          <w:sz w:val="23"/>
          <w:szCs w:val="23"/>
        </w:rPr>
      </w:pPr>
    </w:p>
    <w:p w14:paraId="0E5E912C" w14:textId="77777777" w:rsidR="00A25DE7" w:rsidRPr="00745BDD" w:rsidRDefault="00A25DE7" w:rsidP="00866A3C">
      <w:pPr>
        <w:spacing w:line="240" w:lineRule="auto"/>
        <w:contextualSpacing/>
        <w:jc w:val="both"/>
        <w:rPr>
          <w:rFonts w:ascii="Arial" w:hAnsi="Arial" w:cs="Arial"/>
          <w:sz w:val="23"/>
          <w:szCs w:val="23"/>
        </w:rPr>
      </w:pPr>
    </w:p>
    <w:p w14:paraId="5CF4008D" w14:textId="77777777" w:rsidR="00A25DE7" w:rsidRPr="00745BDD" w:rsidRDefault="00A25DE7" w:rsidP="00313F86">
      <w:pPr>
        <w:spacing w:line="240" w:lineRule="auto"/>
        <w:contextualSpacing/>
        <w:jc w:val="center"/>
        <w:rPr>
          <w:rFonts w:ascii="Arial" w:hAnsi="Arial" w:cs="Arial"/>
          <w:sz w:val="23"/>
          <w:szCs w:val="23"/>
        </w:rPr>
      </w:pPr>
    </w:p>
    <w:p w14:paraId="17C60A93" w14:textId="77777777" w:rsidR="00A25DE7" w:rsidRPr="00745BDD" w:rsidRDefault="00A25DE7" w:rsidP="00313F86">
      <w:pPr>
        <w:spacing w:line="240" w:lineRule="auto"/>
        <w:contextualSpacing/>
        <w:jc w:val="center"/>
        <w:rPr>
          <w:rFonts w:ascii="Arial" w:hAnsi="Arial" w:cs="Arial"/>
          <w:sz w:val="23"/>
          <w:szCs w:val="23"/>
        </w:rPr>
      </w:pPr>
    </w:p>
    <w:p w14:paraId="23906BB7" w14:textId="77777777" w:rsidR="00A25DE7" w:rsidRPr="00745BDD" w:rsidRDefault="00A25DE7" w:rsidP="00313F86">
      <w:pPr>
        <w:spacing w:line="240" w:lineRule="auto"/>
        <w:contextualSpacing/>
        <w:jc w:val="center"/>
        <w:rPr>
          <w:rFonts w:ascii="Arial" w:hAnsi="Arial" w:cs="Arial"/>
          <w:sz w:val="23"/>
          <w:szCs w:val="23"/>
        </w:rPr>
      </w:pPr>
    </w:p>
    <w:p w14:paraId="76811BCD" w14:textId="77777777" w:rsidR="00A25DE7" w:rsidRPr="00745BDD" w:rsidRDefault="00A25DE7" w:rsidP="00313F86">
      <w:pPr>
        <w:spacing w:line="240" w:lineRule="auto"/>
        <w:contextualSpacing/>
        <w:jc w:val="center"/>
        <w:rPr>
          <w:rFonts w:ascii="Arial" w:hAnsi="Arial" w:cs="Arial"/>
          <w:sz w:val="23"/>
          <w:szCs w:val="23"/>
        </w:rPr>
      </w:pPr>
    </w:p>
    <w:p w14:paraId="52147CE2" w14:textId="77777777" w:rsidR="00A25DE7" w:rsidRPr="00745BDD" w:rsidRDefault="00A25DE7" w:rsidP="00313F86">
      <w:pPr>
        <w:spacing w:line="240" w:lineRule="auto"/>
        <w:contextualSpacing/>
        <w:jc w:val="center"/>
        <w:rPr>
          <w:rFonts w:ascii="Arial" w:hAnsi="Arial" w:cs="Arial"/>
          <w:sz w:val="23"/>
          <w:szCs w:val="23"/>
        </w:rPr>
      </w:pPr>
    </w:p>
    <w:p w14:paraId="7707DC37" w14:textId="77777777" w:rsidR="00A25DE7" w:rsidRPr="00745BDD" w:rsidRDefault="00A25DE7" w:rsidP="00313F86">
      <w:pPr>
        <w:spacing w:line="240" w:lineRule="auto"/>
        <w:contextualSpacing/>
        <w:jc w:val="center"/>
        <w:rPr>
          <w:rFonts w:ascii="Arial" w:hAnsi="Arial" w:cs="Arial"/>
          <w:sz w:val="23"/>
          <w:szCs w:val="23"/>
        </w:rPr>
      </w:pPr>
    </w:p>
    <w:p w14:paraId="03981C53" w14:textId="77777777" w:rsidR="00A25DE7" w:rsidRPr="00745BDD" w:rsidRDefault="00A25DE7" w:rsidP="00313F86">
      <w:pPr>
        <w:spacing w:line="240" w:lineRule="auto"/>
        <w:contextualSpacing/>
        <w:jc w:val="center"/>
        <w:rPr>
          <w:rFonts w:ascii="Arial" w:hAnsi="Arial" w:cs="Arial"/>
          <w:sz w:val="23"/>
          <w:szCs w:val="23"/>
        </w:rPr>
      </w:pPr>
    </w:p>
    <w:p w14:paraId="7D8356D1" w14:textId="77777777" w:rsidR="00A25DE7" w:rsidRPr="00745BDD" w:rsidRDefault="00A25DE7" w:rsidP="00313F86">
      <w:pPr>
        <w:spacing w:line="240" w:lineRule="auto"/>
        <w:contextualSpacing/>
        <w:jc w:val="center"/>
        <w:rPr>
          <w:rFonts w:ascii="Arial" w:hAnsi="Arial" w:cs="Arial"/>
          <w:sz w:val="23"/>
          <w:szCs w:val="23"/>
        </w:rPr>
      </w:pPr>
    </w:p>
    <w:p w14:paraId="32A698BF" w14:textId="77777777" w:rsidR="00A25DE7" w:rsidRPr="00745BDD" w:rsidRDefault="00A25DE7" w:rsidP="00313F86">
      <w:pPr>
        <w:spacing w:line="240" w:lineRule="auto"/>
        <w:contextualSpacing/>
        <w:jc w:val="center"/>
        <w:rPr>
          <w:rFonts w:ascii="Arial" w:hAnsi="Arial" w:cs="Arial"/>
          <w:sz w:val="23"/>
          <w:szCs w:val="23"/>
        </w:rPr>
      </w:pPr>
    </w:p>
    <w:p w14:paraId="3C3EA4F0" w14:textId="77777777" w:rsidR="00A25DE7" w:rsidRPr="00745BDD" w:rsidRDefault="00A25DE7" w:rsidP="00313F86">
      <w:pPr>
        <w:spacing w:line="240" w:lineRule="auto"/>
        <w:contextualSpacing/>
        <w:jc w:val="center"/>
        <w:rPr>
          <w:rFonts w:ascii="Arial" w:hAnsi="Arial" w:cs="Arial"/>
          <w:sz w:val="23"/>
          <w:szCs w:val="23"/>
        </w:rPr>
      </w:pPr>
    </w:p>
    <w:p w14:paraId="4A4A64F4" w14:textId="77777777" w:rsidR="00A25DE7" w:rsidRPr="00745BDD" w:rsidRDefault="00A25DE7" w:rsidP="00313F86">
      <w:pPr>
        <w:spacing w:line="240" w:lineRule="auto"/>
        <w:contextualSpacing/>
        <w:jc w:val="center"/>
        <w:rPr>
          <w:rFonts w:ascii="Arial" w:hAnsi="Arial" w:cs="Arial"/>
          <w:sz w:val="23"/>
          <w:szCs w:val="23"/>
        </w:rPr>
      </w:pPr>
    </w:p>
    <w:p w14:paraId="230FAF59" w14:textId="77777777" w:rsidR="00A25DE7" w:rsidRPr="00745BDD" w:rsidRDefault="00A25DE7" w:rsidP="00313F86">
      <w:pPr>
        <w:spacing w:line="240" w:lineRule="auto"/>
        <w:contextualSpacing/>
        <w:jc w:val="center"/>
        <w:rPr>
          <w:rFonts w:ascii="Arial" w:hAnsi="Arial" w:cs="Arial"/>
          <w:sz w:val="23"/>
          <w:szCs w:val="23"/>
        </w:rPr>
      </w:pPr>
    </w:p>
    <w:p w14:paraId="2BC6A07B" w14:textId="77777777" w:rsidR="00A25DE7" w:rsidRPr="00745BDD" w:rsidRDefault="00A25DE7" w:rsidP="00313F86">
      <w:pPr>
        <w:spacing w:line="240" w:lineRule="auto"/>
        <w:contextualSpacing/>
        <w:jc w:val="center"/>
        <w:rPr>
          <w:rFonts w:ascii="Arial" w:hAnsi="Arial" w:cs="Arial"/>
          <w:sz w:val="23"/>
          <w:szCs w:val="23"/>
        </w:rPr>
      </w:pPr>
    </w:p>
    <w:p w14:paraId="7E075C88" w14:textId="77777777" w:rsidR="00A25DE7" w:rsidRPr="00745BDD" w:rsidRDefault="00A25DE7" w:rsidP="00313F86">
      <w:pPr>
        <w:spacing w:line="240" w:lineRule="auto"/>
        <w:contextualSpacing/>
        <w:jc w:val="center"/>
        <w:rPr>
          <w:rFonts w:ascii="Arial" w:hAnsi="Arial" w:cs="Arial"/>
          <w:sz w:val="23"/>
          <w:szCs w:val="23"/>
        </w:rPr>
      </w:pPr>
    </w:p>
    <w:p w14:paraId="7B75C30A" w14:textId="77777777" w:rsidR="00A25DE7" w:rsidRPr="00745BDD" w:rsidRDefault="00A25DE7" w:rsidP="00313F86">
      <w:pPr>
        <w:spacing w:line="240" w:lineRule="auto"/>
        <w:contextualSpacing/>
        <w:jc w:val="center"/>
        <w:rPr>
          <w:rFonts w:ascii="Arial" w:hAnsi="Arial" w:cs="Arial"/>
          <w:sz w:val="23"/>
          <w:szCs w:val="23"/>
        </w:rPr>
      </w:pPr>
    </w:p>
    <w:p w14:paraId="6FC85DBA" w14:textId="77777777" w:rsidR="00A25DE7" w:rsidRPr="00745BDD" w:rsidRDefault="00A25DE7" w:rsidP="00313F86">
      <w:pPr>
        <w:spacing w:line="240" w:lineRule="auto"/>
        <w:contextualSpacing/>
        <w:jc w:val="center"/>
        <w:rPr>
          <w:rFonts w:ascii="Arial" w:hAnsi="Arial" w:cs="Arial"/>
          <w:sz w:val="23"/>
          <w:szCs w:val="23"/>
        </w:rPr>
      </w:pPr>
    </w:p>
    <w:p w14:paraId="74C09597" w14:textId="77777777" w:rsidR="00A25DE7" w:rsidRPr="00745BDD" w:rsidRDefault="00A25DE7" w:rsidP="00313F86">
      <w:pPr>
        <w:spacing w:line="240" w:lineRule="auto"/>
        <w:contextualSpacing/>
        <w:jc w:val="center"/>
        <w:rPr>
          <w:rFonts w:ascii="Arial" w:hAnsi="Arial" w:cs="Arial"/>
          <w:sz w:val="23"/>
          <w:szCs w:val="23"/>
        </w:rPr>
      </w:pPr>
    </w:p>
    <w:p w14:paraId="1B37A6C9" w14:textId="77777777" w:rsidR="00A25DE7" w:rsidRPr="00745BDD" w:rsidRDefault="00A25DE7" w:rsidP="00313F86">
      <w:pPr>
        <w:spacing w:line="240" w:lineRule="auto"/>
        <w:contextualSpacing/>
        <w:jc w:val="center"/>
        <w:rPr>
          <w:rFonts w:ascii="Arial" w:hAnsi="Arial" w:cs="Arial"/>
          <w:sz w:val="23"/>
          <w:szCs w:val="23"/>
        </w:rPr>
      </w:pPr>
    </w:p>
    <w:p w14:paraId="41063A45" w14:textId="77777777" w:rsidR="00A25DE7" w:rsidRPr="00745BDD" w:rsidRDefault="00A25DE7" w:rsidP="00313F86">
      <w:pPr>
        <w:spacing w:line="240" w:lineRule="auto"/>
        <w:contextualSpacing/>
        <w:jc w:val="center"/>
        <w:rPr>
          <w:rFonts w:ascii="Arial" w:hAnsi="Arial" w:cs="Arial"/>
          <w:sz w:val="23"/>
          <w:szCs w:val="23"/>
        </w:rPr>
      </w:pPr>
    </w:p>
    <w:p w14:paraId="26F64D53" w14:textId="77777777" w:rsidR="00A25DE7" w:rsidRPr="00745BDD" w:rsidRDefault="00A25DE7" w:rsidP="00313F86">
      <w:pPr>
        <w:spacing w:line="240" w:lineRule="auto"/>
        <w:contextualSpacing/>
        <w:jc w:val="center"/>
        <w:rPr>
          <w:rFonts w:ascii="Arial" w:hAnsi="Arial" w:cs="Arial"/>
          <w:sz w:val="23"/>
          <w:szCs w:val="23"/>
        </w:rPr>
      </w:pPr>
    </w:p>
    <w:p w14:paraId="52011DFA" w14:textId="77777777" w:rsidR="00A25DE7" w:rsidRPr="00745BDD" w:rsidRDefault="00A25DE7" w:rsidP="00313F86">
      <w:pPr>
        <w:spacing w:line="240" w:lineRule="auto"/>
        <w:contextualSpacing/>
        <w:jc w:val="center"/>
        <w:rPr>
          <w:rFonts w:ascii="Arial" w:hAnsi="Arial" w:cs="Arial"/>
          <w:sz w:val="23"/>
          <w:szCs w:val="23"/>
        </w:rPr>
      </w:pPr>
    </w:p>
    <w:p w14:paraId="0FE7DBD6" w14:textId="77777777" w:rsidR="00A25DE7" w:rsidRPr="00745BDD" w:rsidRDefault="00A25DE7" w:rsidP="00313F86">
      <w:pPr>
        <w:spacing w:line="240" w:lineRule="auto"/>
        <w:contextualSpacing/>
        <w:jc w:val="center"/>
        <w:rPr>
          <w:rFonts w:ascii="Arial" w:hAnsi="Arial" w:cs="Arial"/>
          <w:sz w:val="23"/>
          <w:szCs w:val="23"/>
        </w:rPr>
      </w:pPr>
    </w:p>
    <w:p w14:paraId="4CE95651" w14:textId="77777777" w:rsidR="00A25DE7" w:rsidRPr="00745BDD" w:rsidRDefault="00A25DE7" w:rsidP="00313F86">
      <w:pPr>
        <w:spacing w:line="240" w:lineRule="auto"/>
        <w:contextualSpacing/>
        <w:jc w:val="center"/>
        <w:rPr>
          <w:rFonts w:ascii="Arial" w:hAnsi="Arial" w:cs="Arial"/>
          <w:sz w:val="23"/>
          <w:szCs w:val="23"/>
        </w:rPr>
      </w:pPr>
    </w:p>
    <w:p w14:paraId="2EA13665" w14:textId="77777777" w:rsidR="00A25DE7" w:rsidRPr="00745BDD" w:rsidRDefault="00A25DE7" w:rsidP="00313F86">
      <w:pPr>
        <w:spacing w:line="240" w:lineRule="auto"/>
        <w:contextualSpacing/>
        <w:jc w:val="center"/>
        <w:rPr>
          <w:rFonts w:ascii="Arial" w:hAnsi="Arial" w:cs="Arial"/>
          <w:sz w:val="23"/>
          <w:szCs w:val="23"/>
        </w:rPr>
      </w:pPr>
    </w:p>
    <w:p w14:paraId="79B099C7" w14:textId="77777777" w:rsidR="00A25DE7" w:rsidRPr="00745BDD" w:rsidRDefault="00A25DE7" w:rsidP="00313F86">
      <w:pPr>
        <w:spacing w:line="240" w:lineRule="auto"/>
        <w:contextualSpacing/>
        <w:jc w:val="center"/>
        <w:rPr>
          <w:rFonts w:ascii="Arial" w:hAnsi="Arial" w:cs="Arial"/>
          <w:sz w:val="23"/>
          <w:szCs w:val="23"/>
        </w:rPr>
      </w:pPr>
    </w:p>
    <w:p w14:paraId="07086660" w14:textId="77777777" w:rsidR="00A25DE7" w:rsidRPr="00745BDD" w:rsidRDefault="00A25DE7" w:rsidP="00313F86">
      <w:pPr>
        <w:spacing w:line="240" w:lineRule="auto"/>
        <w:contextualSpacing/>
        <w:jc w:val="center"/>
        <w:rPr>
          <w:rFonts w:ascii="Arial" w:hAnsi="Arial" w:cs="Arial"/>
          <w:sz w:val="23"/>
          <w:szCs w:val="23"/>
        </w:rPr>
      </w:pPr>
    </w:p>
    <w:p w14:paraId="684C26BF" w14:textId="77777777" w:rsidR="00A25DE7" w:rsidRPr="00745BDD" w:rsidRDefault="00A25DE7" w:rsidP="00313F86">
      <w:pPr>
        <w:spacing w:line="240" w:lineRule="auto"/>
        <w:contextualSpacing/>
        <w:jc w:val="center"/>
        <w:rPr>
          <w:rFonts w:ascii="Arial" w:hAnsi="Arial" w:cs="Arial"/>
          <w:sz w:val="23"/>
          <w:szCs w:val="23"/>
        </w:rPr>
      </w:pPr>
    </w:p>
    <w:p w14:paraId="4C775E3A" w14:textId="77777777" w:rsidR="00A25DE7" w:rsidRPr="00745BDD" w:rsidRDefault="00A25DE7" w:rsidP="001A168E">
      <w:pPr>
        <w:spacing w:line="240" w:lineRule="auto"/>
        <w:contextualSpacing/>
        <w:rPr>
          <w:rFonts w:ascii="Arial" w:hAnsi="Arial" w:cs="Arial"/>
          <w:sz w:val="23"/>
          <w:szCs w:val="23"/>
        </w:rPr>
      </w:pPr>
    </w:p>
    <w:p w14:paraId="1A66C60B" w14:textId="77777777" w:rsidR="00A25DE7" w:rsidRPr="00745BDD" w:rsidRDefault="00A25DE7" w:rsidP="001A168E">
      <w:pPr>
        <w:spacing w:line="240" w:lineRule="auto"/>
        <w:contextualSpacing/>
        <w:rPr>
          <w:rFonts w:ascii="Arial" w:hAnsi="Arial" w:cs="Arial"/>
          <w:sz w:val="23"/>
          <w:szCs w:val="23"/>
        </w:rPr>
      </w:pPr>
    </w:p>
    <w:p w14:paraId="73C847D8" w14:textId="77777777" w:rsidR="00A25DE7" w:rsidRPr="00745BDD" w:rsidRDefault="00A25DE7" w:rsidP="001A168E">
      <w:pPr>
        <w:spacing w:line="240" w:lineRule="auto"/>
        <w:contextualSpacing/>
        <w:rPr>
          <w:rFonts w:ascii="Arial" w:hAnsi="Arial" w:cs="Arial"/>
          <w:sz w:val="23"/>
          <w:szCs w:val="23"/>
        </w:rPr>
      </w:pPr>
    </w:p>
    <w:p w14:paraId="65791DFB" w14:textId="77777777" w:rsidR="00A25DE7" w:rsidRDefault="00A25DE7" w:rsidP="00313F86">
      <w:pPr>
        <w:spacing w:line="240" w:lineRule="auto"/>
        <w:contextualSpacing/>
        <w:jc w:val="center"/>
        <w:rPr>
          <w:rFonts w:ascii="Arial" w:hAnsi="Arial" w:cs="Arial"/>
          <w:sz w:val="23"/>
          <w:szCs w:val="23"/>
        </w:rPr>
      </w:pPr>
    </w:p>
    <w:p w14:paraId="72801167" w14:textId="77777777" w:rsidR="00A25DE7" w:rsidRDefault="00A25DE7" w:rsidP="00313F86">
      <w:pPr>
        <w:spacing w:line="240" w:lineRule="auto"/>
        <w:contextualSpacing/>
        <w:jc w:val="center"/>
        <w:rPr>
          <w:rFonts w:ascii="Arial" w:hAnsi="Arial" w:cs="Arial"/>
          <w:sz w:val="23"/>
          <w:szCs w:val="23"/>
        </w:rPr>
      </w:pPr>
    </w:p>
    <w:p w14:paraId="362899D9" w14:textId="77777777" w:rsidR="00A25DE7" w:rsidRDefault="00A25DE7" w:rsidP="00313F86">
      <w:pPr>
        <w:spacing w:line="240" w:lineRule="auto"/>
        <w:contextualSpacing/>
        <w:jc w:val="center"/>
        <w:rPr>
          <w:rFonts w:ascii="Arial" w:hAnsi="Arial" w:cs="Arial"/>
          <w:sz w:val="23"/>
          <w:szCs w:val="23"/>
        </w:rPr>
      </w:pPr>
    </w:p>
    <w:p w14:paraId="4EA2F65E" w14:textId="77777777" w:rsidR="00A25DE7" w:rsidRDefault="00A25DE7" w:rsidP="00313F86">
      <w:pPr>
        <w:spacing w:line="240" w:lineRule="auto"/>
        <w:contextualSpacing/>
        <w:jc w:val="center"/>
        <w:rPr>
          <w:rFonts w:ascii="Arial" w:hAnsi="Arial" w:cs="Arial"/>
          <w:sz w:val="23"/>
          <w:szCs w:val="23"/>
        </w:rPr>
      </w:pPr>
    </w:p>
    <w:p w14:paraId="5CD25A80" w14:textId="77777777" w:rsidR="00A25DE7" w:rsidRDefault="00A25DE7" w:rsidP="00313F86">
      <w:pPr>
        <w:spacing w:line="240" w:lineRule="auto"/>
        <w:contextualSpacing/>
        <w:jc w:val="center"/>
        <w:rPr>
          <w:rFonts w:ascii="Arial" w:hAnsi="Arial" w:cs="Arial"/>
          <w:sz w:val="23"/>
          <w:szCs w:val="23"/>
        </w:rPr>
      </w:pPr>
    </w:p>
    <w:p w14:paraId="0CE6BEFD" w14:textId="77777777" w:rsidR="00A25DE7" w:rsidRDefault="00A25DE7" w:rsidP="00313F86">
      <w:pPr>
        <w:spacing w:line="240" w:lineRule="auto"/>
        <w:contextualSpacing/>
        <w:jc w:val="center"/>
        <w:rPr>
          <w:rFonts w:ascii="Arial" w:hAnsi="Arial" w:cs="Arial"/>
          <w:sz w:val="23"/>
          <w:szCs w:val="23"/>
        </w:rPr>
      </w:pPr>
    </w:p>
    <w:p w14:paraId="0B39A543" w14:textId="77777777" w:rsidR="00A25DE7" w:rsidRDefault="00A25DE7" w:rsidP="00313F86">
      <w:pPr>
        <w:spacing w:line="240" w:lineRule="auto"/>
        <w:contextualSpacing/>
        <w:jc w:val="center"/>
        <w:rPr>
          <w:rFonts w:ascii="Arial" w:hAnsi="Arial" w:cs="Arial"/>
          <w:sz w:val="23"/>
          <w:szCs w:val="23"/>
        </w:rPr>
      </w:pPr>
    </w:p>
    <w:p w14:paraId="3D85BB67" w14:textId="77777777" w:rsidR="00A25DE7" w:rsidRDefault="00A25DE7" w:rsidP="00313F86">
      <w:pPr>
        <w:spacing w:line="240" w:lineRule="auto"/>
        <w:contextualSpacing/>
        <w:jc w:val="center"/>
        <w:rPr>
          <w:rFonts w:ascii="Arial" w:hAnsi="Arial" w:cs="Arial"/>
          <w:sz w:val="23"/>
          <w:szCs w:val="23"/>
        </w:rPr>
      </w:pPr>
    </w:p>
    <w:p w14:paraId="4E7343DF" w14:textId="77777777" w:rsidR="00A25DE7" w:rsidRPr="00745BDD" w:rsidRDefault="00A25DE7" w:rsidP="00313F86">
      <w:pPr>
        <w:spacing w:line="240" w:lineRule="auto"/>
        <w:contextualSpacing/>
        <w:jc w:val="center"/>
        <w:rPr>
          <w:rFonts w:ascii="Arial" w:hAnsi="Arial" w:cs="Arial"/>
          <w:sz w:val="23"/>
          <w:szCs w:val="23"/>
        </w:rPr>
      </w:pPr>
    </w:p>
    <w:p w14:paraId="36FF999B" w14:textId="77777777" w:rsidR="00A25DE7" w:rsidRPr="00745BDD" w:rsidRDefault="00A25DE7" w:rsidP="00DF697F">
      <w:pPr>
        <w:spacing w:line="240" w:lineRule="auto"/>
        <w:contextualSpacing/>
        <w:rPr>
          <w:rFonts w:ascii="Arial" w:hAnsi="Arial" w:cs="Arial"/>
          <w:sz w:val="28"/>
          <w:u w:val="single"/>
        </w:rPr>
        <w:sectPr w:rsidR="00A25DE7" w:rsidRPr="00745BDD" w:rsidSect="005C34D4">
          <w:footnotePr>
            <w:numRestart w:val="eachSect"/>
          </w:footnotePr>
          <w:pgSz w:w="11906" w:h="16838"/>
          <w:pgMar w:top="1440" w:right="1133" w:bottom="1440" w:left="2268" w:header="708" w:footer="708" w:gutter="0"/>
          <w:pgNumType w:start="1"/>
          <w:cols w:space="708"/>
          <w:docGrid w:linePitch="360"/>
        </w:sectPr>
      </w:pPr>
    </w:p>
    <w:p w14:paraId="06B48FC0" w14:textId="77777777" w:rsidR="00A25DE7" w:rsidRPr="00745BDD" w:rsidRDefault="00A25DE7" w:rsidP="00313F86">
      <w:pPr>
        <w:spacing w:line="240" w:lineRule="auto"/>
        <w:ind w:left="720"/>
        <w:contextualSpacing/>
        <w:jc w:val="center"/>
        <w:rPr>
          <w:rFonts w:ascii="Arial" w:hAnsi="Arial" w:cs="Arial"/>
          <w:sz w:val="28"/>
          <w:u w:val="single"/>
        </w:rPr>
      </w:pPr>
      <w:r w:rsidRPr="00745BDD">
        <w:rPr>
          <w:rFonts w:ascii="Arial" w:hAnsi="Arial" w:cs="Arial"/>
          <w:sz w:val="28"/>
          <w:u w:val="single"/>
        </w:rPr>
        <w:lastRenderedPageBreak/>
        <w:t>APPENDICES</w:t>
      </w:r>
    </w:p>
    <w:p w14:paraId="57FB7451" w14:textId="77777777" w:rsidR="00A25DE7" w:rsidRPr="00745BDD" w:rsidRDefault="00A25DE7" w:rsidP="00313F86">
      <w:pPr>
        <w:spacing w:line="240" w:lineRule="auto"/>
        <w:contextualSpacing/>
        <w:jc w:val="center"/>
        <w:rPr>
          <w:rFonts w:ascii="Arial" w:hAnsi="Arial" w:cs="Arial"/>
          <w:sz w:val="24"/>
        </w:rPr>
      </w:pPr>
    </w:p>
    <w:p w14:paraId="64AA30C6" w14:textId="77777777" w:rsidR="00A25DE7" w:rsidRPr="00745BDD" w:rsidRDefault="00A25DE7" w:rsidP="00313F86">
      <w:pPr>
        <w:spacing w:line="240" w:lineRule="auto"/>
        <w:contextualSpacing/>
        <w:jc w:val="center"/>
        <w:rPr>
          <w:rFonts w:ascii="Arial" w:hAnsi="Arial" w:cs="Arial"/>
          <w:sz w:val="24"/>
        </w:rPr>
      </w:pPr>
    </w:p>
    <w:p w14:paraId="701E049A" w14:textId="77777777" w:rsidR="00A25DE7" w:rsidRPr="00745BDD" w:rsidRDefault="00A25DE7" w:rsidP="008A17A4">
      <w:pPr>
        <w:tabs>
          <w:tab w:val="left" w:pos="1800"/>
        </w:tabs>
        <w:spacing w:line="240" w:lineRule="auto"/>
        <w:contextualSpacing/>
        <w:jc w:val="both"/>
        <w:rPr>
          <w:rFonts w:ascii="Arial" w:hAnsi="Arial" w:cs="Arial"/>
          <w:b/>
          <w:sz w:val="24"/>
        </w:rPr>
      </w:pPr>
      <w:r w:rsidRPr="00745BDD">
        <w:rPr>
          <w:rFonts w:ascii="Arial" w:hAnsi="Arial" w:cs="Arial"/>
          <w:b/>
          <w:sz w:val="24"/>
        </w:rPr>
        <w:t>Appendix One: Marduk’s creation of the cosmos from Tiamat’s body</w:t>
      </w:r>
    </w:p>
    <w:p w14:paraId="4AA37EA2" w14:textId="77777777" w:rsidR="00A25DE7" w:rsidRDefault="00A25DE7" w:rsidP="00BC7EC6">
      <w:pPr>
        <w:spacing w:line="240" w:lineRule="auto"/>
        <w:contextualSpacing/>
        <w:jc w:val="both"/>
        <w:rPr>
          <w:rFonts w:ascii="Arial" w:hAnsi="Arial" w:cs="Arial"/>
        </w:rPr>
      </w:pPr>
      <w:r w:rsidRPr="00260F96">
        <w:rPr>
          <w:rFonts w:ascii="Arial" w:hAnsi="Arial" w:cs="Arial"/>
          <w:i/>
        </w:rPr>
        <w:t xml:space="preserve">EnumaElish (The Epic of Creation) </w:t>
      </w:r>
      <w:r w:rsidRPr="00260F96">
        <w:rPr>
          <w:rFonts w:ascii="Arial" w:hAnsi="Arial" w:cs="Arial"/>
        </w:rPr>
        <w:t>Tablet IV lines 137-155 – Tablet V lines 1-22.</w:t>
      </w:r>
      <w:r w:rsidRPr="00260F96">
        <w:rPr>
          <w:rStyle w:val="FootnoteReference"/>
          <w:rFonts w:ascii="Arial" w:hAnsi="Arial" w:cs="Arial"/>
        </w:rPr>
        <w:footnoteReference w:id="182"/>
      </w:r>
    </w:p>
    <w:p w14:paraId="7D3DDBE6" w14:textId="77777777" w:rsidR="00A25DE7" w:rsidRPr="00260F96" w:rsidRDefault="00A25DE7" w:rsidP="00BC7EC6">
      <w:pPr>
        <w:spacing w:line="240" w:lineRule="auto"/>
        <w:contextualSpacing/>
        <w:jc w:val="both"/>
        <w:rPr>
          <w:rFonts w:ascii="Arial" w:hAnsi="Arial" w:cs="Arial"/>
        </w:rPr>
      </w:pPr>
    </w:p>
    <w:p w14:paraId="4929F898" w14:textId="77777777" w:rsidR="00A25DE7" w:rsidRPr="00745BDD" w:rsidRDefault="00A25DE7" w:rsidP="00BC7EC6">
      <w:pPr>
        <w:spacing w:line="240" w:lineRule="auto"/>
        <w:contextualSpacing/>
        <w:jc w:val="both"/>
        <w:rPr>
          <w:rFonts w:ascii="Arial" w:hAnsi="Arial" w:cs="Arial"/>
          <w:sz w:val="24"/>
        </w:rPr>
      </w:pPr>
      <w:r w:rsidRPr="00745BDD">
        <w:rPr>
          <w:rFonts w:ascii="Arial" w:hAnsi="Arial" w:cs="Arial"/>
          <w:sz w:val="24"/>
        </w:rPr>
        <w:t xml:space="preserve">Source: Pritchard, J. P (1969) (ed.) </w:t>
      </w:r>
      <w:r w:rsidRPr="00745BDD">
        <w:rPr>
          <w:rFonts w:ascii="Arial" w:hAnsi="Arial" w:cs="Arial"/>
          <w:i/>
          <w:sz w:val="24"/>
        </w:rPr>
        <w:t>Ancient Near Eastern Texts Relating to the Old Testament</w:t>
      </w:r>
      <w:r w:rsidRPr="00745BDD">
        <w:rPr>
          <w:rFonts w:ascii="Arial" w:hAnsi="Arial" w:cs="Arial"/>
          <w:sz w:val="24"/>
        </w:rPr>
        <w:t xml:space="preserve"> Princeton: Princeton University Press: 67-68.</w:t>
      </w:r>
    </w:p>
    <w:p w14:paraId="6A32CABD" w14:textId="77777777" w:rsidR="00A25DE7" w:rsidRPr="00745BDD" w:rsidRDefault="00A25DE7" w:rsidP="00BC7EC6">
      <w:pPr>
        <w:spacing w:line="240" w:lineRule="auto"/>
        <w:contextualSpacing/>
        <w:jc w:val="both"/>
        <w:rPr>
          <w:rFonts w:ascii="Arial" w:hAnsi="Arial" w:cs="Arial"/>
          <w:sz w:val="24"/>
        </w:rPr>
      </w:pPr>
    </w:p>
    <w:p w14:paraId="3998A79A"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Then the lord [Marduk] paused to view her [Tiamat’s] dead body,</w:t>
      </w:r>
    </w:p>
    <w:p w14:paraId="30628AD9"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 xml:space="preserve">That he might divide the monster and do artful works. </w:t>
      </w:r>
    </w:p>
    <w:p w14:paraId="4F7580BF"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He split her like a shellfish into two parts:</w:t>
      </w:r>
    </w:p>
    <w:p w14:paraId="69D8F806"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Half of her he set up and ceiled it as sky,</w:t>
      </w:r>
    </w:p>
    <w:p w14:paraId="43AFF9D0"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Pulled down the bar and posted guards.</w:t>
      </w:r>
    </w:p>
    <w:p w14:paraId="510F6F29"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He bade them not to allow her waters to escape,</w:t>
      </w:r>
      <w:r w:rsidRPr="00BF6542">
        <w:rPr>
          <w:rStyle w:val="FootnoteReference"/>
          <w:rFonts w:ascii="Arial" w:hAnsi="Arial" w:cs="Arial"/>
        </w:rPr>
        <w:footnoteReference w:id="183"/>
      </w:r>
    </w:p>
    <w:p w14:paraId="5828667D"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He crossed the heavens and surveyed the regions.</w:t>
      </w:r>
    </w:p>
    <w:p w14:paraId="20F0A726"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He squared Apsu’s quarter, the bode of Nidimmud,</w:t>
      </w:r>
    </w:p>
    <w:p w14:paraId="4B491932"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As the lord measured the dimensions of Apsu.</w:t>
      </w:r>
    </w:p>
    <w:p w14:paraId="4E587C70"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The Great Abode, its likeness, he fixed as Esharra,</w:t>
      </w:r>
    </w:p>
    <w:p w14:paraId="33AAB665"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The Great Abode, Esharra, which he made as the firmament.</w:t>
      </w:r>
    </w:p>
    <w:p w14:paraId="37241523"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Anu, Enlil, Ea he made occupy their places.</w:t>
      </w:r>
      <w:r w:rsidRPr="00BF6542">
        <w:rPr>
          <w:rStyle w:val="FootnoteReference"/>
          <w:rFonts w:ascii="Arial" w:hAnsi="Arial" w:cs="Arial"/>
        </w:rPr>
        <w:footnoteReference w:id="184"/>
      </w:r>
    </w:p>
    <w:p w14:paraId="7E4BAE63"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He constructed stations for the great gods,</w:t>
      </w:r>
    </w:p>
    <w:p w14:paraId="386E0187"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Fixing their likenesses as constellations.</w:t>
      </w:r>
    </w:p>
    <w:p w14:paraId="6F3D71BB"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He determined the year by designating the zones:</w:t>
      </w:r>
    </w:p>
    <w:p w14:paraId="2340FD09"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He set up three constellations for each of the twelve months.</w:t>
      </w:r>
    </w:p>
    <w:p w14:paraId="0F37FD8B"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After defining the days of the year [by means] of (heavenly) figures,</w:t>
      </w:r>
    </w:p>
    <w:p w14:paraId="7206649B"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He founded the station of Nebiru to determine their (heavenly) bands,</w:t>
      </w:r>
    </w:p>
    <w:p w14:paraId="7A4E8777"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That none might transgress or fall short.</w:t>
      </w:r>
    </w:p>
    <w:p w14:paraId="31AFD57F"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Alongside it he set up the stations of Enlil and Ea.</w:t>
      </w:r>
    </w:p>
    <w:p w14:paraId="419E26F4"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Having opened up the gates on both sides,</w:t>
      </w:r>
    </w:p>
    <w:p w14:paraId="6B4932DC"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He strengthened the locks to the left and the right.</w:t>
      </w:r>
    </w:p>
    <w:p w14:paraId="7231020D"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In her belly he established the zenith.</w:t>
      </w:r>
    </w:p>
    <w:p w14:paraId="5D28AEB9"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The Moon he caused to shine, the night (to Him) entrusting.</w:t>
      </w:r>
    </w:p>
    <w:p w14:paraId="7CC3CEBD"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He appointed him a creature of the night to signify the days:</w:t>
      </w:r>
    </w:p>
    <w:p w14:paraId="7EDF1933"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“Monthly, without cease, form designs with a crown.</w:t>
      </w:r>
    </w:p>
    <w:p w14:paraId="4FD6B323"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At the month’s very start, rising over the land,</w:t>
      </w:r>
    </w:p>
    <w:p w14:paraId="7AA3180F"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Thou shalt have luminous horns to signify six days.</w:t>
      </w:r>
    </w:p>
    <w:p w14:paraId="5DDEE930"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On the seventh day be thou a [half]-crown.</w:t>
      </w:r>
    </w:p>
    <w:p w14:paraId="4BA4CC73"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At full moon stand in opposition in mid-month.</w:t>
      </w:r>
    </w:p>
    <w:p w14:paraId="0C4434D7"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When the sun [overtakes] thee at the base of heaven,</w:t>
      </w:r>
    </w:p>
    <w:p w14:paraId="2FABE683"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Diminish [thy crown] and retrogress in light.</w:t>
      </w:r>
    </w:p>
    <w:p w14:paraId="70B6F139"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[At the time of disappearance] approach thou the course of the sun,</w:t>
      </w:r>
    </w:p>
    <w:p w14:paraId="35511C68" w14:textId="77777777" w:rsidR="00A25DE7" w:rsidRPr="00BF6542" w:rsidRDefault="00A25DE7" w:rsidP="00BC7EC6">
      <w:pPr>
        <w:spacing w:line="240" w:lineRule="auto"/>
        <w:contextualSpacing/>
        <w:jc w:val="both"/>
        <w:rPr>
          <w:rFonts w:ascii="Arial" w:hAnsi="Arial" w:cs="Arial"/>
        </w:rPr>
      </w:pPr>
      <w:r w:rsidRPr="00BF6542">
        <w:rPr>
          <w:rFonts w:ascii="Arial" w:hAnsi="Arial" w:cs="Arial"/>
        </w:rPr>
        <w:t>And [on the twenty-ninth] thou shalt again stand in opposition to the sun.”</w:t>
      </w:r>
    </w:p>
    <w:p w14:paraId="03BB8FA3" w14:textId="77777777" w:rsidR="00A25DE7" w:rsidRDefault="00A25DE7" w:rsidP="001A168E">
      <w:pPr>
        <w:spacing w:line="240" w:lineRule="auto"/>
        <w:contextualSpacing/>
        <w:jc w:val="both"/>
        <w:rPr>
          <w:rFonts w:ascii="Arial" w:hAnsi="Arial" w:cs="Arial"/>
          <w:b/>
          <w:sz w:val="24"/>
        </w:rPr>
      </w:pPr>
    </w:p>
    <w:p w14:paraId="4D820920" w14:textId="77777777" w:rsidR="00A25DE7" w:rsidRDefault="00A25DE7" w:rsidP="001A168E">
      <w:pPr>
        <w:spacing w:line="240" w:lineRule="auto"/>
        <w:contextualSpacing/>
        <w:jc w:val="both"/>
        <w:rPr>
          <w:rFonts w:ascii="Arial" w:hAnsi="Arial" w:cs="Arial"/>
          <w:b/>
          <w:sz w:val="24"/>
        </w:rPr>
      </w:pPr>
    </w:p>
    <w:p w14:paraId="10A4F136" w14:textId="77777777" w:rsidR="00A25DE7" w:rsidRDefault="00A25DE7" w:rsidP="001A168E">
      <w:pPr>
        <w:spacing w:line="240" w:lineRule="auto"/>
        <w:contextualSpacing/>
        <w:jc w:val="both"/>
        <w:rPr>
          <w:rFonts w:ascii="Arial" w:hAnsi="Arial" w:cs="Arial"/>
          <w:b/>
          <w:sz w:val="24"/>
        </w:rPr>
      </w:pPr>
    </w:p>
    <w:p w14:paraId="22C65D44" w14:textId="77777777" w:rsidR="00A25DE7" w:rsidRPr="00745BDD" w:rsidRDefault="00A25DE7" w:rsidP="001A168E">
      <w:pPr>
        <w:spacing w:line="240" w:lineRule="auto"/>
        <w:contextualSpacing/>
        <w:jc w:val="both"/>
        <w:rPr>
          <w:rFonts w:ascii="Arial" w:hAnsi="Arial" w:cs="Arial"/>
          <w:b/>
          <w:sz w:val="24"/>
        </w:rPr>
      </w:pPr>
      <w:r w:rsidRPr="00745BDD">
        <w:rPr>
          <w:rFonts w:ascii="Arial" w:hAnsi="Arial" w:cs="Arial"/>
          <w:b/>
          <w:sz w:val="24"/>
        </w:rPr>
        <w:t>Appendix Two: Representations of Ishtar with a lion</w:t>
      </w:r>
    </w:p>
    <w:p w14:paraId="2EF4B978" w14:textId="77777777" w:rsidR="00A25DE7" w:rsidRPr="00745BDD" w:rsidRDefault="005B3668" w:rsidP="001A168E">
      <w:pPr>
        <w:spacing w:line="240" w:lineRule="auto"/>
        <w:contextualSpacing/>
        <w:jc w:val="both"/>
        <w:rPr>
          <w:rFonts w:ascii="Arial" w:hAnsi="Arial" w:cs="Arial"/>
          <w:b/>
          <w:sz w:val="24"/>
        </w:rPr>
      </w:pPr>
      <w:r>
        <w:rPr>
          <w:noProof/>
          <w:lang w:val="en-US"/>
        </w:rPr>
        <w:lastRenderedPageBreak/>
        <w:pict w14:anchorId="28CA933C">
          <v:shape id="Picture 2" o:spid="_x0000_s1026" type="#_x0000_t75" style="position:absolute;left:0;text-align:left;margin-left:-.15pt;margin-top:13.75pt;width:161.25pt;height:242.95pt;z-index:1;visibility:visible">
            <v:imagedata r:id="rId12" o:title=""/>
            <w10:wrap type="square"/>
          </v:shape>
        </w:pict>
      </w:r>
    </w:p>
    <w:p w14:paraId="7D7BFA2B" w14:textId="77777777" w:rsidR="00A25DE7" w:rsidRPr="00745BDD" w:rsidRDefault="00A25DE7" w:rsidP="001A168E">
      <w:pPr>
        <w:spacing w:line="240" w:lineRule="auto"/>
        <w:contextualSpacing/>
        <w:jc w:val="both"/>
        <w:rPr>
          <w:rFonts w:ascii="Arial" w:hAnsi="Arial" w:cs="Arial"/>
          <w:sz w:val="24"/>
        </w:rPr>
      </w:pPr>
    </w:p>
    <w:p w14:paraId="18395210" w14:textId="77777777" w:rsidR="00A25DE7" w:rsidRPr="00745BDD" w:rsidRDefault="00A25DE7" w:rsidP="001A168E">
      <w:pPr>
        <w:spacing w:line="240" w:lineRule="auto"/>
        <w:contextualSpacing/>
        <w:jc w:val="both"/>
        <w:rPr>
          <w:rFonts w:ascii="Arial" w:hAnsi="Arial" w:cs="Arial"/>
          <w:i/>
          <w:iCs/>
          <w:sz w:val="24"/>
        </w:rPr>
      </w:pPr>
      <w:r w:rsidRPr="00745BDD">
        <w:rPr>
          <w:rFonts w:ascii="Arial" w:hAnsi="Arial" w:cs="Arial"/>
          <w:i/>
          <w:iCs/>
          <w:sz w:val="24"/>
        </w:rPr>
        <w:t xml:space="preserve">Figure 1(left): Assyrian warrior goddess Ishtar of Arbela, identified from an inscription on the stone. Fully armed, she stands on her growling lion, which she controls with a rope. Her cylindrical horned crown is topped with a star-rosette. </w:t>
      </w:r>
    </w:p>
    <w:p w14:paraId="6A0DEED3" w14:textId="77777777" w:rsidR="00A25DE7" w:rsidRPr="00745BDD" w:rsidRDefault="00A25DE7" w:rsidP="001A168E">
      <w:pPr>
        <w:spacing w:line="240" w:lineRule="auto"/>
        <w:contextualSpacing/>
        <w:jc w:val="both"/>
        <w:rPr>
          <w:rFonts w:ascii="Arial" w:hAnsi="Arial" w:cs="Arial"/>
          <w:i/>
          <w:iCs/>
          <w:sz w:val="24"/>
        </w:rPr>
      </w:pPr>
      <w:r w:rsidRPr="00745BDD">
        <w:rPr>
          <w:rFonts w:ascii="Arial" w:hAnsi="Arial" w:cs="Arial"/>
          <w:i/>
          <w:iCs/>
          <w:sz w:val="24"/>
        </w:rPr>
        <w:t>Stone stele from Tel-Barsip in north-east Syria.</w:t>
      </w:r>
    </w:p>
    <w:p w14:paraId="33900BA4" w14:textId="77777777" w:rsidR="00A25DE7" w:rsidRPr="00745BDD" w:rsidRDefault="00A25DE7" w:rsidP="001A168E">
      <w:pPr>
        <w:spacing w:line="240" w:lineRule="auto"/>
        <w:contextualSpacing/>
        <w:jc w:val="both"/>
        <w:rPr>
          <w:rFonts w:ascii="Arial" w:hAnsi="Arial" w:cs="Arial"/>
          <w:i/>
          <w:iCs/>
          <w:sz w:val="24"/>
        </w:rPr>
      </w:pPr>
      <w:r w:rsidRPr="00745BDD">
        <w:rPr>
          <w:rFonts w:ascii="Arial" w:hAnsi="Arial" w:cs="Arial"/>
          <w:i/>
          <w:iCs/>
          <w:sz w:val="24"/>
        </w:rPr>
        <w:t>Dated ca. 8</w:t>
      </w:r>
      <w:r w:rsidRPr="00745BDD">
        <w:rPr>
          <w:rFonts w:ascii="Arial" w:hAnsi="Arial" w:cs="Arial"/>
          <w:i/>
          <w:iCs/>
          <w:sz w:val="24"/>
          <w:vertAlign w:val="superscript"/>
        </w:rPr>
        <w:t>th</w:t>
      </w:r>
      <w:r w:rsidRPr="00745BDD">
        <w:rPr>
          <w:rFonts w:ascii="Arial" w:hAnsi="Arial" w:cs="Arial"/>
          <w:i/>
          <w:iCs/>
          <w:sz w:val="24"/>
        </w:rPr>
        <w:t xml:space="preserve"> century BCE.</w:t>
      </w:r>
    </w:p>
    <w:p w14:paraId="381B5723" w14:textId="77777777" w:rsidR="00A25DE7" w:rsidRPr="00745BDD" w:rsidRDefault="00A25DE7" w:rsidP="001A168E">
      <w:pPr>
        <w:spacing w:line="240" w:lineRule="auto"/>
        <w:contextualSpacing/>
        <w:jc w:val="both"/>
        <w:rPr>
          <w:rFonts w:ascii="Arial" w:hAnsi="Arial" w:cs="Arial"/>
          <w:sz w:val="24"/>
        </w:rPr>
      </w:pPr>
    </w:p>
    <w:p w14:paraId="0BEABB46" w14:textId="77777777" w:rsidR="00A25DE7" w:rsidRPr="00745BDD" w:rsidRDefault="00A25DE7" w:rsidP="001A168E">
      <w:pPr>
        <w:spacing w:line="240" w:lineRule="auto"/>
        <w:contextualSpacing/>
        <w:jc w:val="both"/>
        <w:rPr>
          <w:rFonts w:ascii="Arial" w:hAnsi="Arial" w:cs="Arial"/>
          <w:sz w:val="24"/>
        </w:rPr>
      </w:pPr>
    </w:p>
    <w:p w14:paraId="471F32F0" w14:textId="77777777" w:rsidR="00A25DE7" w:rsidRPr="00745BDD" w:rsidRDefault="00A25DE7" w:rsidP="001A168E">
      <w:pPr>
        <w:spacing w:line="240" w:lineRule="auto"/>
        <w:contextualSpacing/>
        <w:jc w:val="both"/>
        <w:rPr>
          <w:rFonts w:ascii="Arial" w:hAnsi="Arial" w:cs="Arial"/>
          <w:sz w:val="24"/>
        </w:rPr>
      </w:pPr>
      <w:r w:rsidRPr="00745BDD">
        <w:rPr>
          <w:rFonts w:ascii="Arial" w:hAnsi="Arial" w:cs="Arial"/>
          <w:sz w:val="24"/>
        </w:rPr>
        <w:t>Image Source: drawing by S. Beaulieu, 2008 after Pritchard, J. B.(1969) (ed.) </w:t>
      </w:r>
      <w:r w:rsidRPr="00745BDD">
        <w:rPr>
          <w:rFonts w:ascii="Arial" w:hAnsi="Arial" w:cs="Arial"/>
          <w:i/>
          <w:iCs/>
          <w:sz w:val="24"/>
        </w:rPr>
        <w:t>Ancient Near Eastern Texts Relating to the Old Testament: Third Edition with Supplement</w:t>
      </w:r>
      <w:r w:rsidRPr="00745BDD">
        <w:rPr>
          <w:rFonts w:ascii="Arial" w:hAnsi="Arial" w:cs="Arial"/>
          <w:sz w:val="24"/>
        </w:rPr>
        <w:t>Princeton: Princeton University Press: 177, plate 522.</w:t>
      </w:r>
    </w:p>
    <w:p w14:paraId="12F1F81B" w14:textId="77777777" w:rsidR="00A25DE7" w:rsidRPr="00745BDD" w:rsidRDefault="00A25DE7" w:rsidP="00313F86">
      <w:pPr>
        <w:spacing w:line="240" w:lineRule="auto"/>
        <w:contextualSpacing/>
        <w:jc w:val="both"/>
        <w:rPr>
          <w:rFonts w:ascii="Arial" w:hAnsi="Arial" w:cs="Arial"/>
          <w:b/>
          <w:sz w:val="24"/>
        </w:rPr>
      </w:pPr>
    </w:p>
    <w:p w14:paraId="67C7F242" w14:textId="77777777" w:rsidR="00A25DE7" w:rsidRPr="00745BDD" w:rsidRDefault="00A25DE7" w:rsidP="00313F86">
      <w:pPr>
        <w:spacing w:line="240" w:lineRule="auto"/>
        <w:contextualSpacing/>
        <w:jc w:val="both"/>
        <w:rPr>
          <w:rFonts w:ascii="Arial" w:hAnsi="Arial" w:cs="Arial"/>
          <w:b/>
          <w:sz w:val="24"/>
        </w:rPr>
      </w:pPr>
    </w:p>
    <w:p w14:paraId="7CA5AEA1" w14:textId="77777777" w:rsidR="00A25DE7" w:rsidRPr="00745BDD" w:rsidRDefault="005B3668" w:rsidP="00313F86">
      <w:pPr>
        <w:spacing w:line="240" w:lineRule="auto"/>
        <w:contextualSpacing/>
        <w:jc w:val="both"/>
        <w:rPr>
          <w:rFonts w:ascii="Arial" w:hAnsi="Arial" w:cs="Arial"/>
          <w:b/>
          <w:sz w:val="24"/>
        </w:rPr>
      </w:pPr>
      <w:r>
        <w:rPr>
          <w:noProof/>
          <w:lang w:val="en-US"/>
        </w:rPr>
        <w:pict w14:anchorId="7E7F24C8">
          <v:shape id="Picture 5" o:spid="_x0000_s1027" type="#_x0000_t75" style="position:absolute;left:0;text-align:left;margin-left:0;margin-top:.1pt;width:344.8pt;height:214.95pt;z-index:4;visibility:visible;mso-position-horizontal:center;mso-position-horizontal-relative:margin">
            <v:imagedata r:id="rId13" o:title=""/>
            <w10:wrap type="square" anchorx="margin"/>
          </v:shape>
        </w:pict>
      </w:r>
    </w:p>
    <w:p w14:paraId="7B2962D3" w14:textId="77777777" w:rsidR="00A25DE7" w:rsidRPr="00745BDD" w:rsidRDefault="00A25DE7" w:rsidP="00313F86">
      <w:pPr>
        <w:spacing w:line="240" w:lineRule="auto"/>
        <w:contextualSpacing/>
        <w:jc w:val="both"/>
        <w:rPr>
          <w:rFonts w:ascii="Arial" w:hAnsi="Arial" w:cs="Arial"/>
          <w:b/>
          <w:sz w:val="24"/>
        </w:rPr>
      </w:pPr>
    </w:p>
    <w:p w14:paraId="7DC14118" w14:textId="77777777" w:rsidR="00A25DE7" w:rsidRPr="00745BDD" w:rsidRDefault="00A25DE7" w:rsidP="00313F86">
      <w:pPr>
        <w:spacing w:line="240" w:lineRule="auto"/>
        <w:contextualSpacing/>
        <w:jc w:val="both"/>
        <w:rPr>
          <w:rFonts w:ascii="Arial" w:hAnsi="Arial" w:cs="Arial"/>
          <w:b/>
          <w:sz w:val="24"/>
        </w:rPr>
      </w:pPr>
    </w:p>
    <w:p w14:paraId="79EB2D14" w14:textId="77777777" w:rsidR="00A25DE7" w:rsidRPr="00745BDD" w:rsidRDefault="00A25DE7" w:rsidP="00313F86">
      <w:pPr>
        <w:spacing w:line="240" w:lineRule="auto"/>
        <w:contextualSpacing/>
        <w:jc w:val="both"/>
        <w:rPr>
          <w:rFonts w:ascii="Arial" w:hAnsi="Arial" w:cs="Arial"/>
          <w:b/>
          <w:sz w:val="24"/>
        </w:rPr>
      </w:pPr>
    </w:p>
    <w:p w14:paraId="4E2D3FBE" w14:textId="77777777" w:rsidR="00A25DE7" w:rsidRPr="00745BDD" w:rsidRDefault="00A25DE7" w:rsidP="00313F86">
      <w:pPr>
        <w:spacing w:line="240" w:lineRule="auto"/>
        <w:contextualSpacing/>
        <w:jc w:val="both"/>
        <w:rPr>
          <w:rFonts w:ascii="Arial" w:hAnsi="Arial" w:cs="Arial"/>
          <w:b/>
          <w:sz w:val="24"/>
        </w:rPr>
      </w:pPr>
    </w:p>
    <w:p w14:paraId="38F33005" w14:textId="77777777" w:rsidR="00A25DE7" w:rsidRPr="00745BDD" w:rsidRDefault="00A25DE7" w:rsidP="00313F86">
      <w:pPr>
        <w:spacing w:line="240" w:lineRule="auto"/>
        <w:contextualSpacing/>
        <w:jc w:val="both"/>
        <w:rPr>
          <w:rFonts w:ascii="Arial" w:hAnsi="Arial" w:cs="Arial"/>
          <w:b/>
          <w:sz w:val="24"/>
        </w:rPr>
      </w:pPr>
    </w:p>
    <w:p w14:paraId="6485FB0B" w14:textId="77777777" w:rsidR="00A25DE7" w:rsidRPr="00745BDD" w:rsidRDefault="00A25DE7" w:rsidP="00313F86">
      <w:pPr>
        <w:spacing w:line="240" w:lineRule="auto"/>
        <w:contextualSpacing/>
        <w:jc w:val="both"/>
        <w:rPr>
          <w:rFonts w:ascii="Arial" w:hAnsi="Arial" w:cs="Arial"/>
          <w:b/>
          <w:sz w:val="24"/>
        </w:rPr>
      </w:pPr>
    </w:p>
    <w:p w14:paraId="02FCBCED" w14:textId="77777777" w:rsidR="00A25DE7" w:rsidRPr="00745BDD" w:rsidRDefault="00A25DE7" w:rsidP="00313F86">
      <w:pPr>
        <w:spacing w:line="240" w:lineRule="auto"/>
        <w:contextualSpacing/>
        <w:jc w:val="both"/>
        <w:rPr>
          <w:rFonts w:ascii="Arial" w:hAnsi="Arial" w:cs="Arial"/>
          <w:b/>
          <w:sz w:val="24"/>
        </w:rPr>
      </w:pPr>
    </w:p>
    <w:p w14:paraId="34E8811A" w14:textId="77777777" w:rsidR="00A25DE7" w:rsidRPr="00745BDD" w:rsidRDefault="00A25DE7" w:rsidP="00313F86">
      <w:pPr>
        <w:spacing w:line="240" w:lineRule="auto"/>
        <w:contextualSpacing/>
        <w:jc w:val="both"/>
        <w:rPr>
          <w:rFonts w:ascii="Arial" w:hAnsi="Arial" w:cs="Arial"/>
          <w:b/>
          <w:sz w:val="24"/>
        </w:rPr>
      </w:pPr>
    </w:p>
    <w:p w14:paraId="56AD9458" w14:textId="77777777" w:rsidR="00A25DE7" w:rsidRPr="00745BDD" w:rsidRDefault="00A25DE7" w:rsidP="00313F86">
      <w:pPr>
        <w:spacing w:line="240" w:lineRule="auto"/>
        <w:contextualSpacing/>
        <w:jc w:val="both"/>
        <w:rPr>
          <w:rFonts w:ascii="Arial" w:hAnsi="Arial" w:cs="Arial"/>
          <w:b/>
          <w:sz w:val="24"/>
        </w:rPr>
      </w:pPr>
    </w:p>
    <w:p w14:paraId="5C20D2E7" w14:textId="77777777" w:rsidR="00A25DE7" w:rsidRPr="00745BDD" w:rsidRDefault="00A25DE7" w:rsidP="00313F86">
      <w:pPr>
        <w:spacing w:line="240" w:lineRule="auto"/>
        <w:contextualSpacing/>
        <w:jc w:val="both"/>
        <w:rPr>
          <w:rFonts w:ascii="Arial" w:hAnsi="Arial" w:cs="Arial"/>
          <w:b/>
          <w:sz w:val="24"/>
        </w:rPr>
      </w:pPr>
    </w:p>
    <w:p w14:paraId="7247C713" w14:textId="77777777" w:rsidR="00A25DE7" w:rsidRPr="00745BDD" w:rsidRDefault="00A25DE7" w:rsidP="00313F86">
      <w:pPr>
        <w:spacing w:line="240" w:lineRule="auto"/>
        <w:contextualSpacing/>
        <w:jc w:val="both"/>
        <w:rPr>
          <w:rFonts w:ascii="Arial" w:hAnsi="Arial" w:cs="Arial"/>
          <w:b/>
          <w:sz w:val="24"/>
        </w:rPr>
      </w:pPr>
    </w:p>
    <w:p w14:paraId="46AD17F7" w14:textId="77777777" w:rsidR="00A25DE7" w:rsidRPr="00745BDD" w:rsidRDefault="00A25DE7" w:rsidP="00313F86">
      <w:pPr>
        <w:spacing w:line="240" w:lineRule="auto"/>
        <w:contextualSpacing/>
        <w:jc w:val="both"/>
        <w:rPr>
          <w:rFonts w:ascii="Arial" w:hAnsi="Arial" w:cs="Arial"/>
          <w:b/>
          <w:sz w:val="24"/>
        </w:rPr>
      </w:pPr>
    </w:p>
    <w:p w14:paraId="797D4681" w14:textId="77777777" w:rsidR="00A25DE7" w:rsidRPr="00745BDD" w:rsidRDefault="00A25DE7" w:rsidP="00313F86">
      <w:pPr>
        <w:spacing w:line="240" w:lineRule="auto"/>
        <w:contextualSpacing/>
        <w:jc w:val="both"/>
        <w:rPr>
          <w:rFonts w:ascii="Arial" w:hAnsi="Arial" w:cs="Arial"/>
          <w:b/>
          <w:sz w:val="24"/>
        </w:rPr>
      </w:pPr>
    </w:p>
    <w:p w14:paraId="5606B2A8" w14:textId="77777777" w:rsidR="00A25DE7" w:rsidRPr="00745BDD" w:rsidRDefault="00A25DE7" w:rsidP="00313F86">
      <w:pPr>
        <w:spacing w:line="240" w:lineRule="auto"/>
        <w:contextualSpacing/>
        <w:jc w:val="both"/>
        <w:rPr>
          <w:rFonts w:ascii="Arial" w:hAnsi="Arial" w:cs="Arial"/>
          <w:b/>
          <w:sz w:val="24"/>
        </w:rPr>
      </w:pPr>
    </w:p>
    <w:p w14:paraId="5A00B12B" w14:textId="77777777" w:rsidR="00A25DE7" w:rsidRPr="00745BDD" w:rsidRDefault="00A25DE7" w:rsidP="00313F86">
      <w:pPr>
        <w:spacing w:line="240" w:lineRule="auto"/>
        <w:contextualSpacing/>
        <w:jc w:val="both"/>
        <w:rPr>
          <w:rFonts w:ascii="Arial" w:hAnsi="Arial" w:cs="Arial"/>
          <w:b/>
          <w:sz w:val="24"/>
        </w:rPr>
      </w:pPr>
    </w:p>
    <w:p w14:paraId="6799AC2A" w14:textId="77777777" w:rsidR="00A25DE7" w:rsidRPr="00745BDD" w:rsidRDefault="00A25DE7" w:rsidP="00313F86">
      <w:pPr>
        <w:spacing w:line="240" w:lineRule="auto"/>
        <w:contextualSpacing/>
        <w:jc w:val="both"/>
        <w:rPr>
          <w:rFonts w:ascii="Arial" w:hAnsi="Arial" w:cs="Arial"/>
          <w:b/>
          <w:sz w:val="24"/>
        </w:rPr>
      </w:pPr>
    </w:p>
    <w:p w14:paraId="0D6EB688" w14:textId="77777777" w:rsidR="00A25DE7" w:rsidRPr="00745BDD" w:rsidRDefault="00A25DE7" w:rsidP="00313F86">
      <w:pPr>
        <w:spacing w:line="240" w:lineRule="auto"/>
        <w:contextualSpacing/>
        <w:jc w:val="both"/>
        <w:rPr>
          <w:rFonts w:ascii="Arial" w:hAnsi="Arial" w:cs="Arial"/>
          <w:i/>
          <w:sz w:val="24"/>
        </w:rPr>
      </w:pPr>
      <w:r w:rsidRPr="00745BDD">
        <w:rPr>
          <w:rFonts w:ascii="Arial" w:hAnsi="Arial" w:cs="Arial"/>
          <w:i/>
          <w:sz w:val="24"/>
        </w:rPr>
        <w:t xml:space="preserve">Figure 2 (above): </w:t>
      </w:r>
      <w:r w:rsidRPr="00745BDD">
        <w:rPr>
          <w:rFonts w:ascii="Arial" w:hAnsi="Arial" w:cs="Arial"/>
          <w:i/>
          <w:iCs/>
          <w:sz w:val="24"/>
        </w:rPr>
        <w:t>Ishtar, fully armed, stands on her sacred lion. An eight-pointed star, one of her symbols, adorns her elaborate crown. Her forward-striding leg reveals her warrior's kilt. A worshipper stands before her. Behind her is a sacred date palm, with two rampant gazelles uncharacteristically posed opposite each other.</w:t>
      </w:r>
      <w:r w:rsidRPr="00745BDD">
        <w:rPr>
          <w:rFonts w:ascii="Arial" w:hAnsi="Arial" w:cs="Arial"/>
          <w:i/>
          <w:iCs/>
          <w:sz w:val="24"/>
        </w:rPr>
        <w:br/>
        <w:t>Impression of a Neo-Assyrian seal dated ca. 750-650 BCE. British Museum.</w:t>
      </w:r>
      <w:r w:rsidRPr="00745BDD">
        <w:rPr>
          <w:rFonts w:ascii="Arial" w:hAnsi="Arial" w:cs="Arial"/>
          <w:i/>
          <w:sz w:val="24"/>
        </w:rPr>
        <w:br/>
      </w:r>
    </w:p>
    <w:p w14:paraId="6B5D28C4" w14:textId="77777777" w:rsidR="00A25DE7" w:rsidRPr="00745BDD" w:rsidRDefault="00A25DE7" w:rsidP="00313F86">
      <w:pPr>
        <w:spacing w:line="240" w:lineRule="auto"/>
        <w:contextualSpacing/>
        <w:jc w:val="both"/>
        <w:rPr>
          <w:rFonts w:ascii="Arial" w:hAnsi="Arial" w:cs="Arial"/>
          <w:i/>
          <w:sz w:val="24"/>
        </w:rPr>
      </w:pPr>
      <w:r w:rsidRPr="00745BDD">
        <w:rPr>
          <w:rFonts w:ascii="Arial" w:hAnsi="Arial" w:cs="Arial"/>
          <w:sz w:val="24"/>
        </w:rPr>
        <w:t>Image Source: drawing by S. Beaulieu, 2008</w:t>
      </w:r>
      <w:r w:rsidRPr="00745BDD">
        <w:rPr>
          <w:rFonts w:ascii="Arial" w:hAnsi="Arial" w:cs="Arial"/>
          <w:i/>
          <w:sz w:val="24"/>
        </w:rPr>
        <w:t xml:space="preserve">, </w:t>
      </w:r>
      <w:r w:rsidRPr="00745BDD">
        <w:rPr>
          <w:rFonts w:ascii="Arial" w:hAnsi="Arial" w:cs="Arial"/>
          <w:sz w:val="24"/>
        </w:rPr>
        <w:t>afterLeick, G. (1998) </w:t>
      </w:r>
      <w:r w:rsidRPr="00745BDD">
        <w:rPr>
          <w:rFonts w:ascii="Arial" w:hAnsi="Arial" w:cs="Arial"/>
          <w:i/>
          <w:iCs/>
          <w:sz w:val="24"/>
        </w:rPr>
        <w:t>A Dictionary of Ancient Near Eastern Mythology</w:t>
      </w:r>
      <w:r w:rsidRPr="00745BDD">
        <w:rPr>
          <w:rFonts w:ascii="Arial" w:hAnsi="Arial" w:cs="Arial"/>
          <w:sz w:val="24"/>
        </w:rPr>
        <w:t xml:space="preserve"> New York: Routledge</w:t>
      </w:r>
      <w:r w:rsidRPr="00745BDD">
        <w:rPr>
          <w:rFonts w:ascii="Arial" w:hAnsi="Arial" w:cs="Arial"/>
          <w:i/>
          <w:sz w:val="24"/>
        </w:rPr>
        <w:t xml:space="preserve">: </w:t>
      </w:r>
      <w:r w:rsidRPr="00745BDD">
        <w:rPr>
          <w:rFonts w:ascii="Arial" w:hAnsi="Arial" w:cs="Arial"/>
          <w:sz w:val="24"/>
        </w:rPr>
        <w:t>plate 38.</w:t>
      </w:r>
    </w:p>
    <w:p w14:paraId="6FF1CB3B" w14:textId="77777777" w:rsidR="00A25DE7" w:rsidRPr="00745BDD" w:rsidRDefault="00A25DE7" w:rsidP="00313F86">
      <w:pPr>
        <w:spacing w:line="240" w:lineRule="auto"/>
        <w:contextualSpacing/>
        <w:jc w:val="both"/>
        <w:rPr>
          <w:rFonts w:ascii="Arial" w:hAnsi="Arial" w:cs="Arial"/>
          <w:b/>
          <w:sz w:val="24"/>
        </w:rPr>
      </w:pPr>
    </w:p>
    <w:p w14:paraId="2A0E8328" w14:textId="77777777" w:rsidR="00A25DE7" w:rsidRPr="00745BDD" w:rsidRDefault="005B3668" w:rsidP="00313F86">
      <w:pPr>
        <w:spacing w:line="240" w:lineRule="auto"/>
        <w:contextualSpacing/>
        <w:jc w:val="both"/>
        <w:rPr>
          <w:rFonts w:ascii="Arial" w:hAnsi="Arial" w:cs="Arial"/>
          <w:b/>
          <w:sz w:val="24"/>
        </w:rPr>
      </w:pPr>
      <w:r>
        <w:rPr>
          <w:noProof/>
          <w:lang w:val="en-US"/>
        </w:rPr>
        <w:lastRenderedPageBreak/>
        <w:pict w14:anchorId="6EB31180">
          <v:shape id="Picture 4" o:spid="_x0000_s1028" type="#_x0000_t75" style="position:absolute;left:0;text-align:left;margin-left:0;margin-top:9.2pt;width:422.9pt;height:160.1pt;z-index:3;visibility:visible;mso-position-horizontal:center;mso-position-horizontal-relative:margin">
            <v:imagedata r:id="rId14" o:title=""/>
            <w10:wrap type="square" anchorx="margin"/>
          </v:shape>
        </w:pict>
      </w:r>
    </w:p>
    <w:p w14:paraId="09CA5E97" w14:textId="77777777" w:rsidR="00A25DE7" w:rsidRPr="00745BDD" w:rsidRDefault="00A25DE7" w:rsidP="00313F86">
      <w:pPr>
        <w:spacing w:line="240" w:lineRule="auto"/>
        <w:contextualSpacing/>
        <w:jc w:val="both"/>
        <w:rPr>
          <w:rFonts w:ascii="Arial" w:hAnsi="Arial" w:cs="Arial"/>
          <w:i/>
          <w:iCs/>
          <w:sz w:val="24"/>
        </w:rPr>
      </w:pPr>
      <w:r w:rsidRPr="00745BDD">
        <w:rPr>
          <w:rFonts w:ascii="Arial" w:hAnsi="Arial" w:cs="Arial"/>
          <w:i/>
          <w:sz w:val="24"/>
        </w:rPr>
        <w:t xml:space="preserve">Figure 3 (above): </w:t>
      </w:r>
      <w:r w:rsidRPr="00745BDD">
        <w:rPr>
          <w:rFonts w:ascii="Arial" w:hAnsi="Arial" w:cs="Arial"/>
          <w:i/>
          <w:iCs/>
          <w:sz w:val="24"/>
        </w:rPr>
        <w:t>Procession of deities on their sacred animals, arranged between two likenesses of an Assyrian king (Sennacherib?). Scholars have identified them, from the left, as follows: 1. Ashur, the supreme god of Assyria; 2. Ninlil/Ishtar of Nineveh; 3. Enlil, supreme deity of Sumer, or possibly Sin, the moon god; 4. Sin, the moon god, or Nabu, the scribe god; 5. Shamash, the sun god; 6. Adad, the storm god; and 7. Ishtar of Arbela.</w:t>
      </w:r>
    </w:p>
    <w:p w14:paraId="339B7E27" w14:textId="77777777" w:rsidR="00A25DE7" w:rsidRPr="00745BDD" w:rsidRDefault="00A25DE7" w:rsidP="00313F86">
      <w:pPr>
        <w:spacing w:line="240" w:lineRule="auto"/>
        <w:contextualSpacing/>
        <w:jc w:val="both"/>
        <w:rPr>
          <w:rFonts w:ascii="Arial" w:hAnsi="Arial" w:cs="Arial"/>
          <w:i/>
          <w:iCs/>
          <w:sz w:val="24"/>
        </w:rPr>
      </w:pPr>
      <w:r w:rsidRPr="00745BDD">
        <w:rPr>
          <w:rFonts w:ascii="Arial" w:hAnsi="Arial" w:cs="Arial"/>
          <w:i/>
          <w:iCs/>
          <w:sz w:val="24"/>
        </w:rPr>
        <w:t>One of four panels  carved in the rock face at Maltai or Maltaya, 70 km north of Mosul in northern Iraq. Possibly done on order of Assyrian king Sennacherib, 704-681BCE. Length 6 m, height 1.85 m. </w:t>
      </w:r>
    </w:p>
    <w:p w14:paraId="6F4379F4" w14:textId="77777777" w:rsidR="00A25DE7" w:rsidRPr="00745BDD" w:rsidRDefault="00A25DE7" w:rsidP="00313F86">
      <w:pPr>
        <w:spacing w:line="240" w:lineRule="auto"/>
        <w:contextualSpacing/>
        <w:jc w:val="both"/>
        <w:rPr>
          <w:rFonts w:ascii="Arial" w:hAnsi="Arial" w:cs="Arial"/>
          <w:sz w:val="24"/>
        </w:rPr>
      </w:pPr>
      <w:r w:rsidRPr="00745BDD">
        <w:rPr>
          <w:rFonts w:ascii="Arial" w:hAnsi="Arial" w:cs="Arial"/>
          <w:i/>
          <w:sz w:val="24"/>
        </w:rPr>
        <w:br/>
      </w:r>
      <w:r w:rsidRPr="00745BDD">
        <w:rPr>
          <w:rFonts w:ascii="Arial" w:hAnsi="Arial" w:cs="Arial"/>
          <w:sz w:val="24"/>
        </w:rPr>
        <w:t>Image Source: drawing S. Beaulieu, 2008 after Pritchard, J. B. (1969) (ed.) </w:t>
      </w:r>
      <w:r w:rsidRPr="00745BDD">
        <w:rPr>
          <w:rFonts w:ascii="Arial" w:hAnsi="Arial" w:cs="Arial"/>
          <w:i/>
          <w:iCs/>
          <w:sz w:val="24"/>
        </w:rPr>
        <w:t>Ancient Near Eastern Texts Relating to the Old Testament: Third Edition with Supplement</w:t>
      </w:r>
      <w:r w:rsidRPr="00745BDD">
        <w:rPr>
          <w:rFonts w:ascii="Arial" w:hAnsi="Arial" w:cs="Arial"/>
          <w:sz w:val="24"/>
        </w:rPr>
        <w:t xml:space="preserve"> Princeton: Princeton University Press: 181, plate 537.</w:t>
      </w:r>
    </w:p>
    <w:p w14:paraId="0AAA730A" w14:textId="77777777" w:rsidR="00A25DE7" w:rsidRPr="00745BDD" w:rsidRDefault="00A25DE7" w:rsidP="00313F86">
      <w:pPr>
        <w:spacing w:line="240" w:lineRule="auto"/>
        <w:contextualSpacing/>
        <w:jc w:val="both"/>
        <w:rPr>
          <w:rFonts w:ascii="Arial" w:hAnsi="Arial" w:cs="Arial"/>
          <w:b/>
          <w:sz w:val="24"/>
        </w:rPr>
      </w:pPr>
    </w:p>
    <w:p w14:paraId="480C019A" w14:textId="77777777" w:rsidR="00A25DE7" w:rsidRPr="00745BDD" w:rsidRDefault="005B3668" w:rsidP="00313F86">
      <w:pPr>
        <w:spacing w:line="240" w:lineRule="auto"/>
        <w:contextualSpacing/>
        <w:jc w:val="both"/>
        <w:rPr>
          <w:rFonts w:ascii="Arial" w:hAnsi="Arial" w:cs="Arial"/>
          <w:b/>
          <w:sz w:val="24"/>
        </w:rPr>
      </w:pPr>
      <w:r>
        <w:rPr>
          <w:noProof/>
          <w:lang w:val="en-US"/>
        </w:rPr>
        <w:pict w14:anchorId="66B35DA6">
          <v:shape id="Picture 3" o:spid="_x0000_s1029" type="#_x0000_t75" style="position:absolute;left:0;text-align:left;margin-left:0;margin-top:5.1pt;width:236.3pt;height:186.2pt;z-index:2;visibility:visible;mso-position-horizontal:center;mso-position-horizontal-relative:margin">
            <v:imagedata r:id="rId15" o:title=""/>
            <w10:wrap type="square" anchorx="margin"/>
          </v:shape>
        </w:pict>
      </w:r>
    </w:p>
    <w:p w14:paraId="0FA648EA" w14:textId="77777777" w:rsidR="00A25DE7" w:rsidRPr="00745BDD" w:rsidRDefault="00A25DE7" w:rsidP="00313F86">
      <w:pPr>
        <w:spacing w:line="240" w:lineRule="auto"/>
        <w:contextualSpacing/>
        <w:jc w:val="both"/>
        <w:rPr>
          <w:rFonts w:ascii="Arial" w:hAnsi="Arial" w:cs="Arial"/>
          <w:b/>
          <w:sz w:val="24"/>
        </w:rPr>
      </w:pPr>
    </w:p>
    <w:p w14:paraId="7947F5EC" w14:textId="77777777" w:rsidR="00A25DE7" w:rsidRPr="00745BDD" w:rsidRDefault="00A25DE7" w:rsidP="00313F86">
      <w:pPr>
        <w:spacing w:line="240" w:lineRule="auto"/>
        <w:contextualSpacing/>
        <w:jc w:val="both"/>
        <w:rPr>
          <w:rFonts w:ascii="Arial" w:hAnsi="Arial" w:cs="Arial"/>
          <w:b/>
          <w:sz w:val="24"/>
        </w:rPr>
      </w:pPr>
    </w:p>
    <w:p w14:paraId="58B2526C" w14:textId="77777777" w:rsidR="00A25DE7" w:rsidRPr="00745BDD" w:rsidRDefault="00A25DE7" w:rsidP="00313F86">
      <w:pPr>
        <w:spacing w:line="240" w:lineRule="auto"/>
        <w:contextualSpacing/>
        <w:jc w:val="both"/>
        <w:rPr>
          <w:rFonts w:ascii="Arial" w:hAnsi="Arial" w:cs="Arial"/>
          <w:b/>
          <w:sz w:val="24"/>
        </w:rPr>
      </w:pPr>
    </w:p>
    <w:p w14:paraId="4C10E475" w14:textId="77777777" w:rsidR="00A25DE7" w:rsidRPr="00745BDD" w:rsidRDefault="00A25DE7" w:rsidP="00313F86">
      <w:pPr>
        <w:spacing w:line="240" w:lineRule="auto"/>
        <w:contextualSpacing/>
        <w:jc w:val="both"/>
        <w:rPr>
          <w:rFonts w:ascii="Arial" w:hAnsi="Arial" w:cs="Arial"/>
          <w:b/>
          <w:sz w:val="24"/>
        </w:rPr>
      </w:pPr>
    </w:p>
    <w:p w14:paraId="3F193392" w14:textId="77777777" w:rsidR="00A25DE7" w:rsidRPr="00745BDD" w:rsidRDefault="00A25DE7" w:rsidP="00313F86">
      <w:pPr>
        <w:spacing w:line="240" w:lineRule="auto"/>
        <w:contextualSpacing/>
        <w:jc w:val="both"/>
        <w:rPr>
          <w:rFonts w:ascii="Arial" w:hAnsi="Arial" w:cs="Arial"/>
          <w:b/>
          <w:sz w:val="24"/>
        </w:rPr>
      </w:pPr>
    </w:p>
    <w:p w14:paraId="44DC446D" w14:textId="77777777" w:rsidR="00A25DE7" w:rsidRPr="00745BDD" w:rsidRDefault="00A25DE7" w:rsidP="00313F86">
      <w:pPr>
        <w:spacing w:line="240" w:lineRule="auto"/>
        <w:contextualSpacing/>
        <w:jc w:val="both"/>
        <w:rPr>
          <w:rFonts w:ascii="Arial" w:hAnsi="Arial" w:cs="Arial"/>
          <w:b/>
          <w:sz w:val="24"/>
        </w:rPr>
      </w:pPr>
    </w:p>
    <w:p w14:paraId="5139E203" w14:textId="77777777" w:rsidR="00A25DE7" w:rsidRPr="00745BDD" w:rsidRDefault="00A25DE7" w:rsidP="00313F86">
      <w:pPr>
        <w:spacing w:line="240" w:lineRule="auto"/>
        <w:contextualSpacing/>
        <w:jc w:val="both"/>
        <w:rPr>
          <w:rFonts w:ascii="Arial" w:hAnsi="Arial" w:cs="Arial"/>
          <w:b/>
          <w:sz w:val="24"/>
        </w:rPr>
      </w:pPr>
    </w:p>
    <w:p w14:paraId="34A073D1" w14:textId="77777777" w:rsidR="00A25DE7" w:rsidRPr="00745BDD" w:rsidRDefault="00A25DE7" w:rsidP="00313F86">
      <w:pPr>
        <w:spacing w:line="240" w:lineRule="auto"/>
        <w:contextualSpacing/>
        <w:jc w:val="both"/>
        <w:rPr>
          <w:rFonts w:ascii="Arial" w:hAnsi="Arial" w:cs="Arial"/>
          <w:b/>
          <w:sz w:val="24"/>
        </w:rPr>
      </w:pPr>
    </w:p>
    <w:p w14:paraId="0A87F3E4" w14:textId="77777777" w:rsidR="00A25DE7" w:rsidRPr="00745BDD" w:rsidRDefault="00A25DE7" w:rsidP="00313F86">
      <w:pPr>
        <w:spacing w:line="240" w:lineRule="auto"/>
        <w:contextualSpacing/>
        <w:jc w:val="both"/>
        <w:rPr>
          <w:rFonts w:ascii="Arial" w:hAnsi="Arial" w:cs="Arial"/>
          <w:b/>
          <w:sz w:val="24"/>
        </w:rPr>
      </w:pPr>
    </w:p>
    <w:p w14:paraId="1CA438F0" w14:textId="77777777" w:rsidR="00A25DE7" w:rsidRPr="00745BDD" w:rsidRDefault="00A25DE7" w:rsidP="00313F86">
      <w:pPr>
        <w:spacing w:line="240" w:lineRule="auto"/>
        <w:contextualSpacing/>
        <w:jc w:val="both"/>
        <w:rPr>
          <w:rFonts w:ascii="Arial" w:hAnsi="Arial" w:cs="Arial"/>
          <w:b/>
          <w:sz w:val="24"/>
        </w:rPr>
      </w:pPr>
    </w:p>
    <w:p w14:paraId="6329111F" w14:textId="77777777" w:rsidR="00A25DE7" w:rsidRPr="00745BDD" w:rsidRDefault="00A25DE7" w:rsidP="00313F86">
      <w:pPr>
        <w:spacing w:line="240" w:lineRule="auto"/>
        <w:contextualSpacing/>
        <w:jc w:val="both"/>
        <w:rPr>
          <w:rFonts w:ascii="Arial" w:hAnsi="Arial" w:cs="Arial"/>
          <w:b/>
          <w:sz w:val="24"/>
        </w:rPr>
      </w:pPr>
    </w:p>
    <w:p w14:paraId="3982CC78" w14:textId="77777777" w:rsidR="00A25DE7" w:rsidRPr="00745BDD" w:rsidRDefault="00A25DE7" w:rsidP="00313F86">
      <w:pPr>
        <w:spacing w:line="240" w:lineRule="auto"/>
        <w:contextualSpacing/>
        <w:jc w:val="both"/>
        <w:rPr>
          <w:rFonts w:ascii="Arial" w:hAnsi="Arial" w:cs="Arial"/>
          <w:b/>
          <w:sz w:val="24"/>
        </w:rPr>
      </w:pPr>
    </w:p>
    <w:p w14:paraId="69EAFB3F" w14:textId="77777777" w:rsidR="00A25DE7" w:rsidRPr="00745BDD" w:rsidRDefault="00A25DE7" w:rsidP="00313F86">
      <w:pPr>
        <w:spacing w:line="240" w:lineRule="auto"/>
        <w:contextualSpacing/>
        <w:jc w:val="both"/>
        <w:rPr>
          <w:rFonts w:ascii="Arial" w:hAnsi="Arial" w:cs="Arial"/>
          <w:b/>
          <w:sz w:val="24"/>
        </w:rPr>
      </w:pPr>
    </w:p>
    <w:p w14:paraId="76B5900D" w14:textId="77777777" w:rsidR="00A25DE7" w:rsidRPr="00745BDD" w:rsidRDefault="00A25DE7" w:rsidP="00313F86">
      <w:pPr>
        <w:spacing w:line="240" w:lineRule="auto"/>
        <w:contextualSpacing/>
        <w:jc w:val="both"/>
        <w:rPr>
          <w:rFonts w:ascii="Arial" w:hAnsi="Arial" w:cs="Arial"/>
          <w:i/>
          <w:iCs/>
          <w:sz w:val="24"/>
        </w:rPr>
      </w:pPr>
      <w:r w:rsidRPr="00745BDD">
        <w:rPr>
          <w:rFonts w:ascii="Arial" w:hAnsi="Arial" w:cs="Arial"/>
          <w:i/>
          <w:sz w:val="24"/>
        </w:rPr>
        <w:t xml:space="preserve">Figure 4 (above): </w:t>
      </w:r>
      <w:r w:rsidRPr="00745BDD">
        <w:rPr>
          <w:rFonts w:ascii="Arial" w:hAnsi="Arial" w:cs="Arial"/>
          <w:i/>
          <w:iCs/>
          <w:sz w:val="24"/>
        </w:rPr>
        <w:t>The goddess Ishtar appearing in a halo of light to a worshipping king or priest. She is in her warrior stance and holds a weapon. Her dais is a growling lion. Seal impression from the Achaemenid period (ca. post 500 BCE).</w:t>
      </w:r>
    </w:p>
    <w:p w14:paraId="2E643FB4" w14:textId="77777777" w:rsidR="00A25DE7" w:rsidRPr="00745BDD" w:rsidRDefault="00A25DE7" w:rsidP="00313F86">
      <w:pPr>
        <w:spacing w:line="240" w:lineRule="auto"/>
        <w:contextualSpacing/>
        <w:jc w:val="both"/>
        <w:rPr>
          <w:rFonts w:ascii="Arial" w:hAnsi="Arial" w:cs="Arial"/>
          <w:i/>
          <w:sz w:val="24"/>
        </w:rPr>
      </w:pPr>
      <w:r w:rsidRPr="00745BDD">
        <w:rPr>
          <w:rFonts w:ascii="Arial" w:hAnsi="Arial" w:cs="Arial"/>
          <w:i/>
          <w:sz w:val="24"/>
        </w:rPr>
        <w:br/>
      </w:r>
      <w:r w:rsidRPr="00745BDD">
        <w:rPr>
          <w:rFonts w:ascii="Arial" w:hAnsi="Arial" w:cs="Arial"/>
          <w:sz w:val="24"/>
        </w:rPr>
        <w:t>Image Source: drawing S. Beaulieu, 2008 after Parpolo, S. (1997) </w:t>
      </w:r>
      <w:r w:rsidRPr="00745BDD">
        <w:rPr>
          <w:rFonts w:ascii="Arial" w:hAnsi="Arial" w:cs="Arial"/>
          <w:i/>
          <w:iCs/>
          <w:sz w:val="24"/>
        </w:rPr>
        <w:t>Assyrian Prophecies</w:t>
      </w:r>
      <w:r w:rsidRPr="00745BDD">
        <w:rPr>
          <w:rFonts w:ascii="Arial" w:hAnsi="Arial" w:cs="Arial"/>
          <w:sz w:val="24"/>
        </w:rPr>
        <w:t xml:space="preserve"> Helsinki: Helsinki University: XXX. Fig. c</w:t>
      </w:r>
      <w:r w:rsidRPr="00745BDD">
        <w:rPr>
          <w:rFonts w:ascii="Arial" w:hAnsi="Arial" w:cs="Arial"/>
          <w:i/>
          <w:sz w:val="24"/>
        </w:rPr>
        <w:t>.</w:t>
      </w:r>
    </w:p>
    <w:p w14:paraId="56ECB554" w14:textId="77777777" w:rsidR="00A25DE7" w:rsidRPr="00745BDD" w:rsidRDefault="00A25DE7" w:rsidP="00313F86">
      <w:pPr>
        <w:spacing w:line="240" w:lineRule="auto"/>
        <w:contextualSpacing/>
        <w:jc w:val="both"/>
        <w:rPr>
          <w:rFonts w:ascii="Arial" w:hAnsi="Arial" w:cs="Arial"/>
          <w:b/>
          <w:sz w:val="24"/>
        </w:rPr>
      </w:pPr>
    </w:p>
    <w:p w14:paraId="51F548A8" w14:textId="77777777" w:rsidR="00A25DE7" w:rsidRPr="00745BDD" w:rsidRDefault="00A25DE7" w:rsidP="00313F86">
      <w:pPr>
        <w:spacing w:line="240" w:lineRule="auto"/>
        <w:contextualSpacing/>
        <w:jc w:val="both"/>
        <w:rPr>
          <w:rFonts w:ascii="Arial" w:hAnsi="Arial" w:cs="Arial"/>
          <w:b/>
          <w:sz w:val="24"/>
        </w:rPr>
      </w:pPr>
    </w:p>
    <w:p w14:paraId="49F13983" w14:textId="77777777" w:rsidR="00A25DE7" w:rsidRPr="00745BDD" w:rsidRDefault="00A25DE7" w:rsidP="00313F86">
      <w:pPr>
        <w:spacing w:line="240" w:lineRule="auto"/>
        <w:contextualSpacing/>
        <w:jc w:val="both"/>
        <w:rPr>
          <w:rFonts w:ascii="Arial" w:hAnsi="Arial" w:cs="Arial"/>
          <w:sz w:val="24"/>
        </w:rPr>
        <w:sectPr w:rsidR="00A25DE7" w:rsidRPr="00745BDD" w:rsidSect="005C34D4">
          <w:footnotePr>
            <w:numFmt w:val="chicago"/>
            <w:numRestart w:val="eachSect"/>
          </w:footnotePr>
          <w:type w:val="continuous"/>
          <w:pgSz w:w="11906" w:h="16838"/>
          <w:pgMar w:top="1440" w:right="1133" w:bottom="1440" w:left="2268" w:header="708" w:footer="708" w:gutter="0"/>
          <w:cols w:space="708"/>
          <w:docGrid w:linePitch="360"/>
        </w:sectPr>
      </w:pPr>
    </w:p>
    <w:p w14:paraId="46382052" w14:textId="77777777" w:rsidR="00A25DE7" w:rsidRPr="00745BDD" w:rsidRDefault="00A25DE7" w:rsidP="005B6D25">
      <w:pPr>
        <w:spacing w:line="240" w:lineRule="auto"/>
        <w:contextualSpacing/>
        <w:rPr>
          <w:rFonts w:ascii="Arial" w:hAnsi="Arial" w:cs="Arial"/>
          <w:sz w:val="28"/>
        </w:rPr>
      </w:pPr>
      <w:r w:rsidRPr="00745BDD">
        <w:rPr>
          <w:rFonts w:ascii="Arial" w:hAnsi="Arial" w:cs="Arial"/>
          <w:b/>
          <w:sz w:val="24"/>
          <w:szCs w:val="24"/>
        </w:rPr>
        <w:lastRenderedPageBreak/>
        <w:t xml:space="preserve">Appendix Three: A map of the cosmos as described in Homer’s </w:t>
      </w:r>
      <w:r w:rsidRPr="00745BDD">
        <w:rPr>
          <w:rFonts w:ascii="Arial" w:hAnsi="Arial" w:cs="Arial"/>
          <w:b/>
          <w:i/>
          <w:sz w:val="24"/>
          <w:szCs w:val="24"/>
        </w:rPr>
        <w:t xml:space="preserve">Odyssey </w:t>
      </w:r>
      <w:r w:rsidRPr="00745BDD">
        <w:rPr>
          <w:rFonts w:ascii="Arial" w:hAnsi="Arial" w:cs="Arial"/>
          <w:b/>
          <w:sz w:val="24"/>
          <w:szCs w:val="24"/>
        </w:rPr>
        <w:t xml:space="preserve">and </w:t>
      </w:r>
      <w:r w:rsidRPr="00745BDD">
        <w:rPr>
          <w:rFonts w:ascii="Arial" w:hAnsi="Arial" w:cs="Arial"/>
          <w:b/>
          <w:i/>
          <w:sz w:val="24"/>
          <w:szCs w:val="24"/>
        </w:rPr>
        <w:t>Iliad</w:t>
      </w:r>
      <w:r w:rsidRPr="00745BDD">
        <w:rPr>
          <w:rFonts w:ascii="Arial" w:hAnsi="Arial" w:cs="Arial"/>
          <w:b/>
          <w:sz w:val="24"/>
          <w:szCs w:val="24"/>
        </w:rPr>
        <w:t>.</w:t>
      </w:r>
      <w:r w:rsidRPr="00745BDD">
        <w:rPr>
          <w:rFonts w:ascii="Arial" w:hAnsi="Arial" w:cs="Arial"/>
          <w:sz w:val="24"/>
          <w:szCs w:val="24"/>
        </w:rPr>
        <w:t xml:space="preserve"> Source: author’s own</w:t>
      </w:r>
      <w:r w:rsidRPr="00745BDD">
        <w:rPr>
          <w:rFonts w:ascii="Arial" w:hAnsi="Arial" w:cs="Arial"/>
          <w:sz w:val="28"/>
        </w:rPr>
        <w:t>.</w:t>
      </w:r>
    </w:p>
    <w:p w14:paraId="723CB96F" w14:textId="77777777" w:rsidR="00A25DE7" w:rsidRPr="00745BDD" w:rsidRDefault="005B3668" w:rsidP="005B6D25">
      <w:pPr>
        <w:spacing w:line="240" w:lineRule="auto"/>
        <w:contextualSpacing/>
        <w:rPr>
          <w:rFonts w:ascii="Arial" w:hAnsi="Arial" w:cs="Arial"/>
          <w:sz w:val="28"/>
        </w:rPr>
      </w:pPr>
      <w:r>
        <w:rPr>
          <w:rFonts w:ascii="Arial" w:hAnsi="Arial" w:cs="Arial"/>
          <w:noProof/>
          <w:sz w:val="28"/>
          <w:lang w:val="en-US"/>
        </w:rPr>
        <w:pict w14:anchorId="0A1C96C7">
          <v:shape id="Picture 1" o:spid="_x0000_i1026" type="#_x0000_t75" style="width:419.5pt;height:296.15pt;visibility:visible">
            <v:imagedata r:id="rId16" o:title=""/>
          </v:shape>
        </w:pict>
      </w:r>
    </w:p>
    <w:p w14:paraId="1EA2DAC0" w14:textId="77777777" w:rsidR="00A25DE7" w:rsidRPr="00745BDD" w:rsidRDefault="00A25DE7" w:rsidP="005B6D25">
      <w:pPr>
        <w:spacing w:line="240" w:lineRule="auto"/>
        <w:contextualSpacing/>
        <w:rPr>
          <w:rFonts w:ascii="Arial" w:hAnsi="Arial" w:cs="Arial"/>
          <w:sz w:val="28"/>
        </w:rPr>
      </w:pPr>
    </w:p>
    <w:p w14:paraId="68AEC24D" w14:textId="77777777" w:rsidR="00A25DE7" w:rsidRPr="00745BDD" w:rsidRDefault="00A25DE7" w:rsidP="005B6D25">
      <w:pPr>
        <w:spacing w:line="240" w:lineRule="auto"/>
        <w:contextualSpacing/>
        <w:rPr>
          <w:rFonts w:ascii="Arial" w:hAnsi="Arial" w:cs="Arial"/>
          <w:sz w:val="28"/>
        </w:rPr>
      </w:pPr>
    </w:p>
    <w:p w14:paraId="1360F9EA" w14:textId="77777777" w:rsidR="00A25DE7" w:rsidRPr="00745BDD" w:rsidRDefault="00A25DE7" w:rsidP="005B6D25">
      <w:pPr>
        <w:spacing w:line="240" w:lineRule="auto"/>
        <w:contextualSpacing/>
        <w:rPr>
          <w:rFonts w:ascii="Arial" w:hAnsi="Arial" w:cs="Arial"/>
          <w:sz w:val="28"/>
        </w:rPr>
      </w:pPr>
    </w:p>
    <w:p w14:paraId="0A6035BE" w14:textId="77777777" w:rsidR="00A25DE7" w:rsidRPr="00745BDD" w:rsidRDefault="00A25DE7" w:rsidP="005B6D25">
      <w:pPr>
        <w:spacing w:line="240" w:lineRule="auto"/>
        <w:contextualSpacing/>
        <w:rPr>
          <w:rFonts w:ascii="Arial" w:hAnsi="Arial" w:cs="Arial"/>
          <w:sz w:val="28"/>
        </w:rPr>
      </w:pPr>
    </w:p>
    <w:p w14:paraId="27FA6230" w14:textId="77777777" w:rsidR="00A25DE7" w:rsidRPr="00745BDD" w:rsidRDefault="00A25DE7" w:rsidP="005B6D25">
      <w:pPr>
        <w:spacing w:line="240" w:lineRule="auto"/>
        <w:contextualSpacing/>
        <w:rPr>
          <w:rFonts w:ascii="Arial" w:hAnsi="Arial" w:cs="Arial"/>
          <w:sz w:val="28"/>
        </w:rPr>
      </w:pPr>
    </w:p>
    <w:p w14:paraId="4B958CB3" w14:textId="77777777" w:rsidR="00A25DE7" w:rsidRPr="00745BDD" w:rsidRDefault="00A25DE7" w:rsidP="005B6D25">
      <w:pPr>
        <w:spacing w:line="240" w:lineRule="auto"/>
        <w:contextualSpacing/>
        <w:rPr>
          <w:rFonts w:ascii="Arial" w:hAnsi="Arial" w:cs="Arial"/>
          <w:sz w:val="28"/>
        </w:rPr>
      </w:pPr>
    </w:p>
    <w:p w14:paraId="434390E2" w14:textId="77777777" w:rsidR="00A25DE7" w:rsidRPr="00745BDD" w:rsidRDefault="00A25DE7" w:rsidP="005B6D25">
      <w:pPr>
        <w:spacing w:line="240" w:lineRule="auto"/>
        <w:contextualSpacing/>
        <w:rPr>
          <w:rFonts w:ascii="Arial" w:hAnsi="Arial" w:cs="Arial"/>
          <w:sz w:val="28"/>
        </w:rPr>
      </w:pPr>
    </w:p>
    <w:p w14:paraId="121A107C" w14:textId="77777777" w:rsidR="00A25DE7" w:rsidRPr="00745BDD" w:rsidRDefault="00A25DE7" w:rsidP="005B6D25">
      <w:pPr>
        <w:spacing w:line="240" w:lineRule="auto"/>
        <w:contextualSpacing/>
        <w:rPr>
          <w:rFonts w:ascii="Arial" w:hAnsi="Arial" w:cs="Arial"/>
          <w:sz w:val="28"/>
        </w:rPr>
        <w:sectPr w:rsidR="00A25DE7" w:rsidRPr="00745BDD" w:rsidSect="005C34D4">
          <w:footnotePr>
            <w:numRestart w:val="eachSect"/>
          </w:footnotePr>
          <w:type w:val="continuous"/>
          <w:pgSz w:w="11906" w:h="16838"/>
          <w:pgMar w:top="1440" w:right="1133" w:bottom="1440" w:left="2268" w:header="708" w:footer="708" w:gutter="0"/>
          <w:cols w:space="708"/>
          <w:docGrid w:linePitch="360"/>
        </w:sectPr>
      </w:pPr>
    </w:p>
    <w:p w14:paraId="0CF72B7C" w14:textId="77777777" w:rsidR="00A25DE7" w:rsidRPr="00745BDD" w:rsidRDefault="00A25DE7" w:rsidP="00575976">
      <w:pPr>
        <w:spacing w:line="240" w:lineRule="auto"/>
        <w:contextualSpacing/>
        <w:jc w:val="center"/>
        <w:rPr>
          <w:rFonts w:ascii="Arial" w:hAnsi="Arial" w:cs="Arial"/>
          <w:sz w:val="28"/>
          <w:u w:val="single"/>
        </w:rPr>
      </w:pPr>
      <w:r w:rsidRPr="00745BDD">
        <w:rPr>
          <w:rFonts w:ascii="Arial" w:hAnsi="Arial" w:cs="Arial"/>
          <w:sz w:val="28"/>
          <w:u w:val="single"/>
        </w:rPr>
        <w:lastRenderedPageBreak/>
        <w:t>Bibliography:</w:t>
      </w:r>
    </w:p>
    <w:p w14:paraId="014BDDA3" w14:textId="77777777" w:rsidR="00A25DE7" w:rsidRPr="00745BDD" w:rsidRDefault="00A25DE7" w:rsidP="0083441A">
      <w:pPr>
        <w:spacing w:line="240" w:lineRule="auto"/>
        <w:contextualSpacing/>
        <w:rPr>
          <w:rFonts w:ascii="Arial" w:hAnsi="Arial" w:cs="Arial"/>
          <w:color w:val="000000"/>
          <w:sz w:val="20"/>
          <w:szCs w:val="23"/>
          <w:shd w:val="clear" w:color="auto" w:fill="FFFFFF"/>
        </w:rPr>
      </w:pPr>
    </w:p>
    <w:p w14:paraId="5682626C" w14:textId="77777777" w:rsidR="00A25DE7" w:rsidRPr="00BF6542" w:rsidRDefault="00A25DE7" w:rsidP="0083441A">
      <w:pPr>
        <w:spacing w:line="240" w:lineRule="auto"/>
        <w:contextualSpacing/>
        <w:rPr>
          <w:rFonts w:ascii="Arial" w:hAnsi="Arial" w:cs="Arial"/>
          <w:i/>
          <w:sz w:val="24"/>
          <w:szCs w:val="20"/>
        </w:rPr>
      </w:pPr>
      <w:commentRangeStart w:id="241"/>
      <w:r w:rsidRPr="00BF6542">
        <w:rPr>
          <w:rFonts w:ascii="Arial" w:hAnsi="Arial" w:cs="Arial"/>
          <w:i/>
          <w:sz w:val="24"/>
          <w:szCs w:val="20"/>
        </w:rPr>
        <w:t>Ancient Texts</w:t>
      </w:r>
      <w:commentRangeEnd w:id="241"/>
      <w:r>
        <w:rPr>
          <w:rStyle w:val="CommentReference"/>
        </w:rPr>
        <w:commentReference w:id="241"/>
      </w:r>
    </w:p>
    <w:p w14:paraId="6306A984" w14:textId="77777777" w:rsidR="00A25DE7" w:rsidRPr="00BF6542" w:rsidRDefault="00A25DE7" w:rsidP="0083441A">
      <w:pPr>
        <w:spacing w:line="240" w:lineRule="auto"/>
        <w:contextualSpacing/>
        <w:rPr>
          <w:rFonts w:ascii="Arial" w:hAnsi="Arial" w:cs="Arial"/>
          <w:sz w:val="24"/>
          <w:szCs w:val="20"/>
        </w:rPr>
      </w:pPr>
    </w:p>
    <w:p w14:paraId="11A221EB" w14:textId="77777777" w:rsidR="00A25DE7" w:rsidRPr="00BF6542" w:rsidRDefault="00A25DE7" w:rsidP="0083441A">
      <w:pPr>
        <w:spacing w:line="240" w:lineRule="auto"/>
        <w:contextualSpacing/>
        <w:rPr>
          <w:rFonts w:cs="Arial"/>
          <w:sz w:val="20"/>
          <w:szCs w:val="20"/>
        </w:rPr>
      </w:pPr>
      <w:r w:rsidRPr="00BF6542">
        <w:rPr>
          <w:rFonts w:cs="Arial"/>
          <w:sz w:val="20"/>
          <w:szCs w:val="20"/>
        </w:rPr>
        <w:t xml:space="preserve">Aristotle </w:t>
      </w:r>
      <w:r>
        <w:rPr>
          <w:rFonts w:cs="Arial"/>
          <w:sz w:val="20"/>
          <w:szCs w:val="20"/>
        </w:rPr>
        <w:t>‘</w:t>
      </w:r>
      <w:r w:rsidRPr="001D75E9">
        <w:rPr>
          <w:rFonts w:cs="Arial"/>
          <w:sz w:val="20"/>
          <w:szCs w:val="20"/>
        </w:rPr>
        <w:t>Metaphysics</w:t>
      </w:r>
      <w:r>
        <w:rPr>
          <w:rFonts w:cs="Arial"/>
          <w:sz w:val="20"/>
          <w:szCs w:val="20"/>
        </w:rPr>
        <w:t>’,</w:t>
      </w:r>
      <w:r w:rsidRPr="00BF6542">
        <w:rPr>
          <w:rFonts w:cs="Arial"/>
          <w:sz w:val="20"/>
          <w:szCs w:val="20"/>
        </w:rPr>
        <w:t xml:space="preserve"> in,</w:t>
      </w:r>
      <w:r w:rsidRPr="001D75E9">
        <w:rPr>
          <w:rFonts w:cs="Arial"/>
          <w:sz w:val="20"/>
          <w:szCs w:val="20"/>
        </w:rPr>
        <w:t xml:space="preserve"> Sachs</w:t>
      </w:r>
      <w:r>
        <w:rPr>
          <w:rFonts w:cs="Arial"/>
          <w:sz w:val="20"/>
          <w:szCs w:val="20"/>
        </w:rPr>
        <w:t xml:space="preserve">, J. (1999) (trans.) </w:t>
      </w:r>
      <w:r>
        <w:rPr>
          <w:rFonts w:cs="Arial"/>
          <w:i/>
          <w:sz w:val="20"/>
          <w:szCs w:val="20"/>
        </w:rPr>
        <w:t xml:space="preserve">Aristotle: Metaphysics </w:t>
      </w:r>
      <w:r>
        <w:rPr>
          <w:rFonts w:cs="Arial"/>
          <w:sz w:val="20"/>
          <w:szCs w:val="20"/>
        </w:rPr>
        <w:t>Sante Fe, NM: Green Lion Press.</w:t>
      </w:r>
    </w:p>
    <w:p w14:paraId="13FBFC9B" w14:textId="77777777" w:rsidR="00A25DE7" w:rsidRPr="00BF6542" w:rsidRDefault="00A25DE7" w:rsidP="0083441A">
      <w:pPr>
        <w:spacing w:line="240" w:lineRule="auto"/>
        <w:contextualSpacing/>
        <w:rPr>
          <w:rFonts w:cs="Arial"/>
          <w:i/>
          <w:sz w:val="20"/>
          <w:szCs w:val="20"/>
        </w:rPr>
      </w:pPr>
    </w:p>
    <w:p w14:paraId="45167DAE" w14:textId="77777777" w:rsidR="00A25DE7" w:rsidRPr="00BF6542" w:rsidRDefault="00A25DE7" w:rsidP="0083441A">
      <w:pPr>
        <w:spacing w:line="240" w:lineRule="auto"/>
        <w:contextualSpacing/>
        <w:rPr>
          <w:rFonts w:cs="Arial"/>
          <w:sz w:val="20"/>
          <w:szCs w:val="20"/>
        </w:rPr>
      </w:pPr>
      <w:r>
        <w:rPr>
          <w:rFonts w:cs="Arial"/>
          <w:sz w:val="20"/>
          <w:szCs w:val="20"/>
        </w:rPr>
        <w:t>‘</w:t>
      </w:r>
      <w:r w:rsidRPr="001D75E9">
        <w:rPr>
          <w:rFonts w:cs="Arial"/>
          <w:sz w:val="20"/>
          <w:szCs w:val="20"/>
        </w:rPr>
        <w:t>Atrahasis</w:t>
      </w:r>
      <w:r>
        <w:rPr>
          <w:rFonts w:cs="Arial"/>
          <w:sz w:val="20"/>
          <w:szCs w:val="20"/>
        </w:rPr>
        <w:t>’</w:t>
      </w:r>
      <w:r w:rsidRPr="00BF6542">
        <w:rPr>
          <w:rFonts w:cs="Arial"/>
          <w:sz w:val="20"/>
          <w:szCs w:val="20"/>
        </w:rPr>
        <w:t xml:space="preserve">, in,Dalley, S. (trans.) (2000) </w:t>
      </w:r>
      <w:r w:rsidRPr="00BF6542">
        <w:rPr>
          <w:rFonts w:cs="Arial"/>
          <w:i/>
          <w:sz w:val="20"/>
          <w:szCs w:val="20"/>
        </w:rPr>
        <w:t>Myths from Mesopotamia: Creation, The Flood, Gilgamesh and Others</w:t>
      </w:r>
      <w:r w:rsidRPr="00BF6542">
        <w:rPr>
          <w:rFonts w:cs="Arial"/>
          <w:sz w:val="20"/>
          <w:szCs w:val="20"/>
        </w:rPr>
        <w:t xml:space="preserve"> [Revised Edition], Oxford:</w:t>
      </w:r>
      <w:r>
        <w:rPr>
          <w:rFonts w:cs="Arial"/>
          <w:sz w:val="20"/>
          <w:szCs w:val="20"/>
        </w:rPr>
        <w:t xml:space="preserve"> Oxford University Press [1989].</w:t>
      </w:r>
    </w:p>
    <w:p w14:paraId="0AE05EF8" w14:textId="77777777" w:rsidR="00A25DE7" w:rsidRPr="00BF6542" w:rsidRDefault="00A25DE7" w:rsidP="0083441A">
      <w:pPr>
        <w:spacing w:line="240" w:lineRule="auto"/>
        <w:contextualSpacing/>
        <w:rPr>
          <w:rFonts w:cs="Arial"/>
          <w:sz w:val="20"/>
          <w:szCs w:val="20"/>
        </w:rPr>
      </w:pPr>
    </w:p>
    <w:p w14:paraId="5CA81301" w14:textId="77777777" w:rsidR="00A25DE7" w:rsidRPr="00BF6542" w:rsidRDefault="00A25DE7" w:rsidP="00D22DDA">
      <w:pPr>
        <w:rPr>
          <w:rFonts w:cs="Arial"/>
          <w:sz w:val="20"/>
          <w:szCs w:val="20"/>
        </w:rPr>
      </w:pPr>
      <w:r>
        <w:rPr>
          <w:rFonts w:cs="Arial"/>
          <w:sz w:val="20"/>
          <w:szCs w:val="20"/>
        </w:rPr>
        <w:t>‘The Death of Ur-Nammu</w:t>
      </w:r>
      <w:r w:rsidRPr="00BF6542">
        <w:rPr>
          <w:rFonts w:cs="Arial"/>
          <w:sz w:val="20"/>
          <w:szCs w:val="20"/>
        </w:rPr>
        <w:t xml:space="preserve"> and his Descent to the Netherworld, in,</w:t>
      </w:r>
      <w:r>
        <w:rPr>
          <w:rFonts w:cs="Arial"/>
          <w:sz w:val="20"/>
          <w:szCs w:val="20"/>
        </w:rPr>
        <w:t>:</w:t>
      </w:r>
      <w:r w:rsidRPr="00BF6542">
        <w:rPr>
          <w:rFonts w:cs="Arial"/>
          <w:sz w:val="20"/>
          <w:szCs w:val="20"/>
        </w:rPr>
        <w:t xml:space="preserve"> Kramer, S. N. (1967) ‘The Death of Ur-Nammu and his Descent to the Netherworld’, in, </w:t>
      </w:r>
      <w:r w:rsidRPr="00BF6542">
        <w:rPr>
          <w:rFonts w:cs="Arial"/>
          <w:i/>
          <w:sz w:val="20"/>
          <w:szCs w:val="20"/>
        </w:rPr>
        <w:t xml:space="preserve">JCS </w:t>
      </w:r>
      <w:r w:rsidRPr="00BF6542">
        <w:rPr>
          <w:rFonts w:cs="Arial"/>
          <w:sz w:val="20"/>
          <w:szCs w:val="20"/>
        </w:rPr>
        <w:t>21.</w:t>
      </w:r>
    </w:p>
    <w:p w14:paraId="36EDEF12" w14:textId="77777777" w:rsidR="00A25DE7" w:rsidRPr="001D75E9" w:rsidRDefault="00A25DE7" w:rsidP="001D75E9">
      <w:pPr>
        <w:rPr>
          <w:rFonts w:cs="Arial"/>
          <w:b/>
          <w:bCs/>
          <w:sz w:val="20"/>
          <w:szCs w:val="20"/>
        </w:rPr>
      </w:pPr>
      <w:r>
        <w:rPr>
          <w:rFonts w:cs="Arial"/>
          <w:sz w:val="20"/>
          <w:szCs w:val="20"/>
        </w:rPr>
        <w:t>‘</w:t>
      </w:r>
      <w:r w:rsidRPr="001D75E9">
        <w:rPr>
          <w:rFonts w:cs="Arial"/>
          <w:sz w:val="20"/>
          <w:szCs w:val="20"/>
        </w:rPr>
        <w:t>The Descent of Ishtar Into the Netherworld</w:t>
      </w:r>
      <w:r>
        <w:rPr>
          <w:rFonts w:cs="Arial"/>
          <w:sz w:val="20"/>
          <w:szCs w:val="20"/>
        </w:rPr>
        <w:t>’</w:t>
      </w:r>
      <w:r w:rsidRPr="00BF6542">
        <w:rPr>
          <w:rFonts w:cs="Arial"/>
          <w:sz w:val="20"/>
          <w:szCs w:val="20"/>
        </w:rPr>
        <w:t>, in,</w:t>
      </w:r>
      <w:r>
        <w:rPr>
          <w:rFonts w:cs="Arial"/>
          <w:sz w:val="20"/>
          <w:szCs w:val="20"/>
        </w:rPr>
        <w:t xml:space="preserve">Jastrow, M. (1915) (trans.) </w:t>
      </w:r>
      <w:r w:rsidRPr="001D75E9">
        <w:rPr>
          <w:rFonts w:cs="Arial"/>
          <w:bCs/>
          <w:i/>
          <w:sz w:val="20"/>
          <w:szCs w:val="20"/>
        </w:rPr>
        <w:t>The Civilization of Babylonia and Assyria</w:t>
      </w:r>
      <w:r>
        <w:rPr>
          <w:rFonts w:cs="Arial"/>
          <w:bCs/>
          <w:sz w:val="20"/>
          <w:szCs w:val="20"/>
        </w:rPr>
        <w:t xml:space="preserve">London: </w:t>
      </w:r>
      <w:r w:rsidRPr="001D75E9">
        <w:rPr>
          <w:rFonts w:cs="Arial"/>
          <w:bCs/>
          <w:sz w:val="20"/>
          <w:szCs w:val="20"/>
        </w:rPr>
        <w:t>J.B. Lippincott Company</w:t>
      </w:r>
      <w:r>
        <w:rPr>
          <w:rFonts w:cs="Arial"/>
          <w:bCs/>
          <w:sz w:val="20"/>
          <w:szCs w:val="20"/>
        </w:rPr>
        <w:t>.</w:t>
      </w:r>
    </w:p>
    <w:p w14:paraId="60F959FB" w14:textId="77777777" w:rsidR="00A25DE7" w:rsidRPr="00BF6542" w:rsidRDefault="00A25DE7" w:rsidP="00D22DDA">
      <w:pPr>
        <w:rPr>
          <w:rFonts w:cs="Arial"/>
          <w:i/>
          <w:sz w:val="20"/>
          <w:szCs w:val="20"/>
        </w:rPr>
      </w:pPr>
      <w:r w:rsidRPr="001D75E9">
        <w:rPr>
          <w:rFonts w:cs="Arial"/>
          <w:sz w:val="20"/>
          <w:szCs w:val="20"/>
        </w:rPr>
        <w:t>‘Enumaelish</w:t>
      </w:r>
      <w:r>
        <w:rPr>
          <w:rFonts w:cs="Arial"/>
          <w:sz w:val="20"/>
          <w:szCs w:val="20"/>
        </w:rPr>
        <w:t>’</w:t>
      </w:r>
      <w:r w:rsidRPr="00BF6542">
        <w:rPr>
          <w:rFonts w:cs="Arial"/>
          <w:sz w:val="20"/>
          <w:szCs w:val="20"/>
        </w:rPr>
        <w:t xml:space="preserve">, in,Dalley, S. (trans.) (2000) </w:t>
      </w:r>
      <w:r w:rsidRPr="00BF6542">
        <w:rPr>
          <w:rFonts w:cs="Arial"/>
          <w:i/>
          <w:sz w:val="20"/>
          <w:szCs w:val="20"/>
        </w:rPr>
        <w:t>Myths from Mesopotamia: Creation, The Flood, Gilgamesh and Others</w:t>
      </w:r>
      <w:r w:rsidRPr="00BF6542">
        <w:rPr>
          <w:rFonts w:cs="Arial"/>
          <w:sz w:val="20"/>
          <w:szCs w:val="20"/>
        </w:rPr>
        <w:t xml:space="preserve"> [Revised Edition], Oxford:</w:t>
      </w:r>
      <w:r>
        <w:rPr>
          <w:rFonts w:cs="Arial"/>
          <w:sz w:val="20"/>
          <w:szCs w:val="20"/>
        </w:rPr>
        <w:t xml:space="preserve"> Oxford University Press [1989].</w:t>
      </w:r>
    </w:p>
    <w:p w14:paraId="58FDE738" w14:textId="77777777" w:rsidR="00A25DE7" w:rsidRPr="00BF6542" w:rsidRDefault="00A25DE7" w:rsidP="00D22DDA">
      <w:pPr>
        <w:rPr>
          <w:rFonts w:cs="Arial"/>
          <w:sz w:val="20"/>
          <w:szCs w:val="20"/>
        </w:rPr>
      </w:pPr>
      <w:r>
        <w:rPr>
          <w:rFonts w:cs="Arial"/>
          <w:sz w:val="20"/>
          <w:szCs w:val="20"/>
        </w:rPr>
        <w:t>‘</w:t>
      </w:r>
      <w:r w:rsidRPr="001D75E9">
        <w:rPr>
          <w:rFonts w:cs="Arial"/>
          <w:sz w:val="20"/>
          <w:szCs w:val="20"/>
        </w:rPr>
        <w:t>Gilgamesh</w:t>
      </w:r>
      <w:r>
        <w:rPr>
          <w:rFonts w:cs="Arial"/>
          <w:sz w:val="20"/>
          <w:szCs w:val="20"/>
        </w:rPr>
        <w:t>’</w:t>
      </w:r>
      <w:r w:rsidRPr="00BF6542">
        <w:rPr>
          <w:rFonts w:cs="Arial"/>
          <w:sz w:val="20"/>
          <w:szCs w:val="20"/>
        </w:rPr>
        <w:t xml:space="preserve">, in,Dalley, S. (trans.) (2000) </w:t>
      </w:r>
      <w:r w:rsidRPr="00BF6542">
        <w:rPr>
          <w:rFonts w:cs="Arial"/>
          <w:i/>
          <w:sz w:val="20"/>
          <w:szCs w:val="20"/>
        </w:rPr>
        <w:t>Myths from Mesopotamia: Creation, The Flood, Gilgamesh and Others</w:t>
      </w:r>
      <w:r w:rsidRPr="00BF6542">
        <w:rPr>
          <w:rFonts w:cs="Arial"/>
          <w:sz w:val="20"/>
          <w:szCs w:val="20"/>
        </w:rPr>
        <w:t xml:space="preserve"> [Revised Edition], Oxford:</w:t>
      </w:r>
      <w:r>
        <w:rPr>
          <w:rFonts w:cs="Arial"/>
          <w:sz w:val="20"/>
          <w:szCs w:val="20"/>
        </w:rPr>
        <w:t xml:space="preserve"> Oxford University Press [1989].</w:t>
      </w:r>
    </w:p>
    <w:p w14:paraId="1F9C44E9" w14:textId="77777777" w:rsidR="00A25DE7" w:rsidRPr="00BF6542" w:rsidRDefault="00A25DE7" w:rsidP="00D22DDA">
      <w:pPr>
        <w:rPr>
          <w:rFonts w:cs="Arial"/>
          <w:sz w:val="20"/>
          <w:szCs w:val="20"/>
        </w:rPr>
      </w:pPr>
      <w:r>
        <w:rPr>
          <w:rFonts w:cs="Arial"/>
          <w:sz w:val="20"/>
          <w:szCs w:val="20"/>
        </w:rPr>
        <w:t>‘</w:t>
      </w:r>
      <w:r w:rsidRPr="001D75E9">
        <w:rPr>
          <w:rFonts w:cs="Arial"/>
          <w:sz w:val="20"/>
          <w:szCs w:val="20"/>
        </w:rPr>
        <w:t>Gilgamesh</w:t>
      </w:r>
      <w:r>
        <w:rPr>
          <w:rFonts w:cs="Arial"/>
          <w:sz w:val="20"/>
          <w:szCs w:val="20"/>
        </w:rPr>
        <w:t>’</w:t>
      </w:r>
      <w:r w:rsidRPr="00BF6542">
        <w:rPr>
          <w:rFonts w:cs="Arial"/>
          <w:sz w:val="20"/>
          <w:szCs w:val="20"/>
        </w:rPr>
        <w:t xml:space="preserve">, in,George, A. (trans.) (1999) </w:t>
      </w:r>
      <w:r w:rsidRPr="00BF6542">
        <w:rPr>
          <w:rFonts w:cs="Arial"/>
          <w:i/>
          <w:sz w:val="20"/>
          <w:szCs w:val="20"/>
        </w:rPr>
        <w:t>The Epic of Gilgamesh: The Babylonian Epic Poem and other texts in Akkadian and Sumerian</w:t>
      </w:r>
      <w:r w:rsidRPr="00BF6542">
        <w:rPr>
          <w:rFonts w:cs="Arial"/>
          <w:sz w:val="20"/>
          <w:szCs w:val="20"/>
        </w:rPr>
        <w:t xml:space="preserve"> London: Penguin</w:t>
      </w:r>
      <w:r>
        <w:rPr>
          <w:rFonts w:cs="Arial"/>
          <w:sz w:val="20"/>
          <w:szCs w:val="20"/>
        </w:rPr>
        <w:t>.</w:t>
      </w:r>
    </w:p>
    <w:p w14:paraId="490C51E5" w14:textId="77777777" w:rsidR="00A25DE7" w:rsidRDefault="00A25DE7" w:rsidP="001D75E9">
      <w:pPr>
        <w:rPr>
          <w:rFonts w:cs="Arial"/>
          <w:sz w:val="20"/>
          <w:szCs w:val="20"/>
        </w:rPr>
      </w:pPr>
      <w:r>
        <w:rPr>
          <w:rFonts w:cs="Arial"/>
          <w:sz w:val="20"/>
          <w:szCs w:val="20"/>
        </w:rPr>
        <w:t>‘</w:t>
      </w:r>
      <w:r w:rsidRPr="001D75E9">
        <w:rPr>
          <w:rFonts w:cs="Arial"/>
          <w:sz w:val="20"/>
          <w:szCs w:val="20"/>
        </w:rPr>
        <w:t>Gilgamesh</w:t>
      </w:r>
      <w:r>
        <w:rPr>
          <w:rFonts w:cs="Arial"/>
          <w:sz w:val="20"/>
          <w:szCs w:val="20"/>
        </w:rPr>
        <w:t>’</w:t>
      </w:r>
      <w:r w:rsidRPr="00BF6542">
        <w:rPr>
          <w:rFonts w:cs="Arial"/>
          <w:sz w:val="20"/>
          <w:szCs w:val="20"/>
        </w:rPr>
        <w:t xml:space="preserve">, in,Mitchell, S. (trans.) (2005) </w:t>
      </w:r>
      <w:r w:rsidRPr="00BF6542">
        <w:rPr>
          <w:rFonts w:cs="Arial"/>
          <w:i/>
          <w:sz w:val="20"/>
          <w:szCs w:val="20"/>
        </w:rPr>
        <w:t>Gilgamesh: A New English Version</w:t>
      </w:r>
      <w:r w:rsidRPr="00BF6542">
        <w:rPr>
          <w:rFonts w:cs="Arial"/>
          <w:sz w:val="20"/>
          <w:szCs w:val="20"/>
        </w:rPr>
        <w:t xml:space="preserve"> London: Profile Books</w:t>
      </w:r>
      <w:r>
        <w:rPr>
          <w:rFonts w:cs="Arial"/>
          <w:sz w:val="20"/>
          <w:szCs w:val="20"/>
        </w:rPr>
        <w:t>.</w:t>
      </w:r>
    </w:p>
    <w:p w14:paraId="78AEA152" w14:textId="77777777" w:rsidR="00A25DE7" w:rsidRPr="00BF6542" w:rsidRDefault="00A25DE7" w:rsidP="001D75E9">
      <w:pPr>
        <w:rPr>
          <w:rFonts w:cs="Arial"/>
          <w:sz w:val="20"/>
          <w:szCs w:val="20"/>
        </w:rPr>
      </w:pPr>
      <w:r>
        <w:rPr>
          <w:rFonts w:cs="Arial"/>
          <w:sz w:val="20"/>
          <w:szCs w:val="20"/>
        </w:rPr>
        <w:t>‘</w:t>
      </w:r>
      <w:r w:rsidRPr="001D75E9">
        <w:rPr>
          <w:rFonts w:cs="Arial"/>
          <w:sz w:val="20"/>
          <w:szCs w:val="20"/>
        </w:rPr>
        <w:t>Gilgamesh</w:t>
      </w:r>
      <w:r>
        <w:rPr>
          <w:rFonts w:cs="Arial"/>
          <w:sz w:val="20"/>
          <w:szCs w:val="20"/>
        </w:rPr>
        <w:t>’</w:t>
      </w:r>
      <w:r w:rsidRPr="00BF6542">
        <w:rPr>
          <w:rFonts w:cs="Arial"/>
          <w:sz w:val="20"/>
          <w:szCs w:val="20"/>
        </w:rPr>
        <w:t xml:space="preserve">, in, Kovacs, M. G (1985) (trans.) </w:t>
      </w:r>
      <w:r w:rsidRPr="00BF6542">
        <w:rPr>
          <w:rFonts w:cs="Arial"/>
          <w:i/>
          <w:iCs/>
          <w:sz w:val="20"/>
          <w:szCs w:val="20"/>
        </w:rPr>
        <w:t>The Epic of Gilgamesh</w:t>
      </w:r>
      <w:r w:rsidRPr="00BF6542">
        <w:rPr>
          <w:rFonts w:cs="Arial"/>
          <w:sz w:val="20"/>
          <w:szCs w:val="20"/>
        </w:rPr>
        <w:t xml:space="preserve"> Stanford, CA: Stanford University Press </w:t>
      </w:r>
    </w:p>
    <w:p w14:paraId="5E6FAC8A" w14:textId="77777777" w:rsidR="00A25DE7" w:rsidRPr="00BF6542" w:rsidRDefault="00A25DE7" w:rsidP="00D0240C">
      <w:pPr>
        <w:spacing w:line="240" w:lineRule="auto"/>
        <w:contextualSpacing/>
        <w:rPr>
          <w:rFonts w:cs="Arial"/>
          <w:sz w:val="20"/>
          <w:szCs w:val="20"/>
        </w:rPr>
      </w:pPr>
      <w:r>
        <w:rPr>
          <w:rFonts w:cs="Arial"/>
          <w:sz w:val="20"/>
          <w:szCs w:val="20"/>
        </w:rPr>
        <w:t>‘</w:t>
      </w:r>
      <w:r w:rsidRPr="001D75E9">
        <w:rPr>
          <w:rFonts w:cs="Arial"/>
          <w:sz w:val="20"/>
          <w:szCs w:val="20"/>
        </w:rPr>
        <w:t>Gilgamesh, Enkidu and the Netherworld</w:t>
      </w:r>
      <w:r>
        <w:rPr>
          <w:rFonts w:cs="Arial"/>
          <w:sz w:val="20"/>
          <w:szCs w:val="20"/>
        </w:rPr>
        <w:t>’</w:t>
      </w:r>
      <w:r w:rsidRPr="00BF6542">
        <w:rPr>
          <w:rFonts w:cs="Arial"/>
          <w:sz w:val="20"/>
          <w:szCs w:val="20"/>
        </w:rPr>
        <w:t>, in, Shaffer, A. (1963)(trans.</w:t>
      </w:r>
      <w:r>
        <w:rPr>
          <w:rFonts w:cs="Arial"/>
          <w:sz w:val="20"/>
          <w:szCs w:val="20"/>
        </w:rPr>
        <w:t>)</w:t>
      </w:r>
      <w:r w:rsidRPr="00BF6542">
        <w:rPr>
          <w:rFonts w:cs="Arial"/>
          <w:i/>
          <w:sz w:val="20"/>
          <w:szCs w:val="20"/>
        </w:rPr>
        <w:t xml:space="preserve">Sumerian Sources of Tablet XII of the Epic of Gilgameš, </w:t>
      </w:r>
      <w:r w:rsidRPr="00BF6542">
        <w:rPr>
          <w:rFonts w:cs="Arial"/>
          <w:sz w:val="20"/>
          <w:szCs w:val="20"/>
        </w:rPr>
        <w:t>Philadelp</w:t>
      </w:r>
      <w:r>
        <w:rPr>
          <w:rFonts w:cs="Arial"/>
          <w:sz w:val="20"/>
          <w:szCs w:val="20"/>
        </w:rPr>
        <w:t>hia: University of Pennsylvania.</w:t>
      </w:r>
    </w:p>
    <w:p w14:paraId="7D3B1DBE" w14:textId="77777777" w:rsidR="00A25DE7" w:rsidRPr="00BF6542" w:rsidRDefault="00A25DE7" w:rsidP="0083441A">
      <w:pPr>
        <w:spacing w:line="240" w:lineRule="auto"/>
        <w:contextualSpacing/>
        <w:rPr>
          <w:rFonts w:cs="Arial"/>
          <w:sz w:val="20"/>
          <w:szCs w:val="20"/>
        </w:rPr>
      </w:pPr>
    </w:p>
    <w:p w14:paraId="5FF10CA4" w14:textId="77777777" w:rsidR="00A25DE7" w:rsidRPr="00BF6542" w:rsidRDefault="00A25DE7" w:rsidP="0083441A">
      <w:pPr>
        <w:spacing w:line="240" w:lineRule="auto"/>
        <w:contextualSpacing/>
        <w:rPr>
          <w:rFonts w:cs="Arial"/>
          <w:sz w:val="20"/>
          <w:szCs w:val="20"/>
        </w:rPr>
      </w:pPr>
      <w:r w:rsidRPr="001D75E9">
        <w:rPr>
          <w:rFonts w:cs="Arial"/>
          <w:sz w:val="20"/>
          <w:szCs w:val="20"/>
        </w:rPr>
        <w:t>‘Gilgamesh and the Land of the Living</w:t>
      </w:r>
      <w:r>
        <w:rPr>
          <w:rFonts w:cs="Arial"/>
          <w:i/>
          <w:sz w:val="20"/>
          <w:szCs w:val="20"/>
        </w:rPr>
        <w:t>’</w:t>
      </w:r>
      <w:r>
        <w:rPr>
          <w:rFonts w:cs="Arial"/>
          <w:sz w:val="20"/>
          <w:szCs w:val="20"/>
        </w:rPr>
        <w:t>, in,</w:t>
      </w:r>
      <w:r w:rsidRPr="00BF6542">
        <w:rPr>
          <w:rFonts w:cs="Arial"/>
          <w:sz w:val="20"/>
          <w:szCs w:val="20"/>
        </w:rPr>
        <w:t>Kramer, S. N. (1947)</w:t>
      </w:r>
      <w:r>
        <w:rPr>
          <w:rFonts w:cs="Arial"/>
          <w:sz w:val="20"/>
          <w:szCs w:val="20"/>
        </w:rPr>
        <w:t xml:space="preserve"> (trans.)</w:t>
      </w:r>
      <w:r w:rsidRPr="00BF6542">
        <w:rPr>
          <w:rFonts w:cs="Arial"/>
          <w:sz w:val="20"/>
          <w:szCs w:val="20"/>
        </w:rPr>
        <w:t xml:space="preserve"> ‘Gilgamesh and the Land of the Living’, in, </w:t>
      </w:r>
      <w:r w:rsidRPr="00BF6542">
        <w:rPr>
          <w:rFonts w:cs="Arial"/>
          <w:i/>
          <w:sz w:val="20"/>
          <w:szCs w:val="20"/>
        </w:rPr>
        <w:t>JCS</w:t>
      </w:r>
      <w:r w:rsidRPr="00BF6542">
        <w:rPr>
          <w:rFonts w:cs="Arial"/>
          <w:sz w:val="20"/>
          <w:szCs w:val="20"/>
        </w:rPr>
        <w:t xml:space="preserve"> 1</w:t>
      </w:r>
      <w:r>
        <w:rPr>
          <w:rFonts w:cs="Arial"/>
          <w:sz w:val="20"/>
          <w:szCs w:val="20"/>
        </w:rPr>
        <w:t>.</w:t>
      </w:r>
    </w:p>
    <w:p w14:paraId="3D7ECAEB" w14:textId="77777777" w:rsidR="00A25DE7" w:rsidRPr="00BF6542" w:rsidRDefault="00A25DE7" w:rsidP="0083441A">
      <w:pPr>
        <w:spacing w:line="240" w:lineRule="auto"/>
        <w:contextualSpacing/>
        <w:rPr>
          <w:rFonts w:cs="Arial"/>
          <w:sz w:val="20"/>
          <w:szCs w:val="20"/>
        </w:rPr>
      </w:pPr>
    </w:p>
    <w:p w14:paraId="443B5CF5" w14:textId="77777777" w:rsidR="00A25DE7" w:rsidRPr="001D75E9" w:rsidRDefault="00A25DE7" w:rsidP="001D75E9">
      <w:pPr>
        <w:spacing w:line="240" w:lineRule="auto"/>
        <w:contextualSpacing/>
        <w:rPr>
          <w:rFonts w:cs="Arial"/>
          <w:sz w:val="20"/>
          <w:szCs w:val="20"/>
        </w:rPr>
      </w:pPr>
      <w:r>
        <w:rPr>
          <w:rFonts w:cs="Arial"/>
          <w:sz w:val="20"/>
          <w:szCs w:val="20"/>
        </w:rPr>
        <w:t>Herodotus</w:t>
      </w:r>
      <w:r w:rsidRPr="001D75E9">
        <w:rPr>
          <w:rFonts w:cs="Arial"/>
          <w:sz w:val="20"/>
          <w:szCs w:val="20"/>
        </w:rPr>
        <w:t xml:space="preserve"> ‘Histories’, in, Waterfield, R. (1998)(trans.) </w:t>
      </w:r>
      <w:r w:rsidRPr="001D75E9">
        <w:rPr>
          <w:rFonts w:cs="Arial"/>
          <w:i/>
          <w:sz w:val="20"/>
          <w:szCs w:val="20"/>
        </w:rPr>
        <w:t>Herodotus: The Histories</w:t>
      </w:r>
      <w:r w:rsidRPr="001D75E9">
        <w:rPr>
          <w:rFonts w:cs="Arial"/>
          <w:sz w:val="20"/>
          <w:szCs w:val="20"/>
        </w:rPr>
        <w:t>, Oxford: Oxford University Press</w:t>
      </w:r>
      <w:r>
        <w:rPr>
          <w:rFonts w:cs="Arial"/>
          <w:sz w:val="20"/>
          <w:szCs w:val="20"/>
        </w:rPr>
        <w:t>.</w:t>
      </w:r>
    </w:p>
    <w:p w14:paraId="3469F6B3" w14:textId="77777777" w:rsidR="00A25DE7" w:rsidRPr="00BF6542" w:rsidRDefault="00A25DE7" w:rsidP="0083441A">
      <w:pPr>
        <w:spacing w:line="240" w:lineRule="auto"/>
        <w:contextualSpacing/>
        <w:rPr>
          <w:rFonts w:cs="Arial"/>
          <w:i/>
          <w:iCs/>
          <w:sz w:val="20"/>
          <w:szCs w:val="20"/>
          <w:shd w:val="clear" w:color="auto" w:fill="FFFDF9"/>
        </w:rPr>
      </w:pPr>
    </w:p>
    <w:p w14:paraId="602A06BE" w14:textId="77777777" w:rsidR="00A25DE7" w:rsidRPr="0019783D" w:rsidRDefault="00A25DE7" w:rsidP="0019783D">
      <w:pPr>
        <w:spacing w:line="240" w:lineRule="auto"/>
        <w:contextualSpacing/>
        <w:rPr>
          <w:rFonts w:cs="Arial"/>
          <w:iCs/>
          <w:sz w:val="20"/>
          <w:szCs w:val="20"/>
          <w:shd w:val="clear" w:color="auto" w:fill="FFFDF9"/>
        </w:rPr>
      </w:pPr>
      <w:r w:rsidRPr="0019783D">
        <w:rPr>
          <w:rFonts w:cs="Arial"/>
          <w:iCs/>
          <w:sz w:val="20"/>
          <w:szCs w:val="20"/>
          <w:shd w:val="clear" w:color="auto" w:fill="FFFDF9"/>
        </w:rPr>
        <w:t xml:space="preserve">Hesiod </w:t>
      </w:r>
      <w:r>
        <w:rPr>
          <w:rFonts w:cs="Arial"/>
          <w:iCs/>
          <w:sz w:val="20"/>
          <w:szCs w:val="20"/>
          <w:shd w:val="clear" w:color="auto" w:fill="FFFDF9"/>
        </w:rPr>
        <w:t xml:space="preserve">‘Catalogue </w:t>
      </w:r>
      <w:r w:rsidRPr="0019783D">
        <w:rPr>
          <w:rFonts w:cs="Arial"/>
          <w:iCs/>
          <w:sz w:val="20"/>
          <w:szCs w:val="20"/>
          <w:shd w:val="clear" w:color="auto" w:fill="FFFDF9"/>
        </w:rPr>
        <w:t>of Women</w:t>
      </w:r>
      <w:r>
        <w:rPr>
          <w:rFonts w:cs="Arial"/>
          <w:iCs/>
          <w:sz w:val="20"/>
          <w:szCs w:val="20"/>
          <w:shd w:val="clear" w:color="auto" w:fill="FFFDF9"/>
        </w:rPr>
        <w:t xml:space="preserve">’, from, the </w:t>
      </w:r>
      <w:r w:rsidRPr="0019783D">
        <w:rPr>
          <w:rFonts w:cs="Arial"/>
          <w:iCs/>
          <w:sz w:val="20"/>
          <w:szCs w:val="20"/>
          <w:shd w:val="clear" w:color="auto" w:fill="FFFDF9"/>
        </w:rPr>
        <w:t>English translation at the Theoi Project, from the edition of Evelyn-White (1936)</w:t>
      </w:r>
      <w:r w:rsidRPr="00BF6542">
        <w:rPr>
          <w:rFonts w:cs="Arial"/>
          <w:sz w:val="20"/>
          <w:szCs w:val="20"/>
        </w:rPr>
        <w:t>&lt;accessed: 04/06/2015</w:t>
      </w:r>
      <w:r>
        <w:rPr>
          <w:rFonts w:cs="Arial"/>
          <w:sz w:val="20"/>
          <w:szCs w:val="20"/>
        </w:rPr>
        <w:t>&gt;</w:t>
      </w:r>
      <w:r>
        <w:rPr>
          <w:rFonts w:cs="Arial"/>
          <w:iCs/>
          <w:sz w:val="20"/>
          <w:szCs w:val="20"/>
          <w:shd w:val="clear" w:color="auto" w:fill="FFFDF9"/>
        </w:rPr>
        <w:t xml:space="preserve">: </w:t>
      </w:r>
      <w:hyperlink r:id="rId17" w:history="1">
        <w:r w:rsidRPr="007A7683">
          <w:rPr>
            <w:rStyle w:val="Hyperlink"/>
            <w:rFonts w:cs="Arial"/>
            <w:iCs/>
            <w:sz w:val="20"/>
            <w:szCs w:val="20"/>
            <w:shd w:val="clear" w:color="auto" w:fill="FFFDF9"/>
          </w:rPr>
          <w:t>http://www.theoi.com/Text/HesiodCatalogues.html</w:t>
        </w:r>
      </w:hyperlink>
    </w:p>
    <w:p w14:paraId="47519F6F" w14:textId="77777777" w:rsidR="00A25DE7" w:rsidRPr="00BF6542" w:rsidRDefault="00A25DE7" w:rsidP="0083441A">
      <w:pPr>
        <w:spacing w:line="240" w:lineRule="auto"/>
        <w:contextualSpacing/>
        <w:rPr>
          <w:rFonts w:cs="Arial"/>
          <w:i/>
          <w:iCs/>
          <w:sz w:val="20"/>
          <w:szCs w:val="20"/>
          <w:shd w:val="clear" w:color="auto" w:fill="FFFDF9"/>
        </w:rPr>
      </w:pPr>
    </w:p>
    <w:p w14:paraId="215E3B32" w14:textId="77777777" w:rsidR="00A25DE7" w:rsidRPr="0019783D" w:rsidRDefault="00A25DE7" w:rsidP="0019783D">
      <w:pPr>
        <w:contextualSpacing/>
        <w:rPr>
          <w:rFonts w:cs="Arial"/>
          <w:iCs/>
          <w:sz w:val="20"/>
          <w:szCs w:val="20"/>
          <w:shd w:val="clear" w:color="auto" w:fill="FFFDF9"/>
        </w:rPr>
      </w:pPr>
      <w:r w:rsidRPr="0019783D">
        <w:rPr>
          <w:rFonts w:cs="Arial"/>
          <w:iCs/>
          <w:sz w:val="20"/>
          <w:szCs w:val="20"/>
          <w:shd w:val="clear" w:color="auto" w:fill="FFFDF9"/>
        </w:rPr>
        <w:t xml:space="preserve">Hesiod </w:t>
      </w:r>
      <w:r>
        <w:rPr>
          <w:rFonts w:cs="Arial"/>
          <w:iCs/>
          <w:sz w:val="20"/>
          <w:szCs w:val="20"/>
          <w:shd w:val="clear" w:color="auto" w:fill="FFFDF9"/>
        </w:rPr>
        <w:t>‘</w:t>
      </w:r>
      <w:r w:rsidRPr="0019783D">
        <w:rPr>
          <w:rFonts w:cs="Arial"/>
          <w:iCs/>
          <w:sz w:val="20"/>
          <w:szCs w:val="20"/>
          <w:shd w:val="clear" w:color="auto" w:fill="FFFDF9"/>
        </w:rPr>
        <w:t>Shield of Heracles</w:t>
      </w:r>
      <w:r>
        <w:rPr>
          <w:rFonts w:cs="Arial"/>
          <w:iCs/>
          <w:sz w:val="20"/>
          <w:szCs w:val="20"/>
          <w:shd w:val="clear" w:color="auto" w:fill="FFFDF9"/>
        </w:rPr>
        <w:t>’,</w:t>
      </w:r>
      <w:r w:rsidRPr="0019783D">
        <w:rPr>
          <w:rFonts w:cs="Arial"/>
          <w:iCs/>
          <w:sz w:val="20"/>
          <w:szCs w:val="20"/>
          <w:shd w:val="clear" w:color="auto" w:fill="FFFDF9"/>
        </w:rPr>
        <w:t xml:space="preserve"> in, Evelyn-White, H.G. (2006)(trans.) </w:t>
      </w:r>
      <w:r w:rsidRPr="0019783D">
        <w:rPr>
          <w:rFonts w:cs="Arial"/>
          <w:i/>
          <w:iCs/>
          <w:sz w:val="20"/>
          <w:szCs w:val="20"/>
          <w:shd w:val="clear" w:color="auto" w:fill="FFFDF9"/>
        </w:rPr>
        <w:t>Hesiod: The Works and Days, Theogony and The Shield of Heracles</w:t>
      </w:r>
      <w:r w:rsidRPr="0019783D">
        <w:rPr>
          <w:rFonts w:cs="Arial"/>
          <w:iCs/>
          <w:sz w:val="20"/>
          <w:szCs w:val="20"/>
          <w:shd w:val="clear" w:color="auto" w:fill="FFFDF9"/>
        </w:rPr>
        <w:t>, New York: Dover Books</w:t>
      </w:r>
      <w:r>
        <w:rPr>
          <w:rFonts w:cs="Arial"/>
          <w:iCs/>
          <w:sz w:val="20"/>
          <w:szCs w:val="20"/>
          <w:shd w:val="clear" w:color="auto" w:fill="FFFDF9"/>
        </w:rPr>
        <w:t>.</w:t>
      </w:r>
    </w:p>
    <w:p w14:paraId="3711A6C9" w14:textId="77777777" w:rsidR="00A25DE7" w:rsidRPr="00BF6542" w:rsidRDefault="00A25DE7" w:rsidP="0083441A">
      <w:pPr>
        <w:spacing w:line="240" w:lineRule="auto"/>
        <w:contextualSpacing/>
        <w:rPr>
          <w:rFonts w:cs="Arial"/>
          <w:iCs/>
          <w:sz w:val="20"/>
          <w:szCs w:val="20"/>
          <w:shd w:val="clear" w:color="auto" w:fill="FFFDF9"/>
        </w:rPr>
      </w:pPr>
    </w:p>
    <w:p w14:paraId="3B383AA5" w14:textId="77777777" w:rsidR="00A25DE7" w:rsidRDefault="00A25DE7" w:rsidP="0083441A">
      <w:pPr>
        <w:spacing w:line="240" w:lineRule="auto"/>
        <w:contextualSpacing/>
        <w:rPr>
          <w:rFonts w:cs="Arial"/>
          <w:sz w:val="20"/>
          <w:szCs w:val="20"/>
        </w:rPr>
      </w:pPr>
      <w:r w:rsidRPr="00BF6542">
        <w:rPr>
          <w:rFonts w:cs="Arial"/>
          <w:sz w:val="20"/>
          <w:szCs w:val="20"/>
        </w:rPr>
        <w:t xml:space="preserve">Hesiod </w:t>
      </w:r>
      <w:commentRangeStart w:id="242"/>
      <w:r w:rsidRPr="00BF6542">
        <w:rPr>
          <w:rFonts w:cs="Arial"/>
          <w:sz w:val="20"/>
          <w:szCs w:val="20"/>
        </w:rPr>
        <w:t>‘Theogony’</w:t>
      </w:r>
      <w:commentRangeEnd w:id="242"/>
      <w:r>
        <w:rPr>
          <w:rStyle w:val="CommentReference"/>
        </w:rPr>
        <w:commentReference w:id="242"/>
      </w:r>
      <w:r w:rsidRPr="00BF6542">
        <w:rPr>
          <w:rFonts w:cs="Arial"/>
          <w:sz w:val="20"/>
          <w:szCs w:val="20"/>
        </w:rPr>
        <w:t xml:space="preserve">, in, Evelyn-White, H.G. (2006)(trans.) </w:t>
      </w:r>
      <w:r w:rsidRPr="00BF6542">
        <w:rPr>
          <w:rFonts w:cs="Arial"/>
          <w:i/>
          <w:sz w:val="20"/>
          <w:szCs w:val="20"/>
        </w:rPr>
        <w:t>Hesiod: The Works and Days, Theogony and The Shield of Heracles</w:t>
      </w:r>
      <w:r w:rsidRPr="00BF6542">
        <w:rPr>
          <w:rFonts w:cs="Arial"/>
          <w:sz w:val="20"/>
          <w:szCs w:val="20"/>
        </w:rPr>
        <w:t xml:space="preserve"> New York: Dover Books</w:t>
      </w:r>
    </w:p>
    <w:p w14:paraId="772EACAC" w14:textId="77777777" w:rsidR="00A25DE7" w:rsidRDefault="00A25DE7" w:rsidP="0083441A">
      <w:pPr>
        <w:spacing w:line="240" w:lineRule="auto"/>
        <w:contextualSpacing/>
        <w:rPr>
          <w:rFonts w:cs="Arial"/>
          <w:sz w:val="20"/>
          <w:szCs w:val="20"/>
        </w:rPr>
      </w:pPr>
    </w:p>
    <w:p w14:paraId="54A32F6E" w14:textId="77777777" w:rsidR="00A25DE7" w:rsidRPr="00BF6542" w:rsidRDefault="00A25DE7" w:rsidP="0083441A">
      <w:pPr>
        <w:spacing w:line="240" w:lineRule="auto"/>
        <w:contextualSpacing/>
        <w:rPr>
          <w:rFonts w:cs="Arial"/>
          <w:sz w:val="20"/>
          <w:szCs w:val="20"/>
        </w:rPr>
      </w:pPr>
      <w:r>
        <w:rPr>
          <w:rFonts w:cs="Arial"/>
          <w:sz w:val="20"/>
          <w:szCs w:val="20"/>
        </w:rPr>
        <w:t>Hesiod, ‘Theogony’,</w:t>
      </w:r>
      <w:r w:rsidRPr="0019783D">
        <w:rPr>
          <w:rFonts w:cs="Arial"/>
          <w:sz w:val="20"/>
          <w:szCs w:val="20"/>
        </w:rPr>
        <w:t xml:space="preserve"> in, Wender, D. (1986) (trans.) </w:t>
      </w:r>
      <w:r w:rsidRPr="0019783D">
        <w:rPr>
          <w:rFonts w:cs="Arial"/>
          <w:i/>
          <w:sz w:val="20"/>
          <w:szCs w:val="20"/>
        </w:rPr>
        <w:t>Hesiod and Theognis</w:t>
      </w:r>
      <w:r w:rsidRPr="0019783D">
        <w:rPr>
          <w:rFonts w:cs="Arial"/>
          <w:sz w:val="20"/>
          <w:szCs w:val="20"/>
        </w:rPr>
        <w:t>, London: Penguin</w:t>
      </w:r>
      <w:r>
        <w:rPr>
          <w:rFonts w:cs="Arial"/>
          <w:sz w:val="20"/>
          <w:szCs w:val="20"/>
        </w:rPr>
        <w:t>.</w:t>
      </w:r>
    </w:p>
    <w:p w14:paraId="135F6D00" w14:textId="77777777" w:rsidR="00A25DE7" w:rsidRPr="00BF6542" w:rsidRDefault="00A25DE7" w:rsidP="00BF3C75">
      <w:pPr>
        <w:tabs>
          <w:tab w:val="left" w:pos="2235"/>
        </w:tabs>
        <w:spacing w:line="240" w:lineRule="auto"/>
        <w:contextualSpacing/>
        <w:rPr>
          <w:rFonts w:cs="Arial"/>
          <w:sz w:val="20"/>
          <w:szCs w:val="20"/>
        </w:rPr>
      </w:pPr>
      <w:r w:rsidRPr="00BF6542">
        <w:rPr>
          <w:rFonts w:cs="Arial"/>
          <w:sz w:val="20"/>
          <w:szCs w:val="20"/>
        </w:rPr>
        <w:tab/>
      </w:r>
    </w:p>
    <w:p w14:paraId="4EE54AE7" w14:textId="77777777" w:rsidR="00A25DE7" w:rsidRDefault="00A25DE7" w:rsidP="0083441A">
      <w:pPr>
        <w:spacing w:line="240" w:lineRule="auto"/>
        <w:contextualSpacing/>
        <w:rPr>
          <w:rFonts w:cs="Arial"/>
          <w:sz w:val="20"/>
          <w:szCs w:val="20"/>
        </w:rPr>
      </w:pPr>
      <w:r w:rsidRPr="00BF6542">
        <w:rPr>
          <w:rFonts w:cs="Arial"/>
          <w:sz w:val="20"/>
          <w:szCs w:val="20"/>
        </w:rPr>
        <w:t xml:space="preserve">Hesiod, ‘Works and Days’, in, Evelyn-White, H.G. (2006)(trans.) </w:t>
      </w:r>
      <w:r w:rsidRPr="00BF6542">
        <w:rPr>
          <w:rFonts w:cs="Arial"/>
          <w:i/>
          <w:sz w:val="20"/>
          <w:szCs w:val="20"/>
        </w:rPr>
        <w:t>Hesiod: The Works and Days, Theogony and The Shield of Heracles</w:t>
      </w:r>
      <w:r w:rsidRPr="00BF6542">
        <w:rPr>
          <w:rFonts w:cs="Arial"/>
          <w:sz w:val="20"/>
          <w:szCs w:val="20"/>
        </w:rPr>
        <w:t xml:space="preserve"> New York: Dover Books</w:t>
      </w:r>
    </w:p>
    <w:p w14:paraId="4D7758B5" w14:textId="77777777" w:rsidR="00A25DE7" w:rsidRDefault="00A25DE7" w:rsidP="0083441A">
      <w:pPr>
        <w:spacing w:line="240" w:lineRule="auto"/>
        <w:contextualSpacing/>
        <w:rPr>
          <w:rFonts w:cs="Arial"/>
          <w:sz w:val="20"/>
          <w:szCs w:val="20"/>
        </w:rPr>
      </w:pPr>
    </w:p>
    <w:p w14:paraId="7692FAF5" w14:textId="77777777" w:rsidR="00A25DE7" w:rsidRPr="00BF6542" w:rsidRDefault="00A25DE7" w:rsidP="0083441A">
      <w:pPr>
        <w:spacing w:line="240" w:lineRule="auto"/>
        <w:contextualSpacing/>
        <w:rPr>
          <w:rFonts w:cs="Arial"/>
          <w:sz w:val="20"/>
          <w:szCs w:val="20"/>
        </w:rPr>
      </w:pPr>
      <w:r>
        <w:rPr>
          <w:rFonts w:cs="Arial"/>
          <w:sz w:val="20"/>
          <w:szCs w:val="20"/>
        </w:rPr>
        <w:t>Hesiod, ‘Works and Days’,</w:t>
      </w:r>
      <w:r w:rsidRPr="0019783D">
        <w:rPr>
          <w:rFonts w:cs="Arial"/>
          <w:sz w:val="20"/>
          <w:szCs w:val="20"/>
        </w:rPr>
        <w:t xml:space="preserve"> in, Wender, D. (1986)(trans.) </w:t>
      </w:r>
      <w:r w:rsidRPr="0019783D">
        <w:rPr>
          <w:rFonts w:cs="Arial"/>
          <w:i/>
          <w:sz w:val="20"/>
          <w:szCs w:val="20"/>
        </w:rPr>
        <w:t>Hesiod and Theognis</w:t>
      </w:r>
      <w:r w:rsidRPr="0019783D">
        <w:rPr>
          <w:rFonts w:cs="Arial"/>
          <w:sz w:val="20"/>
          <w:szCs w:val="20"/>
        </w:rPr>
        <w:t>, London: Penguin</w:t>
      </w:r>
      <w:r>
        <w:rPr>
          <w:rFonts w:cs="Arial"/>
          <w:sz w:val="20"/>
          <w:szCs w:val="20"/>
        </w:rPr>
        <w:t>.</w:t>
      </w:r>
    </w:p>
    <w:p w14:paraId="7FB275B9" w14:textId="77777777" w:rsidR="00A25DE7" w:rsidRDefault="00A25DE7" w:rsidP="0083441A">
      <w:pPr>
        <w:spacing w:line="240" w:lineRule="auto"/>
        <w:contextualSpacing/>
        <w:rPr>
          <w:rFonts w:cs="Arial"/>
          <w:sz w:val="20"/>
          <w:szCs w:val="20"/>
        </w:rPr>
      </w:pPr>
    </w:p>
    <w:p w14:paraId="7C5B299F" w14:textId="77777777" w:rsidR="00A25DE7" w:rsidRDefault="00A25DE7" w:rsidP="0083441A">
      <w:pPr>
        <w:spacing w:line="240" w:lineRule="auto"/>
        <w:contextualSpacing/>
        <w:rPr>
          <w:rFonts w:cs="Arial"/>
          <w:sz w:val="20"/>
          <w:szCs w:val="20"/>
        </w:rPr>
      </w:pPr>
      <w:r>
        <w:rPr>
          <w:rFonts w:cs="Arial"/>
          <w:sz w:val="20"/>
          <w:szCs w:val="20"/>
        </w:rPr>
        <w:lastRenderedPageBreak/>
        <w:t>Homer ‘Iliad’, from, Nagy, G. (trans.) &lt;accessed: 04.06.2015&gt;</w:t>
      </w:r>
    </w:p>
    <w:p w14:paraId="5058BCDC" w14:textId="77777777" w:rsidR="00A25DE7" w:rsidRPr="00BF6542" w:rsidRDefault="005B3668" w:rsidP="0083441A">
      <w:pPr>
        <w:spacing w:line="240" w:lineRule="auto"/>
        <w:contextualSpacing/>
        <w:rPr>
          <w:rFonts w:cs="Arial"/>
          <w:sz w:val="20"/>
          <w:szCs w:val="20"/>
        </w:rPr>
      </w:pPr>
      <w:hyperlink r:id="rId18" w:history="1">
        <w:r w:rsidR="00A25DE7" w:rsidRPr="007A7683">
          <w:rPr>
            <w:rStyle w:val="Hyperlink"/>
            <w:rFonts w:cs="Arial"/>
            <w:sz w:val="20"/>
            <w:szCs w:val="20"/>
          </w:rPr>
          <w:t>http://genius.com/albums/Homer-nagy-trans/Iliad-an-ancient-greek-translation</w:t>
        </w:r>
      </w:hyperlink>
    </w:p>
    <w:p w14:paraId="775226C0" w14:textId="77777777" w:rsidR="00A25DE7" w:rsidRDefault="00A25DE7" w:rsidP="0019783D">
      <w:pPr>
        <w:spacing w:line="240" w:lineRule="auto"/>
        <w:contextualSpacing/>
        <w:rPr>
          <w:rFonts w:cs="Arial"/>
          <w:sz w:val="20"/>
          <w:szCs w:val="20"/>
        </w:rPr>
      </w:pPr>
    </w:p>
    <w:p w14:paraId="25A583FF" w14:textId="77777777" w:rsidR="00A25DE7" w:rsidRPr="0019783D" w:rsidRDefault="00A25DE7" w:rsidP="0019783D">
      <w:pPr>
        <w:spacing w:line="240" w:lineRule="auto"/>
        <w:contextualSpacing/>
        <w:rPr>
          <w:rFonts w:cs="Arial"/>
          <w:sz w:val="20"/>
          <w:szCs w:val="20"/>
        </w:rPr>
      </w:pPr>
      <w:r w:rsidRPr="0019783D">
        <w:rPr>
          <w:rFonts w:cs="Arial"/>
          <w:sz w:val="20"/>
          <w:szCs w:val="20"/>
        </w:rPr>
        <w:t xml:space="preserve">Homer, ‘Iliad’, in, Lattimore, R. (1961)(trans.) </w:t>
      </w:r>
      <w:r w:rsidRPr="0019783D">
        <w:rPr>
          <w:rFonts w:cs="Arial"/>
          <w:i/>
          <w:sz w:val="20"/>
          <w:szCs w:val="20"/>
        </w:rPr>
        <w:t>The Iliad of Homer</w:t>
      </w:r>
      <w:r w:rsidRPr="0019783D">
        <w:rPr>
          <w:rFonts w:cs="Arial"/>
          <w:sz w:val="20"/>
          <w:szCs w:val="20"/>
        </w:rPr>
        <w:t>, London: University of Chicago Press</w:t>
      </w:r>
      <w:r>
        <w:rPr>
          <w:rFonts w:cs="Arial"/>
          <w:sz w:val="20"/>
          <w:szCs w:val="20"/>
        </w:rPr>
        <w:t>.</w:t>
      </w:r>
    </w:p>
    <w:p w14:paraId="59C58502" w14:textId="77777777" w:rsidR="00A25DE7" w:rsidRPr="0019783D" w:rsidRDefault="00A25DE7" w:rsidP="0019783D">
      <w:pPr>
        <w:spacing w:line="240" w:lineRule="auto"/>
        <w:contextualSpacing/>
        <w:rPr>
          <w:rFonts w:cs="Arial"/>
          <w:sz w:val="20"/>
          <w:szCs w:val="20"/>
        </w:rPr>
      </w:pPr>
    </w:p>
    <w:p w14:paraId="098C807C" w14:textId="77777777" w:rsidR="00A25DE7" w:rsidRPr="0019783D" w:rsidRDefault="00A25DE7" w:rsidP="0019783D">
      <w:pPr>
        <w:spacing w:line="240" w:lineRule="auto"/>
        <w:contextualSpacing/>
        <w:rPr>
          <w:rFonts w:cs="Arial"/>
          <w:sz w:val="20"/>
          <w:szCs w:val="20"/>
        </w:rPr>
      </w:pPr>
      <w:r w:rsidRPr="0019783D">
        <w:rPr>
          <w:rFonts w:cs="Arial"/>
          <w:sz w:val="20"/>
          <w:szCs w:val="20"/>
        </w:rPr>
        <w:t xml:space="preserve">Homer, ‘Iliad’, in, Rieu, E.V. (1950)(trans.) </w:t>
      </w:r>
      <w:r w:rsidRPr="0019783D">
        <w:rPr>
          <w:rFonts w:cs="Arial"/>
          <w:i/>
          <w:sz w:val="20"/>
          <w:szCs w:val="20"/>
        </w:rPr>
        <w:t>Homer: the Iliad</w:t>
      </w:r>
      <w:r w:rsidRPr="0019783D">
        <w:rPr>
          <w:rFonts w:cs="Arial"/>
          <w:sz w:val="20"/>
          <w:szCs w:val="20"/>
        </w:rPr>
        <w:t>, London:</w:t>
      </w:r>
      <w:r>
        <w:rPr>
          <w:rFonts w:cs="Arial"/>
          <w:sz w:val="20"/>
          <w:szCs w:val="20"/>
        </w:rPr>
        <w:t xml:space="preserve"> Penguin.</w:t>
      </w:r>
    </w:p>
    <w:p w14:paraId="6E29D7F5" w14:textId="77777777" w:rsidR="00A25DE7" w:rsidRPr="00BF6542" w:rsidRDefault="00A25DE7" w:rsidP="0083441A">
      <w:pPr>
        <w:spacing w:line="240" w:lineRule="auto"/>
        <w:contextualSpacing/>
        <w:rPr>
          <w:rFonts w:cs="Arial"/>
          <w:i/>
          <w:sz w:val="20"/>
          <w:szCs w:val="20"/>
        </w:rPr>
      </w:pPr>
    </w:p>
    <w:p w14:paraId="564EB3B6" w14:textId="77777777" w:rsidR="00A25DE7" w:rsidRPr="00BF6542" w:rsidRDefault="00A25DE7" w:rsidP="0083441A">
      <w:pPr>
        <w:spacing w:line="240" w:lineRule="auto"/>
        <w:contextualSpacing/>
        <w:rPr>
          <w:rFonts w:cs="Arial"/>
          <w:sz w:val="20"/>
          <w:szCs w:val="20"/>
        </w:rPr>
      </w:pPr>
      <w:r w:rsidRPr="00BF6542">
        <w:rPr>
          <w:rFonts w:cs="Arial"/>
          <w:sz w:val="20"/>
          <w:szCs w:val="20"/>
        </w:rPr>
        <w:t xml:space="preserve">Homer ‘Odyssey’, in, Lattimore, R. (1965) (trans.) </w:t>
      </w:r>
      <w:r w:rsidRPr="00BF6542">
        <w:rPr>
          <w:rFonts w:cs="Arial"/>
          <w:i/>
          <w:sz w:val="20"/>
          <w:szCs w:val="20"/>
        </w:rPr>
        <w:t>The Odyssey of Homer</w:t>
      </w:r>
      <w:r w:rsidRPr="00BF6542">
        <w:rPr>
          <w:rFonts w:cs="Arial"/>
          <w:sz w:val="20"/>
          <w:szCs w:val="20"/>
        </w:rPr>
        <w:t>, New York: Harper Collins</w:t>
      </w:r>
      <w:r>
        <w:rPr>
          <w:rFonts w:cs="Arial"/>
          <w:sz w:val="20"/>
          <w:szCs w:val="20"/>
        </w:rPr>
        <w:t>.</w:t>
      </w:r>
    </w:p>
    <w:p w14:paraId="24512190" w14:textId="77777777" w:rsidR="00A25DE7" w:rsidRPr="00BF6542" w:rsidRDefault="00A25DE7" w:rsidP="0083441A">
      <w:pPr>
        <w:spacing w:line="240" w:lineRule="auto"/>
        <w:contextualSpacing/>
        <w:rPr>
          <w:rFonts w:cs="Arial"/>
          <w:sz w:val="20"/>
          <w:szCs w:val="20"/>
        </w:rPr>
      </w:pPr>
    </w:p>
    <w:p w14:paraId="57815FFC" w14:textId="77777777" w:rsidR="00A25DE7" w:rsidRPr="00BF6542" w:rsidRDefault="00A25DE7" w:rsidP="0083441A">
      <w:pPr>
        <w:spacing w:line="240" w:lineRule="auto"/>
        <w:contextualSpacing/>
        <w:rPr>
          <w:rFonts w:cs="Arial"/>
          <w:sz w:val="20"/>
          <w:szCs w:val="20"/>
        </w:rPr>
      </w:pPr>
      <w:r w:rsidRPr="00BF6542">
        <w:rPr>
          <w:rFonts w:cs="Arial"/>
          <w:sz w:val="20"/>
          <w:szCs w:val="20"/>
        </w:rPr>
        <w:t xml:space="preserve">Homer, ‘Odyssey’, in, Rieu, E.V. (1946) (trans.) </w:t>
      </w:r>
      <w:r w:rsidRPr="00BF6542">
        <w:rPr>
          <w:rFonts w:cs="Arial"/>
          <w:i/>
          <w:sz w:val="20"/>
          <w:szCs w:val="20"/>
        </w:rPr>
        <w:t>Homer: the Odyssey</w:t>
      </w:r>
      <w:r w:rsidRPr="00BF6542">
        <w:rPr>
          <w:rFonts w:cs="Arial"/>
          <w:sz w:val="20"/>
          <w:szCs w:val="20"/>
        </w:rPr>
        <w:t xml:space="preserve"> London: Penguin</w:t>
      </w:r>
      <w:r>
        <w:rPr>
          <w:rFonts w:cs="Arial"/>
          <w:sz w:val="20"/>
          <w:szCs w:val="20"/>
        </w:rPr>
        <w:t>.</w:t>
      </w:r>
    </w:p>
    <w:p w14:paraId="194C3C1D" w14:textId="77777777" w:rsidR="00A25DE7" w:rsidRPr="00BF6542" w:rsidRDefault="00A25DE7" w:rsidP="0083441A">
      <w:pPr>
        <w:spacing w:line="240" w:lineRule="auto"/>
        <w:contextualSpacing/>
        <w:rPr>
          <w:rFonts w:cs="Arial"/>
          <w:sz w:val="20"/>
          <w:szCs w:val="20"/>
        </w:rPr>
      </w:pPr>
    </w:p>
    <w:p w14:paraId="1CAAD7CA" w14:textId="77777777" w:rsidR="00A25DE7" w:rsidRPr="00BF6542" w:rsidRDefault="00A25DE7" w:rsidP="0083441A">
      <w:pPr>
        <w:spacing w:line="240" w:lineRule="auto"/>
        <w:contextualSpacing/>
        <w:rPr>
          <w:rFonts w:cs="Arial"/>
          <w:sz w:val="20"/>
          <w:szCs w:val="20"/>
        </w:rPr>
      </w:pPr>
      <w:r w:rsidRPr="00BF6542">
        <w:rPr>
          <w:rFonts w:cs="Arial"/>
          <w:sz w:val="20"/>
          <w:szCs w:val="20"/>
        </w:rPr>
        <w:t xml:space="preserve">Homer ‘Odyssey’, in, Murray, A. T. (1919) (trans.) </w:t>
      </w:r>
      <w:r w:rsidRPr="00BF6542">
        <w:rPr>
          <w:rFonts w:cs="Arial"/>
          <w:i/>
          <w:sz w:val="20"/>
          <w:szCs w:val="20"/>
        </w:rPr>
        <w:t xml:space="preserve">Homer: The Odyssey </w:t>
      </w:r>
      <w:r w:rsidRPr="00BF6542">
        <w:rPr>
          <w:rFonts w:cs="Arial"/>
          <w:sz w:val="20"/>
          <w:szCs w:val="20"/>
        </w:rPr>
        <w:t>London: William Heinemann</w:t>
      </w:r>
      <w:r w:rsidRPr="00BF6542">
        <w:rPr>
          <w:rFonts w:cs="Arial"/>
          <w:i/>
          <w:sz w:val="20"/>
          <w:szCs w:val="20"/>
        </w:rPr>
        <w:t>.</w:t>
      </w:r>
    </w:p>
    <w:p w14:paraId="61251D26" w14:textId="77777777" w:rsidR="00A25DE7" w:rsidRPr="00BF6542" w:rsidRDefault="00A25DE7" w:rsidP="000F4126">
      <w:pPr>
        <w:spacing w:line="240" w:lineRule="auto"/>
        <w:contextualSpacing/>
        <w:rPr>
          <w:rFonts w:cs="Arial"/>
          <w:sz w:val="20"/>
          <w:szCs w:val="20"/>
        </w:rPr>
      </w:pPr>
    </w:p>
    <w:p w14:paraId="67DC208E" w14:textId="77777777" w:rsidR="00A25DE7" w:rsidRPr="0019783D" w:rsidRDefault="00A25DE7" w:rsidP="0019783D">
      <w:pPr>
        <w:contextualSpacing/>
        <w:rPr>
          <w:rFonts w:cs="Arial"/>
          <w:sz w:val="20"/>
          <w:szCs w:val="20"/>
        </w:rPr>
      </w:pPr>
      <w:r>
        <w:rPr>
          <w:rFonts w:cs="Arial"/>
          <w:sz w:val="20"/>
          <w:szCs w:val="20"/>
        </w:rPr>
        <w:t>‘</w:t>
      </w:r>
      <w:r w:rsidRPr="0019783D">
        <w:rPr>
          <w:rFonts w:cs="Arial"/>
          <w:sz w:val="20"/>
          <w:szCs w:val="20"/>
        </w:rPr>
        <w:t>Hymn to Demeter</w:t>
      </w:r>
      <w:r>
        <w:rPr>
          <w:rFonts w:cs="Arial"/>
          <w:sz w:val="20"/>
          <w:szCs w:val="20"/>
        </w:rPr>
        <w:t>’</w:t>
      </w:r>
      <w:r w:rsidRPr="0019783D">
        <w:rPr>
          <w:rFonts w:cs="Arial"/>
          <w:sz w:val="20"/>
          <w:szCs w:val="20"/>
        </w:rPr>
        <w:t xml:space="preserve">, in, Rayor, D. (2004) (trans.) </w:t>
      </w:r>
      <w:r w:rsidRPr="0019783D">
        <w:rPr>
          <w:rFonts w:cs="Arial"/>
          <w:i/>
          <w:sz w:val="20"/>
          <w:szCs w:val="20"/>
        </w:rPr>
        <w:t>The Homeric Hymns</w:t>
      </w:r>
      <w:r w:rsidRPr="0019783D">
        <w:rPr>
          <w:rFonts w:cs="Arial"/>
          <w:sz w:val="20"/>
          <w:szCs w:val="20"/>
        </w:rPr>
        <w:t>, California: University of California Press</w:t>
      </w:r>
      <w:r>
        <w:rPr>
          <w:rFonts w:cs="Arial"/>
          <w:sz w:val="20"/>
          <w:szCs w:val="20"/>
        </w:rPr>
        <w:t>.</w:t>
      </w:r>
    </w:p>
    <w:p w14:paraId="02D9DB0E" w14:textId="77777777" w:rsidR="00A25DE7" w:rsidRPr="0019783D" w:rsidRDefault="00A25DE7" w:rsidP="000F4126">
      <w:pPr>
        <w:spacing w:line="240" w:lineRule="auto"/>
        <w:contextualSpacing/>
        <w:rPr>
          <w:rFonts w:cs="Arial"/>
          <w:iCs/>
          <w:sz w:val="20"/>
          <w:szCs w:val="20"/>
          <w:shd w:val="clear" w:color="auto" w:fill="FFFDF9"/>
        </w:rPr>
      </w:pPr>
    </w:p>
    <w:p w14:paraId="7AB55809" w14:textId="77777777" w:rsidR="00A25DE7" w:rsidRPr="0019783D" w:rsidRDefault="00A25DE7" w:rsidP="000F4126">
      <w:pPr>
        <w:spacing w:line="240" w:lineRule="auto"/>
        <w:contextualSpacing/>
        <w:rPr>
          <w:rFonts w:cs="Arial"/>
          <w:iCs/>
          <w:sz w:val="20"/>
          <w:szCs w:val="20"/>
          <w:shd w:val="clear" w:color="auto" w:fill="FFFDF9"/>
        </w:rPr>
      </w:pPr>
      <w:r>
        <w:rPr>
          <w:rFonts w:cs="Arial"/>
          <w:iCs/>
          <w:sz w:val="20"/>
          <w:szCs w:val="20"/>
          <w:shd w:val="clear" w:color="auto" w:fill="FFFDF9"/>
        </w:rPr>
        <w:t>‘</w:t>
      </w:r>
      <w:r w:rsidRPr="0019783D">
        <w:rPr>
          <w:rFonts w:cs="Arial"/>
          <w:iCs/>
          <w:sz w:val="20"/>
          <w:szCs w:val="20"/>
          <w:shd w:val="clear" w:color="auto" w:fill="FFFDF9"/>
        </w:rPr>
        <w:t>Hymn to Hermes</w:t>
      </w:r>
      <w:r>
        <w:rPr>
          <w:rFonts w:cs="Arial"/>
          <w:iCs/>
          <w:sz w:val="20"/>
          <w:szCs w:val="20"/>
          <w:shd w:val="clear" w:color="auto" w:fill="FFFDF9"/>
        </w:rPr>
        <w:t>’</w:t>
      </w:r>
      <w:r w:rsidRPr="0019783D">
        <w:rPr>
          <w:rFonts w:cs="Arial"/>
          <w:sz w:val="20"/>
          <w:szCs w:val="20"/>
        </w:rPr>
        <w:t xml:space="preserve">, in, Rayor, D. (2004) (trans.) </w:t>
      </w:r>
      <w:r w:rsidRPr="0019783D">
        <w:rPr>
          <w:rFonts w:cs="Arial"/>
          <w:i/>
          <w:sz w:val="20"/>
          <w:szCs w:val="20"/>
        </w:rPr>
        <w:t>The Homeric Hymns</w:t>
      </w:r>
      <w:r w:rsidRPr="0019783D">
        <w:rPr>
          <w:rFonts w:cs="Arial"/>
          <w:sz w:val="20"/>
          <w:szCs w:val="20"/>
        </w:rPr>
        <w:t>, California: University of California Press</w:t>
      </w:r>
      <w:r>
        <w:rPr>
          <w:rFonts w:cs="Arial"/>
          <w:sz w:val="20"/>
          <w:szCs w:val="20"/>
        </w:rPr>
        <w:t>.</w:t>
      </w:r>
    </w:p>
    <w:p w14:paraId="19FF5B11" w14:textId="77777777" w:rsidR="00A25DE7" w:rsidRPr="0019783D" w:rsidRDefault="00A25DE7" w:rsidP="000F4126">
      <w:pPr>
        <w:spacing w:line="240" w:lineRule="auto"/>
        <w:contextualSpacing/>
        <w:rPr>
          <w:rFonts w:cs="Arial"/>
          <w:iCs/>
          <w:sz w:val="20"/>
          <w:szCs w:val="20"/>
          <w:shd w:val="clear" w:color="auto" w:fill="FFFDF9"/>
        </w:rPr>
      </w:pPr>
    </w:p>
    <w:p w14:paraId="74556713" w14:textId="77777777" w:rsidR="00A25DE7" w:rsidRPr="0019783D" w:rsidRDefault="00A25DE7" w:rsidP="000F4126">
      <w:pPr>
        <w:spacing w:line="240" w:lineRule="auto"/>
        <w:contextualSpacing/>
        <w:rPr>
          <w:rFonts w:cs="Arial"/>
          <w:sz w:val="20"/>
          <w:szCs w:val="20"/>
        </w:rPr>
      </w:pPr>
      <w:r>
        <w:rPr>
          <w:rFonts w:cs="Arial"/>
          <w:iCs/>
          <w:sz w:val="20"/>
          <w:szCs w:val="20"/>
          <w:shd w:val="clear" w:color="auto" w:fill="FFFDF9"/>
        </w:rPr>
        <w:t>‘</w:t>
      </w:r>
      <w:r w:rsidRPr="0019783D">
        <w:rPr>
          <w:rFonts w:cs="Arial"/>
          <w:iCs/>
          <w:sz w:val="20"/>
          <w:szCs w:val="20"/>
          <w:shd w:val="clear" w:color="auto" w:fill="FFFDF9"/>
        </w:rPr>
        <w:t>Hymn to Helios</w:t>
      </w:r>
      <w:r>
        <w:rPr>
          <w:rFonts w:cs="Arial"/>
          <w:iCs/>
          <w:sz w:val="20"/>
          <w:szCs w:val="20"/>
          <w:shd w:val="clear" w:color="auto" w:fill="FFFDF9"/>
        </w:rPr>
        <w:t>’</w:t>
      </w:r>
      <w:r w:rsidRPr="0019783D">
        <w:rPr>
          <w:rFonts w:cs="Arial"/>
          <w:sz w:val="20"/>
          <w:szCs w:val="20"/>
        </w:rPr>
        <w:t>, in, Rayor, D. (2004)</w:t>
      </w:r>
      <w:r>
        <w:rPr>
          <w:rFonts w:cs="Arial"/>
          <w:sz w:val="20"/>
          <w:szCs w:val="20"/>
        </w:rPr>
        <w:t>(trans.)</w:t>
      </w:r>
      <w:r w:rsidRPr="0019783D">
        <w:rPr>
          <w:rFonts w:cs="Arial"/>
          <w:i/>
          <w:sz w:val="20"/>
          <w:szCs w:val="20"/>
        </w:rPr>
        <w:t>The Homeric Hymns</w:t>
      </w:r>
      <w:r w:rsidRPr="0019783D">
        <w:rPr>
          <w:rFonts w:cs="Arial"/>
          <w:sz w:val="20"/>
          <w:szCs w:val="20"/>
        </w:rPr>
        <w:t>, California: University of California Press</w:t>
      </w:r>
      <w:r>
        <w:rPr>
          <w:rFonts w:cs="Arial"/>
          <w:sz w:val="20"/>
          <w:szCs w:val="20"/>
        </w:rPr>
        <w:t>.</w:t>
      </w:r>
    </w:p>
    <w:p w14:paraId="0B60442F" w14:textId="77777777" w:rsidR="00A25DE7" w:rsidRPr="0019783D" w:rsidRDefault="00A25DE7" w:rsidP="000F4126">
      <w:pPr>
        <w:spacing w:line="240" w:lineRule="auto"/>
        <w:contextualSpacing/>
        <w:rPr>
          <w:rFonts w:cs="Arial"/>
          <w:iCs/>
          <w:sz w:val="20"/>
          <w:szCs w:val="20"/>
          <w:shd w:val="clear" w:color="auto" w:fill="FFFDF9"/>
        </w:rPr>
      </w:pPr>
    </w:p>
    <w:p w14:paraId="0724715B" w14:textId="77777777" w:rsidR="00A25DE7" w:rsidRPr="0019783D" w:rsidRDefault="00A25DE7" w:rsidP="000F4126">
      <w:pPr>
        <w:spacing w:line="240" w:lineRule="auto"/>
        <w:contextualSpacing/>
        <w:rPr>
          <w:rFonts w:cs="Arial"/>
          <w:bCs/>
          <w:sz w:val="20"/>
          <w:szCs w:val="20"/>
        </w:rPr>
      </w:pPr>
      <w:r>
        <w:rPr>
          <w:rFonts w:cs="Arial"/>
          <w:iCs/>
          <w:sz w:val="20"/>
          <w:szCs w:val="20"/>
          <w:shd w:val="clear" w:color="auto" w:fill="FFFDF9"/>
        </w:rPr>
        <w:t>‘</w:t>
      </w:r>
      <w:r w:rsidRPr="0019783D">
        <w:rPr>
          <w:rFonts w:cs="Arial"/>
          <w:iCs/>
          <w:sz w:val="20"/>
          <w:szCs w:val="20"/>
          <w:shd w:val="clear" w:color="auto" w:fill="FFFDF9"/>
        </w:rPr>
        <w:t>Hymn to Selene</w:t>
      </w:r>
      <w:r>
        <w:rPr>
          <w:rFonts w:cs="Arial"/>
          <w:iCs/>
          <w:sz w:val="20"/>
          <w:szCs w:val="20"/>
          <w:shd w:val="clear" w:color="auto" w:fill="FFFDF9"/>
        </w:rPr>
        <w:t>’</w:t>
      </w:r>
      <w:r w:rsidRPr="0019783D">
        <w:rPr>
          <w:rFonts w:cs="Arial"/>
          <w:sz w:val="20"/>
          <w:szCs w:val="20"/>
        </w:rPr>
        <w:t xml:space="preserve">, in, Rayor, D. (2004) (trans.) </w:t>
      </w:r>
      <w:r w:rsidRPr="0019783D">
        <w:rPr>
          <w:rFonts w:cs="Arial"/>
          <w:i/>
          <w:sz w:val="20"/>
          <w:szCs w:val="20"/>
        </w:rPr>
        <w:t>The Homeric Hymns</w:t>
      </w:r>
      <w:r w:rsidRPr="0019783D">
        <w:rPr>
          <w:rFonts w:cs="Arial"/>
          <w:sz w:val="20"/>
          <w:szCs w:val="20"/>
        </w:rPr>
        <w:t>, California: University of California Press</w:t>
      </w:r>
      <w:r>
        <w:rPr>
          <w:rFonts w:cs="Arial"/>
          <w:sz w:val="20"/>
          <w:szCs w:val="20"/>
        </w:rPr>
        <w:t>.</w:t>
      </w:r>
      <w:r w:rsidRPr="0019783D">
        <w:rPr>
          <w:rStyle w:val="apple-converted-space"/>
          <w:rFonts w:cs="Arial"/>
          <w:iCs/>
          <w:sz w:val="20"/>
          <w:szCs w:val="20"/>
          <w:shd w:val="clear" w:color="auto" w:fill="FFFDF9"/>
        </w:rPr>
        <w:t> </w:t>
      </w:r>
    </w:p>
    <w:p w14:paraId="1C1D5EF7" w14:textId="77777777" w:rsidR="00A25DE7" w:rsidRPr="00BF6542" w:rsidRDefault="00A25DE7" w:rsidP="000F4126">
      <w:pPr>
        <w:spacing w:line="240" w:lineRule="auto"/>
        <w:contextualSpacing/>
        <w:rPr>
          <w:rFonts w:cs="Arial"/>
          <w:bCs/>
          <w:i/>
          <w:sz w:val="20"/>
          <w:szCs w:val="20"/>
        </w:rPr>
      </w:pPr>
    </w:p>
    <w:p w14:paraId="2DD0F855" w14:textId="77777777" w:rsidR="00A25DE7" w:rsidRDefault="00A25DE7" w:rsidP="000F4126">
      <w:pPr>
        <w:spacing w:line="240" w:lineRule="auto"/>
        <w:contextualSpacing/>
        <w:rPr>
          <w:rFonts w:cs="Arial"/>
          <w:sz w:val="20"/>
          <w:szCs w:val="20"/>
        </w:rPr>
      </w:pPr>
      <w:r w:rsidRPr="00BF6542">
        <w:rPr>
          <w:rFonts w:cs="Arial"/>
          <w:bCs/>
          <w:i/>
          <w:sz w:val="20"/>
          <w:szCs w:val="20"/>
        </w:rPr>
        <w:t>Inana and Ebih</w:t>
      </w:r>
      <w:r>
        <w:rPr>
          <w:rFonts w:cs="Arial"/>
          <w:bCs/>
          <w:sz w:val="20"/>
          <w:szCs w:val="20"/>
        </w:rPr>
        <w:t xml:space="preserve">, from, </w:t>
      </w:r>
      <w:r w:rsidRPr="006368AE">
        <w:rPr>
          <w:rFonts w:cs="Arial"/>
          <w:bCs/>
          <w:sz w:val="20"/>
          <w:szCs w:val="20"/>
        </w:rPr>
        <w:t>The Electronic Text Corpus of Sumerian Literature</w:t>
      </w:r>
      <w:r>
        <w:rPr>
          <w:rFonts w:cs="Arial"/>
          <w:sz w:val="20"/>
          <w:szCs w:val="20"/>
        </w:rPr>
        <w:t>, translator unknown &lt;accessed: 20.07.2015&gt;</w:t>
      </w:r>
      <w:hyperlink r:id="rId19" w:history="1">
        <w:r w:rsidRPr="00E676C4">
          <w:rPr>
            <w:rStyle w:val="Hyperlink"/>
            <w:rFonts w:cs="Arial"/>
            <w:sz w:val="20"/>
            <w:szCs w:val="20"/>
          </w:rPr>
          <w:t>http://etcsl.orinst.ox.ac.uk/section1/tr132.htm</w:t>
        </w:r>
      </w:hyperlink>
    </w:p>
    <w:p w14:paraId="44D39D1C" w14:textId="77777777" w:rsidR="00A25DE7" w:rsidRPr="00BF6542" w:rsidRDefault="00A25DE7" w:rsidP="000F4126">
      <w:pPr>
        <w:spacing w:line="240" w:lineRule="auto"/>
        <w:contextualSpacing/>
        <w:rPr>
          <w:rFonts w:cs="Arial"/>
          <w:sz w:val="20"/>
          <w:szCs w:val="20"/>
        </w:rPr>
      </w:pPr>
    </w:p>
    <w:p w14:paraId="053F18E9" w14:textId="77777777" w:rsidR="00A25DE7" w:rsidRPr="00BF6542" w:rsidRDefault="00A25DE7" w:rsidP="000F4126">
      <w:pPr>
        <w:spacing w:line="240" w:lineRule="auto"/>
        <w:contextualSpacing/>
        <w:rPr>
          <w:rFonts w:cs="Arial"/>
          <w:i/>
          <w:sz w:val="20"/>
          <w:szCs w:val="20"/>
        </w:rPr>
      </w:pPr>
      <w:r>
        <w:rPr>
          <w:rFonts w:cs="Arial"/>
          <w:sz w:val="20"/>
          <w:szCs w:val="20"/>
        </w:rPr>
        <w:t>Manilius ‘Astronomica</w:t>
      </w:r>
      <w:r w:rsidRPr="0019783D">
        <w:rPr>
          <w:rFonts w:cs="Arial"/>
          <w:sz w:val="20"/>
          <w:szCs w:val="20"/>
        </w:rPr>
        <w:t xml:space="preserve">’, in, Goold, G. P. (trans.) and Henderson, J. (ed.) (1977) </w:t>
      </w:r>
      <w:r w:rsidRPr="0019783D">
        <w:rPr>
          <w:rFonts w:cs="Arial"/>
          <w:i/>
          <w:sz w:val="20"/>
          <w:szCs w:val="20"/>
        </w:rPr>
        <w:t>Loeb Classical Library ManiliusAstronomica</w:t>
      </w:r>
      <w:r w:rsidRPr="0019783D">
        <w:rPr>
          <w:rFonts w:cs="Arial"/>
          <w:sz w:val="20"/>
          <w:szCs w:val="20"/>
        </w:rPr>
        <w:t xml:space="preserve"> Cambridge, MA: Harvard University Press</w:t>
      </w:r>
      <w:r>
        <w:rPr>
          <w:rFonts w:cs="Arial"/>
          <w:sz w:val="20"/>
          <w:szCs w:val="20"/>
        </w:rPr>
        <w:t>.</w:t>
      </w:r>
    </w:p>
    <w:p w14:paraId="60AB5F09" w14:textId="77777777" w:rsidR="00A25DE7" w:rsidRPr="00BF6542" w:rsidRDefault="00A25DE7" w:rsidP="000F4126">
      <w:pPr>
        <w:spacing w:line="240" w:lineRule="auto"/>
        <w:contextualSpacing/>
        <w:rPr>
          <w:rFonts w:cs="Arial"/>
          <w:sz w:val="20"/>
          <w:szCs w:val="20"/>
        </w:rPr>
      </w:pPr>
    </w:p>
    <w:p w14:paraId="2969C58C" w14:textId="77777777" w:rsidR="00A25DE7" w:rsidRPr="00D44022" w:rsidRDefault="00A25DE7" w:rsidP="000F4126">
      <w:pPr>
        <w:spacing w:line="240" w:lineRule="auto"/>
        <w:contextualSpacing/>
        <w:rPr>
          <w:rFonts w:cs="Arial"/>
          <w:color w:val="252525"/>
          <w:sz w:val="20"/>
          <w:szCs w:val="20"/>
          <w:shd w:val="clear" w:color="auto" w:fill="FFFFFF"/>
        </w:rPr>
      </w:pPr>
      <w:r w:rsidRPr="00BF6542">
        <w:rPr>
          <w:rFonts w:cs="Arial"/>
          <w:sz w:val="20"/>
          <w:szCs w:val="20"/>
        </w:rPr>
        <w:t>Mimnermus</w:t>
      </w:r>
      <w:r>
        <w:rPr>
          <w:rFonts w:cs="Arial"/>
          <w:sz w:val="20"/>
          <w:szCs w:val="20"/>
        </w:rPr>
        <w:t xml:space="preserve"> ‘Fragments’, in,</w:t>
      </w:r>
      <w:r w:rsidRPr="00BF6542">
        <w:rPr>
          <w:rFonts w:cs="Arial"/>
          <w:color w:val="252525"/>
          <w:sz w:val="20"/>
          <w:szCs w:val="20"/>
          <w:shd w:val="clear" w:color="auto" w:fill="FFFFFF"/>
        </w:rPr>
        <w:t xml:space="preserve"> Allen,</w:t>
      </w:r>
      <w:r>
        <w:rPr>
          <w:rFonts w:cs="Arial"/>
          <w:color w:val="252525"/>
          <w:sz w:val="20"/>
          <w:szCs w:val="20"/>
          <w:shd w:val="clear" w:color="auto" w:fill="FFFFFF"/>
        </w:rPr>
        <w:t xml:space="preserve"> A.</w:t>
      </w:r>
      <w:r w:rsidRPr="00BF6542">
        <w:rPr>
          <w:rStyle w:val="apple-converted-space"/>
          <w:rFonts w:cs="Arial"/>
          <w:color w:val="252525"/>
          <w:sz w:val="20"/>
          <w:szCs w:val="20"/>
          <w:shd w:val="clear" w:color="auto" w:fill="FFFFFF"/>
        </w:rPr>
        <w:t> </w:t>
      </w:r>
      <w:r>
        <w:rPr>
          <w:rStyle w:val="apple-converted-space"/>
          <w:rFonts w:cs="Arial"/>
          <w:color w:val="252525"/>
          <w:sz w:val="20"/>
          <w:szCs w:val="20"/>
          <w:shd w:val="clear" w:color="auto" w:fill="FFFFFF"/>
        </w:rPr>
        <w:t xml:space="preserve">(1993) (trans.) </w:t>
      </w:r>
      <w:r w:rsidRPr="00BF6542">
        <w:rPr>
          <w:rFonts w:cs="Arial"/>
          <w:i/>
          <w:iCs/>
          <w:color w:val="252525"/>
          <w:sz w:val="20"/>
          <w:szCs w:val="20"/>
          <w:shd w:val="clear" w:color="auto" w:fill="FFFFFF"/>
        </w:rPr>
        <w:t>The Fragments of Mimnermus: Text and Commentary</w:t>
      </w:r>
      <w:r>
        <w:rPr>
          <w:rFonts w:cs="Arial"/>
          <w:color w:val="252525"/>
          <w:sz w:val="20"/>
          <w:szCs w:val="20"/>
          <w:shd w:val="clear" w:color="auto" w:fill="FFFFFF"/>
        </w:rPr>
        <w:t xml:space="preserve"> Stuttgart: </w:t>
      </w:r>
      <w:r w:rsidRPr="00D44022">
        <w:rPr>
          <w:rFonts w:cs="Arial"/>
          <w:color w:val="252525"/>
          <w:sz w:val="20"/>
          <w:szCs w:val="20"/>
          <w:shd w:val="clear" w:color="auto" w:fill="FFFFFF"/>
        </w:rPr>
        <w:t>Franz Steiner Verlag</w:t>
      </w:r>
      <w:r>
        <w:rPr>
          <w:rFonts w:cs="Arial"/>
          <w:color w:val="252525"/>
          <w:sz w:val="20"/>
          <w:szCs w:val="20"/>
          <w:shd w:val="clear" w:color="auto" w:fill="FFFFFF"/>
        </w:rPr>
        <w:t>.</w:t>
      </w:r>
    </w:p>
    <w:p w14:paraId="59CC4734" w14:textId="77777777" w:rsidR="00A25DE7" w:rsidRPr="00BF6542" w:rsidRDefault="00A25DE7" w:rsidP="000F4126">
      <w:pPr>
        <w:spacing w:line="240" w:lineRule="auto"/>
        <w:contextualSpacing/>
        <w:rPr>
          <w:rFonts w:cs="Arial"/>
          <w:sz w:val="20"/>
          <w:szCs w:val="20"/>
        </w:rPr>
      </w:pPr>
    </w:p>
    <w:p w14:paraId="0CD46A57" w14:textId="77777777" w:rsidR="00A25DE7" w:rsidRPr="00BF6542" w:rsidRDefault="00A25DE7" w:rsidP="000F4126">
      <w:pPr>
        <w:spacing w:line="240" w:lineRule="auto"/>
        <w:contextualSpacing/>
        <w:rPr>
          <w:rFonts w:cs="Arial"/>
          <w:sz w:val="20"/>
          <w:szCs w:val="20"/>
        </w:rPr>
      </w:pPr>
      <w:r w:rsidRPr="00BF6542">
        <w:rPr>
          <w:rFonts w:cs="Arial"/>
          <w:sz w:val="20"/>
          <w:szCs w:val="20"/>
        </w:rPr>
        <w:t xml:space="preserve">Ovid, ‘Metamorphoses’, in, Raeburn, D. (2004)(trans.) </w:t>
      </w:r>
      <w:r w:rsidRPr="00BF6542">
        <w:rPr>
          <w:rFonts w:cs="Arial"/>
          <w:i/>
          <w:sz w:val="20"/>
          <w:szCs w:val="20"/>
        </w:rPr>
        <w:t>Ovid: Metamorphoses</w:t>
      </w:r>
      <w:r w:rsidRPr="00BF6542">
        <w:rPr>
          <w:rFonts w:cs="Arial"/>
          <w:sz w:val="20"/>
          <w:szCs w:val="20"/>
        </w:rPr>
        <w:t>London: Penguin</w:t>
      </w:r>
      <w:r>
        <w:rPr>
          <w:rFonts w:cs="Arial"/>
          <w:sz w:val="20"/>
          <w:szCs w:val="20"/>
        </w:rPr>
        <w:t>.</w:t>
      </w:r>
    </w:p>
    <w:p w14:paraId="4C0033EB" w14:textId="77777777" w:rsidR="00A25DE7" w:rsidRPr="00BF6542" w:rsidRDefault="00A25DE7" w:rsidP="000F4126">
      <w:pPr>
        <w:spacing w:line="240" w:lineRule="auto"/>
        <w:contextualSpacing/>
        <w:rPr>
          <w:rFonts w:cs="Arial"/>
          <w:sz w:val="20"/>
          <w:szCs w:val="20"/>
        </w:rPr>
      </w:pPr>
    </w:p>
    <w:p w14:paraId="3ED48D92" w14:textId="77777777" w:rsidR="00A25DE7" w:rsidRPr="00D44022" w:rsidRDefault="00A25DE7" w:rsidP="000F4126">
      <w:pPr>
        <w:spacing w:line="240" w:lineRule="auto"/>
        <w:contextualSpacing/>
        <w:rPr>
          <w:rFonts w:cs="Arial"/>
          <w:sz w:val="20"/>
          <w:szCs w:val="20"/>
        </w:rPr>
      </w:pPr>
      <w:r w:rsidRPr="00BF6542">
        <w:rPr>
          <w:rFonts w:cs="Arial"/>
          <w:sz w:val="20"/>
          <w:szCs w:val="20"/>
        </w:rPr>
        <w:t xml:space="preserve">Plato </w:t>
      </w:r>
      <w:r>
        <w:rPr>
          <w:rFonts w:cs="Arial"/>
          <w:sz w:val="20"/>
          <w:szCs w:val="20"/>
        </w:rPr>
        <w:t>‘</w:t>
      </w:r>
      <w:r w:rsidRPr="00DE42C5">
        <w:rPr>
          <w:rFonts w:cs="Arial"/>
          <w:sz w:val="20"/>
          <w:szCs w:val="20"/>
        </w:rPr>
        <w:t>Cratylos</w:t>
      </w:r>
      <w:r>
        <w:rPr>
          <w:rFonts w:cs="Arial"/>
          <w:sz w:val="20"/>
          <w:szCs w:val="20"/>
        </w:rPr>
        <w:t>’</w:t>
      </w:r>
      <w:r>
        <w:rPr>
          <w:rFonts w:cs="Arial"/>
          <w:i/>
          <w:sz w:val="20"/>
          <w:szCs w:val="20"/>
        </w:rPr>
        <w:t xml:space="preserve">, </w:t>
      </w:r>
      <w:r>
        <w:rPr>
          <w:rFonts w:cs="Arial"/>
          <w:sz w:val="20"/>
          <w:szCs w:val="20"/>
        </w:rPr>
        <w:t>from, Jowett, B. (trans.) &lt;accessed: 10.07.2015&gt;</w:t>
      </w:r>
      <w:r w:rsidRPr="00D44022">
        <w:rPr>
          <w:rFonts w:cs="Arial"/>
          <w:sz w:val="20"/>
          <w:szCs w:val="20"/>
        </w:rPr>
        <w:t>http://classics.mit.edu/Plato/cratylus.html</w:t>
      </w:r>
    </w:p>
    <w:p w14:paraId="7B47F3A6" w14:textId="77777777" w:rsidR="00A25DE7" w:rsidRPr="00BF6542" w:rsidRDefault="00A25DE7" w:rsidP="000F4126">
      <w:pPr>
        <w:spacing w:line="240" w:lineRule="auto"/>
        <w:contextualSpacing/>
        <w:rPr>
          <w:rFonts w:cs="Arial"/>
          <w:i/>
          <w:sz w:val="20"/>
          <w:szCs w:val="20"/>
        </w:rPr>
      </w:pPr>
    </w:p>
    <w:p w14:paraId="125B30CD" w14:textId="77777777" w:rsidR="00A25DE7" w:rsidRPr="00BF6542" w:rsidRDefault="00A25DE7" w:rsidP="000F4126">
      <w:pPr>
        <w:spacing w:line="240" w:lineRule="auto"/>
        <w:contextualSpacing/>
        <w:rPr>
          <w:rFonts w:cs="Arial"/>
          <w:sz w:val="20"/>
          <w:szCs w:val="20"/>
        </w:rPr>
      </w:pPr>
      <w:r w:rsidRPr="00D44022">
        <w:rPr>
          <w:rFonts w:cs="Arial"/>
          <w:sz w:val="20"/>
          <w:szCs w:val="20"/>
        </w:rPr>
        <w:t xml:space="preserve">Plato, ‘Republic’, in, Lee, D. (1975)(trans.) </w:t>
      </w:r>
      <w:r w:rsidRPr="00D44022">
        <w:rPr>
          <w:rFonts w:cs="Arial"/>
          <w:i/>
          <w:sz w:val="20"/>
          <w:szCs w:val="20"/>
        </w:rPr>
        <w:t>Plato: the Republic</w:t>
      </w:r>
      <w:r w:rsidRPr="00D44022">
        <w:rPr>
          <w:rFonts w:cs="Arial"/>
          <w:sz w:val="20"/>
          <w:szCs w:val="20"/>
        </w:rPr>
        <w:t>, Second Edition, London: Penguin</w:t>
      </w:r>
      <w:r>
        <w:rPr>
          <w:rFonts w:cs="Arial"/>
          <w:sz w:val="20"/>
          <w:szCs w:val="20"/>
        </w:rPr>
        <w:t>.</w:t>
      </w:r>
    </w:p>
    <w:p w14:paraId="4F6BE7F0" w14:textId="77777777" w:rsidR="00A25DE7" w:rsidRPr="00BF6542" w:rsidRDefault="00A25DE7" w:rsidP="000F4126">
      <w:pPr>
        <w:spacing w:line="240" w:lineRule="auto"/>
        <w:contextualSpacing/>
        <w:rPr>
          <w:rFonts w:cs="Arial"/>
          <w:i/>
          <w:sz w:val="20"/>
          <w:szCs w:val="20"/>
        </w:rPr>
      </w:pPr>
    </w:p>
    <w:p w14:paraId="79ADB641" w14:textId="77777777" w:rsidR="00A25DE7" w:rsidRPr="00DE42C5" w:rsidRDefault="00A25DE7" w:rsidP="000F4126">
      <w:pPr>
        <w:spacing w:line="240" w:lineRule="auto"/>
        <w:contextualSpacing/>
        <w:rPr>
          <w:rFonts w:cs="Arial"/>
          <w:b/>
          <w:sz w:val="20"/>
          <w:szCs w:val="20"/>
        </w:rPr>
      </w:pPr>
      <w:r w:rsidRPr="00DE42C5">
        <w:rPr>
          <w:rFonts w:cs="Arial"/>
          <w:sz w:val="20"/>
          <w:szCs w:val="20"/>
        </w:rPr>
        <w:t xml:space="preserve">Plato </w:t>
      </w:r>
      <w:r>
        <w:rPr>
          <w:rFonts w:cs="Arial"/>
          <w:sz w:val="20"/>
          <w:szCs w:val="20"/>
        </w:rPr>
        <w:t>‘</w:t>
      </w:r>
      <w:r w:rsidRPr="00DE42C5">
        <w:rPr>
          <w:rFonts w:cs="Arial"/>
          <w:sz w:val="20"/>
          <w:szCs w:val="20"/>
        </w:rPr>
        <w:t>Theaetetus</w:t>
      </w:r>
      <w:r>
        <w:rPr>
          <w:rFonts w:cs="Arial"/>
          <w:sz w:val="20"/>
          <w:szCs w:val="20"/>
        </w:rPr>
        <w:t>’, from, Jowett, B. (trans.) &lt;accessed: 10.07.2015&gt;</w:t>
      </w:r>
      <w:r w:rsidRPr="00DE42C5">
        <w:rPr>
          <w:rFonts w:cs="Arial"/>
          <w:sz w:val="20"/>
          <w:szCs w:val="20"/>
        </w:rPr>
        <w:t>http://classics.mit.edu/Plato/theatu.html</w:t>
      </w:r>
    </w:p>
    <w:p w14:paraId="1835D42D" w14:textId="77777777" w:rsidR="00A25DE7" w:rsidRPr="00745BDD" w:rsidRDefault="00A25DE7" w:rsidP="000F4126">
      <w:pPr>
        <w:spacing w:line="240" w:lineRule="auto"/>
        <w:contextualSpacing/>
        <w:rPr>
          <w:rFonts w:ascii="Arial" w:hAnsi="Arial" w:cs="Arial"/>
          <w:i/>
          <w:sz w:val="20"/>
          <w:szCs w:val="20"/>
        </w:rPr>
      </w:pPr>
    </w:p>
    <w:p w14:paraId="64197FDD" w14:textId="77777777" w:rsidR="00A25DE7" w:rsidRPr="00745BDD" w:rsidRDefault="00A25DE7" w:rsidP="00BF6542">
      <w:pPr>
        <w:spacing w:line="240" w:lineRule="auto"/>
        <w:contextualSpacing/>
        <w:jc w:val="center"/>
        <w:rPr>
          <w:rFonts w:ascii="Arial" w:hAnsi="Arial" w:cs="Arial"/>
          <w:i/>
          <w:sz w:val="20"/>
          <w:szCs w:val="20"/>
        </w:rPr>
      </w:pPr>
      <w:r>
        <w:rPr>
          <w:rFonts w:ascii="Arial" w:hAnsi="Arial" w:cs="Arial"/>
          <w:i/>
          <w:sz w:val="20"/>
          <w:szCs w:val="20"/>
        </w:rPr>
        <w:t>*</w:t>
      </w:r>
    </w:p>
    <w:p w14:paraId="414B1FFF" w14:textId="77777777" w:rsidR="00A25DE7" w:rsidRPr="00745BDD" w:rsidRDefault="00A25DE7" w:rsidP="000F4126">
      <w:pPr>
        <w:spacing w:line="240" w:lineRule="auto"/>
        <w:contextualSpacing/>
        <w:rPr>
          <w:rFonts w:ascii="Arial" w:hAnsi="Arial" w:cs="Arial"/>
          <w:i/>
          <w:sz w:val="20"/>
          <w:szCs w:val="20"/>
        </w:rPr>
      </w:pPr>
    </w:p>
    <w:p w14:paraId="7A1743E3" w14:textId="77777777" w:rsidR="00A25DE7" w:rsidRPr="00BF6542" w:rsidRDefault="00A25DE7" w:rsidP="000F4126">
      <w:pPr>
        <w:spacing w:line="240" w:lineRule="auto"/>
        <w:contextualSpacing/>
        <w:rPr>
          <w:rFonts w:ascii="Arial" w:hAnsi="Arial" w:cs="Arial"/>
          <w:i/>
          <w:sz w:val="24"/>
          <w:szCs w:val="20"/>
        </w:rPr>
      </w:pPr>
      <w:commentRangeStart w:id="243"/>
      <w:r w:rsidRPr="00BF6542">
        <w:rPr>
          <w:rFonts w:ascii="Arial" w:hAnsi="Arial" w:cs="Arial"/>
          <w:i/>
          <w:sz w:val="24"/>
          <w:szCs w:val="20"/>
        </w:rPr>
        <w:t>Scholarship</w:t>
      </w:r>
      <w:commentRangeEnd w:id="243"/>
      <w:r>
        <w:rPr>
          <w:rStyle w:val="CommentReference"/>
        </w:rPr>
        <w:commentReference w:id="243"/>
      </w:r>
    </w:p>
    <w:p w14:paraId="69945BE4" w14:textId="77777777" w:rsidR="00A25DE7" w:rsidRPr="00745BDD" w:rsidRDefault="00A25DE7" w:rsidP="00680D30">
      <w:pPr>
        <w:spacing w:line="240" w:lineRule="auto"/>
        <w:contextualSpacing/>
        <w:rPr>
          <w:rFonts w:ascii="Arial" w:hAnsi="Arial" w:cs="Arial"/>
          <w:sz w:val="20"/>
          <w:szCs w:val="20"/>
        </w:rPr>
      </w:pPr>
    </w:p>
    <w:p w14:paraId="7B96208D"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Aaboe, A. (1974) ‘Scientific Astronomy in Antiquity’, in, </w:t>
      </w:r>
      <w:r w:rsidRPr="00BF6542">
        <w:rPr>
          <w:rFonts w:cs="Arial"/>
          <w:i/>
          <w:sz w:val="20"/>
          <w:szCs w:val="20"/>
        </w:rPr>
        <w:t>Philosophical Transactions of the Royal Society of London. Series A, Mathematical and Physical Sciences</w:t>
      </w:r>
      <w:r w:rsidRPr="00BF6542">
        <w:rPr>
          <w:rFonts w:cs="Arial"/>
          <w:sz w:val="20"/>
          <w:szCs w:val="20"/>
        </w:rPr>
        <w:t>, Vol. 276, No. 1257, The Place of Astronomy in the Ancient World: 21-42.</w:t>
      </w:r>
    </w:p>
    <w:p w14:paraId="496BC28C" w14:textId="77777777" w:rsidR="00A25DE7" w:rsidRPr="00BF6542" w:rsidRDefault="00A25DE7" w:rsidP="00680D30">
      <w:pPr>
        <w:spacing w:line="240" w:lineRule="auto"/>
        <w:contextualSpacing/>
        <w:rPr>
          <w:rFonts w:cs="Arial"/>
          <w:sz w:val="20"/>
          <w:szCs w:val="20"/>
        </w:rPr>
      </w:pPr>
    </w:p>
    <w:p w14:paraId="4613627B" w14:textId="77777777" w:rsidR="00A25DE7" w:rsidRPr="00BF6542" w:rsidRDefault="00A25DE7" w:rsidP="00680D30">
      <w:pPr>
        <w:spacing w:line="240" w:lineRule="auto"/>
        <w:contextualSpacing/>
        <w:rPr>
          <w:rFonts w:cs="Arial"/>
          <w:sz w:val="20"/>
          <w:szCs w:val="20"/>
        </w:rPr>
      </w:pPr>
      <w:r w:rsidRPr="00BF6542">
        <w:rPr>
          <w:rFonts w:cs="Arial"/>
          <w:sz w:val="20"/>
          <w:szCs w:val="20"/>
        </w:rPr>
        <w:t>Abusch, T. (2001) ‘The Development and Meaning of the Epic of Gilgamesh: An Interpretive Essay’, in, </w:t>
      </w:r>
      <w:r w:rsidRPr="00BF6542">
        <w:rPr>
          <w:rFonts w:cs="Arial"/>
          <w:i/>
          <w:iCs/>
          <w:sz w:val="20"/>
          <w:szCs w:val="20"/>
        </w:rPr>
        <w:t>Journal of the American Oriental Society</w:t>
      </w:r>
      <w:r w:rsidRPr="00BF6542">
        <w:rPr>
          <w:rFonts w:cs="Arial"/>
          <w:sz w:val="20"/>
          <w:szCs w:val="20"/>
        </w:rPr>
        <w:t> Vol.</w:t>
      </w:r>
      <w:r w:rsidRPr="00BF6542">
        <w:rPr>
          <w:rFonts w:cs="Arial"/>
          <w:bCs/>
          <w:sz w:val="20"/>
          <w:szCs w:val="20"/>
        </w:rPr>
        <w:t>121</w:t>
      </w:r>
      <w:r w:rsidRPr="00BF6542">
        <w:rPr>
          <w:rFonts w:cs="Arial"/>
          <w:sz w:val="20"/>
          <w:szCs w:val="20"/>
        </w:rPr>
        <w:t> No.4: 614–622.</w:t>
      </w:r>
    </w:p>
    <w:p w14:paraId="70B5D88E" w14:textId="77777777" w:rsidR="00A25DE7" w:rsidRPr="00BF6542" w:rsidRDefault="00A25DE7" w:rsidP="00680D30">
      <w:pPr>
        <w:spacing w:line="240" w:lineRule="auto"/>
        <w:contextualSpacing/>
        <w:rPr>
          <w:rFonts w:cs="Arial"/>
          <w:sz w:val="20"/>
          <w:szCs w:val="20"/>
        </w:rPr>
      </w:pPr>
    </w:p>
    <w:p w14:paraId="0B41B18E" w14:textId="77777777" w:rsidR="00A25DE7" w:rsidRPr="00BF6542" w:rsidRDefault="00A25DE7" w:rsidP="00680D30">
      <w:pPr>
        <w:spacing w:line="240" w:lineRule="auto"/>
        <w:contextualSpacing/>
        <w:rPr>
          <w:rFonts w:cs="Arial"/>
          <w:sz w:val="20"/>
          <w:szCs w:val="20"/>
        </w:rPr>
      </w:pPr>
      <w:r w:rsidRPr="00BF6542">
        <w:rPr>
          <w:rFonts w:cs="Arial"/>
          <w:sz w:val="20"/>
          <w:szCs w:val="20"/>
        </w:rPr>
        <w:lastRenderedPageBreak/>
        <w:t xml:space="preserve">Addey, C. (2014) </w:t>
      </w:r>
      <w:r w:rsidRPr="00BF6542">
        <w:rPr>
          <w:rFonts w:cs="Arial"/>
          <w:bCs/>
          <w:i/>
          <w:sz w:val="20"/>
          <w:szCs w:val="20"/>
        </w:rPr>
        <w:t>Divination and Theurgy in Neoplatonism: </w:t>
      </w:r>
      <w:r w:rsidRPr="00BF6542">
        <w:rPr>
          <w:rFonts w:cs="Arial"/>
          <w:i/>
          <w:sz w:val="20"/>
          <w:szCs w:val="20"/>
        </w:rPr>
        <w:t>Oracles of the Gods</w:t>
      </w:r>
      <w:r w:rsidRPr="00BF6542">
        <w:rPr>
          <w:rFonts w:cs="Arial"/>
          <w:sz w:val="20"/>
          <w:szCs w:val="20"/>
        </w:rPr>
        <w:t xml:space="preserve"> London: Ashgate Publishing.</w:t>
      </w:r>
    </w:p>
    <w:p w14:paraId="724552B3" w14:textId="77777777" w:rsidR="00A25DE7" w:rsidRPr="00BF6542" w:rsidRDefault="00A25DE7" w:rsidP="00680D30">
      <w:pPr>
        <w:spacing w:line="240" w:lineRule="auto"/>
        <w:contextualSpacing/>
        <w:rPr>
          <w:rFonts w:cs="Arial"/>
          <w:sz w:val="20"/>
          <w:szCs w:val="20"/>
        </w:rPr>
      </w:pPr>
    </w:p>
    <w:p w14:paraId="68828D1E" w14:textId="77777777" w:rsidR="00A25DE7" w:rsidRPr="00BF6542" w:rsidRDefault="00A25DE7" w:rsidP="00680D30">
      <w:pPr>
        <w:spacing w:line="240" w:lineRule="auto"/>
        <w:contextualSpacing/>
        <w:rPr>
          <w:rFonts w:cs="Arial"/>
          <w:b/>
          <w:sz w:val="20"/>
          <w:szCs w:val="20"/>
        </w:rPr>
      </w:pPr>
      <w:r w:rsidRPr="00BF6542">
        <w:rPr>
          <w:rFonts w:cs="Arial"/>
          <w:sz w:val="20"/>
          <w:szCs w:val="20"/>
        </w:rPr>
        <w:t xml:space="preserve">Ahl, F. &amp;Roisman, H. (1996) </w:t>
      </w:r>
      <w:r w:rsidRPr="00BF6542">
        <w:rPr>
          <w:rFonts w:cs="Arial"/>
          <w:i/>
          <w:sz w:val="20"/>
          <w:szCs w:val="20"/>
        </w:rPr>
        <w:t>The Odyssey Re-formed</w:t>
      </w:r>
      <w:r w:rsidRPr="00BF6542">
        <w:rPr>
          <w:rFonts w:cs="Arial"/>
          <w:sz w:val="20"/>
          <w:szCs w:val="20"/>
        </w:rPr>
        <w:t xml:space="preserve"> Ithaca, NY: Cornell University Press: 19.</w:t>
      </w:r>
    </w:p>
    <w:p w14:paraId="736CADE8" w14:textId="77777777" w:rsidR="00A25DE7" w:rsidRPr="00BF6542" w:rsidRDefault="00A25DE7" w:rsidP="00680D30">
      <w:pPr>
        <w:spacing w:line="240" w:lineRule="auto"/>
        <w:contextualSpacing/>
        <w:rPr>
          <w:rFonts w:cs="Arial"/>
          <w:color w:val="252525"/>
          <w:sz w:val="20"/>
          <w:szCs w:val="20"/>
          <w:shd w:val="clear" w:color="auto" w:fill="FFFFFF"/>
        </w:rPr>
      </w:pPr>
    </w:p>
    <w:p w14:paraId="2B58A0B5" w14:textId="77777777" w:rsidR="00A25DE7" w:rsidRPr="00BF6542" w:rsidRDefault="00A25DE7" w:rsidP="00680D30">
      <w:pPr>
        <w:spacing w:line="240" w:lineRule="auto"/>
        <w:contextualSpacing/>
        <w:rPr>
          <w:rFonts w:cs="Arial"/>
          <w:sz w:val="20"/>
          <w:szCs w:val="20"/>
        </w:rPr>
      </w:pPr>
      <w:r w:rsidRPr="00BF6542">
        <w:rPr>
          <w:rFonts w:cs="Arial"/>
          <w:color w:val="252525"/>
          <w:sz w:val="20"/>
          <w:szCs w:val="20"/>
          <w:shd w:val="clear" w:color="auto" w:fill="FFFFFF"/>
        </w:rPr>
        <w:t>Akkermans, P. M., and Schwartz, G. M. (2003). </w:t>
      </w:r>
      <w:r w:rsidRPr="00BF6542">
        <w:rPr>
          <w:rFonts w:cs="Arial"/>
          <w:i/>
          <w:iCs/>
          <w:color w:val="252525"/>
          <w:sz w:val="20"/>
          <w:szCs w:val="20"/>
          <w:shd w:val="clear" w:color="auto" w:fill="FFFFFF"/>
        </w:rPr>
        <w:t>The Archaeology of Syria.From Complex Hunter-Gatherers to Early Urban Societies (ca. 16,000–300 BC)</w:t>
      </w:r>
      <w:r w:rsidRPr="00BF6542">
        <w:rPr>
          <w:rFonts w:cs="Arial"/>
          <w:color w:val="252525"/>
          <w:sz w:val="20"/>
          <w:szCs w:val="20"/>
          <w:shd w:val="clear" w:color="auto" w:fill="FFFFFF"/>
        </w:rPr>
        <w:t xml:space="preserve"> Cambridge: Cambridge University Press</w:t>
      </w:r>
      <w:r w:rsidRPr="00BF6542">
        <w:rPr>
          <w:rFonts w:cs="Arial"/>
          <w:sz w:val="20"/>
          <w:szCs w:val="20"/>
        </w:rPr>
        <w:t>.</w:t>
      </w:r>
    </w:p>
    <w:p w14:paraId="021A0A50" w14:textId="77777777" w:rsidR="00A25DE7" w:rsidRPr="00BF6542" w:rsidRDefault="00A25DE7" w:rsidP="00680D30">
      <w:pPr>
        <w:spacing w:line="240" w:lineRule="auto"/>
        <w:contextualSpacing/>
        <w:rPr>
          <w:rFonts w:cs="Arial"/>
          <w:sz w:val="20"/>
          <w:szCs w:val="20"/>
        </w:rPr>
      </w:pPr>
    </w:p>
    <w:p w14:paraId="3C0A4846" w14:textId="77777777" w:rsidR="00A25DE7" w:rsidRPr="00BF6542" w:rsidRDefault="00A25DE7" w:rsidP="00680D30">
      <w:pPr>
        <w:spacing w:line="240" w:lineRule="auto"/>
        <w:contextualSpacing/>
        <w:rPr>
          <w:rFonts w:cs="Arial"/>
          <w:color w:val="222222"/>
          <w:sz w:val="20"/>
          <w:szCs w:val="20"/>
          <w:shd w:val="clear" w:color="auto" w:fill="FFFFFF"/>
        </w:rPr>
      </w:pPr>
      <w:r w:rsidRPr="00BF6542">
        <w:rPr>
          <w:rFonts w:cs="Arial"/>
          <w:color w:val="222222"/>
          <w:sz w:val="20"/>
          <w:szCs w:val="20"/>
          <w:shd w:val="clear" w:color="auto" w:fill="FFFFFF"/>
        </w:rPr>
        <w:t xml:space="preserve">Akurgal, E. (1968) </w:t>
      </w:r>
      <w:r w:rsidRPr="00BF6542">
        <w:rPr>
          <w:rFonts w:cs="Arial"/>
          <w:i/>
          <w:color w:val="222222"/>
          <w:sz w:val="20"/>
          <w:szCs w:val="20"/>
          <w:shd w:val="clear" w:color="auto" w:fill="FFFFFF"/>
        </w:rPr>
        <w:t xml:space="preserve">The Art of Greece: Its Origins in the Mediterranean and the Near East </w:t>
      </w:r>
      <w:r w:rsidRPr="00BF6542">
        <w:rPr>
          <w:rFonts w:cs="Arial"/>
          <w:color w:val="222222"/>
          <w:sz w:val="20"/>
          <w:szCs w:val="20"/>
          <w:shd w:val="clear" w:color="auto" w:fill="FFFFFF"/>
        </w:rPr>
        <w:t>New York: Crown Publishers.</w:t>
      </w:r>
    </w:p>
    <w:p w14:paraId="71837B86" w14:textId="77777777" w:rsidR="00A25DE7" w:rsidRPr="00BF6542" w:rsidRDefault="00A25DE7" w:rsidP="00680D30">
      <w:pPr>
        <w:spacing w:line="240" w:lineRule="auto"/>
        <w:contextualSpacing/>
        <w:rPr>
          <w:rFonts w:cs="Arial"/>
          <w:sz w:val="20"/>
          <w:szCs w:val="20"/>
        </w:rPr>
      </w:pPr>
    </w:p>
    <w:p w14:paraId="5C26A935"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Allen, R. H. (1899) </w:t>
      </w:r>
      <w:r w:rsidRPr="00BF6542">
        <w:rPr>
          <w:rFonts w:cs="Arial"/>
          <w:i/>
          <w:sz w:val="20"/>
          <w:szCs w:val="20"/>
        </w:rPr>
        <w:t>Star Names and Their Meanings</w:t>
      </w:r>
      <w:r w:rsidRPr="00BF6542">
        <w:rPr>
          <w:rFonts w:cs="Arial"/>
          <w:sz w:val="20"/>
          <w:szCs w:val="20"/>
        </w:rPr>
        <w:t xml:space="preserve"> Glastonbury: The Lost Library [reprint].</w:t>
      </w:r>
    </w:p>
    <w:p w14:paraId="523634E3" w14:textId="77777777" w:rsidR="00A25DE7" w:rsidRPr="00BF6542" w:rsidRDefault="00A25DE7" w:rsidP="00680D30">
      <w:pPr>
        <w:spacing w:line="240" w:lineRule="auto"/>
        <w:contextualSpacing/>
        <w:rPr>
          <w:rFonts w:cs="Arial"/>
          <w:sz w:val="20"/>
          <w:szCs w:val="20"/>
        </w:rPr>
      </w:pPr>
    </w:p>
    <w:p w14:paraId="0497D21E"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Austin, N. (1975) </w:t>
      </w:r>
      <w:r w:rsidRPr="00BF6542">
        <w:rPr>
          <w:rFonts w:cs="Arial"/>
          <w:i/>
          <w:sz w:val="20"/>
          <w:szCs w:val="20"/>
        </w:rPr>
        <w:t>Archery at the Dark of the Moon: Poetic Problems in Homer’s Odyssey</w:t>
      </w:r>
      <w:r w:rsidRPr="00BF6542">
        <w:rPr>
          <w:rFonts w:cs="Arial"/>
          <w:sz w:val="20"/>
          <w:szCs w:val="20"/>
        </w:rPr>
        <w:t xml:space="preserve"> California: University of California Press.</w:t>
      </w:r>
    </w:p>
    <w:p w14:paraId="4F6480B8" w14:textId="77777777" w:rsidR="00A25DE7" w:rsidRPr="00BF6542" w:rsidRDefault="00A25DE7" w:rsidP="00680D30">
      <w:pPr>
        <w:spacing w:line="240" w:lineRule="auto"/>
        <w:contextualSpacing/>
        <w:rPr>
          <w:rFonts w:cs="Arial"/>
          <w:sz w:val="20"/>
          <w:szCs w:val="20"/>
        </w:rPr>
      </w:pPr>
    </w:p>
    <w:p w14:paraId="5DAAF90B"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Bailey, A. (1974) </w:t>
      </w:r>
      <w:r w:rsidRPr="00BF6542">
        <w:rPr>
          <w:rFonts w:cs="Arial"/>
          <w:i/>
          <w:sz w:val="20"/>
          <w:szCs w:val="20"/>
        </w:rPr>
        <w:t>The Labours of Hercules: An Astronomical Interpretation</w:t>
      </w:r>
      <w:r w:rsidRPr="00BF6542">
        <w:rPr>
          <w:rFonts w:cs="Arial"/>
          <w:sz w:val="20"/>
          <w:szCs w:val="20"/>
        </w:rPr>
        <w:t xml:space="preserve"> New York: Lucis Publishing Company.</w:t>
      </w:r>
    </w:p>
    <w:p w14:paraId="032111E9" w14:textId="77777777" w:rsidR="00A25DE7" w:rsidRPr="00BF6542" w:rsidRDefault="00A25DE7" w:rsidP="00680D30">
      <w:pPr>
        <w:spacing w:line="240" w:lineRule="auto"/>
        <w:contextualSpacing/>
        <w:rPr>
          <w:rFonts w:cs="Arial"/>
          <w:sz w:val="20"/>
          <w:szCs w:val="20"/>
        </w:rPr>
      </w:pPr>
    </w:p>
    <w:p w14:paraId="26B8D53D" w14:textId="77777777" w:rsidR="00A25DE7" w:rsidRPr="00BF6542" w:rsidRDefault="00A25DE7" w:rsidP="00680D30">
      <w:pPr>
        <w:spacing w:line="240" w:lineRule="auto"/>
        <w:contextualSpacing/>
        <w:rPr>
          <w:rFonts w:cs="Arial"/>
          <w:color w:val="222222"/>
          <w:sz w:val="20"/>
          <w:szCs w:val="20"/>
          <w:shd w:val="clear" w:color="auto" w:fill="FFFFFF"/>
        </w:rPr>
      </w:pPr>
      <w:r w:rsidRPr="00BF6542">
        <w:rPr>
          <w:rFonts w:cs="Arial"/>
          <w:sz w:val="20"/>
          <w:szCs w:val="20"/>
        </w:rPr>
        <w:t xml:space="preserve">Balmuth, M. S. (1992) ‘Phoenician Chronology in Sardinia: Prospecting Trade and Settlement before 900B.C.’, in, Hackens, T. and Moucharte, G. (eds.) </w:t>
      </w:r>
      <w:r w:rsidRPr="00BF6542">
        <w:rPr>
          <w:rFonts w:cs="Arial"/>
          <w:i/>
          <w:sz w:val="20"/>
          <w:szCs w:val="20"/>
        </w:rPr>
        <w:t>Publications d’Histoire de l’Art et d’Archeologie de l’UniversiteCatholique de Louvain</w:t>
      </w:r>
      <w:r w:rsidRPr="00BF6542">
        <w:rPr>
          <w:rFonts w:cs="Arial"/>
          <w:sz w:val="20"/>
          <w:szCs w:val="20"/>
        </w:rPr>
        <w:t xml:space="preserve"> 58: </w:t>
      </w:r>
      <w:r w:rsidRPr="00BF6542">
        <w:rPr>
          <w:rFonts w:cs="Arial"/>
          <w:i/>
          <w:sz w:val="20"/>
          <w:szCs w:val="20"/>
        </w:rPr>
        <w:t>Studia Phoenicia</w:t>
      </w:r>
      <w:r w:rsidRPr="00BF6542">
        <w:rPr>
          <w:rFonts w:cs="Arial"/>
          <w:sz w:val="20"/>
          <w:szCs w:val="20"/>
        </w:rPr>
        <w:t xml:space="preserve">, 9: </w:t>
      </w:r>
      <w:r w:rsidRPr="00BF6542">
        <w:rPr>
          <w:rFonts w:cs="Arial"/>
          <w:i/>
          <w:sz w:val="20"/>
          <w:szCs w:val="20"/>
        </w:rPr>
        <w:t>Numismatique et histoire economiquepheniciennes et puniques: Actes du Colloquetenu a Louvain-la-Neuve</w:t>
      </w:r>
      <w:r w:rsidRPr="00BF6542">
        <w:rPr>
          <w:rFonts w:cs="Arial"/>
          <w:sz w:val="20"/>
          <w:szCs w:val="20"/>
        </w:rPr>
        <w:t>1987 Louvain-la-Neuve: Seminaire de Numismatique Marcel Hoc UniversiteCatholique de Louvain: 215-227.</w:t>
      </w:r>
    </w:p>
    <w:p w14:paraId="1BD9447B" w14:textId="77777777" w:rsidR="00A25DE7" w:rsidRPr="00BF6542" w:rsidRDefault="00A25DE7" w:rsidP="00680D30">
      <w:pPr>
        <w:spacing w:line="240" w:lineRule="auto"/>
        <w:contextualSpacing/>
        <w:rPr>
          <w:rFonts w:cs="Arial"/>
          <w:sz w:val="20"/>
          <w:szCs w:val="20"/>
        </w:rPr>
      </w:pPr>
    </w:p>
    <w:p w14:paraId="7924D974"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Black, J. A., George, A. and Postgate, J. N. (2000) </w:t>
      </w:r>
      <w:r w:rsidRPr="00BF6542">
        <w:rPr>
          <w:rFonts w:cs="Arial"/>
          <w:i/>
          <w:sz w:val="20"/>
          <w:szCs w:val="20"/>
        </w:rPr>
        <w:t>A Concise Dictionary of Akkadian</w:t>
      </w:r>
      <w:r w:rsidRPr="00BF6542">
        <w:rPr>
          <w:rFonts w:cs="Arial"/>
          <w:sz w:val="20"/>
          <w:szCs w:val="20"/>
        </w:rPr>
        <w:t>Weisbarden: Otto Harrassowitz.</w:t>
      </w:r>
    </w:p>
    <w:p w14:paraId="15B72EE1" w14:textId="77777777" w:rsidR="00A25DE7" w:rsidRPr="00BF6542" w:rsidRDefault="00A25DE7" w:rsidP="00680D30">
      <w:pPr>
        <w:spacing w:line="240" w:lineRule="auto"/>
        <w:contextualSpacing/>
        <w:rPr>
          <w:rFonts w:cs="Arial"/>
          <w:sz w:val="20"/>
          <w:szCs w:val="20"/>
        </w:rPr>
      </w:pPr>
    </w:p>
    <w:p w14:paraId="2F8E2B68"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Braun, T. F. R. G. (1983) ‘The Greeks in the Near East’, in, Boardman, J. and Hammond, N. G. L. (eds.) </w:t>
      </w:r>
      <w:r w:rsidRPr="00BF6542">
        <w:rPr>
          <w:rFonts w:cs="Arial"/>
          <w:i/>
          <w:sz w:val="20"/>
          <w:szCs w:val="20"/>
        </w:rPr>
        <w:t xml:space="preserve">Cambridge Ancient History </w:t>
      </w:r>
      <w:r w:rsidRPr="00BF6542">
        <w:rPr>
          <w:rFonts w:cs="Arial"/>
          <w:sz w:val="20"/>
          <w:szCs w:val="20"/>
        </w:rPr>
        <w:t>2</w:t>
      </w:r>
      <w:r w:rsidRPr="00BF6542">
        <w:rPr>
          <w:rFonts w:cs="Arial"/>
          <w:sz w:val="20"/>
          <w:szCs w:val="20"/>
          <w:vertAlign w:val="superscript"/>
        </w:rPr>
        <w:t>nd</w:t>
      </w:r>
      <w:r w:rsidRPr="00BF6542">
        <w:rPr>
          <w:rFonts w:cs="Arial"/>
          <w:sz w:val="20"/>
          <w:szCs w:val="20"/>
        </w:rPr>
        <w:t xml:space="preserve"> ed. Vol.3 part 3 Cambridge: Cambridge University Press.</w:t>
      </w:r>
    </w:p>
    <w:p w14:paraId="7C23FB10" w14:textId="77777777" w:rsidR="00A25DE7" w:rsidRPr="00BF6542" w:rsidRDefault="00A25DE7" w:rsidP="00680D30">
      <w:pPr>
        <w:spacing w:line="240" w:lineRule="auto"/>
        <w:contextualSpacing/>
        <w:rPr>
          <w:rFonts w:cs="Arial"/>
          <w:sz w:val="20"/>
          <w:szCs w:val="20"/>
        </w:rPr>
      </w:pPr>
    </w:p>
    <w:p w14:paraId="0B637D31"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Burgess, J. S. (2014) </w:t>
      </w:r>
      <w:r w:rsidRPr="00BF6542">
        <w:rPr>
          <w:rFonts w:cs="Arial"/>
          <w:i/>
          <w:sz w:val="20"/>
          <w:szCs w:val="20"/>
        </w:rPr>
        <w:t>Homer</w:t>
      </w:r>
      <w:r w:rsidRPr="00BF6542">
        <w:rPr>
          <w:rFonts w:cs="Arial"/>
          <w:sz w:val="20"/>
          <w:szCs w:val="20"/>
        </w:rPr>
        <w:t xml:space="preserve"> London: I. B. Tauris.</w:t>
      </w:r>
    </w:p>
    <w:p w14:paraId="02C67554" w14:textId="77777777" w:rsidR="00A25DE7" w:rsidRPr="00BF6542" w:rsidRDefault="00A25DE7" w:rsidP="00680D30">
      <w:pPr>
        <w:spacing w:line="240" w:lineRule="auto"/>
        <w:contextualSpacing/>
        <w:rPr>
          <w:rFonts w:cs="Arial"/>
          <w:sz w:val="20"/>
          <w:szCs w:val="20"/>
        </w:rPr>
      </w:pPr>
    </w:p>
    <w:p w14:paraId="128FD7A8" w14:textId="77777777" w:rsidR="00A25DE7" w:rsidRPr="00BF6542" w:rsidRDefault="00A25DE7" w:rsidP="00680D30">
      <w:pPr>
        <w:spacing w:line="240" w:lineRule="auto"/>
        <w:contextualSpacing/>
        <w:rPr>
          <w:rFonts w:cs="Arial"/>
          <w:sz w:val="20"/>
          <w:szCs w:val="20"/>
        </w:rPr>
      </w:pPr>
      <w:r w:rsidRPr="00BF6542">
        <w:rPr>
          <w:rFonts w:cs="Arial"/>
          <w:sz w:val="20"/>
          <w:szCs w:val="20"/>
        </w:rPr>
        <w:t>Burkert, W. (1979)</w:t>
      </w:r>
      <w:r w:rsidRPr="00BF6542">
        <w:rPr>
          <w:rFonts w:cs="Arial"/>
          <w:i/>
          <w:sz w:val="20"/>
          <w:szCs w:val="20"/>
        </w:rPr>
        <w:t xml:space="preserve"> Structure and History in Greek Mythology and Ritual</w:t>
      </w:r>
      <w:r w:rsidRPr="00BF6542">
        <w:rPr>
          <w:rFonts w:cs="Arial"/>
          <w:sz w:val="20"/>
          <w:szCs w:val="20"/>
        </w:rPr>
        <w:t xml:space="preserve"> California: University of California Press.</w:t>
      </w:r>
    </w:p>
    <w:p w14:paraId="33510E18" w14:textId="77777777" w:rsidR="00A25DE7" w:rsidRPr="00BF6542" w:rsidRDefault="00A25DE7" w:rsidP="00680D30">
      <w:pPr>
        <w:spacing w:line="240" w:lineRule="auto"/>
        <w:contextualSpacing/>
        <w:rPr>
          <w:rFonts w:cs="Arial"/>
          <w:sz w:val="20"/>
          <w:szCs w:val="20"/>
        </w:rPr>
      </w:pPr>
    </w:p>
    <w:p w14:paraId="479672D4"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Burkert, W. (1984) ‘”Or Also a Godly Singer”: Akkadian and Early Greek Literature’, in, Maier, J. R. (ed.)(1997) </w:t>
      </w:r>
      <w:r w:rsidRPr="00BF6542">
        <w:rPr>
          <w:rFonts w:cs="Arial"/>
          <w:i/>
          <w:sz w:val="20"/>
          <w:szCs w:val="20"/>
        </w:rPr>
        <w:t>Gilgamesh: A Reader</w:t>
      </w:r>
      <w:r w:rsidRPr="00BF6542">
        <w:rPr>
          <w:rFonts w:cs="Arial"/>
          <w:sz w:val="20"/>
          <w:szCs w:val="20"/>
        </w:rPr>
        <w:t>, Mundelein, IL : Bolchazy-Carducci Publishers: 178-192.</w:t>
      </w:r>
    </w:p>
    <w:p w14:paraId="71C00D1F" w14:textId="77777777" w:rsidR="00A25DE7" w:rsidRPr="00BF6542" w:rsidRDefault="00A25DE7" w:rsidP="00680D30">
      <w:pPr>
        <w:spacing w:line="240" w:lineRule="auto"/>
        <w:contextualSpacing/>
        <w:rPr>
          <w:rFonts w:cs="Arial"/>
          <w:sz w:val="20"/>
          <w:szCs w:val="20"/>
        </w:rPr>
      </w:pPr>
    </w:p>
    <w:p w14:paraId="6FC463DB"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Burkert, W. (1991) ‘Homerstudien und Orient’, in, Latacz, J. (ed.) </w:t>
      </w:r>
      <w:r w:rsidRPr="00BF6542">
        <w:rPr>
          <w:rFonts w:cs="Arial"/>
          <w:i/>
          <w:sz w:val="20"/>
          <w:szCs w:val="20"/>
        </w:rPr>
        <w:t>ZweihundertJahre Homer-Forschung</w:t>
      </w:r>
      <w:r w:rsidRPr="00BF6542">
        <w:rPr>
          <w:rFonts w:cs="Arial"/>
          <w:sz w:val="20"/>
          <w:szCs w:val="20"/>
        </w:rPr>
        <w:t>ColloquimRauricum 2: 155-181.</w:t>
      </w:r>
    </w:p>
    <w:p w14:paraId="5C37C3AA" w14:textId="77777777" w:rsidR="00A25DE7" w:rsidRPr="00BF6542" w:rsidRDefault="00A25DE7" w:rsidP="00680D30">
      <w:pPr>
        <w:spacing w:line="240" w:lineRule="auto"/>
        <w:contextualSpacing/>
        <w:rPr>
          <w:rFonts w:cs="Arial"/>
          <w:sz w:val="20"/>
          <w:szCs w:val="20"/>
        </w:rPr>
      </w:pPr>
    </w:p>
    <w:p w14:paraId="625A3B61"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Burkert, W. (1992) </w:t>
      </w:r>
      <w:r w:rsidRPr="00BF6542">
        <w:rPr>
          <w:rFonts w:cs="Arial"/>
          <w:i/>
          <w:sz w:val="20"/>
          <w:szCs w:val="20"/>
        </w:rPr>
        <w:t>The Orientalising Revolution: Near Eastern Influence on Greek Culture in the Early Archaic Age</w:t>
      </w:r>
      <w:r w:rsidRPr="00BF6542">
        <w:rPr>
          <w:rFonts w:cs="Arial"/>
          <w:sz w:val="20"/>
          <w:szCs w:val="20"/>
        </w:rPr>
        <w:t xml:space="preserve"> Cambridge, MA: Harvard University Press.</w:t>
      </w:r>
    </w:p>
    <w:p w14:paraId="3AA4E449" w14:textId="77777777" w:rsidR="00A25DE7" w:rsidRPr="00BF6542" w:rsidRDefault="00A25DE7" w:rsidP="00680D30">
      <w:pPr>
        <w:spacing w:line="240" w:lineRule="auto"/>
        <w:contextualSpacing/>
        <w:rPr>
          <w:rFonts w:cs="Arial"/>
          <w:sz w:val="20"/>
          <w:szCs w:val="20"/>
        </w:rPr>
      </w:pPr>
    </w:p>
    <w:p w14:paraId="62D69B82"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Burkert, W. (2004) </w:t>
      </w:r>
      <w:r w:rsidRPr="00BF6542">
        <w:rPr>
          <w:rFonts w:cs="Arial"/>
          <w:i/>
          <w:sz w:val="20"/>
          <w:szCs w:val="20"/>
        </w:rPr>
        <w:t xml:space="preserve">Babylon, Memphis, Persepolis: Eastern Contexts of Greek Culture </w:t>
      </w:r>
      <w:r w:rsidRPr="00BF6542">
        <w:rPr>
          <w:rFonts w:cs="Arial"/>
          <w:sz w:val="20"/>
          <w:szCs w:val="20"/>
        </w:rPr>
        <w:t>Cambridge, MA: Harvard University Press.</w:t>
      </w:r>
    </w:p>
    <w:p w14:paraId="5E18C602" w14:textId="77777777" w:rsidR="00A25DE7" w:rsidRPr="00BF6542" w:rsidRDefault="00A25DE7" w:rsidP="00680D30">
      <w:pPr>
        <w:spacing w:line="240" w:lineRule="auto"/>
        <w:contextualSpacing/>
        <w:rPr>
          <w:rFonts w:cs="Arial"/>
          <w:sz w:val="20"/>
          <w:szCs w:val="20"/>
        </w:rPr>
      </w:pPr>
    </w:p>
    <w:p w14:paraId="77711743"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Campion, N. (2010) ‘More on the Transmission of the Babylonian Zodiac to Greece: the case of the Nativity Omens and their Modern Legacy’ </w:t>
      </w:r>
      <w:r w:rsidRPr="00BF6542">
        <w:rPr>
          <w:rFonts w:cs="Arial"/>
          <w:i/>
          <w:sz w:val="20"/>
          <w:szCs w:val="20"/>
        </w:rPr>
        <w:t xml:space="preserve">ARAM Conference on Astrology in the Near East </w:t>
      </w:r>
      <w:r w:rsidRPr="00BF6542">
        <w:rPr>
          <w:rFonts w:cs="Arial"/>
          <w:sz w:val="20"/>
          <w:szCs w:val="20"/>
        </w:rPr>
        <w:t>University of Oxford 8-10 July.</w:t>
      </w:r>
    </w:p>
    <w:p w14:paraId="48964BB1" w14:textId="77777777" w:rsidR="00A25DE7" w:rsidRPr="00BF6542" w:rsidRDefault="00A25DE7" w:rsidP="00680D30">
      <w:pPr>
        <w:spacing w:line="240" w:lineRule="auto"/>
        <w:contextualSpacing/>
        <w:rPr>
          <w:rFonts w:cs="Arial"/>
          <w:sz w:val="20"/>
          <w:szCs w:val="20"/>
        </w:rPr>
      </w:pPr>
    </w:p>
    <w:p w14:paraId="48E2A3EF"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Campion, N. (2012) </w:t>
      </w:r>
      <w:r w:rsidRPr="00BF6542">
        <w:rPr>
          <w:rFonts w:cs="Arial"/>
          <w:i/>
          <w:sz w:val="20"/>
          <w:szCs w:val="20"/>
        </w:rPr>
        <w:t>A History of Western AstrologyVolume I: The Ancient World</w:t>
      </w:r>
      <w:r w:rsidRPr="00BF6542">
        <w:rPr>
          <w:rFonts w:cs="Arial"/>
          <w:sz w:val="20"/>
          <w:szCs w:val="20"/>
        </w:rPr>
        <w:t>: London: Continuum Books.</w:t>
      </w:r>
    </w:p>
    <w:p w14:paraId="39B7F179" w14:textId="77777777" w:rsidR="00A25DE7" w:rsidRPr="00BF6542" w:rsidRDefault="00A25DE7" w:rsidP="00680D30">
      <w:pPr>
        <w:spacing w:line="240" w:lineRule="auto"/>
        <w:contextualSpacing/>
        <w:rPr>
          <w:rFonts w:cs="Arial"/>
          <w:sz w:val="20"/>
          <w:szCs w:val="20"/>
        </w:rPr>
      </w:pPr>
    </w:p>
    <w:p w14:paraId="60B78D24"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Civil, M. (1994) ‘Sumerian Agricultural Manual’, in, </w:t>
      </w:r>
      <w:r w:rsidRPr="00BF6542">
        <w:rPr>
          <w:rFonts w:cs="Arial"/>
          <w:i/>
          <w:sz w:val="20"/>
          <w:szCs w:val="20"/>
        </w:rPr>
        <w:t>AulaOrientalis</w:t>
      </w:r>
      <w:r w:rsidRPr="00BF6542">
        <w:rPr>
          <w:rFonts w:cs="Arial"/>
          <w:sz w:val="20"/>
          <w:szCs w:val="20"/>
        </w:rPr>
        <w:t>Supp.5.</w:t>
      </w:r>
    </w:p>
    <w:p w14:paraId="7CAE8447" w14:textId="77777777" w:rsidR="00A25DE7" w:rsidRPr="00BF6542" w:rsidRDefault="00A25DE7" w:rsidP="00680D30">
      <w:pPr>
        <w:spacing w:line="240" w:lineRule="auto"/>
        <w:contextualSpacing/>
        <w:rPr>
          <w:rFonts w:cs="Arial"/>
          <w:sz w:val="20"/>
          <w:szCs w:val="20"/>
        </w:rPr>
      </w:pPr>
    </w:p>
    <w:p w14:paraId="4E158EB4" w14:textId="77777777" w:rsidR="00A25DE7" w:rsidRPr="00BF6542" w:rsidRDefault="00A25DE7" w:rsidP="00680D30">
      <w:pPr>
        <w:spacing w:line="240" w:lineRule="auto"/>
        <w:contextualSpacing/>
        <w:rPr>
          <w:rFonts w:cs="Arial"/>
          <w:sz w:val="20"/>
          <w:szCs w:val="20"/>
        </w:rPr>
      </w:pPr>
      <w:r w:rsidRPr="00BF6542">
        <w:rPr>
          <w:rFonts w:cs="Arial"/>
          <w:sz w:val="20"/>
          <w:szCs w:val="20"/>
        </w:rPr>
        <w:lastRenderedPageBreak/>
        <w:t xml:space="preserve">Clark, R. J. (1996) ‘Origins: New Light on Eschatology in Gilgamesh’s Mortuary Journey’, in, Maier, J. R. (ed.)(1997) </w:t>
      </w:r>
      <w:r w:rsidRPr="00BF6542">
        <w:rPr>
          <w:rFonts w:cs="Arial"/>
          <w:i/>
          <w:sz w:val="20"/>
          <w:szCs w:val="20"/>
        </w:rPr>
        <w:t>Gilgamesh: A Reader</w:t>
      </w:r>
      <w:r w:rsidRPr="00BF6542">
        <w:rPr>
          <w:rFonts w:cs="Arial"/>
          <w:sz w:val="20"/>
          <w:szCs w:val="20"/>
        </w:rPr>
        <w:t>, Mundelein, IL : Bolchazy-Carducci Publishers: 131-148.</w:t>
      </w:r>
    </w:p>
    <w:p w14:paraId="2C10736C" w14:textId="77777777" w:rsidR="00A25DE7" w:rsidRPr="00BF6542" w:rsidRDefault="00A25DE7" w:rsidP="00680D30">
      <w:pPr>
        <w:spacing w:line="240" w:lineRule="auto"/>
        <w:contextualSpacing/>
        <w:rPr>
          <w:rFonts w:cs="Arial"/>
          <w:sz w:val="20"/>
          <w:szCs w:val="20"/>
        </w:rPr>
      </w:pPr>
    </w:p>
    <w:p w14:paraId="0E28BC85"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Cline, E. H. (1994) </w:t>
      </w:r>
      <w:r w:rsidRPr="00BF6542">
        <w:rPr>
          <w:rFonts w:cs="Arial"/>
          <w:i/>
          <w:sz w:val="20"/>
          <w:szCs w:val="20"/>
        </w:rPr>
        <w:t>Sailing the Wine-Dark Sea. International Trade and the Late Bronze Age Aegean</w:t>
      </w:r>
      <w:r w:rsidRPr="00BF6542">
        <w:rPr>
          <w:rFonts w:cs="Arial"/>
          <w:sz w:val="20"/>
          <w:szCs w:val="20"/>
        </w:rPr>
        <w:t xml:space="preserve"> Oxford: Oxford University Press.</w:t>
      </w:r>
    </w:p>
    <w:p w14:paraId="4BD4FC54" w14:textId="77777777" w:rsidR="00A25DE7" w:rsidRPr="00BF6542" w:rsidRDefault="00A25DE7" w:rsidP="00680D30">
      <w:pPr>
        <w:spacing w:line="240" w:lineRule="auto"/>
        <w:contextualSpacing/>
        <w:rPr>
          <w:rFonts w:cs="Arial"/>
          <w:sz w:val="20"/>
          <w:szCs w:val="20"/>
        </w:rPr>
      </w:pPr>
    </w:p>
    <w:p w14:paraId="44E0FD54"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Coleman, J.A. (2007) </w:t>
      </w:r>
      <w:r w:rsidRPr="00BF6542">
        <w:rPr>
          <w:rFonts w:cs="Arial"/>
          <w:i/>
          <w:sz w:val="20"/>
          <w:szCs w:val="20"/>
        </w:rPr>
        <w:t>The Dictionary of Classical Mythology – An A-Z of themes, legends and heroes</w:t>
      </w:r>
      <w:r w:rsidRPr="00BF6542">
        <w:rPr>
          <w:rFonts w:cs="Arial"/>
          <w:sz w:val="20"/>
          <w:szCs w:val="20"/>
        </w:rPr>
        <w:t>, London: Capella.</w:t>
      </w:r>
    </w:p>
    <w:p w14:paraId="06635F0E" w14:textId="77777777" w:rsidR="00A25DE7" w:rsidRPr="00BF6542" w:rsidRDefault="00A25DE7" w:rsidP="00680D30">
      <w:pPr>
        <w:spacing w:line="240" w:lineRule="auto"/>
        <w:contextualSpacing/>
        <w:rPr>
          <w:rFonts w:cs="Arial"/>
          <w:sz w:val="20"/>
          <w:szCs w:val="20"/>
        </w:rPr>
      </w:pPr>
    </w:p>
    <w:p w14:paraId="2D423FE7"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Collon, D. (1987) </w:t>
      </w:r>
      <w:r w:rsidRPr="00BF6542">
        <w:rPr>
          <w:rFonts w:cs="Arial"/>
          <w:i/>
          <w:sz w:val="20"/>
          <w:szCs w:val="20"/>
        </w:rPr>
        <w:t>First Impressions: Cylinder Seals in the Ancient Near East</w:t>
      </w:r>
      <w:r w:rsidRPr="00BF6542">
        <w:rPr>
          <w:rFonts w:cs="Arial"/>
          <w:sz w:val="20"/>
          <w:szCs w:val="20"/>
        </w:rPr>
        <w:t> London, British Museum Press.</w:t>
      </w:r>
    </w:p>
    <w:p w14:paraId="619A5403" w14:textId="77777777" w:rsidR="00A25DE7" w:rsidRPr="00BF6542" w:rsidRDefault="00A25DE7" w:rsidP="00680D30">
      <w:pPr>
        <w:spacing w:line="240" w:lineRule="auto"/>
        <w:contextualSpacing/>
        <w:rPr>
          <w:rFonts w:cs="Arial"/>
          <w:sz w:val="20"/>
          <w:szCs w:val="20"/>
        </w:rPr>
      </w:pPr>
    </w:p>
    <w:p w14:paraId="7895E1C9"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Cooley, J. L. (2013) </w:t>
      </w:r>
      <w:r w:rsidRPr="00BF6542">
        <w:rPr>
          <w:rFonts w:cs="Arial"/>
          <w:i/>
          <w:sz w:val="20"/>
          <w:szCs w:val="20"/>
        </w:rPr>
        <w:t>Poetic Astronomy in the Ancient Near East: The Reflexes of Celestial Science in Ancient Mesopotamian, Ugaritic, and Israelite Narrative</w:t>
      </w:r>
      <w:r w:rsidRPr="00BF6542">
        <w:rPr>
          <w:rFonts w:cs="Arial"/>
          <w:sz w:val="20"/>
          <w:szCs w:val="20"/>
        </w:rPr>
        <w:t xml:space="preserve"> Winona Lake, IN: Eisenbrauns.</w:t>
      </w:r>
    </w:p>
    <w:p w14:paraId="2903CF09" w14:textId="77777777" w:rsidR="00A25DE7" w:rsidRPr="00BF6542" w:rsidRDefault="00A25DE7" w:rsidP="00680D30">
      <w:pPr>
        <w:spacing w:line="240" w:lineRule="auto"/>
        <w:contextualSpacing/>
        <w:rPr>
          <w:rFonts w:cs="Arial"/>
          <w:sz w:val="20"/>
          <w:szCs w:val="20"/>
        </w:rPr>
      </w:pPr>
    </w:p>
    <w:p w14:paraId="122A5F38"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Creuzer, G. (1812) </w:t>
      </w:r>
      <w:r w:rsidRPr="00BF6542">
        <w:rPr>
          <w:rFonts w:cs="Arial"/>
          <w:i/>
          <w:iCs/>
          <w:sz w:val="20"/>
          <w:szCs w:val="20"/>
        </w:rPr>
        <w:t>Symbolik und Mythologie der altenVölker, besonders der Griechen</w:t>
      </w:r>
      <w:r w:rsidRPr="00BF6542">
        <w:rPr>
          <w:rFonts w:cs="Arial"/>
          <w:iCs/>
          <w:sz w:val="20"/>
          <w:szCs w:val="20"/>
        </w:rPr>
        <w:t>Vol. III, Leipzig: Heyer und Leske.</w:t>
      </w:r>
    </w:p>
    <w:p w14:paraId="7E939DBD" w14:textId="77777777" w:rsidR="00A25DE7" w:rsidRPr="00BF6542" w:rsidRDefault="00A25DE7" w:rsidP="00680D30">
      <w:pPr>
        <w:spacing w:line="240" w:lineRule="auto"/>
        <w:contextualSpacing/>
        <w:rPr>
          <w:rFonts w:cs="Arial"/>
          <w:sz w:val="20"/>
          <w:szCs w:val="20"/>
        </w:rPr>
      </w:pPr>
    </w:p>
    <w:p w14:paraId="001756EC"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Dalley, S. (trans.) (2000) </w:t>
      </w:r>
      <w:r w:rsidRPr="00BF6542">
        <w:rPr>
          <w:rFonts w:cs="Arial"/>
          <w:i/>
          <w:sz w:val="20"/>
          <w:szCs w:val="20"/>
        </w:rPr>
        <w:t>Myths from Mesopotamia: Creation, The Flood, Gilgamesh and Others</w:t>
      </w:r>
      <w:r w:rsidRPr="00BF6542">
        <w:rPr>
          <w:rFonts w:cs="Arial"/>
          <w:sz w:val="20"/>
          <w:szCs w:val="20"/>
        </w:rPr>
        <w:t xml:space="preserve"> [Revised Edition], Oxford: Oxford University Press [1989].</w:t>
      </w:r>
    </w:p>
    <w:p w14:paraId="1A6E4792" w14:textId="77777777" w:rsidR="00A25DE7" w:rsidRPr="00BF6542" w:rsidRDefault="00A25DE7" w:rsidP="00680D30">
      <w:pPr>
        <w:spacing w:line="240" w:lineRule="auto"/>
        <w:contextualSpacing/>
        <w:rPr>
          <w:rFonts w:cs="Arial"/>
          <w:sz w:val="20"/>
          <w:szCs w:val="20"/>
        </w:rPr>
      </w:pPr>
    </w:p>
    <w:p w14:paraId="13BC697C"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de Jong, I. J. F. (2001) </w:t>
      </w:r>
      <w:r w:rsidRPr="00BF6542">
        <w:rPr>
          <w:rFonts w:cs="Arial"/>
          <w:i/>
          <w:sz w:val="20"/>
          <w:szCs w:val="20"/>
        </w:rPr>
        <w:t>A Narratological Commentary on the Odyssey</w:t>
      </w:r>
      <w:r w:rsidRPr="00BF6542">
        <w:rPr>
          <w:rFonts w:cs="Arial"/>
          <w:sz w:val="20"/>
          <w:szCs w:val="20"/>
        </w:rPr>
        <w:t xml:space="preserve"> Cambridge: Cambridge University Press.</w:t>
      </w:r>
    </w:p>
    <w:p w14:paraId="3E277915" w14:textId="77777777" w:rsidR="00A25DE7" w:rsidRPr="00BF6542" w:rsidRDefault="00A25DE7" w:rsidP="00680D30">
      <w:pPr>
        <w:spacing w:line="240" w:lineRule="auto"/>
        <w:contextualSpacing/>
        <w:rPr>
          <w:rFonts w:cs="Arial"/>
          <w:sz w:val="20"/>
          <w:szCs w:val="20"/>
        </w:rPr>
      </w:pPr>
    </w:p>
    <w:p w14:paraId="0B5CE368"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Dihle, A. (1970) </w:t>
      </w:r>
      <w:r w:rsidRPr="00BF6542">
        <w:rPr>
          <w:rFonts w:cs="Arial"/>
          <w:i/>
          <w:sz w:val="20"/>
          <w:szCs w:val="20"/>
        </w:rPr>
        <w:t>Homer-Probleme</w:t>
      </w:r>
      <w:r w:rsidRPr="00BF6542">
        <w:rPr>
          <w:rFonts w:cs="Arial"/>
          <w:sz w:val="20"/>
          <w:szCs w:val="20"/>
        </w:rPr>
        <w:t>Opladen: WestdeutscherVerlag.</w:t>
      </w:r>
    </w:p>
    <w:p w14:paraId="058CC6B4" w14:textId="77777777" w:rsidR="00A25DE7" w:rsidRPr="00BF6542" w:rsidRDefault="00A25DE7" w:rsidP="00680D30">
      <w:pPr>
        <w:spacing w:line="240" w:lineRule="auto"/>
        <w:contextualSpacing/>
        <w:rPr>
          <w:rFonts w:cs="Arial"/>
          <w:sz w:val="20"/>
          <w:szCs w:val="20"/>
        </w:rPr>
      </w:pPr>
    </w:p>
    <w:p w14:paraId="04AFAA88" w14:textId="77777777" w:rsidR="00A25DE7" w:rsidRPr="00BF6542" w:rsidRDefault="00A25DE7" w:rsidP="00680D30">
      <w:pPr>
        <w:spacing w:line="240" w:lineRule="auto"/>
        <w:contextualSpacing/>
        <w:rPr>
          <w:rFonts w:cs="Arial"/>
          <w:bCs/>
          <w:sz w:val="20"/>
          <w:szCs w:val="20"/>
        </w:rPr>
      </w:pPr>
      <w:r w:rsidRPr="00BF6542">
        <w:rPr>
          <w:rFonts w:cs="Arial"/>
          <w:sz w:val="20"/>
          <w:szCs w:val="20"/>
        </w:rPr>
        <w:t xml:space="preserve">Dittenberger, W. (1915-1924) </w:t>
      </w:r>
      <w:r w:rsidRPr="00BF6542">
        <w:rPr>
          <w:rFonts w:cs="Arial"/>
          <w:i/>
          <w:sz w:val="20"/>
          <w:szCs w:val="20"/>
        </w:rPr>
        <w:t>SyllogeInscriptionumGraecarum</w:t>
      </w:r>
      <w:r w:rsidRPr="00BF6542">
        <w:rPr>
          <w:rFonts w:cs="Arial"/>
          <w:sz w:val="20"/>
          <w:szCs w:val="20"/>
        </w:rPr>
        <w:t xml:space="preserve"> 3</w:t>
      </w:r>
      <w:r w:rsidRPr="00BF6542">
        <w:rPr>
          <w:rFonts w:cs="Arial"/>
          <w:sz w:val="20"/>
          <w:szCs w:val="20"/>
          <w:vertAlign w:val="superscript"/>
        </w:rPr>
        <w:t>rd</w:t>
      </w:r>
      <w:r w:rsidRPr="00BF6542">
        <w:rPr>
          <w:rFonts w:cs="Arial"/>
          <w:sz w:val="20"/>
          <w:szCs w:val="20"/>
        </w:rPr>
        <w:t xml:space="preserve"> Ed. Lepizig: S. Hirzel.</w:t>
      </w:r>
    </w:p>
    <w:p w14:paraId="622DCD4A" w14:textId="77777777" w:rsidR="00A25DE7" w:rsidRPr="00BF6542" w:rsidRDefault="00A25DE7" w:rsidP="00680D30">
      <w:pPr>
        <w:spacing w:line="240" w:lineRule="auto"/>
        <w:contextualSpacing/>
        <w:rPr>
          <w:rFonts w:cs="Arial"/>
          <w:sz w:val="20"/>
          <w:szCs w:val="20"/>
        </w:rPr>
      </w:pPr>
    </w:p>
    <w:p w14:paraId="12297E55" w14:textId="77777777" w:rsidR="00A25DE7" w:rsidRPr="00BF6542" w:rsidRDefault="00A25DE7" w:rsidP="00680D30">
      <w:pPr>
        <w:spacing w:line="240" w:lineRule="auto"/>
        <w:contextualSpacing/>
        <w:rPr>
          <w:rFonts w:cs="Arial"/>
          <w:bCs/>
          <w:sz w:val="20"/>
          <w:szCs w:val="20"/>
        </w:rPr>
      </w:pPr>
      <w:r w:rsidRPr="00BF6542">
        <w:rPr>
          <w:rFonts w:cs="Arial"/>
          <w:sz w:val="20"/>
          <w:szCs w:val="20"/>
        </w:rPr>
        <w:t xml:space="preserve">Doherty, L. E. (1995) </w:t>
      </w:r>
      <w:r w:rsidRPr="00BF6542">
        <w:rPr>
          <w:rFonts w:cs="Arial"/>
          <w:i/>
          <w:sz w:val="20"/>
          <w:szCs w:val="20"/>
        </w:rPr>
        <w:t>Siren Songs: Gender, Audiences, and Narrators in the Odyssey</w:t>
      </w:r>
      <w:r w:rsidRPr="00BF6542">
        <w:rPr>
          <w:rFonts w:cs="Arial"/>
          <w:sz w:val="20"/>
          <w:szCs w:val="20"/>
        </w:rPr>
        <w:t xml:space="preserve"> Michigan: University of Michigan Press.</w:t>
      </w:r>
    </w:p>
    <w:p w14:paraId="5CE02C50" w14:textId="77777777" w:rsidR="00A25DE7" w:rsidRPr="00BF6542" w:rsidRDefault="00A25DE7" w:rsidP="00680D30">
      <w:pPr>
        <w:spacing w:line="240" w:lineRule="auto"/>
        <w:contextualSpacing/>
        <w:rPr>
          <w:rFonts w:cs="Arial"/>
          <w:sz w:val="20"/>
          <w:szCs w:val="20"/>
        </w:rPr>
      </w:pPr>
    </w:p>
    <w:p w14:paraId="1F10E410"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Drews, R. (1993) </w:t>
      </w:r>
      <w:r w:rsidRPr="00BF6542">
        <w:rPr>
          <w:rFonts w:cs="Arial"/>
          <w:i/>
          <w:sz w:val="20"/>
          <w:szCs w:val="20"/>
        </w:rPr>
        <w:t>The End of the Bronze Age: changes in warfare and the catastrophe ca. 1200 BC</w:t>
      </w:r>
      <w:r w:rsidRPr="00BF6542">
        <w:rPr>
          <w:rFonts w:cs="Arial"/>
          <w:sz w:val="20"/>
          <w:szCs w:val="20"/>
        </w:rPr>
        <w:t xml:space="preserve"> Princeton: Princeton University Press.</w:t>
      </w:r>
    </w:p>
    <w:p w14:paraId="6609FBF9" w14:textId="77777777" w:rsidR="00A25DE7" w:rsidRPr="00BF6542" w:rsidRDefault="00A25DE7" w:rsidP="00680D30">
      <w:pPr>
        <w:spacing w:line="240" w:lineRule="auto"/>
        <w:contextualSpacing/>
        <w:rPr>
          <w:rFonts w:cs="Arial"/>
          <w:sz w:val="20"/>
          <w:szCs w:val="20"/>
        </w:rPr>
      </w:pPr>
    </w:p>
    <w:p w14:paraId="28146835" w14:textId="77777777" w:rsidR="00A25DE7" w:rsidRPr="00BF6542" w:rsidRDefault="00A25DE7" w:rsidP="00680D30">
      <w:pPr>
        <w:spacing w:line="240" w:lineRule="auto"/>
        <w:contextualSpacing/>
        <w:rPr>
          <w:rFonts w:cs="Arial"/>
          <w:sz w:val="20"/>
          <w:szCs w:val="20"/>
        </w:rPr>
      </w:pPr>
      <w:r w:rsidRPr="00BF6542">
        <w:rPr>
          <w:rFonts w:cs="Arial"/>
          <w:sz w:val="20"/>
          <w:szCs w:val="20"/>
        </w:rPr>
        <w:t>Ebeling, E. (1932) ‘An-Anum’, in, </w:t>
      </w:r>
      <w:r w:rsidRPr="00BF6542">
        <w:rPr>
          <w:rFonts w:cs="Arial"/>
          <w:i/>
          <w:iCs/>
          <w:sz w:val="20"/>
          <w:szCs w:val="20"/>
        </w:rPr>
        <w:t>Reallexikon der Assyriologie und VorderasiatischenArchäologie</w:t>
      </w:r>
      <w:r w:rsidRPr="00BF6542">
        <w:rPr>
          <w:rFonts w:cs="Arial"/>
          <w:sz w:val="20"/>
          <w:szCs w:val="20"/>
        </w:rPr>
        <w:t> </w:t>
      </w:r>
      <w:r w:rsidRPr="00BF6542">
        <w:rPr>
          <w:rFonts w:cs="Arial"/>
          <w:bCs/>
          <w:sz w:val="20"/>
          <w:szCs w:val="20"/>
        </w:rPr>
        <w:t>1</w:t>
      </w:r>
      <w:r w:rsidRPr="00BF6542">
        <w:rPr>
          <w:rFonts w:cs="Arial"/>
          <w:sz w:val="20"/>
          <w:szCs w:val="20"/>
        </w:rPr>
        <w:t>: 115-117.</w:t>
      </w:r>
    </w:p>
    <w:p w14:paraId="31EE908C" w14:textId="77777777" w:rsidR="00A25DE7" w:rsidRPr="00BF6542" w:rsidRDefault="00A25DE7" w:rsidP="006C704E">
      <w:pPr>
        <w:pStyle w:val="FootnoteText"/>
        <w:rPr>
          <w:rFonts w:cs="Arial"/>
        </w:rPr>
      </w:pPr>
      <w:r w:rsidRPr="00BF6542">
        <w:rPr>
          <w:rFonts w:cs="Arial"/>
        </w:rPr>
        <w:t xml:space="preserve">Edwards, M. J. (1988) ‘Scenes from the later wanderings of Odysseus’, in, </w:t>
      </w:r>
      <w:r w:rsidRPr="00BF6542">
        <w:rPr>
          <w:rFonts w:cs="Arial"/>
          <w:i/>
        </w:rPr>
        <w:t>Classical Quarterly</w:t>
      </w:r>
      <w:r w:rsidRPr="00BF6542">
        <w:rPr>
          <w:rFonts w:cs="Arial"/>
        </w:rPr>
        <w:t xml:space="preserve"> Vol.38 No.2: 509-581.</w:t>
      </w:r>
    </w:p>
    <w:p w14:paraId="282C15CA" w14:textId="77777777" w:rsidR="00A25DE7" w:rsidRPr="00BF6542" w:rsidRDefault="00A25DE7" w:rsidP="006C704E">
      <w:pPr>
        <w:pStyle w:val="FootnoteText"/>
        <w:rPr>
          <w:rFonts w:cs="Arial"/>
          <w:bCs/>
        </w:rPr>
      </w:pPr>
    </w:p>
    <w:p w14:paraId="3E4CB26F"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Englund, R. K. (1988) ‘Administrative Time-Keeping in Ancient Mesopotamia’, in, </w:t>
      </w:r>
      <w:r w:rsidRPr="00BF6542">
        <w:rPr>
          <w:rFonts w:cs="Arial"/>
          <w:i/>
          <w:sz w:val="20"/>
          <w:szCs w:val="20"/>
        </w:rPr>
        <w:t>Journal of the Economic and Social History of the Orient</w:t>
      </w:r>
      <w:r w:rsidRPr="00BF6542">
        <w:rPr>
          <w:rFonts w:cs="Arial"/>
          <w:sz w:val="20"/>
          <w:szCs w:val="20"/>
        </w:rPr>
        <w:t xml:space="preserve"> 31: 167.</w:t>
      </w:r>
    </w:p>
    <w:p w14:paraId="1F66342D" w14:textId="77777777" w:rsidR="00A25DE7" w:rsidRPr="00BF6542" w:rsidRDefault="00A25DE7" w:rsidP="00680D30">
      <w:pPr>
        <w:spacing w:line="240" w:lineRule="auto"/>
        <w:contextualSpacing/>
        <w:rPr>
          <w:rFonts w:cs="Arial"/>
          <w:sz w:val="20"/>
          <w:szCs w:val="20"/>
        </w:rPr>
      </w:pPr>
    </w:p>
    <w:p w14:paraId="2EEC72BF"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Faraone, C. A. (1987) </w:t>
      </w:r>
      <w:r w:rsidRPr="00BF6542">
        <w:rPr>
          <w:rFonts w:cs="Arial"/>
          <w:color w:val="222222"/>
          <w:sz w:val="20"/>
          <w:szCs w:val="20"/>
          <w:shd w:val="clear" w:color="auto" w:fill="FFFFFF"/>
        </w:rPr>
        <w:t>‘</w:t>
      </w:r>
      <w:r w:rsidRPr="00BF6542">
        <w:rPr>
          <w:rFonts w:cs="Arial"/>
          <w:sz w:val="20"/>
          <w:szCs w:val="20"/>
        </w:rPr>
        <w:t xml:space="preserve">Hephaestus the Magician and Near Eastern Parallels for Alcinous' Watchdogs’, in, </w:t>
      </w:r>
      <w:r w:rsidRPr="00BF6542">
        <w:rPr>
          <w:rFonts w:cs="Arial"/>
          <w:i/>
          <w:sz w:val="20"/>
          <w:szCs w:val="20"/>
        </w:rPr>
        <w:t>Greek, Roman, and Byzantine Studies</w:t>
      </w:r>
      <w:r w:rsidRPr="00BF6542">
        <w:rPr>
          <w:rFonts w:cs="Arial"/>
          <w:sz w:val="20"/>
          <w:szCs w:val="20"/>
        </w:rPr>
        <w:t xml:space="preserve"> Vol. 28, No.3: 257-280.</w:t>
      </w:r>
    </w:p>
    <w:p w14:paraId="3FFADF68" w14:textId="77777777" w:rsidR="00A25DE7" w:rsidRPr="00BF6542" w:rsidRDefault="00A25DE7" w:rsidP="00680D30">
      <w:pPr>
        <w:spacing w:line="240" w:lineRule="auto"/>
        <w:contextualSpacing/>
        <w:rPr>
          <w:rFonts w:cs="Arial"/>
          <w:sz w:val="20"/>
          <w:szCs w:val="20"/>
        </w:rPr>
      </w:pPr>
    </w:p>
    <w:p w14:paraId="16596057"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Feldman, H. (1996) ‘Homer and the Near East: The Rise of the Greek Genius’, in, </w:t>
      </w:r>
      <w:r w:rsidRPr="00BF6542">
        <w:rPr>
          <w:rFonts w:cs="Arial"/>
          <w:i/>
          <w:sz w:val="20"/>
          <w:szCs w:val="20"/>
        </w:rPr>
        <w:t>The Biblical Archaeologist</w:t>
      </w:r>
      <w:r w:rsidRPr="00BF6542">
        <w:rPr>
          <w:rFonts w:cs="Arial"/>
          <w:sz w:val="20"/>
          <w:szCs w:val="20"/>
        </w:rPr>
        <w:t xml:space="preserve"> Vol.59, No.1: 14.</w:t>
      </w:r>
    </w:p>
    <w:p w14:paraId="7DD1AEFC" w14:textId="77777777" w:rsidR="00A25DE7" w:rsidRPr="00BF6542" w:rsidRDefault="00A25DE7" w:rsidP="00680D30">
      <w:pPr>
        <w:spacing w:line="240" w:lineRule="auto"/>
        <w:contextualSpacing/>
        <w:rPr>
          <w:rFonts w:cs="Arial"/>
          <w:sz w:val="20"/>
          <w:szCs w:val="20"/>
        </w:rPr>
      </w:pPr>
    </w:p>
    <w:p w14:paraId="70330164" w14:textId="77777777" w:rsidR="00A25DE7" w:rsidRPr="00BF6542" w:rsidRDefault="00A25DE7" w:rsidP="00680D30">
      <w:pPr>
        <w:spacing w:line="240" w:lineRule="auto"/>
        <w:contextualSpacing/>
        <w:rPr>
          <w:rFonts w:cs="Arial"/>
          <w:sz w:val="20"/>
          <w:szCs w:val="20"/>
          <w:lang w:eastAsia="en-GB"/>
        </w:rPr>
      </w:pPr>
      <w:r w:rsidRPr="00BF6542">
        <w:rPr>
          <w:rFonts w:cs="Arial"/>
          <w:sz w:val="20"/>
          <w:szCs w:val="20"/>
        </w:rPr>
        <w:t>Foley, J. M. (1985) </w:t>
      </w:r>
      <w:r w:rsidRPr="00BF6542">
        <w:rPr>
          <w:rFonts w:cs="Arial"/>
          <w:i/>
          <w:iCs/>
          <w:sz w:val="20"/>
          <w:szCs w:val="20"/>
        </w:rPr>
        <w:t xml:space="preserve">Oral-Formulaic Theory and Research: An Introduction and Annotated Bibliography </w:t>
      </w:r>
      <w:r w:rsidRPr="00BF6542">
        <w:rPr>
          <w:rFonts w:cs="Arial"/>
          <w:sz w:val="20"/>
          <w:szCs w:val="20"/>
        </w:rPr>
        <w:t>: New York: Garland.</w:t>
      </w:r>
    </w:p>
    <w:p w14:paraId="6FC93F4E" w14:textId="77777777" w:rsidR="00A25DE7" w:rsidRPr="00BF6542" w:rsidRDefault="00A25DE7" w:rsidP="00680D30">
      <w:pPr>
        <w:spacing w:line="240" w:lineRule="auto"/>
        <w:contextualSpacing/>
        <w:rPr>
          <w:rFonts w:cs="Arial"/>
          <w:sz w:val="20"/>
          <w:szCs w:val="20"/>
        </w:rPr>
      </w:pPr>
    </w:p>
    <w:p w14:paraId="168E756C"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Germain, G. (1960) </w:t>
      </w:r>
      <w:r w:rsidRPr="00BF6542">
        <w:rPr>
          <w:rFonts w:cs="Arial"/>
          <w:i/>
          <w:sz w:val="20"/>
          <w:szCs w:val="20"/>
        </w:rPr>
        <w:t>Gilgamešetsalégende</w:t>
      </w:r>
      <w:r w:rsidRPr="00BF6542">
        <w:rPr>
          <w:rFonts w:cs="Arial"/>
          <w:sz w:val="20"/>
          <w:szCs w:val="20"/>
        </w:rPr>
        <w:t>Paris: Imprimerienationale, Librairie C. Klincksieck.</w:t>
      </w:r>
    </w:p>
    <w:p w14:paraId="723B5ADE" w14:textId="77777777" w:rsidR="00A25DE7" w:rsidRPr="00BF6542" w:rsidRDefault="00A25DE7" w:rsidP="00680D30">
      <w:pPr>
        <w:spacing w:line="240" w:lineRule="auto"/>
        <w:contextualSpacing/>
        <w:rPr>
          <w:rFonts w:cs="Arial"/>
          <w:sz w:val="20"/>
          <w:szCs w:val="20"/>
        </w:rPr>
      </w:pPr>
    </w:p>
    <w:p w14:paraId="6A19DE0C"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Gladstone, W. E. (1890) </w:t>
      </w:r>
      <w:r w:rsidRPr="00BF6542">
        <w:rPr>
          <w:rFonts w:cs="Arial"/>
          <w:i/>
          <w:sz w:val="20"/>
          <w:szCs w:val="20"/>
        </w:rPr>
        <w:t>Landmarks of Homeric Studies</w:t>
      </w:r>
      <w:r w:rsidRPr="00BF6542">
        <w:rPr>
          <w:rFonts w:cs="Arial"/>
          <w:sz w:val="20"/>
          <w:szCs w:val="20"/>
        </w:rPr>
        <w:t xml:space="preserve"> Charleston, SC: Nabu Press [Reprint 2012].</w:t>
      </w:r>
    </w:p>
    <w:p w14:paraId="7D6865AC" w14:textId="77777777" w:rsidR="00A25DE7" w:rsidRPr="00BF6542" w:rsidRDefault="00A25DE7" w:rsidP="00680D30">
      <w:pPr>
        <w:spacing w:line="240" w:lineRule="auto"/>
        <w:contextualSpacing/>
        <w:rPr>
          <w:rFonts w:cs="Arial"/>
          <w:sz w:val="20"/>
          <w:szCs w:val="20"/>
        </w:rPr>
      </w:pPr>
    </w:p>
    <w:p w14:paraId="2911663B"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Gresseth, G. K. (1975) ‘The Gilgamesh Epic and Homer’, in, </w:t>
      </w:r>
      <w:r w:rsidRPr="00BF6542">
        <w:rPr>
          <w:rFonts w:cs="Arial"/>
          <w:i/>
          <w:sz w:val="20"/>
          <w:szCs w:val="20"/>
        </w:rPr>
        <w:t xml:space="preserve">The Classical Journal </w:t>
      </w:r>
      <w:r w:rsidRPr="00BF6542">
        <w:rPr>
          <w:rFonts w:cs="Arial"/>
          <w:sz w:val="20"/>
          <w:szCs w:val="20"/>
        </w:rPr>
        <w:t>Vol.70, No. 4: 1-18.</w:t>
      </w:r>
    </w:p>
    <w:p w14:paraId="1B8BAAE5" w14:textId="77777777" w:rsidR="00A25DE7" w:rsidRPr="00BF6542" w:rsidRDefault="00A25DE7" w:rsidP="00680D30">
      <w:pPr>
        <w:spacing w:line="240" w:lineRule="auto"/>
        <w:contextualSpacing/>
        <w:rPr>
          <w:rFonts w:cs="Arial"/>
          <w:sz w:val="20"/>
          <w:szCs w:val="20"/>
        </w:rPr>
      </w:pPr>
    </w:p>
    <w:p w14:paraId="5827D547"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Grey, S. (2013) ‘Astronomical Knowledge in Homer’s </w:t>
      </w:r>
      <w:r w:rsidRPr="00BF6542">
        <w:rPr>
          <w:rFonts w:cs="Arial"/>
          <w:i/>
          <w:sz w:val="20"/>
          <w:szCs w:val="20"/>
        </w:rPr>
        <w:t>Odyssey</w:t>
      </w:r>
      <w:r w:rsidRPr="00BF6542">
        <w:rPr>
          <w:rFonts w:cs="Arial"/>
          <w:sz w:val="20"/>
          <w:szCs w:val="20"/>
        </w:rPr>
        <w:t xml:space="preserve">: Book IX Case Study’, in, </w:t>
      </w:r>
      <w:r w:rsidRPr="00BF6542">
        <w:rPr>
          <w:rFonts w:cs="Arial"/>
          <w:i/>
          <w:sz w:val="20"/>
          <w:szCs w:val="20"/>
        </w:rPr>
        <w:t xml:space="preserve">Proceedings of the Annual Meeting of Postgraduates in Ancient LiteratureOpen Access Online Journal </w:t>
      </w:r>
      <w:r w:rsidRPr="00BF6542">
        <w:rPr>
          <w:rFonts w:cs="Arial"/>
          <w:sz w:val="20"/>
          <w:szCs w:val="20"/>
        </w:rPr>
        <w:t xml:space="preserve">St. Andrews: University of St. Andrews. </w:t>
      </w:r>
    </w:p>
    <w:p w14:paraId="0B2DE694" w14:textId="77777777" w:rsidR="00A25DE7" w:rsidRPr="00BF6542" w:rsidRDefault="00A25DE7" w:rsidP="00680D30">
      <w:pPr>
        <w:spacing w:line="240" w:lineRule="auto"/>
        <w:contextualSpacing/>
        <w:rPr>
          <w:rFonts w:cs="Arial"/>
          <w:sz w:val="20"/>
          <w:szCs w:val="20"/>
        </w:rPr>
      </w:pPr>
    </w:p>
    <w:p w14:paraId="7AF370D0"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Gottschalk, H. B. (1980) </w:t>
      </w:r>
      <w:r w:rsidRPr="00BF6542">
        <w:rPr>
          <w:rFonts w:cs="Arial"/>
          <w:i/>
          <w:sz w:val="20"/>
          <w:szCs w:val="20"/>
        </w:rPr>
        <w:t>Heraclides of Pontus</w:t>
      </w:r>
      <w:r w:rsidRPr="00BF6542">
        <w:rPr>
          <w:rFonts w:cs="Arial"/>
          <w:sz w:val="20"/>
          <w:szCs w:val="20"/>
        </w:rPr>
        <w:t xml:space="preserve"> Oxford: Clarendon Press.</w:t>
      </w:r>
    </w:p>
    <w:p w14:paraId="683BCC7A" w14:textId="77777777" w:rsidR="00A25DE7" w:rsidRPr="00BF6542" w:rsidRDefault="00A25DE7" w:rsidP="00680D30">
      <w:pPr>
        <w:spacing w:line="240" w:lineRule="auto"/>
        <w:contextualSpacing/>
        <w:rPr>
          <w:rFonts w:cs="Arial"/>
          <w:sz w:val="20"/>
          <w:szCs w:val="20"/>
          <w:lang w:eastAsia="en-GB"/>
        </w:rPr>
      </w:pPr>
    </w:p>
    <w:p w14:paraId="59205A55" w14:textId="77777777" w:rsidR="00A25DE7" w:rsidRPr="00BF6542" w:rsidRDefault="00A25DE7" w:rsidP="00680D30">
      <w:pPr>
        <w:spacing w:line="240" w:lineRule="auto"/>
        <w:contextualSpacing/>
        <w:rPr>
          <w:rFonts w:cs="Arial"/>
          <w:sz w:val="20"/>
          <w:szCs w:val="20"/>
        </w:rPr>
      </w:pPr>
      <w:r w:rsidRPr="00BF6542">
        <w:rPr>
          <w:rFonts w:cs="Arial"/>
          <w:sz w:val="20"/>
          <w:szCs w:val="20"/>
          <w:lang w:eastAsia="en-GB"/>
        </w:rPr>
        <w:t>Güterbock, H. G. (1948)</w:t>
      </w:r>
      <w:r w:rsidRPr="00BF6542">
        <w:rPr>
          <w:rFonts w:cs="Arial"/>
          <w:sz w:val="20"/>
          <w:szCs w:val="20"/>
          <w:shd w:val="clear" w:color="auto" w:fill="FFFFFF"/>
        </w:rPr>
        <w:t xml:space="preserve"> ‘The Hittite Version of the Hurrian Kumarbi Myths: Oriental Forerunners of Hesiod’, in, </w:t>
      </w:r>
      <w:r w:rsidRPr="00BF6542">
        <w:rPr>
          <w:rFonts w:cs="Arial"/>
          <w:i/>
          <w:sz w:val="20"/>
          <w:szCs w:val="20"/>
          <w:shd w:val="clear" w:color="auto" w:fill="FFFFFF"/>
        </w:rPr>
        <w:t xml:space="preserve">American Journal of Archaeology </w:t>
      </w:r>
      <w:r w:rsidRPr="00BF6542">
        <w:rPr>
          <w:rFonts w:cs="Arial"/>
          <w:sz w:val="20"/>
          <w:szCs w:val="20"/>
          <w:shd w:val="clear" w:color="auto" w:fill="FFFFFF"/>
        </w:rPr>
        <w:t>Vol.52, No.1: 123-134.</w:t>
      </w:r>
    </w:p>
    <w:p w14:paraId="49364BF1" w14:textId="77777777" w:rsidR="00A25DE7" w:rsidRPr="00BF6542" w:rsidRDefault="00A25DE7" w:rsidP="00680D30">
      <w:pPr>
        <w:spacing w:line="240" w:lineRule="auto"/>
        <w:contextualSpacing/>
        <w:rPr>
          <w:rFonts w:cs="Arial"/>
          <w:sz w:val="20"/>
          <w:szCs w:val="20"/>
        </w:rPr>
      </w:pPr>
    </w:p>
    <w:p w14:paraId="430C26F4"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Güterbock, H. G. (1952) ‘The Song of Ullikummi’, in, </w:t>
      </w:r>
      <w:r w:rsidRPr="00BF6542">
        <w:rPr>
          <w:rFonts w:cs="Arial"/>
          <w:i/>
          <w:sz w:val="20"/>
          <w:szCs w:val="20"/>
        </w:rPr>
        <w:t>JCS</w:t>
      </w:r>
      <w:r w:rsidRPr="00BF6542">
        <w:rPr>
          <w:rFonts w:cs="Arial"/>
          <w:sz w:val="20"/>
          <w:szCs w:val="20"/>
        </w:rPr>
        <w:t>Vol.6 :35.</w:t>
      </w:r>
    </w:p>
    <w:p w14:paraId="443F46A4" w14:textId="77777777" w:rsidR="00A25DE7" w:rsidRPr="00BF6542" w:rsidRDefault="00A25DE7" w:rsidP="00680D30">
      <w:pPr>
        <w:spacing w:line="240" w:lineRule="auto"/>
        <w:contextualSpacing/>
        <w:rPr>
          <w:rFonts w:cs="Arial"/>
          <w:sz w:val="20"/>
          <w:szCs w:val="20"/>
        </w:rPr>
      </w:pPr>
    </w:p>
    <w:p w14:paraId="4A85DFEA"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Hagg, R. (1983) (ed.) </w:t>
      </w:r>
      <w:r w:rsidRPr="00BF6542">
        <w:rPr>
          <w:rFonts w:cs="Arial"/>
          <w:i/>
          <w:sz w:val="20"/>
          <w:szCs w:val="20"/>
        </w:rPr>
        <w:t>The Greek Renaissance of the Eight Century B.C.: Tradition and Innovation: Proceedings of the Second International Symposium at the Swedish Institute in Athens June 1981</w:t>
      </w:r>
      <w:r w:rsidRPr="00BF6542">
        <w:rPr>
          <w:rFonts w:cs="Arial"/>
          <w:sz w:val="20"/>
          <w:szCs w:val="20"/>
        </w:rPr>
        <w:t xml:space="preserve"> Stockholm: Aströms.</w:t>
      </w:r>
    </w:p>
    <w:p w14:paraId="0CEBE1C9" w14:textId="77777777" w:rsidR="00A25DE7" w:rsidRPr="00BF6542" w:rsidRDefault="00A25DE7" w:rsidP="00680D30">
      <w:pPr>
        <w:spacing w:line="240" w:lineRule="auto"/>
        <w:contextualSpacing/>
        <w:rPr>
          <w:rFonts w:cs="Arial"/>
          <w:sz w:val="20"/>
          <w:szCs w:val="20"/>
        </w:rPr>
      </w:pPr>
    </w:p>
    <w:p w14:paraId="5041A453" w14:textId="77777777" w:rsidR="00A25DE7" w:rsidRPr="00BF6542" w:rsidRDefault="00A25DE7" w:rsidP="00680D30">
      <w:pPr>
        <w:spacing w:line="240" w:lineRule="auto"/>
        <w:contextualSpacing/>
        <w:rPr>
          <w:rFonts w:cs="Arial"/>
          <w:bCs/>
          <w:sz w:val="20"/>
          <w:szCs w:val="20"/>
        </w:rPr>
      </w:pPr>
      <w:r w:rsidRPr="00BF6542">
        <w:rPr>
          <w:rFonts w:cs="Arial"/>
          <w:sz w:val="20"/>
          <w:szCs w:val="20"/>
        </w:rPr>
        <w:t>Hallo, W. W. (1991) ‘Information from before the Flood: Antediluvian Notes from Babylonia and Israel’, in, </w:t>
      </w:r>
      <w:r w:rsidRPr="00BF6542">
        <w:rPr>
          <w:rFonts w:cs="Arial"/>
          <w:i/>
          <w:iCs/>
          <w:sz w:val="20"/>
          <w:szCs w:val="20"/>
        </w:rPr>
        <w:t>Maarav </w:t>
      </w:r>
      <w:r w:rsidRPr="00BF6542">
        <w:rPr>
          <w:rFonts w:cs="Arial"/>
          <w:sz w:val="20"/>
          <w:szCs w:val="20"/>
        </w:rPr>
        <w:t>7: 173-181.</w:t>
      </w:r>
    </w:p>
    <w:p w14:paraId="0149E8DC" w14:textId="77777777" w:rsidR="00A25DE7" w:rsidRPr="00BF6542" w:rsidRDefault="00A25DE7" w:rsidP="00680D30">
      <w:pPr>
        <w:spacing w:line="240" w:lineRule="auto"/>
        <w:contextualSpacing/>
        <w:rPr>
          <w:rFonts w:cs="Arial"/>
          <w:sz w:val="20"/>
          <w:szCs w:val="20"/>
        </w:rPr>
      </w:pPr>
    </w:p>
    <w:p w14:paraId="0B76F832" w14:textId="77777777" w:rsidR="00A25DE7" w:rsidRPr="00BF6542" w:rsidRDefault="00A25DE7" w:rsidP="00680D30">
      <w:pPr>
        <w:spacing w:line="240" w:lineRule="auto"/>
        <w:contextualSpacing/>
        <w:rPr>
          <w:rFonts w:cs="Arial"/>
          <w:bCs/>
          <w:sz w:val="20"/>
          <w:szCs w:val="20"/>
        </w:rPr>
      </w:pPr>
      <w:r w:rsidRPr="00BF6542">
        <w:rPr>
          <w:rFonts w:cs="Arial"/>
          <w:sz w:val="20"/>
          <w:szCs w:val="20"/>
        </w:rPr>
        <w:t xml:space="preserve">Heidel, A. (1963) </w:t>
      </w:r>
      <w:r w:rsidRPr="00BF6542">
        <w:rPr>
          <w:rFonts w:cs="Arial"/>
          <w:i/>
          <w:sz w:val="20"/>
          <w:szCs w:val="20"/>
        </w:rPr>
        <w:t>The Gilgamesh Epic and Old Testament Parallels</w:t>
      </w:r>
      <w:r w:rsidRPr="00BF6542">
        <w:rPr>
          <w:rFonts w:cs="Arial"/>
          <w:sz w:val="20"/>
          <w:szCs w:val="20"/>
        </w:rPr>
        <w:t xml:space="preserve"> Chicago: Phoenix Books: 1, and: Dhorme, E. (1949) </w:t>
      </w:r>
      <w:r w:rsidRPr="00BF6542">
        <w:rPr>
          <w:rFonts w:cs="Arial"/>
          <w:i/>
          <w:sz w:val="20"/>
          <w:szCs w:val="20"/>
        </w:rPr>
        <w:t>Les religions de Babylonieetd’Assyrie</w:t>
      </w:r>
      <w:r w:rsidRPr="00BF6542">
        <w:rPr>
          <w:rFonts w:cs="Arial"/>
          <w:sz w:val="20"/>
          <w:szCs w:val="20"/>
        </w:rPr>
        <w:t xml:space="preserve"> Paris: Presses Universitaires De France.</w:t>
      </w:r>
    </w:p>
    <w:p w14:paraId="6E1C5973" w14:textId="77777777" w:rsidR="00A25DE7" w:rsidRPr="00BF6542" w:rsidRDefault="00A25DE7" w:rsidP="00680D30">
      <w:pPr>
        <w:spacing w:line="240" w:lineRule="auto"/>
        <w:contextualSpacing/>
        <w:rPr>
          <w:rFonts w:cs="Arial"/>
          <w:sz w:val="20"/>
          <w:szCs w:val="20"/>
        </w:rPr>
      </w:pPr>
    </w:p>
    <w:p w14:paraId="50A07A77"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Heimpel, W. (1986) ‘The Sun at Night and the Doors of Heaven in Babylonian Texts’ </w:t>
      </w:r>
      <w:r w:rsidRPr="00BF6542">
        <w:rPr>
          <w:rFonts w:cs="Arial"/>
          <w:i/>
          <w:sz w:val="20"/>
          <w:szCs w:val="20"/>
        </w:rPr>
        <w:t xml:space="preserve">JCS </w:t>
      </w:r>
      <w:r w:rsidRPr="00BF6542">
        <w:rPr>
          <w:rFonts w:cs="Arial"/>
          <w:sz w:val="20"/>
          <w:szCs w:val="20"/>
        </w:rPr>
        <w:t>38:2 132-140.</w:t>
      </w:r>
    </w:p>
    <w:p w14:paraId="3786F5D5" w14:textId="77777777" w:rsidR="00A25DE7" w:rsidRPr="00BF6542" w:rsidRDefault="00A25DE7" w:rsidP="00680D30">
      <w:pPr>
        <w:spacing w:line="240" w:lineRule="auto"/>
        <w:contextualSpacing/>
        <w:rPr>
          <w:rFonts w:cs="Arial"/>
          <w:sz w:val="20"/>
          <w:szCs w:val="20"/>
        </w:rPr>
      </w:pPr>
    </w:p>
    <w:p w14:paraId="4F91B49C" w14:textId="77777777" w:rsidR="00A25DE7" w:rsidRPr="00BF6542" w:rsidRDefault="00A25DE7" w:rsidP="00680D30">
      <w:pPr>
        <w:spacing w:line="240" w:lineRule="auto"/>
        <w:contextualSpacing/>
        <w:rPr>
          <w:rFonts w:cs="Arial"/>
          <w:bCs/>
          <w:sz w:val="20"/>
          <w:szCs w:val="20"/>
        </w:rPr>
      </w:pPr>
      <w:r w:rsidRPr="00BF6542">
        <w:rPr>
          <w:rFonts w:cs="Arial"/>
          <w:sz w:val="20"/>
          <w:szCs w:val="20"/>
        </w:rPr>
        <w:t xml:space="preserve">Horowitz, W. (1998) </w:t>
      </w:r>
      <w:r w:rsidRPr="00BF6542">
        <w:rPr>
          <w:rFonts w:cs="Arial"/>
          <w:i/>
          <w:sz w:val="20"/>
          <w:szCs w:val="20"/>
        </w:rPr>
        <w:t xml:space="preserve">Mesoptamian Cosmic Geography </w:t>
      </w:r>
      <w:r w:rsidRPr="00BF6542">
        <w:rPr>
          <w:rFonts w:cs="Arial"/>
          <w:sz w:val="20"/>
          <w:szCs w:val="20"/>
        </w:rPr>
        <w:t>Winona Lake, IN: Eisenbrauns.</w:t>
      </w:r>
    </w:p>
    <w:p w14:paraId="23CAA269" w14:textId="77777777" w:rsidR="00A25DE7" w:rsidRPr="00BF6542" w:rsidRDefault="00A25DE7" w:rsidP="00680D30">
      <w:pPr>
        <w:spacing w:line="240" w:lineRule="auto"/>
        <w:contextualSpacing/>
        <w:rPr>
          <w:rFonts w:cs="Arial"/>
          <w:bCs/>
          <w:sz w:val="20"/>
          <w:szCs w:val="20"/>
        </w:rPr>
      </w:pPr>
    </w:p>
    <w:p w14:paraId="2FC5528A" w14:textId="77777777" w:rsidR="00A25DE7" w:rsidRPr="00BF6542" w:rsidRDefault="00A25DE7" w:rsidP="00680D30">
      <w:pPr>
        <w:spacing w:line="240" w:lineRule="auto"/>
        <w:contextualSpacing/>
        <w:rPr>
          <w:rFonts w:cs="Arial"/>
          <w:bCs/>
          <w:sz w:val="20"/>
          <w:szCs w:val="20"/>
        </w:rPr>
      </w:pPr>
      <w:r w:rsidRPr="00BF6542">
        <w:rPr>
          <w:rFonts w:cs="Arial"/>
          <w:bCs/>
          <w:sz w:val="20"/>
          <w:szCs w:val="20"/>
        </w:rPr>
        <w:t>Hunger, H. &amp;Pingree, P. (1989)</w:t>
      </w:r>
      <w:r w:rsidRPr="00BF6542">
        <w:rPr>
          <w:rFonts w:cs="Arial"/>
          <w:bCs/>
          <w:i/>
          <w:sz w:val="20"/>
          <w:szCs w:val="20"/>
        </w:rPr>
        <w:t xml:space="preserve">A transliteration and English translation of the first two tablets is presented in "Mul.Apin, An Astronomical Compendium in Cuneiform" </w:t>
      </w:r>
      <w:r w:rsidRPr="00BF6542">
        <w:rPr>
          <w:rFonts w:cs="Arial"/>
          <w:bCs/>
          <w:sz w:val="20"/>
          <w:szCs w:val="20"/>
        </w:rPr>
        <w:t>Austria: Verlag Ferdinand Berger &amp;Sohne.</w:t>
      </w:r>
    </w:p>
    <w:p w14:paraId="3FFC3B0B" w14:textId="77777777" w:rsidR="00A25DE7" w:rsidRPr="00BF6542" w:rsidRDefault="00A25DE7" w:rsidP="00680D30">
      <w:pPr>
        <w:spacing w:line="240" w:lineRule="auto"/>
        <w:contextualSpacing/>
        <w:rPr>
          <w:rFonts w:cs="Arial"/>
          <w:bCs/>
          <w:sz w:val="20"/>
          <w:szCs w:val="20"/>
        </w:rPr>
      </w:pPr>
    </w:p>
    <w:p w14:paraId="4A71F6B4" w14:textId="77777777" w:rsidR="00A25DE7" w:rsidRPr="00BF6542" w:rsidRDefault="00A25DE7" w:rsidP="00680D30">
      <w:pPr>
        <w:spacing w:line="240" w:lineRule="auto"/>
        <w:contextualSpacing/>
        <w:rPr>
          <w:rFonts w:cs="Arial"/>
          <w:sz w:val="20"/>
          <w:szCs w:val="20"/>
        </w:rPr>
      </w:pPr>
      <w:r w:rsidRPr="00BF6542">
        <w:rPr>
          <w:rFonts w:cs="Arial"/>
          <w:color w:val="222222"/>
          <w:sz w:val="20"/>
          <w:szCs w:val="20"/>
          <w:shd w:val="clear" w:color="auto" w:fill="FFFFFF"/>
        </w:rPr>
        <w:t xml:space="preserve">Hurwitt, J. H. (1985) </w:t>
      </w:r>
      <w:r w:rsidRPr="00BF6542">
        <w:rPr>
          <w:rFonts w:cs="Arial"/>
          <w:i/>
          <w:color w:val="222222"/>
          <w:sz w:val="20"/>
          <w:szCs w:val="20"/>
          <w:shd w:val="clear" w:color="auto" w:fill="FFFFFF"/>
        </w:rPr>
        <w:t>The Art and Culture of Early Greece 1100 – 480BC</w:t>
      </w:r>
      <w:r w:rsidRPr="00BF6542">
        <w:rPr>
          <w:rFonts w:cs="Arial"/>
          <w:color w:val="222222"/>
          <w:sz w:val="20"/>
          <w:szCs w:val="20"/>
          <w:shd w:val="clear" w:color="auto" w:fill="FFFFFF"/>
        </w:rPr>
        <w:t>, Ithaca: Cornell University Press.</w:t>
      </w:r>
    </w:p>
    <w:p w14:paraId="11122BD7" w14:textId="77777777" w:rsidR="00A25DE7" w:rsidRPr="00BF6542" w:rsidRDefault="00A25DE7" w:rsidP="00680D30">
      <w:pPr>
        <w:spacing w:line="240" w:lineRule="auto"/>
        <w:contextualSpacing/>
        <w:rPr>
          <w:rFonts w:cs="Arial"/>
          <w:sz w:val="20"/>
          <w:szCs w:val="20"/>
        </w:rPr>
      </w:pPr>
    </w:p>
    <w:p w14:paraId="01287F6C" w14:textId="77777777" w:rsidR="00A25DE7" w:rsidRPr="00BF6542" w:rsidRDefault="00A25DE7" w:rsidP="00680D30">
      <w:pPr>
        <w:spacing w:line="240" w:lineRule="auto"/>
        <w:contextualSpacing/>
        <w:rPr>
          <w:rFonts w:cs="Arial"/>
          <w:sz w:val="20"/>
          <w:szCs w:val="20"/>
        </w:rPr>
      </w:pPr>
      <w:r w:rsidRPr="00BF6542">
        <w:rPr>
          <w:rFonts w:cs="Arial"/>
          <w:sz w:val="20"/>
          <w:szCs w:val="20"/>
        </w:rPr>
        <w:t>Janko, R. (1994) </w:t>
      </w:r>
      <w:r w:rsidRPr="00BF6542">
        <w:rPr>
          <w:rFonts w:cs="Arial"/>
          <w:i/>
          <w:iCs/>
          <w:sz w:val="20"/>
          <w:szCs w:val="20"/>
        </w:rPr>
        <w:t>The Iliad: A Commentary. Vol. 4: Books 13-16</w:t>
      </w:r>
      <w:r w:rsidRPr="00BF6542">
        <w:rPr>
          <w:rFonts w:cs="Arial"/>
          <w:sz w:val="20"/>
          <w:szCs w:val="20"/>
        </w:rPr>
        <w:t xml:space="preserve"> Cambridge: Cambridge University Press.</w:t>
      </w:r>
    </w:p>
    <w:p w14:paraId="09ACFB13" w14:textId="77777777" w:rsidR="00A25DE7" w:rsidRPr="00BF6542" w:rsidRDefault="00A25DE7" w:rsidP="00680D30">
      <w:pPr>
        <w:spacing w:line="240" w:lineRule="auto"/>
        <w:contextualSpacing/>
        <w:rPr>
          <w:rFonts w:cs="Arial"/>
          <w:sz w:val="20"/>
          <w:szCs w:val="20"/>
        </w:rPr>
      </w:pPr>
    </w:p>
    <w:p w14:paraId="4C28BB27"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Jensen, P. (1902) ‘Das Gilgameš-Epos und Homer’, in, </w:t>
      </w:r>
      <w:r w:rsidRPr="00BF6542">
        <w:rPr>
          <w:rFonts w:cs="Arial"/>
          <w:i/>
          <w:sz w:val="20"/>
          <w:szCs w:val="20"/>
        </w:rPr>
        <w:t xml:space="preserve">ZA </w:t>
      </w:r>
      <w:r w:rsidRPr="00BF6542">
        <w:rPr>
          <w:rFonts w:cs="Arial"/>
          <w:sz w:val="20"/>
          <w:szCs w:val="20"/>
        </w:rPr>
        <w:t>16: 125-34.</w:t>
      </w:r>
    </w:p>
    <w:p w14:paraId="51A0B5CD" w14:textId="77777777" w:rsidR="00A25DE7" w:rsidRPr="00BF6542" w:rsidRDefault="00A25DE7" w:rsidP="00680D30">
      <w:pPr>
        <w:spacing w:line="240" w:lineRule="auto"/>
        <w:contextualSpacing/>
        <w:rPr>
          <w:rFonts w:cs="Arial"/>
          <w:sz w:val="20"/>
          <w:szCs w:val="20"/>
        </w:rPr>
      </w:pPr>
    </w:p>
    <w:p w14:paraId="1D6B478D" w14:textId="77777777" w:rsidR="00A25DE7" w:rsidRPr="00BF6542" w:rsidRDefault="00A25DE7" w:rsidP="00680D30">
      <w:pPr>
        <w:spacing w:line="240" w:lineRule="auto"/>
        <w:contextualSpacing/>
        <w:rPr>
          <w:rFonts w:cs="Arial"/>
          <w:sz w:val="20"/>
          <w:szCs w:val="20"/>
        </w:rPr>
      </w:pPr>
      <w:r w:rsidRPr="00BF6542">
        <w:rPr>
          <w:rFonts w:cs="Arial"/>
          <w:sz w:val="20"/>
          <w:szCs w:val="20"/>
        </w:rPr>
        <w:t>Jensen, M. S. (1980) </w:t>
      </w:r>
      <w:r w:rsidRPr="00BF6542">
        <w:rPr>
          <w:rFonts w:cs="Arial"/>
          <w:i/>
          <w:iCs/>
          <w:sz w:val="20"/>
          <w:szCs w:val="20"/>
        </w:rPr>
        <w:t>The Homeric Question and the Oral-Formulaic Theory</w:t>
      </w:r>
      <w:r w:rsidRPr="00BF6542">
        <w:rPr>
          <w:rFonts w:cs="Arial"/>
          <w:sz w:val="20"/>
          <w:szCs w:val="20"/>
        </w:rPr>
        <w:t xml:space="preserve"> Copenhagen: Museum Tusculanum Press.</w:t>
      </w:r>
    </w:p>
    <w:p w14:paraId="37A4AA0A" w14:textId="77777777" w:rsidR="00A25DE7" w:rsidRPr="00BF6542" w:rsidRDefault="00A25DE7" w:rsidP="00680D30">
      <w:pPr>
        <w:spacing w:line="240" w:lineRule="auto"/>
        <w:contextualSpacing/>
        <w:rPr>
          <w:rFonts w:cs="Arial"/>
          <w:sz w:val="20"/>
          <w:szCs w:val="20"/>
        </w:rPr>
      </w:pPr>
    </w:p>
    <w:p w14:paraId="431C15DA"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Kingsley, P. (1995)  </w:t>
      </w:r>
      <w:r w:rsidRPr="00BF6542">
        <w:rPr>
          <w:rFonts w:cs="Arial"/>
          <w:i/>
          <w:sz w:val="20"/>
          <w:szCs w:val="20"/>
        </w:rPr>
        <w:t>Ancient Philosophy, Mystery and Magic: Empedocles and Pythagorean Tradition</w:t>
      </w:r>
      <w:r w:rsidRPr="00BF6542">
        <w:rPr>
          <w:rFonts w:cs="Arial"/>
          <w:sz w:val="20"/>
          <w:szCs w:val="20"/>
        </w:rPr>
        <w:t xml:space="preserve"> Oxford: Clarendon Press.</w:t>
      </w:r>
    </w:p>
    <w:p w14:paraId="277F2C55" w14:textId="77777777" w:rsidR="00A25DE7" w:rsidRPr="00BF6542" w:rsidRDefault="00A25DE7" w:rsidP="00680D30">
      <w:pPr>
        <w:spacing w:line="240" w:lineRule="auto"/>
        <w:contextualSpacing/>
        <w:rPr>
          <w:rFonts w:cs="Arial"/>
          <w:sz w:val="20"/>
          <w:szCs w:val="20"/>
        </w:rPr>
      </w:pPr>
    </w:p>
    <w:p w14:paraId="54D46E14" w14:textId="77777777" w:rsidR="00A25DE7" w:rsidRPr="00BF6542" w:rsidRDefault="00A25DE7" w:rsidP="00680D30">
      <w:pPr>
        <w:spacing w:line="240" w:lineRule="auto"/>
        <w:contextualSpacing/>
        <w:rPr>
          <w:rFonts w:cs="Arial"/>
          <w:bCs/>
          <w:sz w:val="20"/>
          <w:szCs w:val="20"/>
        </w:rPr>
      </w:pPr>
      <w:r w:rsidRPr="00BF6542">
        <w:rPr>
          <w:rFonts w:cs="Arial"/>
          <w:sz w:val="20"/>
          <w:szCs w:val="20"/>
        </w:rPr>
        <w:t xml:space="preserve">Kirk, G. S. (1962) </w:t>
      </w:r>
      <w:r w:rsidRPr="00BF6542">
        <w:rPr>
          <w:rFonts w:cs="Arial"/>
          <w:i/>
          <w:sz w:val="20"/>
          <w:szCs w:val="20"/>
        </w:rPr>
        <w:t xml:space="preserve">The Songs of Homer </w:t>
      </w:r>
      <w:r w:rsidRPr="00BF6542">
        <w:rPr>
          <w:rFonts w:cs="Arial"/>
          <w:sz w:val="20"/>
          <w:szCs w:val="20"/>
        </w:rPr>
        <w:t>Cambridge: Cambridge University Press.</w:t>
      </w:r>
    </w:p>
    <w:p w14:paraId="748FCDC1" w14:textId="77777777" w:rsidR="00A25DE7" w:rsidRPr="00BF6542" w:rsidRDefault="00A25DE7" w:rsidP="00680D30">
      <w:pPr>
        <w:spacing w:line="240" w:lineRule="auto"/>
        <w:contextualSpacing/>
        <w:rPr>
          <w:rFonts w:cs="Arial"/>
          <w:sz w:val="20"/>
          <w:szCs w:val="20"/>
        </w:rPr>
      </w:pPr>
    </w:p>
    <w:p w14:paraId="4BD552CF" w14:textId="77777777" w:rsidR="00A25DE7" w:rsidRPr="00BF6542" w:rsidRDefault="00A25DE7" w:rsidP="00680D30">
      <w:pPr>
        <w:spacing w:line="240" w:lineRule="auto"/>
        <w:contextualSpacing/>
        <w:rPr>
          <w:rFonts w:cs="Arial"/>
          <w:sz w:val="20"/>
          <w:szCs w:val="20"/>
        </w:rPr>
      </w:pPr>
      <w:r w:rsidRPr="00BF6542">
        <w:rPr>
          <w:rFonts w:cs="Arial"/>
          <w:sz w:val="20"/>
          <w:szCs w:val="20"/>
        </w:rPr>
        <w:t>Kirk, G.S. (1965) </w:t>
      </w:r>
      <w:r w:rsidRPr="00BF6542">
        <w:rPr>
          <w:rFonts w:cs="Arial"/>
          <w:i/>
          <w:iCs/>
          <w:sz w:val="20"/>
          <w:szCs w:val="20"/>
        </w:rPr>
        <w:t>Homer and the Epic: A Shortened Version of the Songs of Homer</w:t>
      </w:r>
      <w:r w:rsidRPr="00BF6542">
        <w:rPr>
          <w:rFonts w:cs="Arial"/>
          <w:sz w:val="20"/>
          <w:szCs w:val="20"/>
        </w:rPr>
        <w:t xml:space="preserve"> London: Cambridge University Press.</w:t>
      </w:r>
    </w:p>
    <w:p w14:paraId="51D6A60A" w14:textId="77777777" w:rsidR="00A25DE7" w:rsidRPr="00BF6542" w:rsidRDefault="00A25DE7" w:rsidP="00680D30">
      <w:pPr>
        <w:spacing w:line="240" w:lineRule="auto"/>
        <w:contextualSpacing/>
        <w:rPr>
          <w:rFonts w:cs="Arial"/>
          <w:sz w:val="20"/>
          <w:szCs w:val="20"/>
        </w:rPr>
      </w:pPr>
    </w:p>
    <w:p w14:paraId="32ACBB7B"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Kirk, G. S. (1972) ‘Greek mythology: Some new Perspectives’, in, </w:t>
      </w:r>
      <w:r w:rsidRPr="00BF6542">
        <w:rPr>
          <w:rFonts w:cs="Arial"/>
          <w:i/>
          <w:sz w:val="20"/>
          <w:szCs w:val="20"/>
        </w:rPr>
        <w:t>The Journal of Hellenic Studies</w:t>
      </w:r>
      <w:r w:rsidRPr="00BF6542">
        <w:rPr>
          <w:rFonts w:cs="Arial"/>
          <w:sz w:val="20"/>
          <w:szCs w:val="20"/>
        </w:rPr>
        <w:t xml:space="preserve"> Vol. 92: 74-85.</w:t>
      </w:r>
    </w:p>
    <w:p w14:paraId="27A11C1A" w14:textId="77777777" w:rsidR="00A25DE7" w:rsidRPr="00BF6542" w:rsidRDefault="00A25DE7" w:rsidP="00680D30">
      <w:pPr>
        <w:spacing w:line="240" w:lineRule="auto"/>
        <w:contextualSpacing/>
        <w:rPr>
          <w:rFonts w:cs="Arial"/>
          <w:sz w:val="20"/>
          <w:szCs w:val="20"/>
        </w:rPr>
      </w:pPr>
    </w:p>
    <w:p w14:paraId="6ABFD0AF" w14:textId="77777777" w:rsidR="00A25DE7" w:rsidRPr="00BF6542" w:rsidRDefault="00A25DE7" w:rsidP="00680D30">
      <w:pPr>
        <w:spacing w:line="240" w:lineRule="auto"/>
        <w:contextualSpacing/>
        <w:rPr>
          <w:rFonts w:cs="Arial"/>
          <w:sz w:val="20"/>
          <w:szCs w:val="20"/>
          <w:shd w:val="clear" w:color="auto" w:fill="FFFFFF"/>
        </w:rPr>
      </w:pPr>
      <w:r w:rsidRPr="00BF6542">
        <w:rPr>
          <w:rFonts w:cs="Arial"/>
          <w:sz w:val="20"/>
          <w:szCs w:val="20"/>
        </w:rPr>
        <w:t xml:space="preserve">Kramer, S. N. (1963) </w:t>
      </w:r>
      <w:r w:rsidRPr="00BF6542">
        <w:rPr>
          <w:rFonts w:cs="Arial"/>
          <w:i/>
          <w:sz w:val="20"/>
          <w:szCs w:val="20"/>
        </w:rPr>
        <w:t>The Sumerians: Their History, Culture and Character</w:t>
      </w:r>
      <w:r w:rsidRPr="00BF6542">
        <w:rPr>
          <w:rFonts w:cs="Arial"/>
          <w:sz w:val="20"/>
          <w:szCs w:val="20"/>
        </w:rPr>
        <w:t xml:space="preserve"> Chicago: University of Chicago Press.</w:t>
      </w:r>
    </w:p>
    <w:p w14:paraId="5BB5AF1A" w14:textId="77777777" w:rsidR="00A25DE7" w:rsidRPr="00BF6542" w:rsidRDefault="00A25DE7" w:rsidP="00680D30">
      <w:pPr>
        <w:spacing w:line="240" w:lineRule="auto"/>
        <w:contextualSpacing/>
        <w:rPr>
          <w:rFonts w:cs="Arial"/>
          <w:sz w:val="20"/>
          <w:szCs w:val="20"/>
          <w:shd w:val="clear" w:color="auto" w:fill="FFFFFF"/>
        </w:rPr>
      </w:pPr>
    </w:p>
    <w:p w14:paraId="640B5701" w14:textId="77777777" w:rsidR="00A25DE7" w:rsidRPr="00BF6542" w:rsidRDefault="00A25DE7" w:rsidP="00680D30">
      <w:pPr>
        <w:spacing w:line="240" w:lineRule="auto"/>
        <w:contextualSpacing/>
        <w:rPr>
          <w:rFonts w:cs="Arial"/>
          <w:sz w:val="20"/>
          <w:szCs w:val="20"/>
        </w:rPr>
      </w:pPr>
      <w:r w:rsidRPr="00BF6542">
        <w:rPr>
          <w:rFonts w:cs="Arial"/>
          <w:sz w:val="20"/>
          <w:szCs w:val="20"/>
          <w:shd w:val="clear" w:color="auto" w:fill="FFFFFF"/>
        </w:rPr>
        <w:t xml:space="preserve">Lambert, W. G., &amp;Walcot, P. (1965) ‘A New Babylonian Theogony and Hesiod’, in, </w:t>
      </w:r>
      <w:r w:rsidRPr="00BF6542">
        <w:rPr>
          <w:rFonts w:cs="Arial"/>
          <w:i/>
          <w:sz w:val="20"/>
          <w:szCs w:val="20"/>
          <w:shd w:val="clear" w:color="auto" w:fill="FFFFFF"/>
        </w:rPr>
        <w:t>Kadmos</w:t>
      </w:r>
      <w:r w:rsidRPr="00BF6542">
        <w:rPr>
          <w:rFonts w:cs="Arial"/>
          <w:sz w:val="20"/>
          <w:szCs w:val="20"/>
          <w:shd w:val="clear" w:color="auto" w:fill="FFFFFF"/>
        </w:rPr>
        <w:t xml:space="preserve"> Vol.4 Issue 1: 64-72.</w:t>
      </w:r>
    </w:p>
    <w:p w14:paraId="2215A40C" w14:textId="77777777" w:rsidR="00A25DE7" w:rsidRPr="00BF6542" w:rsidRDefault="00A25DE7" w:rsidP="00680D30">
      <w:pPr>
        <w:spacing w:line="240" w:lineRule="auto"/>
        <w:contextualSpacing/>
        <w:rPr>
          <w:rFonts w:cs="Arial"/>
          <w:sz w:val="20"/>
          <w:szCs w:val="20"/>
        </w:rPr>
      </w:pPr>
    </w:p>
    <w:p w14:paraId="33431C4E" w14:textId="77777777" w:rsidR="00A25DE7" w:rsidRPr="00BF6542" w:rsidRDefault="00A25DE7" w:rsidP="00680D30">
      <w:pPr>
        <w:spacing w:line="240" w:lineRule="auto"/>
        <w:contextualSpacing/>
        <w:rPr>
          <w:rFonts w:cs="Arial"/>
          <w:sz w:val="20"/>
          <w:szCs w:val="20"/>
        </w:rPr>
      </w:pPr>
      <w:r w:rsidRPr="00BF6542">
        <w:rPr>
          <w:rFonts w:cs="Arial"/>
          <w:sz w:val="20"/>
          <w:szCs w:val="20"/>
        </w:rPr>
        <w:lastRenderedPageBreak/>
        <w:t xml:space="preserve">Langgut, D., Finkelstein, I., and Litt, T. (2013) ‘Climate and the late Bronze Collapse: New evidence from the southern Levant’, in, </w:t>
      </w:r>
      <w:r w:rsidRPr="00BF6542">
        <w:rPr>
          <w:rFonts w:cs="Arial"/>
          <w:i/>
          <w:sz w:val="20"/>
          <w:szCs w:val="20"/>
        </w:rPr>
        <w:t>Journal of Institute of Archaeology of Tel Aviv University</w:t>
      </w:r>
      <w:r w:rsidRPr="00BF6542">
        <w:rPr>
          <w:rFonts w:cs="Arial"/>
          <w:sz w:val="20"/>
          <w:szCs w:val="20"/>
        </w:rPr>
        <w:t>, 40 (2): 149-175.</w:t>
      </w:r>
    </w:p>
    <w:p w14:paraId="30A19BCD" w14:textId="77777777" w:rsidR="00A25DE7" w:rsidRPr="00BF6542" w:rsidRDefault="00A25DE7" w:rsidP="00680D30">
      <w:pPr>
        <w:spacing w:line="240" w:lineRule="auto"/>
        <w:contextualSpacing/>
        <w:rPr>
          <w:rFonts w:cs="Arial"/>
          <w:sz w:val="20"/>
          <w:szCs w:val="20"/>
        </w:rPr>
      </w:pPr>
    </w:p>
    <w:p w14:paraId="42E2DB8B" w14:textId="77777777" w:rsidR="00A25DE7" w:rsidRPr="00BF6542" w:rsidRDefault="00A25DE7" w:rsidP="00680D30">
      <w:pPr>
        <w:spacing w:line="240" w:lineRule="auto"/>
        <w:contextualSpacing/>
        <w:rPr>
          <w:rFonts w:cs="Arial"/>
          <w:sz w:val="20"/>
          <w:szCs w:val="20"/>
        </w:rPr>
      </w:pPr>
      <w:r w:rsidRPr="00BF6542">
        <w:rPr>
          <w:rFonts w:cs="Arial"/>
          <w:sz w:val="20"/>
          <w:szCs w:val="20"/>
        </w:rPr>
        <w:t xml:space="preserve">Latura, G. B. (2014) ‘Astronomy, Myth, and Gilgamesh’ (abstract accepted for oral presentation) at </w:t>
      </w:r>
      <w:r w:rsidRPr="00BF6542">
        <w:rPr>
          <w:rFonts w:cs="Arial"/>
          <w:i/>
          <w:sz w:val="20"/>
          <w:szCs w:val="20"/>
        </w:rPr>
        <w:t>ISAAC 2014 Conference</w:t>
      </w:r>
      <w:r w:rsidRPr="00BF6542">
        <w:rPr>
          <w:rFonts w:cs="Arial"/>
          <w:sz w:val="20"/>
          <w:szCs w:val="20"/>
        </w:rPr>
        <w:t xml:space="preserve"> Cape Town: South Africa.</w:t>
      </w:r>
    </w:p>
    <w:p w14:paraId="140D35B2" w14:textId="77777777" w:rsidR="00A25DE7" w:rsidRDefault="00A25DE7" w:rsidP="00680D30">
      <w:pPr>
        <w:spacing w:line="240" w:lineRule="auto"/>
        <w:contextualSpacing/>
        <w:rPr>
          <w:rFonts w:cs="Arial"/>
          <w:sz w:val="20"/>
          <w:szCs w:val="20"/>
        </w:rPr>
      </w:pPr>
    </w:p>
    <w:p w14:paraId="59D1AB1B" w14:textId="77777777" w:rsidR="00A25DE7" w:rsidRDefault="00A25DE7" w:rsidP="00680D30">
      <w:pPr>
        <w:spacing w:line="240" w:lineRule="auto"/>
        <w:contextualSpacing/>
        <w:rPr>
          <w:rFonts w:cs="Arial"/>
          <w:sz w:val="20"/>
          <w:szCs w:val="20"/>
        </w:rPr>
      </w:pPr>
      <w:r w:rsidRPr="00FA0945">
        <w:rPr>
          <w:rFonts w:cs="Arial"/>
          <w:sz w:val="20"/>
          <w:szCs w:val="20"/>
        </w:rPr>
        <w:t>Leick, G. (1998) </w:t>
      </w:r>
      <w:r w:rsidRPr="00FA0945">
        <w:rPr>
          <w:rFonts w:cs="Arial"/>
          <w:i/>
          <w:iCs/>
          <w:sz w:val="20"/>
          <w:szCs w:val="20"/>
        </w:rPr>
        <w:t>A Dictionary of Ancient Near Eastern Mythology</w:t>
      </w:r>
      <w:r w:rsidRPr="00FA0945">
        <w:rPr>
          <w:rFonts w:cs="Arial"/>
          <w:sz w:val="20"/>
          <w:szCs w:val="20"/>
        </w:rPr>
        <w:t xml:space="preserve"> New York: Routledge</w:t>
      </w:r>
      <w:r>
        <w:rPr>
          <w:rFonts w:cs="Arial"/>
          <w:sz w:val="20"/>
          <w:szCs w:val="20"/>
        </w:rPr>
        <w:t>.</w:t>
      </w:r>
    </w:p>
    <w:p w14:paraId="5B9E028C" w14:textId="77777777" w:rsidR="00A25DE7" w:rsidRPr="00BF6542" w:rsidRDefault="00A25DE7" w:rsidP="00680D30">
      <w:pPr>
        <w:spacing w:line="240" w:lineRule="auto"/>
        <w:contextualSpacing/>
        <w:rPr>
          <w:rFonts w:cs="Arial"/>
          <w:sz w:val="20"/>
          <w:szCs w:val="20"/>
        </w:rPr>
      </w:pPr>
    </w:p>
    <w:p w14:paraId="57D4A999" w14:textId="77777777" w:rsidR="00A25DE7" w:rsidRPr="00BF6542" w:rsidRDefault="00A25DE7" w:rsidP="00680D30">
      <w:pPr>
        <w:spacing w:line="240" w:lineRule="auto"/>
        <w:contextualSpacing/>
        <w:rPr>
          <w:rFonts w:cs="Arial"/>
          <w:sz w:val="20"/>
          <w:szCs w:val="20"/>
        </w:rPr>
      </w:pPr>
      <w:r w:rsidRPr="00BF6542">
        <w:rPr>
          <w:rFonts w:cs="Arial"/>
          <w:sz w:val="20"/>
          <w:szCs w:val="20"/>
        </w:rPr>
        <w:t>Lewis, T. J. (1989) ‘Cults of the Dead in Ancient Israel and Ugarit’, in,</w:t>
      </w:r>
      <w:r w:rsidRPr="00BF6542">
        <w:rPr>
          <w:rFonts w:cs="Arial"/>
          <w:i/>
          <w:sz w:val="20"/>
          <w:szCs w:val="20"/>
        </w:rPr>
        <w:t xml:space="preserve"> Harvard Semitic Monographs</w:t>
      </w:r>
      <w:r w:rsidRPr="00BF6542">
        <w:rPr>
          <w:rFonts w:cs="Arial"/>
          <w:sz w:val="20"/>
          <w:szCs w:val="20"/>
        </w:rPr>
        <w:t xml:space="preserve"> Vol.39: 37.</w:t>
      </w:r>
    </w:p>
    <w:p w14:paraId="147B2C46" w14:textId="77777777" w:rsidR="00A25DE7" w:rsidRPr="00BF6542" w:rsidRDefault="00A25DE7" w:rsidP="00680D30">
      <w:pPr>
        <w:spacing w:line="240" w:lineRule="auto"/>
        <w:contextualSpacing/>
        <w:rPr>
          <w:rFonts w:cs="Arial"/>
          <w:sz w:val="20"/>
          <w:szCs w:val="20"/>
        </w:rPr>
      </w:pPr>
    </w:p>
    <w:p w14:paraId="545E3D2A" w14:textId="77777777" w:rsidR="00A25DE7" w:rsidRPr="00BF6542" w:rsidRDefault="00A25DE7" w:rsidP="00680D30">
      <w:pPr>
        <w:spacing w:line="240" w:lineRule="auto"/>
        <w:contextualSpacing/>
        <w:rPr>
          <w:rFonts w:cs="Arial"/>
          <w:b/>
          <w:sz w:val="20"/>
          <w:szCs w:val="20"/>
        </w:rPr>
      </w:pPr>
      <w:r w:rsidRPr="00BF6542">
        <w:rPr>
          <w:rFonts w:cs="Arial"/>
          <w:sz w:val="20"/>
          <w:szCs w:val="20"/>
        </w:rPr>
        <w:t xml:space="preserve">Liddell, H. G. and Scott, R. (1940) </w:t>
      </w:r>
      <w:r w:rsidRPr="00BF6542">
        <w:rPr>
          <w:rFonts w:cs="Arial"/>
          <w:i/>
          <w:sz w:val="20"/>
          <w:szCs w:val="20"/>
        </w:rPr>
        <w:t>A Greek-English Lexicon</w:t>
      </w:r>
      <w:r w:rsidRPr="00BF6542">
        <w:rPr>
          <w:rFonts w:cs="Arial"/>
          <w:sz w:val="20"/>
          <w:szCs w:val="20"/>
        </w:rPr>
        <w:t xml:space="preserve"> with a Revised Supplement: Ninth Edition, Oxford: Clarendon Press.</w:t>
      </w:r>
    </w:p>
    <w:p w14:paraId="3E5D55E4" w14:textId="77777777" w:rsidR="00A25DE7" w:rsidRPr="00BF6542" w:rsidRDefault="00A25DE7" w:rsidP="007F1CB2">
      <w:pPr>
        <w:spacing w:after="0" w:line="240" w:lineRule="auto"/>
        <w:rPr>
          <w:rFonts w:cs="Arial"/>
          <w:sz w:val="20"/>
          <w:szCs w:val="20"/>
        </w:rPr>
      </w:pPr>
    </w:p>
    <w:p w14:paraId="1DB4D94E" w14:textId="77777777" w:rsidR="00A25DE7" w:rsidRPr="00BF6542" w:rsidRDefault="00A25DE7" w:rsidP="00D22DDA">
      <w:pPr>
        <w:rPr>
          <w:rFonts w:cs="Arial"/>
          <w:sz w:val="20"/>
          <w:szCs w:val="20"/>
        </w:rPr>
      </w:pPr>
      <w:r w:rsidRPr="00BF6542">
        <w:rPr>
          <w:rFonts w:cs="Arial"/>
          <w:sz w:val="20"/>
          <w:szCs w:val="20"/>
        </w:rPr>
        <w:t xml:space="preserve">Livingstone, A. (1986) </w:t>
      </w:r>
      <w:r w:rsidRPr="00BF6542">
        <w:rPr>
          <w:rFonts w:cs="Arial"/>
          <w:i/>
          <w:sz w:val="20"/>
          <w:szCs w:val="20"/>
        </w:rPr>
        <w:t>Mystical and Mythological Explanatory Works of Assyrian and Babylonian Scholars</w:t>
      </w:r>
      <w:r w:rsidRPr="00BF6542">
        <w:rPr>
          <w:rFonts w:cs="Arial"/>
          <w:sz w:val="20"/>
          <w:szCs w:val="20"/>
        </w:rPr>
        <w:t xml:space="preserve"> Oxford: Clarendon Press.</w:t>
      </w:r>
    </w:p>
    <w:p w14:paraId="3E015822" w14:textId="77777777" w:rsidR="00A25DE7" w:rsidRPr="00BF6542" w:rsidRDefault="00A25DE7" w:rsidP="00D22DDA">
      <w:pPr>
        <w:rPr>
          <w:rFonts w:cs="Arial"/>
          <w:i/>
          <w:sz w:val="20"/>
          <w:szCs w:val="20"/>
        </w:rPr>
      </w:pPr>
      <w:r w:rsidRPr="00BF6542">
        <w:rPr>
          <w:rFonts w:cs="Arial"/>
          <w:sz w:val="20"/>
          <w:szCs w:val="20"/>
        </w:rPr>
        <w:t xml:space="preserve">Livingstone, A. (1989) </w:t>
      </w:r>
      <w:r w:rsidRPr="00BF6542">
        <w:rPr>
          <w:rFonts w:cs="Arial"/>
          <w:i/>
          <w:sz w:val="20"/>
          <w:szCs w:val="20"/>
        </w:rPr>
        <w:t xml:space="preserve">Court Poetry and Literary Miscellanea </w:t>
      </w:r>
      <w:r w:rsidRPr="00BF6542">
        <w:rPr>
          <w:rFonts w:cs="Arial"/>
          <w:sz w:val="20"/>
          <w:szCs w:val="20"/>
        </w:rPr>
        <w:t>(</w:t>
      </w:r>
      <w:r w:rsidRPr="00BF6542">
        <w:rPr>
          <w:rFonts w:cs="Arial"/>
          <w:i/>
          <w:sz w:val="20"/>
          <w:szCs w:val="20"/>
        </w:rPr>
        <w:t>State Archives of Assyria</w:t>
      </w:r>
      <w:r w:rsidRPr="00BF6542">
        <w:rPr>
          <w:rFonts w:cs="Arial"/>
          <w:sz w:val="20"/>
          <w:szCs w:val="20"/>
        </w:rPr>
        <w:t>, iii) Warsaw: Eisenbrauns.</w:t>
      </w:r>
    </w:p>
    <w:p w14:paraId="549EDF2D" w14:textId="77777777" w:rsidR="00A25DE7" w:rsidRPr="00BF6542" w:rsidRDefault="00A25DE7" w:rsidP="00BF3C75">
      <w:pPr>
        <w:pStyle w:val="FootnoteText"/>
        <w:rPr>
          <w:rFonts w:cs="Arial"/>
        </w:rPr>
      </w:pPr>
      <w:r w:rsidRPr="00BF6542">
        <w:rPr>
          <w:rFonts w:cs="Arial"/>
        </w:rPr>
        <w:t xml:space="preserve">Loewenstamm, S. E. (1980) </w:t>
      </w:r>
      <w:r w:rsidRPr="00BF6542">
        <w:rPr>
          <w:rFonts w:cs="Arial"/>
          <w:i/>
        </w:rPr>
        <w:t>Comparative Studies in Biblical and Ancient Oriental Literatures</w:t>
      </w:r>
      <w:r w:rsidRPr="00BF6542">
        <w:rPr>
          <w:rFonts w:cs="Arial"/>
        </w:rPr>
        <w:t xml:space="preserve"> (AOAT 204), Neukirchen-Vluyn: 192-209.</w:t>
      </w:r>
    </w:p>
    <w:p w14:paraId="6DE49E7B" w14:textId="77777777" w:rsidR="00A25DE7" w:rsidRPr="00BF6542" w:rsidRDefault="00A25DE7" w:rsidP="00BF3C75">
      <w:pPr>
        <w:pStyle w:val="FootnoteText"/>
        <w:rPr>
          <w:rFonts w:cs="Arial"/>
        </w:rPr>
      </w:pPr>
    </w:p>
    <w:p w14:paraId="76A0CC6A" w14:textId="77777777" w:rsidR="00A25DE7" w:rsidRPr="00BF6542" w:rsidRDefault="00A25DE7" w:rsidP="00D22DDA">
      <w:pPr>
        <w:rPr>
          <w:rFonts w:cs="Arial"/>
          <w:i/>
          <w:sz w:val="20"/>
          <w:szCs w:val="20"/>
        </w:rPr>
      </w:pPr>
      <w:r w:rsidRPr="00BF6542">
        <w:rPr>
          <w:rFonts w:cs="Arial"/>
          <w:sz w:val="20"/>
          <w:szCs w:val="20"/>
        </w:rPr>
        <w:t xml:space="preserve">Lord, A. B. (1990)’Gilgamesh and Other Epics’, in, Maier, J. R. (ed.) (1997) </w:t>
      </w:r>
      <w:r w:rsidRPr="00BF6542">
        <w:rPr>
          <w:rFonts w:cs="Arial"/>
          <w:i/>
          <w:sz w:val="20"/>
          <w:szCs w:val="20"/>
        </w:rPr>
        <w:t>Gilgamesh: A Reader</w:t>
      </w:r>
      <w:r w:rsidRPr="00BF6542">
        <w:rPr>
          <w:rFonts w:cs="Arial"/>
          <w:sz w:val="20"/>
          <w:szCs w:val="20"/>
        </w:rPr>
        <w:t>, Mundelein, IL :Bolchazy-Carducci Publishers: 294-307.</w:t>
      </w:r>
    </w:p>
    <w:p w14:paraId="11CF08E7" w14:textId="77777777" w:rsidR="00A25DE7" w:rsidRPr="00BF6542" w:rsidRDefault="00A25DE7" w:rsidP="00D22DDA">
      <w:pPr>
        <w:rPr>
          <w:rFonts w:cs="Arial"/>
          <w:color w:val="252525"/>
          <w:sz w:val="20"/>
          <w:szCs w:val="20"/>
          <w:shd w:val="clear" w:color="auto" w:fill="FFFFFF"/>
        </w:rPr>
      </w:pPr>
      <w:r w:rsidRPr="00BF6542">
        <w:rPr>
          <w:rFonts w:cs="Arial"/>
          <w:sz w:val="20"/>
          <w:szCs w:val="20"/>
        </w:rPr>
        <w:t xml:space="preserve">Louden, B. (2011) </w:t>
      </w:r>
      <w:r w:rsidRPr="00BF6542">
        <w:rPr>
          <w:rFonts w:cs="Arial"/>
          <w:i/>
          <w:sz w:val="20"/>
          <w:szCs w:val="20"/>
        </w:rPr>
        <w:t xml:space="preserve">Homer’s </w:t>
      </w:r>
      <w:r w:rsidRPr="00BF6542">
        <w:rPr>
          <w:rFonts w:cs="Arial"/>
          <w:sz w:val="20"/>
          <w:szCs w:val="20"/>
        </w:rPr>
        <w:t>Odyssey</w:t>
      </w:r>
      <w:r w:rsidRPr="00BF6542">
        <w:rPr>
          <w:rFonts w:cs="Arial"/>
          <w:i/>
          <w:sz w:val="20"/>
          <w:szCs w:val="20"/>
        </w:rPr>
        <w:t xml:space="preserve"> and the Near East</w:t>
      </w:r>
      <w:r w:rsidRPr="00BF6542">
        <w:rPr>
          <w:rFonts w:cs="Arial"/>
          <w:sz w:val="20"/>
          <w:szCs w:val="20"/>
        </w:rPr>
        <w:t>, Cambridge: Cambridge University Press</w:t>
      </w:r>
      <w:r w:rsidRPr="00BF6542">
        <w:rPr>
          <w:rFonts w:cs="Arial"/>
          <w:color w:val="252525"/>
          <w:sz w:val="20"/>
          <w:szCs w:val="20"/>
          <w:shd w:val="clear" w:color="auto" w:fill="FFFFFF"/>
        </w:rPr>
        <w:t>.</w:t>
      </w:r>
    </w:p>
    <w:p w14:paraId="4E954C46" w14:textId="77777777" w:rsidR="00A25DE7" w:rsidRPr="00BF6542" w:rsidRDefault="00A25DE7" w:rsidP="00D22DDA">
      <w:pPr>
        <w:rPr>
          <w:rFonts w:cs="Arial"/>
          <w:sz w:val="20"/>
          <w:szCs w:val="20"/>
          <w:shd w:val="clear" w:color="auto" w:fill="FFFFFF"/>
        </w:rPr>
      </w:pPr>
      <w:r w:rsidRPr="00BF6542">
        <w:rPr>
          <w:rFonts w:cs="Arial"/>
          <w:color w:val="252525"/>
          <w:sz w:val="20"/>
          <w:szCs w:val="20"/>
          <w:shd w:val="clear" w:color="auto" w:fill="FFFFFF"/>
        </w:rPr>
        <w:t xml:space="preserve">Maisels, C. K. (1993) </w:t>
      </w:r>
      <w:r w:rsidRPr="00BF6542">
        <w:rPr>
          <w:rFonts w:cs="Arial"/>
          <w:i/>
          <w:iCs/>
          <w:color w:val="252525"/>
          <w:sz w:val="20"/>
          <w:szCs w:val="20"/>
          <w:shd w:val="clear" w:color="auto" w:fill="FFFFFF"/>
        </w:rPr>
        <w:t>The Near East: Archaeology in the "Cradle of Civilization"</w:t>
      </w:r>
      <w:r w:rsidRPr="00BF6542">
        <w:rPr>
          <w:rFonts w:cs="Arial"/>
          <w:color w:val="252525"/>
          <w:sz w:val="20"/>
          <w:szCs w:val="20"/>
          <w:shd w:val="clear" w:color="auto" w:fill="FFFFFF"/>
        </w:rPr>
        <w:t>, London: Routledge.</w:t>
      </w:r>
    </w:p>
    <w:p w14:paraId="509C08C6" w14:textId="77777777" w:rsidR="00A25DE7" w:rsidRPr="00BF6542" w:rsidRDefault="00A25DE7" w:rsidP="00D22DDA">
      <w:pPr>
        <w:rPr>
          <w:rFonts w:cs="Arial"/>
          <w:color w:val="252525"/>
          <w:sz w:val="20"/>
          <w:szCs w:val="20"/>
          <w:shd w:val="clear" w:color="auto" w:fill="FFFFFF"/>
        </w:rPr>
      </w:pPr>
      <w:r w:rsidRPr="00BF6542">
        <w:rPr>
          <w:rFonts w:cs="Arial"/>
          <w:color w:val="252525"/>
          <w:sz w:val="20"/>
          <w:szCs w:val="20"/>
          <w:shd w:val="clear" w:color="auto" w:fill="FFFFFF"/>
        </w:rPr>
        <w:t>Matthews, R. (2002) ‘</w:t>
      </w:r>
      <w:r w:rsidRPr="00BF6542">
        <w:rPr>
          <w:rFonts w:cs="Arial"/>
          <w:iCs/>
          <w:color w:val="252525"/>
          <w:sz w:val="20"/>
          <w:szCs w:val="20"/>
          <w:shd w:val="clear" w:color="auto" w:fill="FFFFFF"/>
        </w:rPr>
        <w:t>Secrets of the Dark Mound: Jemdet Nasr 1926–1928’</w:t>
      </w:r>
      <w:r w:rsidRPr="00BF6542">
        <w:rPr>
          <w:rFonts w:cs="Arial"/>
          <w:color w:val="252525"/>
          <w:sz w:val="20"/>
          <w:szCs w:val="20"/>
          <w:shd w:val="clear" w:color="auto" w:fill="FFFFFF"/>
        </w:rPr>
        <w:t xml:space="preserve">, in, </w:t>
      </w:r>
      <w:r w:rsidRPr="00BF6542">
        <w:rPr>
          <w:rFonts w:cs="Arial"/>
          <w:i/>
          <w:color w:val="252525"/>
          <w:sz w:val="20"/>
          <w:szCs w:val="20"/>
          <w:shd w:val="clear" w:color="auto" w:fill="FFFFFF"/>
        </w:rPr>
        <w:t>Iraq Archaeological Reports</w:t>
      </w:r>
      <w:r w:rsidRPr="00BF6542">
        <w:rPr>
          <w:rFonts w:cs="Arial"/>
          <w:color w:val="252525"/>
          <w:sz w:val="20"/>
          <w:szCs w:val="20"/>
          <w:shd w:val="clear" w:color="auto" w:fill="FFFFFF"/>
        </w:rPr>
        <w:t> </w:t>
      </w:r>
      <w:r w:rsidRPr="00BF6542">
        <w:rPr>
          <w:rFonts w:cs="Arial"/>
          <w:bCs/>
          <w:color w:val="252525"/>
          <w:sz w:val="20"/>
          <w:szCs w:val="20"/>
          <w:shd w:val="clear" w:color="auto" w:fill="FFFFFF"/>
        </w:rPr>
        <w:t>6</w:t>
      </w:r>
      <w:r w:rsidRPr="00BF6542">
        <w:rPr>
          <w:rFonts w:cs="Arial"/>
          <w:color w:val="252525"/>
          <w:sz w:val="20"/>
          <w:szCs w:val="20"/>
          <w:shd w:val="clear" w:color="auto" w:fill="FFFFFF"/>
        </w:rPr>
        <w:t>: 33-37.</w:t>
      </w:r>
    </w:p>
    <w:p w14:paraId="0D096AA0" w14:textId="77777777" w:rsidR="00A25DE7" w:rsidRPr="00BF6542" w:rsidRDefault="00A25DE7" w:rsidP="00D22DDA">
      <w:pPr>
        <w:rPr>
          <w:rFonts w:cs="Arial"/>
          <w:sz w:val="20"/>
          <w:szCs w:val="20"/>
          <w:shd w:val="clear" w:color="auto" w:fill="FFFFFF"/>
        </w:rPr>
      </w:pPr>
      <w:r w:rsidRPr="00BF6542">
        <w:rPr>
          <w:rFonts w:cs="Arial"/>
          <w:sz w:val="20"/>
          <w:szCs w:val="20"/>
        </w:rPr>
        <w:t>Matthews, R. (2003) </w:t>
      </w:r>
      <w:r w:rsidRPr="00BF6542">
        <w:rPr>
          <w:rFonts w:cs="Arial"/>
          <w:i/>
          <w:iCs/>
          <w:sz w:val="20"/>
          <w:szCs w:val="20"/>
        </w:rPr>
        <w:t>The Archaeology of Mesopotamia: Theories and Approaches</w:t>
      </w:r>
      <w:r w:rsidRPr="00BF6542">
        <w:rPr>
          <w:rFonts w:cs="Arial"/>
          <w:sz w:val="20"/>
          <w:szCs w:val="20"/>
        </w:rPr>
        <w:t xml:space="preserve"> London: Routledge.</w:t>
      </w:r>
    </w:p>
    <w:p w14:paraId="3D4C35AC" w14:textId="77777777" w:rsidR="00A25DE7" w:rsidRPr="00BF6542" w:rsidRDefault="00A25DE7" w:rsidP="00D22DDA">
      <w:pPr>
        <w:rPr>
          <w:rFonts w:cs="Arial"/>
          <w:sz w:val="20"/>
          <w:szCs w:val="20"/>
        </w:rPr>
      </w:pPr>
      <w:r w:rsidRPr="00BF6542">
        <w:rPr>
          <w:rFonts w:cs="Arial"/>
          <w:sz w:val="20"/>
          <w:szCs w:val="20"/>
        </w:rPr>
        <w:t xml:space="preserve">Mondi, R. (1990) ‘Greek Mythic thought in the Light of the Near East’ in Edmunds, L. </w:t>
      </w:r>
      <w:r w:rsidRPr="00BF6542">
        <w:rPr>
          <w:rFonts w:cs="Arial"/>
          <w:i/>
          <w:sz w:val="20"/>
          <w:szCs w:val="20"/>
        </w:rPr>
        <w:t xml:space="preserve">Approaches to Greek Myth </w:t>
      </w:r>
      <w:r w:rsidRPr="00BF6542">
        <w:rPr>
          <w:rFonts w:cs="Arial"/>
          <w:sz w:val="20"/>
          <w:szCs w:val="20"/>
        </w:rPr>
        <w:t>London: John Hopkins Press.</w:t>
      </w:r>
    </w:p>
    <w:p w14:paraId="2FB3CE25" w14:textId="77777777" w:rsidR="00A25DE7" w:rsidRPr="00BF6542" w:rsidRDefault="00A25DE7" w:rsidP="00D22DDA">
      <w:pPr>
        <w:rPr>
          <w:rFonts w:cs="Arial"/>
          <w:sz w:val="20"/>
          <w:szCs w:val="20"/>
        </w:rPr>
      </w:pPr>
      <w:r w:rsidRPr="00BF6542">
        <w:rPr>
          <w:rFonts w:cs="Arial"/>
          <w:sz w:val="20"/>
          <w:szCs w:val="20"/>
        </w:rPr>
        <w:t xml:space="preserve">Morris, S. (1997) ‘Homer and the Near East’, in, Morris, I. and Powell, B. </w:t>
      </w:r>
      <w:r w:rsidRPr="00BF6542">
        <w:rPr>
          <w:rFonts w:cs="Arial"/>
          <w:i/>
          <w:sz w:val="20"/>
          <w:szCs w:val="20"/>
        </w:rPr>
        <w:t>A New Companion to Homer</w:t>
      </w:r>
      <w:r w:rsidRPr="00BF6542">
        <w:rPr>
          <w:rFonts w:cs="Arial"/>
          <w:sz w:val="20"/>
          <w:szCs w:val="20"/>
        </w:rPr>
        <w:t xml:space="preserve"> Leiden: Brill: 599-623.</w:t>
      </w:r>
    </w:p>
    <w:p w14:paraId="1FF81FEF" w14:textId="77777777" w:rsidR="00A25DE7" w:rsidRPr="00BF6542" w:rsidRDefault="00A25DE7" w:rsidP="00D22DDA">
      <w:pPr>
        <w:rPr>
          <w:rFonts w:cs="Arial"/>
          <w:sz w:val="20"/>
          <w:szCs w:val="20"/>
        </w:rPr>
      </w:pPr>
      <w:r w:rsidRPr="00BF6542">
        <w:rPr>
          <w:rFonts w:cs="Arial"/>
          <w:sz w:val="20"/>
          <w:szCs w:val="20"/>
        </w:rPr>
        <w:t>Murray, G. (1924) </w:t>
      </w:r>
      <w:r w:rsidRPr="00BF6542">
        <w:rPr>
          <w:rFonts w:cs="Arial"/>
          <w:i/>
          <w:iCs/>
          <w:sz w:val="20"/>
          <w:szCs w:val="20"/>
        </w:rPr>
        <w:t>The Rise of the Greek Epic</w:t>
      </w:r>
      <w:r w:rsidRPr="00BF6542">
        <w:rPr>
          <w:rFonts w:cs="Arial"/>
          <w:sz w:val="20"/>
          <w:szCs w:val="20"/>
        </w:rPr>
        <w:t> [3rd edition] Oxford: Clarendon Press.</w:t>
      </w:r>
    </w:p>
    <w:p w14:paraId="0CEDDA09" w14:textId="77777777" w:rsidR="00A25DE7" w:rsidRPr="00BF6542" w:rsidRDefault="00A25DE7" w:rsidP="00D22DDA">
      <w:pPr>
        <w:rPr>
          <w:rFonts w:cs="Arial"/>
          <w:sz w:val="20"/>
          <w:szCs w:val="20"/>
        </w:rPr>
      </w:pPr>
      <w:r w:rsidRPr="00BF6542">
        <w:rPr>
          <w:rFonts w:cs="Arial"/>
          <w:sz w:val="20"/>
          <w:szCs w:val="20"/>
        </w:rPr>
        <w:t xml:space="preserve">Nagy, G. (2004) </w:t>
      </w:r>
      <w:r w:rsidRPr="00BF6542">
        <w:rPr>
          <w:rFonts w:cs="Arial"/>
          <w:i/>
          <w:sz w:val="20"/>
          <w:szCs w:val="20"/>
        </w:rPr>
        <w:t>Homer’s Text and Language</w:t>
      </w:r>
      <w:r w:rsidRPr="00BF6542">
        <w:rPr>
          <w:rFonts w:cs="Arial"/>
          <w:sz w:val="20"/>
          <w:szCs w:val="20"/>
        </w:rPr>
        <w:t xml:space="preserve"> Chicago: University of Illinois Press.</w:t>
      </w:r>
    </w:p>
    <w:p w14:paraId="1BD24651" w14:textId="77777777" w:rsidR="00A25DE7" w:rsidRPr="00BF6542" w:rsidRDefault="00A25DE7" w:rsidP="00D22DDA">
      <w:pPr>
        <w:rPr>
          <w:rFonts w:cs="Arial"/>
          <w:sz w:val="20"/>
          <w:szCs w:val="20"/>
        </w:rPr>
      </w:pPr>
      <w:r w:rsidRPr="00BF6542">
        <w:rPr>
          <w:rFonts w:cs="Arial"/>
          <w:sz w:val="20"/>
          <w:szCs w:val="20"/>
        </w:rPr>
        <w:t xml:space="preserve">Nagy, G. (2013) </w:t>
      </w:r>
      <w:r w:rsidRPr="00BF6542">
        <w:rPr>
          <w:rFonts w:cs="Arial"/>
          <w:i/>
          <w:sz w:val="20"/>
          <w:szCs w:val="20"/>
        </w:rPr>
        <w:t>The Ancient Greek Hero in 24 Hours</w:t>
      </w:r>
      <w:r w:rsidRPr="00BF6542">
        <w:rPr>
          <w:rFonts w:cs="Arial"/>
          <w:sz w:val="20"/>
          <w:szCs w:val="20"/>
        </w:rPr>
        <w:t xml:space="preserve"> Cambridge, MA: Harvard University Press.</w:t>
      </w:r>
    </w:p>
    <w:p w14:paraId="6CE049FF" w14:textId="77777777" w:rsidR="00A25DE7" w:rsidRPr="00BF6542" w:rsidRDefault="00A25DE7" w:rsidP="00D22DDA">
      <w:pPr>
        <w:rPr>
          <w:rFonts w:cs="Arial"/>
          <w:sz w:val="20"/>
          <w:szCs w:val="20"/>
        </w:rPr>
      </w:pPr>
      <w:r w:rsidRPr="00BF6542">
        <w:rPr>
          <w:rFonts w:cs="Arial"/>
          <w:sz w:val="20"/>
          <w:szCs w:val="20"/>
        </w:rPr>
        <w:t xml:space="preserve">Nagy, G. ‘Hour 9: Text A: The Meaning of </w:t>
      </w:r>
      <w:r w:rsidRPr="00BF6542">
        <w:rPr>
          <w:rFonts w:cs="Arial"/>
          <w:i/>
          <w:sz w:val="20"/>
          <w:szCs w:val="20"/>
        </w:rPr>
        <w:t>nostos</w:t>
      </w:r>
      <w:r w:rsidRPr="00BF6542">
        <w:rPr>
          <w:rFonts w:cs="Arial"/>
          <w:sz w:val="20"/>
          <w:szCs w:val="20"/>
        </w:rPr>
        <w:t xml:space="preserve">’, from, </w:t>
      </w:r>
      <w:r w:rsidRPr="00BF6542">
        <w:rPr>
          <w:rFonts w:cs="Arial"/>
          <w:i/>
          <w:sz w:val="20"/>
          <w:szCs w:val="20"/>
        </w:rPr>
        <w:t>The Ancient Greek Hero in 24 Hours</w:t>
      </w:r>
      <w:r w:rsidRPr="00BF6542">
        <w:rPr>
          <w:rFonts w:cs="Arial"/>
          <w:sz w:val="20"/>
          <w:szCs w:val="20"/>
        </w:rPr>
        <w:t xml:space="preserve"> MOOC: Harvard University [accessed: 17-09-2014].</w:t>
      </w:r>
    </w:p>
    <w:p w14:paraId="73839ACB" w14:textId="77777777" w:rsidR="00A25DE7" w:rsidRDefault="00A25DE7" w:rsidP="00D22DDA">
      <w:pPr>
        <w:rPr>
          <w:rFonts w:cs="Arial"/>
          <w:sz w:val="20"/>
          <w:szCs w:val="20"/>
        </w:rPr>
      </w:pPr>
      <w:r w:rsidRPr="00BF6542">
        <w:rPr>
          <w:rFonts w:cs="Arial"/>
          <w:sz w:val="20"/>
          <w:szCs w:val="20"/>
        </w:rPr>
        <w:t xml:space="preserve">Nagy, G. ‘Hour 10: The mind of Odysseus in the Homeric </w:t>
      </w:r>
      <w:r w:rsidRPr="00BF6542">
        <w:rPr>
          <w:rFonts w:cs="Arial"/>
          <w:i/>
          <w:sz w:val="20"/>
          <w:szCs w:val="20"/>
        </w:rPr>
        <w:t>Odyssey</w:t>
      </w:r>
      <w:r w:rsidRPr="00BF6542">
        <w:rPr>
          <w:rFonts w:cs="Arial"/>
          <w:sz w:val="20"/>
          <w:szCs w:val="20"/>
        </w:rPr>
        <w:t xml:space="preserve">’, from, </w:t>
      </w:r>
      <w:r w:rsidRPr="00BF6542">
        <w:rPr>
          <w:rFonts w:cs="Arial"/>
          <w:i/>
          <w:sz w:val="20"/>
          <w:szCs w:val="20"/>
        </w:rPr>
        <w:t>The Ancient Greek Hero in 24 Hours</w:t>
      </w:r>
      <w:r w:rsidRPr="00BF6542">
        <w:rPr>
          <w:rFonts w:cs="Arial"/>
          <w:sz w:val="20"/>
          <w:szCs w:val="20"/>
        </w:rPr>
        <w:t xml:space="preserve"> MOOC: Harvard University [accessed: 17-09-2014].</w:t>
      </w:r>
    </w:p>
    <w:p w14:paraId="1AD651F6" w14:textId="77777777" w:rsidR="00A25DE7" w:rsidRPr="00BF6542" w:rsidRDefault="00A25DE7" w:rsidP="00D22DDA">
      <w:pPr>
        <w:rPr>
          <w:rFonts w:cs="Arial"/>
          <w:sz w:val="20"/>
          <w:szCs w:val="20"/>
        </w:rPr>
      </w:pPr>
      <w:r w:rsidRPr="00C112F6">
        <w:rPr>
          <w:rFonts w:cs="Arial"/>
          <w:sz w:val="20"/>
          <w:szCs w:val="20"/>
        </w:rPr>
        <w:t xml:space="preserve">Parpolo, S. (1997) </w:t>
      </w:r>
      <w:r w:rsidRPr="00C112F6">
        <w:rPr>
          <w:rFonts w:cs="Arial"/>
          <w:i/>
          <w:sz w:val="20"/>
          <w:szCs w:val="20"/>
        </w:rPr>
        <w:t>Assyrian Prophecies</w:t>
      </w:r>
      <w:r w:rsidRPr="00C112F6">
        <w:rPr>
          <w:rFonts w:cs="Arial"/>
          <w:sz w:val="20"/>
          <w:szCs w:val="20"/>
        </w:rPr>
        <w:t xml:space="preserve"> Helsinki: Helsinki University</w:t>
      </w:r>
      <w:r>
        <w:rPr>
          <w:rFonts w:cs="Arial"/>
          <w:sz w:val="20"/>
          <w:szCs w:val="20"/>
        </w:rPr>
        <w:t>.</w:t>
      </w:r>
    </w:p>
    <w:p w14:paraId="2B1319B8" w14:textId="77777777" w:rsidR="00A25DE7" w:rsidRPr="00BF6542" w:rsidRDefault="00A25DE7" w:rsidP="00D22DDA">
      <w:pPr>
        <w:rPr>
          <w:rFonts w:cs="Arial"/>
          <w:sz w:val="20"/>
          <w:szCs w:val="20"/>
          <w:shd w:val="clear" w:color="auto" w:fill="FFFFFF"/>
        </w:rPr>
      </w:pPr>
      <w:r w:rsidRPr="00BF6542">
        <w:rPr>
          <w:rFonts w:cs="Arial"/>
          <w:sz w:val="20"/>
          <w:szCs w:val="20"/>
        </w:rPr>
        <w:lastRenderedPageBreak/>
        <w:t xml:space="preserve">Penglase, C. (1994) </w:t>
      </w:r>
      <w:r w:rsidRPr="00BF6542">
        <w:rPr>
          <w:rFonts w:cs="Arial"/>
          <w:i/>
          <w:sz w:val="20"/>
          <w:szCs w:val="20"/>
        </w:rPr>
        <w:t>Greek Myths and Mesopotamia: Parallels and Influence in the Homeric Hymns and Hesiod</w:t>
      </w:r>
      <w:r w:rsidRPr="00BF6542">
        <w:rPr>
          <w:rFonts w:cs="Arial"/>
          <w:sz w:val="20"/>
          <w:szCs w:val="20"/>
        </w:rPr>
        <w:t xml:space="preserve"> London: Routledge.</w:t>
      </w:r>
    </w:p>
    <w:p w14:paraId="16CE6909" w14:textId="77777777" w:rsidR="00A25DE7" w:rsidRPr="00BF6542" w:rsidRDefault="00A25DE7" w:rsidP="00D22DDA">
      <w:pPr>
        <w:rPr>
          <w:rFonts w:cs="Arial"/>
          <w:sz w:val="20"/>
          <w:szCs w:val="20"/>
        </w:rPr>
      </w:pPr>
      <w:r w:rsidRPr="00BF6542">
        <w:rPr>
          <w:rFonts w:cs="Arial"/>
          <w:sz w:val="20"/>
          <w:szCs w:val="20"/>
        </w:rPr>
        <w:t xml:space="preserve">Powell, B. (2000) ‘Review: M. L. West, The East Face of Helicon, West Asiatic Elements in Greek Poetry (1997)’, in, </w:t>
      </w:r>
      <w:r w:rsidRPr="00BF6542">
        <w:rPr>
          <w:rFonts w:cs="Arial"/>
          <w:i/>
          <w:sz w:val="20"/>
          <w:szCs w:val="20"/>
        </w:rPr>
        <w:t xml:space="preserve">Bryn Mawr Classical Review </w:t>
      </w:r>
      <w:r w:rsidRPr="00BF6542">
        <w:rPr>
          <w:rFonts w:cs="Arial"/>
          <w:sz w:val="20"/>
          <w:szCs w:val="20"/>
        </w:rPr>
        <w:t>2000.05.08.</w:t>
      </w:r>
    </w:p>
    <w:p w14:paraId="07A032CC" w14:textId="77777777" w:rsidR="00A25DE7" w:rsidRPr="00BF6542" w:rsidRDefault="00A25DE7" w:rsidP="00D22DDA">
      <w:pPr>
        <w:rPr>
          <w:rFonts w:cs="Arial"/>
          <w:i/>
          <w:sz w:val="20"/>
          <w:szCs w:val="20"/>
        </w:rPr>
      </w:pPr>
      <w:r w:rsidRPr="00BF6542">
        <w:rPr>
          <w:rFonts w:cs="Arial"/>
          <w:sz w:val="20"/>
          <w:szCs w:val="20"/>
          <w:shd w:val="clear" w:color="auto" w:fill="FFFFFF"/>
        </w:rPr>
        <w:t>Preisendanz, K.</w:t>
      </w:r>
      <w:r w:rsidRPr="00BF6542">
        <w:rPr>
          <w:rFonts w:cs="Arial"/>
          <w:i/>
          <w:sz w:val="20"/>
          <w:szCs w:val="20"/>
          <w:shd w:val="clear" w:color="auto" w:fill="FFFFFF"/>
        </w:rPr>
        <w:t xml:space="preserve">et. al. </w:t>
      </w:r>
      <w:r w:rsidRPr="00BF6542">
        <w:rPr>
          <w:rFonts w:cs="Arial"/>
          <w:sz w:val="20"/>
          <w:szCs w:val="20"/>
          <w:shd w:val="clear" w:color="auto" w:fill="FFFFFF"/>
        </w:rPr>
        <w:t>(1973-4) (eds.)</w:t>
      </w:r>
      <w:r w:rsidRPr="00BF6542">
        <w:rPr>
          <w:rFonts w:cs="Arial"/>
          <w:i/>
          <w:sz w:val="20"/>
          <w:szCs w:val="20"/>
          <w:shd w:val="clear" w:color="auto" w:fill="FFFFFF"/>
        </w:rPr>
        <w:t>, Papyri GraecaeMagicae: Die griechischen</w:t>
      </w:r>
      <w:r w:rsidRPr="00BF6542">
        <w:rPr>
          <w:rFonts w:cs="Arial"/>
          <w:i/>
          <w:sz w:val="20"/>
          <w:szCs w:val="20"/>
        </w:rPr>
        <w:t>Zauberpapyri</w:t>
      </w:r>
      <w:r w:rsidRPr="00BF6542">
        <w:rPr>
          <w:rFonts w:cs="Arial"/>
          <w:sz w:val="20"/>
          <w:szCs w:val="20"/>
          <w:shd w:val="clear" w:color="auto" w:fill="FFFFFF"/>
        </w:rPr>
        <w:t>2 vols. 2nd ed</w:t>
      </w:r>
      <w:r w:rsidRPr="00BF6542">
        <w:rPr>
          <w:rFonts w:cs="Arial"/>
          <w:i/>
          <w:sz w:val="20"/>
          <w:szCs w:val="20"/>
          <w:shd w:val="clear" w:color="auto" w:fill="FFFFFF"/>
        </w:rPr>
        <w:t>.</w:t>
      </w:r>
      <w:r w:rsidRPr="00BF6542">
        <w:rPr>
          <w:rFonts w:cs="Arial"/>
          <w:sz w:val="20"/>
          <w:szCs w:val="20"/>
          <w:shd w:val="clear" w:color="auto" w:fill="FFFFFF"/>
        </w:rPr>
        <w:t xml:space="preserve"> Stuttgart: Teubner.</w:t>
      </w:r>
    </w:p>
    <w:p w14:paraId="27C97C40" w14:textId="77777777" w:rsidR="00A25DE7" w:rsidRPr="00BF6542" w:rsidRDefault="00A25DE7" w:rsidP="00D22DDA">
      <w:pPr>
        <w:rPr>
          <w:rFonts w:cs="Arial"/>
          <w:sz w:val="20"/>
          <w:szCs w:val="20"/>
        </w:rPr>
      </w:pPr>
      <w:r w:rsidRPr="00BF6542">
        <w:rPr>
          <w:rFonts w:cs="Arial"/>
          <w:sz w:val="20"/>
          <w:szCs w:val="20"/>
        </w:rPr>
        <w:t xml:space="preserve">Pritchard, J. B. (1969) (ed.) </w:t>
      </w:r>
      <w:r w:rsidRPr="00BF6542">
        <w:rPr>
          <w:rFonts w:cs="Arial"/>
          <w:i/>
          <w:sz w:val="20"/>
          <w:szCs w:val="20"/>
        </w:rPr>
        <w:t xml:space="preserve">Ancient Near Eastern Texts Relating to the Old Testament, </w:t>
      </w:r>
      <w:r w:rsidRPr="00BF6542">
        <w:rPr>
          <w:rFonts w:cs="Arial"/>
          <w:sz w:val="20"/>
          <w:szCs w:val="20"/>
        </w:rPr>
        <w:t>3</w:t>
      </w:r>
      <w:r w:rsidRPr="00BF6542">
        <w:rPr>
          <w:rFonts w:cs="Arial"/>
          <w:sz w:val="20"/>
          <w:szCs w:val="20"/>
          <w:vertAlign w:val="superscript"/>
        </w:rPr>
        <w:t>rd</w:t>
      </w:r>
      <w:r w:rsidRPr="00BF6542">
        <w:rPr>
          <w:rFonts w:cs="Arial"/>
          <w:sz w:val="20"/>
          <w:szCs w:val="20"/>
        </w:rPr>
        <w:t xml:space="preserve"> Edition, Princeton: Princeton University Press.</w:t>
      </w:r>
    </w:p>
    <w:p w14:paraId="77B0694E" w14:textId="77777777" w:rsidR="00A25DE7" w:rsidRPr="00BF6542" w:rsidRDefault="00A25DE7" w:rsidP="00B97BE5">
      <w:pPr>
        <w:rPr>
          <w:rStyle w:val="Hyperlink"/>
          <w:rFonts w:cs="Arial"/>
          <w:sz w:val="20"/>
          <w:szCs w:val="20"/>
        </w:rPr>
      </w:pPr>
      <w:r w:rsidRPr="00BF6542">
        <w:rPr>
          <w:rFonts w:cs="Arial"/>
          <w:sz w:val="20"/>
          <w:szCs w:val="20"/>
        </w:rPr>
        <w:t xml:space="preserve">Louise Pryke: ‘Dr Pryke considers Taurus and the Bull of Heaven in Mesopotamian Myth and Astronomy’ &lt;accessed: 04/06/2015&gt;: </w:t>
      </w:r>
      <w:hyperlink r:id="rId20" w:history="1">
        <w:r w:rsidRPr="00BF6542">
          <w:rPr>
            <w:rStyle w:val="Hyperlink"/>
            <w:rFonts w:cs="Arial"/>
            <w:sz w:val="20"/>
            <w:szCs w:val="20"/>
          </w:rPr>
          <w:t>http://www.sydneyobservatory.com.au/2014/dr-pryke-considers-taurus-and-the-bull-of-heaven-in-mesopotamian-myth-and-astronomy/</w:t>
        </w:r>
      </w:hyperlink>
    </w:p>
    <w:p w14:paraId="45C4CF2B" w14:textId="77777777" w:rsidR="00A25DE7" w:rsidRPr="00BF6542" w:rsidRDefault="00A25DE7" w:rsidP="00B97BE5">
      <w:pPr>
        <w:rPr>
          <w:rFonts w:cs="Arial"/>
          <w:sz w:val="20"/>
          <w:szCs w:val="20"/>
        </w:rPr>
      </w:pPr>
      <w:r w:rsidRPr="00BF6542">
        <w:rPr>
          <w:rFonts w:cs="Arial"/>
          <w:sz w:val="20"/>
          <w:szCs w:val="20"/>
        </w:rPr>
        <w:t>Pryke, L. (</w:t>
      </w:r>
      <w:r w:rsidRPr="00BF6542">
        <w:rPr>
          <w:rFonts w:cs="Arial"/>
          <w:i/>
          <w:sz w:val="20"/>
          <w:szCs w:val="20"/>
        </w:rPr>
        <w:t>forthcoming</w:t>
      </w:r>
      <w:r w:rsidRPr="00BF6542">
        <w:rPr>
          <w:rFonts w:cs="Arial"/>
          <w:sz w:val="20"/>
          <w:szCs w:val="20"/>
        </w:rPr>
        <w:t xml:space="preserve">) </w:t>
      </w:r>
      <w:r w:rsidRPr="00BF6542">
        <w:rPr>
          <w:rFonts w:cs="Arial"/>
          <w:i/>
          <w:sz w:val="20"/>
          <w:szCs w:val="20"/>
        </w:rPr>
        <w:t xml:space="preserve">Ishtar: Gods and Heroes of the Ancient World </w:t>
      </w:r>
      <w:r w:rsidRPr="00BF6542">
        <w:rPr>
          <w:rFonts w:cs="Arial"/>
          <w:sz w:val="20"/>
          <w:szCs w:val="20"/>
        </w:rPr>
        <w:t>London: Routledge.</w:t>
      </w:r>
    </w:p>
    <w:p w14:paraId="2A4C8BF3" w14:textId="77777777" w:rsidR="00A25DE7" w:rsidRPr="00BF6542" w:rsidRDefault="00A25DE7" w:rsidP="00B97BE5">
      <w:pPr>
        <w:rPr>
          <w:rFonts w:cs="Arial"/>
          <w:color w:val="252525"/>
          <w:sz w:val="20"/>
          <w:szCs w:val="20"/>
          <w:shd w:val="clear" w:color="auto" w:fill="FFFFFF"/>
        </w:rPr>
      </w:pPr>
      <w:r w:rsidRPr="00BF6542">
        <w:rPr>
          <w:rFonts w:cs="Arial"/>
          <w:sz w:val="20"/>
          <w:szCs w:val="20"/>
        </w:rPr>
        <w:t xml:space="preserve">Radau, H. (1911) </w:t>
      </w:r>
      <w:r w:rsidRPr="00BF6542">
        <w:rPr>
          <w:rFonts w:cs="Arial"/>
          <w:i/>
          <w:sz w:val="20"/>
          <w:szCs w:val="20"/>
        </w:rPr>
        <w:t>Sumerian Hymns and Prayers to God Nin-Ib from the Temple Library of Nippur</w:t>
      </w:r>
      <w:r w:rsidRPr="00BF6542">
        <w:rPr>
          <w:rFonts w:cs="Arial"/>
          <w:sz w:val="20"/>
          <w:szCs w:val="20"/>
        </w:rPr>
        <w:t xml:space="preserve"> Philadelphia: University of Pennsylvania.</w:t>
      </w:r>
    </w:p>
    <w:p w14:paraId="55A1AF42" w14:textId="77777777" w:rsidR="00A25DE7" w:rsidRPr="00BF6542" w:rsidRDefault="00A25DE7" w:rsidP="00B97BE5">
      <w:pPr>
        <w:rPr>
          <w:rFonts w:cs="Arial"/>
          <w:sz w:val="20"/>
          <w:szCs w:val="20"/>
        </w:rPr>
      </w:pPr>
      <w:r w:rsidRPr="00BF6542">
        <w:rPr>
          <w:rFonts w:cs="Arial"/>
          <w:sz w:val="20"/>
          <w:szCs w:val="20"/>
        </w:rPr>
        <w:t xml:space="preserve">Reiner, E. (1995) ‘Astral Magic in Babylonia’, in, </w:t>
      </w:r>
      <w:r w:rsidRPr="00BF6542">
        <w:rPr>
          <w:rFonts w:cs="Arial"/>
          <w:i/>
          <w:sz w:val="20"/>
          <w:szCs w:val="20"/>
        </w:rPr>
        <w:t>Transactions of the American Philosophical Society</w:t>
      </w:r>
      <w:r w:rsidRPr="00BF6542">
        <w:rPr>
          <w:rFonts w:cs="Arial"/>
          <w:sz w:val="20"/>
          <w:szCs w:val="20"/>
        </w:rPr>
        <w:t xml:space="preserve"> New Series Vol. 85, No. 4.</w:t>
      </w:r>
    </w:p>
    <w:p w14:paraId="36CD69D8" w14:textId="77777777" w:rsidR="00A25DE7" w:rsidRPr="00BF6542" w:rsidRDefault="00A25DE7" w:rsidP="00B97BE5">
      <w:pPr>
        <w:rPr>
          <w:rFonts w:cs="Arial"/>
          <w:sz w:val="20"/>
          <w:szCs w:val="20"/>
        </w:rPr>
      </w:pPr>
      <w:r w:rsidRPr="00BF6542">
        <w:rPr>
          <w:rFonts w:cs="Arial"/>
          <w:sz w:val="20"/>
          <w:szCs w:val="20"/>
        </w:rPr>
        <w:t xml:space="preserve">Rochberg, F. (2007) </w:t>
      </w:r>
      <w:r w:rsidRPr="00BF6542">
        <w:rPr>
          <w:rFonts w:cs="Arial"/>
          <w:i/>
          <w:sz w:val="20"/>
          <w:szCs w:val="20"/>
        </w:rPr>
        <w:t>The Heavenly Writing: Divination, Horoscopy, and Astronomy in Mesopotamian Culture</w:t>
      </w:r>
      <w:r w:rsidRPr="00BF6542">
        <w:rPr>
          <w:rFonts w:cs="Arial"/>
          <w:sz w:val="20"/>
          <w:szCs w:val="20"/>
        </w:rPr>
        <w:t>, Cambridge: Cambridge University Press.</w:t>
      </w:r>
    </w:p>
    <w:p w14:paraId="01624868" w14:textId="77777777" w:rsidR="00A25DE7" w:rsidRPr="00BF6542" w:rsidRDefault="00A25DE7" w:rsidP="00B97BE5">
      <w:pPr>
        <w:rPr>
          <w:rFonts w:cs="Arial"/>
          <w:sz w:val="20"/>
          <w:szCs w:val="20"/>
        </w:rPr>
      </w:pPr>
      <w:r w:rsidRPr="00BF6542">
        <w:rPr>
          <w:rFonts w:cs="Arial"/>
          <w:sz w:val="20"/>
          <w:szCs w:val="20"/>
        </w:rPr>
        <w:t xml:space="preserve">Rochberg, F. (2010) </w:t>
      </w:r>
      <w:r w:rsidRPr="00BF6542">
        <w:rPr>
          <w:rFonts w:cs="Arial"/>
          <w:i/>
          <w:sz w:val="20"/>
          <w:szCs w:val="20"/>
        </w:rPr>
        <w:t>In the Path of the Moon: Babylonian Celestial Divination and Its Legacy</w:t>
      </w:r>
      <w:r w:rsidRPr="00BF6542">
        <w:rPr>
          <w:rFonts w:cs="Arial"/>
          <w:sz w:val="20"/>
          <w:szCs w:val="20"/>
        </w:rPr>
        <w:t xml:space="preserve"> London: Brill.</w:t>
      </w:r>
    </w:p>
    <w:p w14:paraId="32807574" w14:textId="77777777" w:rsidR="00A25DE7" w:rsidRPr="00BF6542" w:rsidRDefault="00A25DE7" w:rsidP="006D07B6">
      <w:pPr>
        <w:rPr>
          <w:rFonts w:cs="Arial"/>
          <w:sz w:val="20"/>
          <w:szCs w:val="20"/>
        </w:rPr>
      </w:pPr>
      <w:r w:rsidRPr="00BF6542">
        <w:rPr>
          <w:rFonts w:cs="Arial"/>
          <w:sz w:val="20"/>
          <w:szCs w:val="20"/>
        </w:rPr>
        <w:t xml:space="preserve">Rogers, J. H. (1998) ‘Origins of the ancient constellations: I. The Mesopotamian traditions’, in, </w:t>
      </w:r>
      <w:r w:rsidRPr="00BF6542">
        <w:rPr>
          <w:rFonts w:cs="Arial"/>
          <w:i/>
          <w:iCs/>
          <w:sz w:val="20"/>
          <w:szCs w:val="20"/>
        </w:rPr>
        <w:t>Journal of the British Astronomical Association</w:t>
      </w:r>
      <w:r w:rsidRPr="00BF6542">
        <w:rPr>
          <w:rFonts w:cs="Arial"/>
          <w:sz w:val="20"/>
          <w:szCs w:val="20"/>
        </w:rPr>
        <w:t> </w:t>
      </w:r>
      <w:r w:rsidRPr="00BF6542">
        <w:rPr>
          <w:rFonts w:cs="Arial"/>
          <w:bCs/>
          <w:sz w:val="20"/>
          <w:szCs w:val="20"/>
        </w:rPr>
        <w:t>108</w:t>
      </w:r>
      <w:r w:rsidRPr="00BF6542">
        <w:rPr>
          <w:rFonts w:cs="Arial"/>
          <w:sz w:val="20"/>
          <w:szCs w:val="20"/>
        </w:rPr>
        <w:t>: 9–28.</w:t>
      </w:r>
    </w:p>
    <w:p w14:paraId="0526BB69" w14:textId="77777777" w:rsidR="00A25DE7" w:rsidRPr="00BF6542" w:rsidRDefault="00A25DE7" w:rsidP="00B97BE5">
      <w:pPr>
        <w:rPr>
          <w:rFonts w:cs="Arial"/>
          <w:sz w:val="20"/>
          <w:szCs w:val="20"/>
        </w:rPr>
      </w:pPr>
      <w:r w:rsidRPr="00BF6542">
        <w:rPr>
          <w:rFonts w:cs="Arial"/>
          <w:sz w:val="20"/>
          <w:szCs w:val="20"/>
        </w:rPr>
        <w:t xml:space="preserve">Sachs, A. J. (1950) ‘A Classification of the Babylonian Astronomical Tablets of the Seleucid Period’, in, </w:t>
      </w:r>
      <w:r w:rsidRPr="00BF6542">
        <w:rPr>
          <w:rFonts w:cs="Arial"/>
          <w:i/>
          <w:sz w:val="20"/>
          <w:szCs w:val="20"/>
        </w:rPr>
        <w:t>JCS</w:t>
      </w:r>
      <w:r w:rsidRPr="00BF6542">
        <w:rPr>
          <w:rFonts w:cs="Arial"/>
          <w:sz w:val="20"/>
          <w:szCs w:val="20"/>
        </w:rPr>
        <w:t xml:space="preserve"> 2: 277-286.</w:t>
      </w:r>
    </w:p>
    <w:p w14:paraId="39F06913" w14:textId="77777777" w:rsidR="00A25DE7" w:rsidRPr="00BF6542" w:rsidRDefault="00A25DE7" w:rsidP="00B97BE5">
      <w:pPr>
        <w:rPr>
          <w:rFonts w:cs="Arial"/>
          <w:sz w:val="20"/>
          <w:szCs w:val="20"/>
          <w:shd w:val="clear" w:color="auto" w:fill="FFFFFF"/>
        </w:rPr>
      </w:pPr>
      <w:r w:rsidRPr="00BF6542">
        <w:rPr>
          <w:rFonts w:cs="Arial"/>
          <w:color w:val="252525"/>
          <w:sz w:val="20"/>
          <w:szCs w:val="20"/>
          <w:shd w:val="clear" w:color="auto" w:fill="FFFFFF"/>
        </w:rPr>
        <w:t>Sagona, A., and Zimansky, P. (2009) </w:t>
      </w:r>
      <w:r w:rsidRPr="00BF6542">
        <w:rPr>
          <w:rFonts w:cs="Arial"/>
          <w:i/>
          <w:iCs/>
          <w:color w:val="252525"/>
          <w:sz w:val="20"/>
          <w:szCs w:val="20"/>
          <w:shd w:val="clear" w:color="auto" w:fill="FFFFFF"/>
        </w:rPr>
        <w:t>Ancient Turkey</w:t>
      </w:r>
      <w:r w:rsidRPr="00BF6542">
        <w:rPr>
          <w:rFonts w:cs="Arial"/>
          <w:color w:val="252525"/>
          <w:sz w:val="20"/>
          <w:szCs w:val="20"/>
          <w:shd w:val="clear" w:color="auto" w:fill="FFFFFF"/>
        </w:rPr>
        <w:t xml:space="preserve"> London: Routledge.</w:t>
      </w:r>
    </w:p>
    <w:p w14:paraId="56FBC964" w14:textId="77777777" w:rsidR="00A25DE7" w:rsidRPr="00BF6542" w:rsidRDefault="00A25DE7" w:rsidP="00B97BE5">
      <w:pPr>
        <w:rPr>
          <w:rFonts w:cs="Arial"/>
          <w:sz w:val="20"/>
          <w:szCs w:val="20"/>
          <w:shd w:val="clear" w:color="auto" w:fill="FFFFFF"/>
        </w:rPr>
      </w:pPr>
      <w:r w:rsidRPr="00BF6542">
        <w:rPr>
          <w:rFonts w:cs="Arial"/>
          <w:sz w:val="20"/>
          <w:szCs w:val="20"/>
        </w:rPr>
        <w:t xml:space="preserve">Sandars, N. K. (1960) </w:t>
      </w:r>
      <w:r w:rsidRPr="00BF6542">
        <w:rPr>
          <w:rFonts w:cs="Arial"/>
          <w:i/>
          <w:sz w:val="20"/>
          <w:szCs w:val="20"/>
        </w:rPr>
        <w:t>The Epic of Gilgamesh</w:t>
      </w:r>
      <w:r w:rsidRPr="00BF6542">
        <w:rPr>
          <w:rFonts w:cs="Arial"/>
          <w:sz w:val="20"/>
          <w:szCs w:val="20"/>
        </w:rPr>
        <w:t xml:space="preserve"> Baltimore: Penguin.</w:t>
      </w:r>
    </w:p>
    <w:p w14:paraId="1469EE6D" w14:textId="77777777" w:rsidR="00A25DE7" w:rsidRPr="00BF6542" w:rsidRDefault="00A25DE7" w:rsidP="00B97BE5">
      <w:pPr>
        <w:rPr>
          <w:rFonts w:cs="Arial"/>
          <w:sz w:val="20"/>
          <w:szCs w:val="20"/>
        </w:rPr>
      </w:pPr>
      <w:r w:rsidRPr="00BF6542">
        <w:rPr>
          <w:rFonts w:cs="Arial"/>
          <w:sz w:val="20"/>
          <w:szCs w:val="20"/>
        </w:rPr>
        <w:t xml:space="preserve">Scott, J. A. (1917) ‘Odysseus as a Sun-God’, in, </w:t>
      </w:r>
      <w:r w:rsidRPr="00BF6542">
        <w:rPr>
          <w:rFonts w:cs="Arial"/>
          <w:i/>
          <w:sz w:val="20"/>
          <w:szCs w:val="20"/>
        </w:rPr>
        <w:t xml:space="preserve">Classical Philology </w:t>
      </w:r>
      <w:r w:rsidRPr="00BF6542">
        <w:rPr>
          <w:rFonts w:cs="Arial"/>
          <w:sz w:val="20"/>
          <w:szCs w:val="20"/>
        </w:rPr>
        <w:t>Vol.12, No.3: 250-251.</w:t>
      </w:r>
    </w:p>
    <w:p w14:paraId="3EEC910E" w14:textId="77777777" w:rsidR="00A25DE7" w:rsidRPr="00BF6542" w:rsidRDefault="00A25DE7" w:rsidP="00B97BE5">
      <w:pPr>
        <w:rPr>
          <w:rFonts w:cs="Arial"/>
          <w:sz w:val="20"/>
          <w:szCs w:val="20"/>
        </w:rPr>
      </w:pPr>
      <w:r w:rsidRPr="00BF6542">
        <w:rPr>
          <w:rFonts w:cs="Arial"/>
          <w:sz w:val="20"/>
          <w:szCs w:val="20"/>
        </w:rPr>
        <w:t xml:space="preserve">Shewan, A. (1928) ‘Two Ancient Eclipses’, in </w:t>
      </w:r>
      <w:r w:rsidRPr="00BF6542">
        <w:rPr>
          <w:rFonts w:cs="Arial"/>
          <w:i/>
          <w:sz w:val="20"/>
          <w:szCs w:val="20"/>
        </w:rPr>
        <w:t xml:space="preserve">CW </w:t>
      </w:r>
      <w:r w:rsidRPr="00BF6542">
        <w:rPr>
          <w:rFonts w:cs="Arial"/>
          <w:sz w:val="20"/>
          <w:szCs w:val="20"/>
        </w:rPr>
        <w:t>Vol.21: 196-198.</w:t>
      </w:r>
    </w:p>
    <w:p w14:paraId="1485AE8A" w14:textId="77777777" w:rsidR="00A25DE7" w:rsidRPr="00BF6542" w:rsidRDefault="00A25DE7" w:rsidP="00B97BE5">
      <w:pPr>
        <w:rPr>
          <w:rFonts w:cs="Arial"/>
          <w:sz w:val="20"/>
          <w:szCs w:val="20"/>
          <w:shd w:val="clear" w:color="auto" w:fill="FFFFFF"/>
        </w:rPr>
      </w:pPr>
      <w:r w:rsidRPr="00BF6542">
        <w:rPr>
          <w:rFonts w:cs="Arial"/>
          <w:sz w:val="20"/>
          <w:szCs w:val="20"/>
          <w:shd w:val="clear" w:color="auto" w:fill="FFFFFF"/>
        </w:rPr>
        <w:t xml:space="preserve">Solmsen, F. (1989) ‘The Two Near Eastern sources of Hesiod’, in, </w:t>
      </w:r>
      <w:r w:rsidRPr="00BF6542">
        <w:rPr>
          <w:rFonts w:cs="Arial"/>
          <w:i/>
          <w:sz w:val="20"/>
          <w:szCs w:val="20"/>
          <w:shd w:val="clear" w:color="auto" w:fill="FFFFFF"/>
        </w:rPr>
        <w:t xml:space="preserve">Hermes </w:t>
      </w:r>
      <w:r w:rsidRPr="00BF6542">
        <w:rPr>
          <w:rFonts w:cs="Arial"/>
          <w:sz w:val="20"/>
          <w:szCs w:val="20"/>
          <w:shd w:val="clear" w:color="auto" w:fill="FFFFFF"/>
        </w:rPr>
        <w:t>117 Bd., H.4: 413-422.</w:t>
      </w:r>
    </w:p>
    <w:p w14:paraId="67859F8D" w14:textId="77777777" w:rsidR="00A25DE7" w:rsidRPr="00BF6542" w:rsidRDefault="00A25DE7" w:rsidP="00B97BE5">
      <w:pPr>
        <w:rPr>
          <w:rFonts w:cs="Arial"/>
          <w:sz w:val="20"/>
          <w:szCs w:val="20"/>
        </w:rPr>
      </w:pPr>
      <w:r w:rsidRPr="00BF6542">
        <w:rPr>
          <w:rFonts w:cs="Arial"/>
          <w:sz w:val="20"/>
          <w:szCs w:val="20"/>
        </w:rPr>
        <w:t xml:space="preserve">Stanford, W. B. (1962) </w:t>
      </w:r>
      <w:r w:rsidRPr="00BF6542">
        <w:rPr>
          <w:rFonts w:cs="Arial"/>
          <w:i/>
          <w:sz w:val="20"/>
          <w:szCs w:val="20"/>
        </w:rPr>
        <w:t xml:space="preserve">The Odyssey of Homer </w:t>
      </w:r>
      <w:r w:rsidRPr="00BF6542">
        <w:rPr>
          <w:rFonts w:cs="Arial"/>
          <w:sz w:val="20"/>
          <w:szCs w:val="20"/>
        </w:rPr>
        <w:t>Vol. II London: St. Martin’s Press.</w:t>
      </w:r>
    </w:p>
    <w:p w14:paraId="0C46BFA3" w14:textId="77777777" w:rsidR="00A25DE7" w:rsidRPr="00BF6542" w:rsidRDefault="00A25DE7" w:rsidP="00B97BE5">
      <w:pPr>
        <w:rPr>
          <w:rFonts w:cs="Arial"/>
          <w:sz w:val="20"/>
          <w:szCs w:val="20"/>
        </w:rPr>
      </w:pPr>
      <w:r w:rsidRPr="00BF6542">
        <w:rPr>
          <w:rFonts w:cs="Arial"/>
          <w:sz w:val="20"/>
          <w:szCs w:val="20"/>
        </w:rPr>
        <w:t>Stella, L. A. (1955)</w:t>
      </w:r>
      <w:r w:rsidRPr="00BF6542">
        <w:rPr>
          <w:rFonts w:cs="Arial"/>
          <w:i/>
          <w:sz w:val="20"/>
          <w:szCs w:val="20"/>
        </w:rPr>
        <w:t>Ilpoema di Ulisse</w:t>
      </w:r>
      <w:r w:rsidRPr="00BF6542">
        <w:rPr>
          <w:rFonts w:cs="Arial"/>
          <w:sz w:val="20"/>
          <w:szCs w:val="20"/>
        </w:rPr>
        <w:t xml:space="preserve"> Florence: La Nuova Italia.</w:t>
      </w:r>
    </w:p>
    <w:p w14:paraId="11329AC6" w14:textId="77777777" w:rsidR="00A25DE7" w:rsidRPr="00BF6542" w:rsidRDefault="00A25DE7" w:rsidP="00B97BE5">
      <w:pPr>
        <w:rPr>
          <w:rFonts w:cs="Arial"/>
          <w:sz w:val="20"/>
          <w:szCs w:val="20"/>
        </w:rPr>
      </w:pPr>
      <w:r w:rsidRPr="00BF6542">
        <w:rPr>
          <w:rFonts w:cs="Arial"/>
          <w:sz w:val="20"/>
          <w:szCs w:val="20"/>
        </w:rPr>
        <w:t xml:space="preserve">Stern, S. (2012) </w:t>
      </w:r>
      <w:r w:rsidRPr="00BF6542">
        <w:rPr>
          <w:rFonts w:cs="Arial"/>
          <w:i/>
          <w:color w:val="000000"/>
          <w:sz w:val="20"/>
          <w:szCs w:val="20"/>
          <w:shd w:val="clear" w:color="auto" w:fill="FFFFFF"/>
        </w:rPr>
        <w:t>Calendars in Antiquity: Empires, States, and Societies</w:t>
      </w:r>
      <w:r w:rsidRPr="00BF6542">
        <w:rPr>
          <w:rFonts w:cs="Arial"/>
          <w:color w:val="000000"/>
          <w:sz w:val="20"/>
          <w:szCs w:val="20"/>
          <w:shd w:val="clear" w:color="auto" w:fill="FFFFFF"/>
        </w:rPr>
        <w:t xml:space="preserve"> Oxford: Oxford University Press.</w:t>
      </w:r>
    </w:p>
    <w:p w14:paraId="5D684724" w14:textId="77777777" w:rsidR="00A25DE7" w:rsidRPr="00BF6542" w:rsidRDefault="00A25DE7" w:rsidP="00B97BE5">
      <w:pPr>
        <w:rPr>
          <w:rFonts w:cs="Arial"/>
          <w:sz w:val="20"/>
          <w:szCs w:val="20"/>
        </w:rPr>
      </w:pPr>
      <w:r w:rsidRPr="00BF6542">
        <w:rPr>
          <w:rFonts w:cs="Arial"/>
          <w:sz w:val="20"/>
          <w:szCs w:val="20"/>
        </w:rPr>
        <w:t xml:space="preserve">Tallqvist, K. L. (1938) </w:t>
      </w:r>
      <w:r w:rsidRPr="00BF6542">
        <w:rPr>
          <w:rFonts w:cs="Arial"/>
          <w:i/>
          <w:sz w:val="20"/>
          <w:szCs w:val="20"/>
        </w:rPr>
        <w:t>AkkadischeGötterepitheta</w:t>
      </w:r>
      <w:r w:rsidRPr="00BF6542">
        <w:rPr>
          <w:rFonts w:cs="Arial"/>
          <w:sz w:val="20"/>
          <w:szCs w:val="20"/>
        </w:rPr>
        <w:t>Hildesheim: Olms.</w:t>
      </w:r>
    </w:p>
    <w:p w14:paraId="047E062D" w14:textId="77777777" w:rsidR="00A25DE7" w:rsidRPr="00BF6542" w:rsidRDefault="00A25DE7" w:rsidP="00B97BE5">
      <w:pPr>
        <w:rPr>
          <w:rFonts w:cs="Arial"/>
          <w:sz w:val="20"/>
          <w:szCs w:val="20"/>
          <w:shd w:val="clear" w:color="auto" w:fill="FFFFFF"/>
        </w:rPr>
      </w:pPr>
      <w:r w:rsidRPr="00BF6542">
        <w:rPr>
          <w:rFonts w:cs="Arial"/>
          <w:sz w:val="20"/>
          <w:szCs w:val="20"/>
        </w:rPr>
        <w:t xml:space="preserve">Tsetskhladze G.R. (2006) (ed.) </w:t>
      </w:r>
      <w:r w:rsidRPr="00BF6542">
        <w:rPr>
          <w:rFonts w:cs="Arial"/>
          <w:i/>
          <w:sz w:val="20"/>
          <w:szCs w:val="20"/>
        </w:rPr>
        <w:t>Greek Colonisation: An Account of Greek Colonies and Other Settlements Overseas</w:t>
      </w:r>
      <w:r w:rsidRPr="00BF6542">
        <w:rPr>
          <w:rFonts w:cs="Arial"/>
          <w:sz w:val="20"/>
          <w:szCs w:val="20"/>
        </w:rPr>
        <w:t xml:space="preserve"> Vol. 1 Leiden: Brill.</w:t>
      </w:r>
    </w:p>
    <w:p w14:paraId="71BF9482" w14:textId="77777777" w:rsidR="00A25DE7" w:rsidRPr="00BF6542" w:rsidRDefault="00A25DE7" w:rsidP="00B97BE5">
      <w:pPr>
        <w:rPr>
          <w:rFonts w:cs="Arial"/>
          <w:sz w:val="20"/>
          <w:szCs w:val="20"/>
        </w:rPr>
      </w:pPr>
      <w:r w:rsidRPr="00BF6542">
        <w:rPr>
          <w:rFonts w:cs="Arial"/>
          <w:sz w:val="20"/>
          <w:szCs w:val="20"/>
        </w:rPr>
        <w:lastRenderedPageBreak/>
        <w:t xml:space="preserve">Ungnad, A. (1923) </w:t>
      </w:r>
      <w:r w:rsidRPr="00BF6542">
        <w:rPr>
          <w:rFonts w:cs="Arial"/>
          <w:i/>
          <w:sz w:val="20"/>
          <w:szCs w:val="20"/>
        </w:rPr>
        <w:t>Gilgamesch-Epos und Odyssee, Kulturfragen</w:t>
      </w:r>
      <w:r w:rsidRPr="00BF6542">
        <w:rPr>
          <w:rFonts w:cs="Arial"/>
          <w:sz w:val="20"/>
          <w:szCs w:val="20"/>
        </w:rPr>
        <w:t>4/5Breslau: imSelbstverlag des Herausgebers.</w:t>
      </w:r>
    </w:p>
    <w:p w14:paraId="5DB126DA" w14:textId="77777777" w:rsidR="00A25DE7" w:rsidRPr="00BF6542" w:rsidRDefault="00A25DE7" w:rsidP="00B97BE5">
      <w:pPr>
        <w:rPr>
          <w:rFonts w:cs="Arial"/>
          <w:sz w:val="20"/>
          <w:szCs w:val="20"/>
        </w:rPr>
      </w:pPr>
      <w:r w:rsidRPr="00BF6542">
        <w:rPr>
          <w:rFonts w:cs="Arial"/>
          <w:sz w:val="20"/>
          <w:szCs w:val="20"/>
          <w:shd w:val="clear" w:color="auto" w:fill="FFFFFF"/>
        </w:rPr>
        <w:t>van de Mieroop, M.</w:t>
      </w:r>
      <w:r w:rsidRPr="00BF6542">
        <w:rPr>
          <w:rFonts w:cs="Arial"/>
          <w:color w:val="252525"/>
          <w:sz w:val="20"/>
          <w:szCs w:val="20"/>
          <w:shd w:val="clear" w:color="auto" w:fill="FFFFFF"/>
        </w:rPr>
        <w:t> (2007) </w:t>
      </w:r>
      <w:r w:rsidRPr="00BF6542">
        <w:rPr>
          <w:rFonts w:cs="Arial"/>
          <w:i/>
          <w:iCs/>
          <w:color w:val="252525"/>
          <w:sz w:val="20"/>
          <w:szCs w:val="20"/>
          <w:shd w:val="clear" w:color="auto" w:fill="FFFFFF"/>
        </w:rPr>
        <w:t>A History of the Ancient Near East, ca. 3000–323 BC</w:t>
      </w:r>
      <w:r w:rsidRPr="00BF6542">
        <w:rPr>
          <w:rFonts w:cs="Arial"/>
          <w:color w:val="252525"/>
          <w:sz w:val="20"/>
          <w:szCs w:val="20"/>
          <w:shd w:val="clear" w:color="auto" w:fill="FFFFFF"/>
        </w:rPr>
        <w:t>. Malden: Blackwell.</w:t>
      </w:r>
    </w:p>
    <w:p w14:paraId="702C5B20" w14:textId="77777777" w:rsidR="00A25DE7" w:rsidRPr="00BF6542" w:rsidRDefault="00A25DE7" w:rsidP="00B97BE5">
      <w:pPr>
        <w:rPr>
          <w:rFonts w:cs="Arial"/>
          <w:sz w:val="20"/>
          <w:szCs w:val="20"/>
        </w:rPr>
      </w:pPr>
      <w:r w:rsidRPr="00BF6542">
        <w:rPr>
          <w:rFonts w:cs="Arial"/>
          <w:sz w:val="20"/>
          <w:szCs w:val="20"/>
        </w:rPr>
        <w:t xml:space="preserve">van der Waerden, B. (1952) ‘History of the Zodiac’, in, </w:t>
      </w:r>
      <w:r w:rsidRPr="00BF6542">
        <w:rPr>
          <w:rFonts w:cs="Arial"/>
          <w:i/>
          <w:sz w:val="20"/>
          <w:szCs w:val="20"/>
        </w:rPr>
        <w:t>Bulletin fur Orientforschung</w:t>
      </w:r>
      <w:r w:rsidRPr="00BF6542">
        <w:rPr>
          <w:rFonts w:cs="Arial"/>
          <w:sz w:val="20"/>
          <w:szCs w:val="20"/>
        </w:rPr>
        <w:t xml:space="preserve"> Vol.16: 216-30.</w:t>
      </w:r>
    </w:p>
    <w:p w14:paraId="70B0C3F9" w14:textId="77777777" w:rsidR="00A25DE7" w:rsidRPr="00BF6542" w:rsidRDefault="00A25DE7" w:rsidP="00B97BE5">
      <w:pPr>
        <w:rPr>
          <w:rFonts w:cs="Arial"/>
          <w:sz w:val="20"/>
          <w:szCs w:val="20"/>
        </w:rPr>
      </w:pPr>
      <w:r w:rsidRPr="00BF6542">
        <w:rPr>
          <w:rFonts w:cs="Arial"/>
          <w:sz w:val="20"/>
          <w:szCs w:val="20"/>
        </w:rPr>
        <w:t xml:space="preserve">van der Waerden, B. L. (1974) </w:t>
      </w:r>
      <w:r w:rsidRPr="00BF6542">
        <w:rPr>
          <w:rFonts w:cs="Arial"/>
          <w:i/>
          <w:sz w:val="20"/>
          <w:szCs w:val="20"/>
        </w:rPr>
        <w:t xml:space="preserve">Science Awakening </w:t>
      </w:r>
      <w:r w:rsidRPr="00BF6542">
        <w:rPr>
          <w:rFonts w:cs="Arial"/>
          <w:sz w:val="20"/>
          <w:szCs w:val="20"/>
        </w:rPr>
        <w:t>ii, Leiden: Brill.</w:t>
      </w:r>
    </w:p>
    <w:p w14:paraId="485B1048" w14:textId="77777777" w:rsidR="00A25DE7" w:rsidRPr="00BF6542" w:rsidRDefault="00A25DE7" w:rsidP="00B97BE5">
      <w:pPr>
        <w:rPr>
          <w:rFonts w:cs="Arial"/>
          <w:sz w:val="20"/>
          <w:szCs w:val="20"/>
        </w:rPr>
      </w:pPr>
      <w:r w:rsidRPr="00BF6542">
        <w:rPr>
          <w:rFonts w:cs="Arial"/>
          <w:sz w:val="20"/>
          <w:szCs w:val="20"/>
        </w:rPr>
        <w:t xml:space="preserve">Varsos, G. J. (2002) ‘The Persistence of the Homeric Question’ </w:t>
      </w:r>
      <w:r w:rsidRPr="00BF6542">
        <w:rPr>
          <w:rFonts w:cs="Arial"/>
          <w:i/>
          <w:sz w:val="20"/>
          <w:szCs w:val="20"/>
        </w:rPr>
        <w:t>Ph.D. thesis</w:t>
      </w:r>
      <w:r w:rsidRPr="00BF6542">
        <w:rPr>
          <w:rFonts w:cs="Arial"/>
          <w:sz w:val="20"/>
          <w:szCs w:val="20"/>
        </w:rPr>
        <w:t xml:space="preserve"> University of Geneva.</w:t>
      </w:r>
    </w:p>
    <w:p w14:paraId="688C787D" w14:textId="77777777" w:rsidR="00A25DE7" w:rsidRPr="00BF6542" w:rsidRDefault="00A25DE7" w:rsidP="00B97BE5">
      <w:pPr>
        <w:rPr>
          <w:rFonts w:cs="Arial"/>
          <w:sz w:val="20"/>
          <w:szCs w:val="20"/>
        </w:rPr>
      </w:pPr>
      <w:r w:rsidRPr="00BF6542">
        <w:rPr>
          <w:rFonts w:cs="Arial"/>
          <w:sz w:val="20"/>
          <w:szCs w:val="20"/>
        </w:rPr>
        <w:t xml:space="preserve">Verderame, L. (2009) ‘The Primeval Zodiac: Its Social, Religious, and Mythological Background’, in, Rubiño-Martín, J. A. et al. </w:t>
      </w:r>
      <w:r w:rsidRPr="00BF6542">
        <w:rPr>
          <w:rFonts w:cs="Arial"/>
          <w:i/>
          <w:sz w:val="20"/>
          <w:szCs w:val="20"/>
        </w:rPr>
        <w:t>Cosmology Across Cultures</w:t>
      </w:r>
      <w:r w:rsidRPr="00BF6542">
        <w:rPr>
          <w:rFonts w:cs="Arial"/>
          <w:sz w:val="20"/>
          <w:szCs w:val="20"/>
        </w:rPr>
        <w:t>, ASP Conference Series 409, San Francisco: 151-156.</w:t>
      </w:r>
    </w:p>
    <w:p w14:paraId="6FF7478C" w14:textId="77777777" w:rsidR="00A25DE7" w:rsidRPr="00BF6542" w:rsidRDefault="00A25DE7" w:rsidP="00B97BE5">
      <w:pPr>
        <w:rPr>
          <w:rFonts w:cs="Arial"/>
          <w:sz w:val="20"/>
          <w:szCs w:val="20"/>
        </w:rPr>
      </w:pPr>
      <w:r w:rsidRPr="00BF6542">
        <w:rPr>
          <w:rFonts w:cs="Arial"/>
          <w:sz w:val="20"/>
          <w:szCs w:val="20"/>
        </w:rPr>
        <w:t xml:space="preserve">vonWilamowitz- Moellendorff, U. (1927) </w:t>
      </w:r>
      <w:r w:rsidRPr="00BF6542">
        <w:rPr>
          <w:rFonts w:cs="Arial"/>
          <w:bCs/>
          <w:i/>
          <w:sz w:val="20"/>
          <w:szCs w:val="20"/>
        </w:rPr>
        <w:t>Die Heimkehr Des Odysseus. NeueHomerischeUntersuchungen</w:t>
      </w:r>
      <w:r w:rsidRPr="00BF6542">
        <w:rPr>
          <w:rFonts w:cs="Arial"/>
          <w:sz w:val="20"/>
          <w:szCs w:val="20"/>
        </w:rPr>
        <w:t xml:space="preserve"> Frankfurt: WeidmannscheBuchhandlung.</w:t>
      </w:r>
    </w:p>
    <w:p w14:paraId="7C80B486" w14:textId="77777777" w:rsidR="00A25DE7" w:rsidRPr="00BF6542" w:rsidRDefault="00A25DE7" w:rsidP="00B97BE5">
      <w:pPr>
        <w:rPr>
          <w:rFonts w:cs="Arial"/>
          <w:sz w:val="20"/>
          <w:szCs w:val="20"/>
        </w:rPr>
      </w:pPr>
      <w:r w:rsidRPr="00BF6542">
        <w:rPr>
          <w:rFonts w:cs="Arial"/>
          <w:sz w:val="20"/>
          <w:szCs w:val="20"/>
        </w:rPr>
        <w:t xml:space="preserve">Walcot, P. (1966) </w:t>
      </w:r>
      <w:r w:rsidRPr="00BF6542">
        <w:rPr>
          <w:rFonts w:cs="Arial"/>
          <w:i/>
          <w:sz w:val="20"/>
          <w:szCs w:val="20"/>
        </w:rPr>
        <w:t>Hesiod and the Near East</w:t>
      </w:r>
      <w:r w:rsidRPr="00BF6542">
        <w:rPr>
          <w:rFonts w:cs="Arial"/>
          <w:sz w:val="20"/>
          <w:szCs w:val="20"/>
        </w:rPr>
        <w:t xml:space="preserve"> Cardiff: University of Wales Press.</w:t>
      </w:r>
    </w:p>
    <w:p w14:paraId="709A83D2" w14:textId="77777777" w:rsidR="00A25DE7" w:rsidRPr="00BF6542" w:rsidRDefault="00A25DE7" w:rsidP="00F84AF7">
      <w:pPr>
        <w:pStyle w:val="FootnoteText"/>
        <w:rPr>
          <w:rFonts w:cs="Arial"/>
        </w:rPr>
      </w:pPr>
      <w:r w:rsidRPr="00BF6542">
        <w:rPr>
          <w:rFonts w:cs="Arial"/>
        </w:rPr>
        <w:t xml:space="preserve">Weiss, H. (1982)  ‘The decline of Late Bronze Age civilization as a possible response to climatic change’, in, </w:t>
      </w:r>
      <w:r w:rsidRPr="00BF6542">
        <w:rPr>
          <w:rFonts w:cs="Arial"/>
          <w:i/>
        </w:rPr>
        <w:t>Climatic Change</w:t>
      </w:r>
      <w:r w:rsidRPr="00BF6542">
        <w:rPr>
          <w:rFonts w:cs="Arial"/>
        </w:rPr>
        <w:t xml:space="preserve"> 4 (2): 173–198.</w:t>
      </w:r>
    </w:p>
    <w:p w14:paraId="72BFF4F7" w14:textId="77777777" w:rsidR="00A25DE7" w:rsidRPr="00BF6542" w:rsidRDefault="00A25DE7" w:rsidP="00F84AF7">
      <w:pPr>
        <w:pStyle w:val="FootnoteText"/>
        <w:rPr>
          <w:rFonts w:cs="Arial"/>
          <w:shd w:val="clear" w:color="auto" w:fill="FFFFFF"/>
        </w:rPr>
      </w:pPr>
    </w:p>
    <w:p w14:paraId="4925944D" w14:textId="77777777" w:rsidR="00A25DE7" w:rsidRPr="00BF6542" w:rsidRDefault="00A25DE7" w:rsidP="00B97BE5">
      <w:pPr>
        <w:rPr>
          <w:rFonts w:cs="Arial"/>
          <w:sz w:val="20"/>
          <w:szCs w:val="20"/>
        </w:rPr>
      </w:pPr>
      <w:r w:rsidRPr="00BF6542">
        <w:rPr>
          <w:rFonts w:cs="Arial"/>
          <w:sz w:val="20"/>
          <w:szCs w:val="20"/>
          <w:shd w:val="clear" w:color="auto" w:fill="FFFFFF"/>
        </w:rPr>
        <w:t xml:space="preserve">West, M. L. (1966) </w:t>
      </w:r>
      <w:r w:rsidRPr="00BF6542">
        <w:rPr>
          <w:rFonts w:cs="Arial"/>
          <w:i/>
          <w:sz w:val="20"/>
          <w:szCs w:val="20"/>
          <w:shd w:val="clear" w:color="auto" w:fill="FFFFFF"/>
        </w:rPr>
        <w:t xml:space="preserve">Hesiod: Theogony </w:t>
      </w:r>
      <w:r w:rsidRPr="00BF6542">
        <w:rPr>
          <w:rFonts w:cs="Arial"/>
          <w:sz w:val="20"/>
          <w:szCs w:val="20"/>
          <w:shd w:val="clear" w:color="auto" w:fill="FFFFFF"/>
        </w:rPr>
        <w:t>London: Clarendon Press.</w:t>
      </w:r>
    </w:p>
    <w:p w14:paraId="41B72F74" w14:textId="77777777" w:rsidR="00A25DE7" w:rsidRPr="00BF6542" w:rsidRDefault="00A25DE7" w:rsidP="00B97BE5">
      <w:pPr>
        <w:rPr>
          <w:rFonts w:cs="Arial"/>
          <w:i/>
          <w:sz w:val="20"/>
          <w:szCs w:val="20"/>
        </w:rPr>
      </w:pPr>
      <w:r w:rsidRPr="00BF6542">
        <w:rPr>
          <w:rFonts w:cs="Arial"/>
          <w:sz w:val="20"/>
          <w:szCs w:val="20"/>
        </w:rPr>
        <w:t xml:space="preserve">West, M. L. (1997) </w:t>
      </w:r>
      <w:r w:rsidRPr="00BF6542">
        <w:rPr>
          <w:rFonts w:cs="Arial"/>
          <w:i/>
          <w:sz w:val="20"/>
          <w:szCs w:val="20"/>
        </w:rPr>
        <w:t>The East Face of Helicon, West Asiatic Elements in Greek Poetry</w:t>
      </w:r>
      <w:r w:rsidRPr="00BF6542">
        <w:rPr>
          <w:rFonts w:cs="Arial"/>
          <w:sz w:val="20"/>
          <w:szCs w:val="20"/>
        </w:rPr>
        <w:t xml:space="preserve"> Oxford: Oxford University Press.</w:t>
      </w:r>
    </w:p>
    <w:p w14:paraId="2BA45B0B" w14:textId="77777777" w:rsidR="00A25DE7" w:rsidRPr="00BF6542" w:rsidRDefault="00A25DE7" w:rsidP="00B97BE5">
      <w:pPr>
        <w:pStyle w:val="FootnoteText"/>
        <w:rPr>
          <w:rFonts w:cs="Arial"/>
          <w:shd w:val="clear" w:color="auto" w:fill="FFFFFF"/>
        </w:rPr>
      </w:pPr>
      <w:r w:rsidRPr="00BF6542">
        <w:rPr>
          <w:rFonts w:cs="Arial"/>
        </w:rPr>
        <w:t>West, M. L. (2010) </w:t>
      </w:r>
      <w:r w:rsidRPr="00BF6542">
        <w:rPr>
          <w:rFonts w:cs="Arial"/>
          <w:i/>
          <w:iCs/>
        </w:rPr>
        <w:t>The Making of the Iliad</w:t>
      </w:r>
      <w:r w:rsidRPr="00BF6542">
        <w:rPr>
          <w:rFonts w:cs="Arial"/>
        </w:rPr>
        <w:t xml:space="preserve"> Oxford:  Oxford University Press.</w:t>
      </w:r>
    </w:p>
    <w:p w14:paraId="5B459008" w14:textId="77777777" w:rsidR="00A25DE7" w:rsidRPr="00BF6542" w:rsidRDefault="00A25DE7" w:rsidP="00B97BE5">
      <w:pPr>
        <w:pStyle w:val="FootnoteText"/>
        <w:rPr>
          <w:rFonts w:cs="Arial"/>
          <w:shd w:val="clear" w:color="auto" w:fill="FFFFFF"/>
        </w:rPr>
      </w:pPr>
    </w:p>
    <w:p w14:paraId="16B37759" w14:textId="77777777" w:rsidR="00A25DE7" w:rsidRPr="00BF6542" w:rsidRDefault="00A25DE7" w:rsidP="00B97BE5">
      <w:pPr>
        <w:pStyle w:val="FootnoteText"/>
        <w:rPr>
          <w:rFonts w:cs="Arial"/>
        </w:rPr>
      </w:pPr>
      <w:r w:rsidRPr="00BF6542">
        <w:rPr>
          <w:rFonts w:cs="Arial"/>
        </w:rPr>
        <w:t xml:space="preserve">White, G. (2008) </w:t>
      </w:r>
      <w:r w:rsidRPr="00BF6542">
        <w:rPr>
          <w:rFonts w:cs="Arial"/>
          <w:i/>
        </w:rPr>
        <w:t>Babylonian Star-Lore: An Illustrated Guide to the Star-Lore and Constellations of Ancient Babylonia</w:t>
      </w:r>
      <w:r w:rsidRPr="00BF6542">
        <w:rPr>
          <w:rFonts w:cs="Arial"/>
        </w:rPr>
        <w:t xml:space="preserve"> London: Solaria Publications.</w:t>
      </w:r>
    </w:p>
    <w:p w14:paraId="7DF64F25" w14:textId="77777777" w:rsidR="00A25DE7" w:rsidRPr="00BF6542" w:rsidRDefault="00A25DE7" w:rsidP="00B97BE5">
      <w:pPr>
        <w:pStyle w:val="FootnoteText"/>
        <w:rPr>
          <w:rFonts w:cs="Arial"/>
        </w:rPr>
      </w:pPr>
    </w:p>
    <w:p w14:paraId="6D473906" w14:textId="77777777" w:rsidR="00A25DE7" w:rsidRPr="00BF6542" w:rsidRDefault="00A25DE7" w:rsidP="00B97BE5">
      <w:pPr>
        <w:pStyle w:val="FootnoteText"/>
        <w:rPr>
          <w:rFonts w:cs="Arial"/>
        </w:rPr>
      </w:pPr>
      <w:r w:rsidRPr="00BF6542">
        <w:rPr>
          <w:rFonts w:cs="Arial"/>
        </w:rPr>
        <w:t xml:space="preserve">White, N.M. (1979) ‘Lunar occultation of the Hyades and diameters of Alpha Tauri and Theta-1 Tauri’ </w:t>
      </w:r>
      <w:r w:rsidRPr="00BF6542">
        <w:rPr>
          <w:rFonts w:cs="Arial"/>
          <w:i/>
        </w:rPr>
        <w:t>Astronomical Journal</w:t>
      </w:r>
      <w:r w:rsidRPr="00BF6542">
        <w:rPr>
          <w:rFonts w:cs="Arial"/>
        </w:rPr>
        <w:t xml:space="preserve"> vol.84: 872-876.</w:t>
      </w:r>
    </w:p>
    <w:p w14:paraId="60637B50" w14:textId="77777777" w:rsidR="00A25DE7" w:rsidRPr="00BF6542" w:rsidRDefault="00A25DE7" w:rsidP="00B97BE5">
      <w:pPr>
        <w:pStyle w:val="FootnoteText"/>
        <w:rPr>
          <w:rFonts w:cs="Arial"/>
        </w:rPr>
      </w:pPr>
    </w:p>
    <w:p w14:paraId="637E87B3" w14:textId="77777777" w:rsidR="00A25DE7" w:rsidRPr="00BF6542" w:rsidRDefault="00A25DE7" w:rsidP="00B97BE5">
      <w:pPr>
        <w:pStyle w:val="FootnoteText"/>
        <w:rPr>
          <w:rFonts w:cs="Arial"/>
        </w:rPr>
      </w:pPr>
      <w:r w:rsidRPr="00BF6542">
        <w:rPr>
          <w:rFonts w:cs="Arial"/>
        </w:rPr>
        <w:t xml:space="preserve">Wood, F. and Wood, K. (2011) </w:t>
      </w:r>
      <w:r w:rsidRPr="00BF6542">
        <w:rPr>
          <w:rFonts w:cs="Arial"/>
          <w:i/>
        </w:rPr>
        <w:t>Homer’s Secret Odyssey</w:t>
      </w:r>
      <w:r w:rsidRPr="00BF6542">
        <w:rPr>
          <w:rFonts w:cs="Arial"/>
        </w:rPr>
        <w:t xml:space="preserve"> Stroud: The History Press.</w:t>
      </w:r>
    </w:p>
    <w:p w14:paraId="0828BD7D" w14:textId="77777777" w:rsidR="00A25DE7" w:rsidRPr="00BF6542" w:rsidRDefault="00A25DE7" w:rsidP="00B97BE5">
      <w:pPr>
        <w:pStyle w:val="FootnoteText"/>
        <w:rPr>
          <w:rFonts w:cs="Arial"/>
        </w:rPr>
      </w:pPr>
    </w:p>
    <w:p w14:paraId="1DFA27A0" w14:textId="77777777" w:rsidR="00A25DE7" w:rsidRPr="00BF6542" w:rsidRDefault="00A25DE7" w:rsidP="00B97BE5">
      <w:pPr>
        <w:pStyle w:val="FootnoteText"/>
        <w:rPr>
          <w:rFonts w:cs="Arial"/>
          <w:iCs/>
        </w:rPr>
      </w:pPr>
      <w:r w:rsidRPr="00BF6542">
        <w:rPr>
          <w:rFonts w:cs="Arial"/>
        </w:rPr>
        <w:t xml:space="preserve">Woods, C. (2006) ‘Bilingualism, Scribal Learning, and the Death of Sumerian’, in, </w:t>
      </w:r>
      <w:r w:rsidRPr="00BF6542">
        <w:rPr>
          <w:rFonts w:cs="Arial"/>
          <w:i/>
          <w:iCs/>
        </w:rPr>
        <w:t xml:space="preserve">Sanders, S. L. </w:t>
      </w:r>
      <w:r w:rsidRPr="00BF6542">
        <w:rPr>
          <w:rFonts w:cs="Arial"/>
          <w:iCs/>
        </w:rPr>
        <w:t>(ed)</w:t>
      </w:r>
      <w:r w:rsidRPr="00BF6542">
        <w:rPr>
          <w:rFonts w:cs="Arial"/>
        </w:rPr>
        <w:t> </w:t>
      </w:r>
      <w:r w:rsidRPr="00BF6542">
        <w:rPr>
          <w:rFonts w:cs="Arial"/>
          <w:i/>
        </w:rPr>
        <w:t>Margins of Writing, Origins of Culture</w:t>
      </w:r>
      <w:r w:rsidRPr="00BF6542">
        <w:rPr>
          <w:rFonts w:cs="Arial"/>
          <w:iCs/>
        </w:rPr>
        <w:t>: 91–120.</w:t>
      </w:r>
    </w:p>
    <w:p w14:paraId="20CED5FB" w14:textId="77777777" w:rsidR="00A25DE7" w:rsidRPr="00BF6542" w:rsidRDefault="00A25DE7" w:rsidP="00B97BE5">
      <w:pPr>
        <w:pStyle w:val="FootnoteText"/>
        <w:rPr>
          <w:rFonts w:cs="Arial"/>
        </w:rPr>
      </w:pPr>
    </w:p>
    <w:p w14:paraId="39F3C225" w14:textId="77777777" w:rsidR="00A25DE7" w:rsidRPr="00BF6542" w:rsidRDefault="00A25DE7" w:rsidP="00B97BE5">
      <w:pPr>
        <w:pStyle w:val="FootnoteText"/>
        <w:rPr>
          <w:rFonts w:cs="Arial"/>
          <w:iCs/>
        </w:rPr>
      </w:pPr>
      <w:r w:rsidRPr="00BF6542">
        <w:rPr>
          <w:rFonts w:cs="Arial"/>
        </w:rPr>
        <w:t xml:space="preserve">Wright, J. E. (2000) </w:t>
      </w:r>
      <w:r w:rsidRPr="00BF6542">
        <w:rPr>
          <w:rFonts w:cs="Arial"/>
          <w:i/>
        </w:rPr>
        <w:t>The Early History of Heaven</w:t>
      </w:r>
      <w:r w:rsidRPr="00BF6542">
        <w:rPr>
          <w:rFonts w:cs="Arial"/>
        </w:rPr>
        <w:t xml:space="preserve"> Oxford: Oxford University Press.</w:t>
      </w:r>
    </w:p>
    <w:p w14:paraId="576BD59D" w14:textId="77777777" w:rsidR="00A25DE7" w:rsidRPr="00BF6542" w:rsidRDefault="00A25DE7" w:rsidP="00B97BE5">
      <w:pPr>
        <w:pStyle w:val="FootnoteText"/>
        <w:rPr>
          <w:rFonts w:cs="Arial"/>
        </w:rPr>
      </w:pPr>
    </w:p>
    <w:p w14:paraId="5EEECF82" w14:textId="77777777" w:rsidR="00A25DE7" w:rsidRPr="00BF6542" w:rsidRDefault="00A25DE7" w:rsidP="00B97BE5">
      <w:pPr>
        <w:pStyle w:val="FootnoteText"/>
        <w:rPr>
          <w:rFonts w:cs="Arial"/>
        </w:rPr>
      </w:pPr>
      <w:r w:rsidRPr="00BF6542">
        <w:rPr>
          <w:rFonts w:cs="Arial"/>
        </w:rPr>
        <w:t xml:space="preserve">Yurco, F. J. ‘End of the Late Bronze Age and Other Crisis Periods: A Volcanic Cause’, in, Teeter, E. and Larson, J. (1999) (eds.) </w:t>
      </w:r>
      <w:r w:rsidRPr="00BF6542">
        <w:rPr>
          <w:rFonts w:cs="Arial"/>
          <w:i/>
        </w:rPr>
        <w:t>Gold of Praise: Studies on Ancient Egypt in Honor of Edward F. Wente</w:t>
      </w:r>
      <w:r w:rsidRPr="00BF6542">
        <w:rPr>
          <w:rFonts w:cs="Arial"/>
        </w:rPr>
        <w:t xml:space="preserve"> (Studies in Ancient Oriental Civilization) Chicago: University of Chicago Press.</w:t>
      </w:r>
    </w:p>
    <w:p w14:paraId="0A9BA883" w14:textId="77777777" w:rsidR="00A25DE7" w:rsidRPr="00745BDD" w:rsidRDefault="00A25DE7" w:rsidP="00B97BE5">
      <w:pPr>
        <w:pStyle w:val="FootnoteText"/>
        <w:rPr>
          <w:rFonts w:ascii="Arial" w:hAnsi="Arial" w:cs="Arial"/>
          <w:sz w:val="16"/>
          <w:szCs w:val="16"/>
        </w:rPr>
      </w:pPr>
    </w:p>
    <w:p w14:paraId="109C6DDA" w14:textId="77777777" w:rsidR="00A25DE7" w:rsidRPr="00745BDD" w:rsidRDefault="00A25DE7" w:rsidP="00B97BE5">
      <w:pPr>
        <w:pStyle w:val="FootnoteText"/>
        <w:rPr>
          <w:rFonts w:ascii="Arial" w:hAnsi="Arial" w:cs="Arial"/>
          <w:sz w:val="16"/>
          <w:szCs w:val="16"/>
        </w:rPr>
      </w:pPr>
    </w:p>
    <w:p w14:paraId="5C2F09E1" w14:textId="77777777" w:rsidR="00A25DE7" w:rsidRPr="00745BDD" w:rsidRDefault="00A25DE7" w:rsidP="00B97BE5">
      <w:pPr>
        <w:pStyle w:val="FootnoteText"/>
        <w:rPr>
          <w:rFonts w:ascii="Arial" w:hAnsi="Arial" w:cs="Arial"/>
          <w:sz w:val="16"/>
          <w:szCs w:val="16"/>
        </w:rPr>
      </w:pPr>
    </w:p>
    <w:p w14:paraId="139AD3BC" w14:textId="77777777" w:rsidR="00A25DE7" w:rsidRPr="00745BDD" w:rsidRDefault="00A25DE7" w:rsidP="002F3FDD">
      <w:pPr>
        <w:rPr>
          <w:rFonts w:ascii="Arial" w:hAnsi="Arial" w:cs="Arial"/>
          <w:sz w:val="24"/>
          <w:szCs w:val="24"/>
        </w:rPr>
      </w:pPr>
    </w:p>
    <w:sectPr w:rsidR="00A25DE7" w:rsidRPr="00745BDD" w:rsidSect="005C34D4">
      <w:footnotePr>
        <w:numRestart w:val="eachSect"/>
      </w:footnotePr>
      <w:pgSz w:w="11906" w:h="16838"/>
      <w:pgMar w:top="1440" w:right="1133" w:bottom="1440" w:left="2268"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Dorian" w:date="2015-11-20T19:29:00Z" w:initials="D">
    <w:p w14:paraId="4ADF03BF" w14:textId="77777777" w:rsidR="005B3668" w:rsidRDefault="005B3668">
      <w:pPr>
        <w:pStyle w:val="CommentText"/>
      </w:pPr>
      <w:r>
        <w:rPr>
          <w:rStyle w:val="CommentReference"/>
        </w:rPr>
        <w:annotationRef/>
      </w:r>
      <w:r>
        <w:t>faulty grammar/typo</w:t>
      </w:r>
    </w:p>
  </w:comment>
  <w:comment w:id="20" w:author="Dorian" w:date="2015-11-23T11:53:00Z" w:initials="D">
    <w:p w14:paraId="689FA654" w14:textId="77777777" w:rsidR="005B3668" w:rsidRDefault="005B3668">
      <w:pPr>
        <w:pStyle w:val="CommentText"/>
      </w:pPr>
      <w:r>
        <w:rPr>
          <w:rStyle w:val="CommentReference"/>
        </w:rPr>
        <w:annotationRef/>
      </w:r>
      <w:r>
        <w:t>Publication information?</w:t>
      </w:r>
    </w:p>
  </w:comment>
  <w:comment w:id="22" w:author="Author" w:date="2015-11-30T08:55:00Z" w:initials=" ">
    <w:p w14:paraId="4FBCCC97" w14:textId="77777777" w:rsidR="005B3668" w:rsidRDefault="005B3668">
      <w:pPr>
        <w:pStyle w:val="CommentText"/>
      </w:pPr>
      <w:r>
        <w:rPr>
          <w:rStyle w:val="CommentReference"/>
        </w:rPr>
        <w:annotationRef/>
      </w:r>
      <w:r>
        <w:t>You have not introduced your topic, nor introduced the contents of the chapter. What is your research  question?</w:t>
      </w:r>
    </w:p>
  </w:comment>
  <w:comment w:id="23" w:author="Author" w:date="2015-11-30T08:59:00Z" w:initials=" ">
    <w:p w14:paraId="1901A229" w14:textId="77777777" w:rsidR="005B3668" w:rsidRDefault="005B3668">
      <w:pPr>
        <w:pStyle w:val="CommentText"/>
      </w:pPr>
      <w:r>
        <w:rPr>
          <w:rStyle w:val="CommentReference"/>
        </w:rPr>
        <w:annotationRef/>
      </w:r>
      <w:r>
        <w:t xml:space="preserve">Use of Roman numbers for citations? </w:t>
      </w:r>
    </w:p>
  </w:comment>
  <w:comment w:id="24" w:author="Author" w:date="2015-11-30T09:02:00Z" w:initials=" ">
    <w:p w14:paraId="6EB6C88C" w14:textId="77777777" w:rsidR="005B3668" w:rsidRDefault="005B3668">
      <w:pPr>
        <w:pStyle w:val="CommentText"/>
      </w:pPr>
      <w:r>
        <w:rPr>
          <w:rStyle w:val="CommentReference"/>
        </w:rPr>
        <w:annotationRef/>
      </w:r>
      <w:r>
        <w:t xml:space="preserve">All such historical statements can be challenged thus here you need to cite this as an opinion rather than as a fact. </w:t>
      </w:r>
    </w:p>
  </w:comment>
  <w:comment w:id="25" w:author="Author" w:date="2015-11-30T12:00:00Z" w:initials=" ">
    <w:p w14:paraId="5A695DD4" w14:textId="07E14F4D" w:rsidR="00276438" w:rsidRDefault="00276438">
      <w:pPr>
        <w:pStyle w:val="CommentText"/>
      </w:pPr>
      <w:r>
        <w:rPr>
          <w:rStyle w:val="CommentReference"/>
        </w:rPr>
        <w:annotationRef/>
      </w:r>
      <w:r w:rsidR="00E45847">
        <w:t xml:space="preserve">This is not on page 34 of Campion. RE the page os 35 to 68. This is his two chapters on this topic. On what page did he use the term ‘birthplace of astronomy’ and where does he argue that this was due to the innovation of cuneiform? </w:t>
      </w:r>
    </w:p>
  </w:comment>
  <w:comment w:id="26" w:author="Author" w:date="2015-11-30T09:07:00Z" w:initials=" ">
    <w:p w14:paraId="753891E6" w14:textId="77777777" w:rsidR="002D3CD4" w:rsidRDefault="002D3CD4">
      <w:pPr>
        <w:pStyle w:val="CommentText"/>
      </w:pPr>
      <w:r>
        <w:rPr>
          <w:rStyle w:val="CommentReference"/>
        </w:rPr>
        <w:annotationRef/>
      </w:r>
      <w:r>
        <w:t xml:space="preserve">Whose term is Western Asiatic? Is this  your distinction or is this accepted by other scholars? </w:t>
      </w:r>
    </w:p>
  </w:comment>
  <w:comment w:id="27" w:author="Author" w:date="2015-11-30T09:08:00Z" w:initials=" ">
    <w:p w14:paraId="16422C41" w14:textId="77777777" w:rsidR="002D3CD4" w:rsidRDefault="002D3CD4">
      <w:pPr>
        <w:pStyle w:val="CommentText"/>
      </w:pPr>
      <w:r>
        <w:rPr>
          <w:rStyle w:val="CommentReference"/>
        </w:rPr>
        <w:annotationRef/>
      </w:r>
      <w:r>
        <w:t xml:space="preserve">The ‘various cultures of the region’ are quite diverse and have long histories. Is this generalisation valid? Is this approach of other scholars? </w:t>
      </w:r>
    </w:p>
  </w:comment>
  <w:comment w:id="28" w:author="Author" w:date="2015-11-30T09:12:00Z" w:initials=" ">
    <w:p w14:paraId="03A86B4B" w14:textId="77777777" w:rsidR="002D3CD4" w:rsidRPr="00E85D21" w:rsidRDefault="002D3CD4">
      <w:pPr>
        <w:pStyle w:val="CommentText"/>
      </w:pPr>
      <w:r>
        <w:rPr>
          <w:rStyle w:val="CommentReference"/>
        </w:rPr>
        <w:annotationRef/>
      </w:r>
      <w:r>
        <w:t xml:space="preserve">I am not clear of your citation to </w:t>
      </w:r>
      <w:r w:rsidRPr="00745BDD">
        <w:t xml:space="preserve">Herodotus </w:t>
      </w:r>
      <w:r w:rsidRPr="00745BDD">
        <w:rPr>
          <w:i/>
        </w:rPr>
        <w:t>Histories</w:t>
      </w:r>
      <w:r>
        <w:rPr>
          <w:i/>
        </w:rPr>
        <w:t xml:space="preserve"> </w:t>
      </w:r>
      <w:r>
        <w:t>for this. The Egyptian script is also now considered to be based in an alphabetical form</w:t>
      </w:r>
      <w:r w:rsidR="00E85D21">
        <w:rPr>
          <w:i/>
        </w:rPr>
        <w:t xml:space="preserve"> </w:t>
      </w:r>
      <w:r w:rsidR="00E85D21" w:rsidRPr="00E85D21">
        <w:t>but</w:t>
      </w:r>
      <w:r w:rsidR="00E85D21">
        <w:rPr>
          <w:i/>
        </w:rPr>
        <w:t xml:space="preserve"> </w:t>
      </w:r>
      <w:r w:rsidR="00E85D21">
        <w:t xml:space="preserve">you present this here as if the Mesopotamian cultures were the sole creators of the idea of an alphabet. </w:t>
      </w:r>
    </w:p>
  </w:comment>
  <w:comment w:id="29" w:author="Dorian" w:date="1990-13-07T06:52:00Z" w:initials="D">
    <w:p w14:paraId="6F28E021" w14:textId="77777777" w:rsidR="005B3668" w:rsidRDefault="005B3668">
      <w:pPr>
        <w:pStyle w:val="CommentText"/>
      </w:pPr>
      <w:r>
        <w:rPr>
          <w:rStyle w:val="CommentReference"/>
        </w:rPr>
        <w:annotationRef/>
      </w:r>
      <w:r>
        <w:t>This is a paraphrase from West, The East Face of Helicon, p. 24; and the sources are his. You have not cited West.</w:t>
      </w:r>
    </w:p>
  </w:comment>
  <w:comment w:id="30" w:author="Dorian" w:date="2015-11-20T19:37:00Z" w:initials="D">
    <w:p w14:paraId="0E2B418F" w14:textId="77777777" w:rsidR="005B3668" w:rsidRDefault="005B3668">
      <w:pPr>
        <w:pStyle w:val="CommentText"/>
      </w:pPr>
      <w:r>
        <w:rPr>
          <w:rStyle w:val="CommentReference"/>
        </w:rPr>
        <w:annotationRef/>
      </w:r>
      <w:r>
        <w:t>incorrect word here; don’t you just mean ‘is’? Or are you saying that writing stemmed the spread of other ideas? (‘Stem’ meaning ‘curtail’[ as in ‘stem the tide’)</w:t>
      </w:r>
    </w:p>
  </w:comment>
  <w:comment w:id="31" w:author="Author" w:date="2015-11-30T09:14:00Z" w:initials=" ">
    <w:p w14:paraId="2C7ED042" w14:textId="77777777" w:rsidR="00E85D21" w:rsidRDefault="00E85D21">
      <w:pPr>
        <w:pStyle w:val="CommentText"/>
      </w:pPr>
      <w:r>
        <w:rPr>
          <w:rStyle w:val="CommentReference"/>
        </w:rPr>
        <w:annotationRef/>
      </w:r>
      <w:r>
        <w:t>You have not yet shown that the Mesopotamian cultures had a comprehensive view of cosmological knowledge, additionally it is unclear as to what you mean by cosmological knowledge. Are you confusing cosmological knowledge with astronomical knowledge?</w:t>
      </w:r>
    </w:p>
  </w:comment>
  <w:comment w:id="33" w:author="Author" w:date="2015-11-30T09:38:00Z" w:initials=" ">
    <w:p w14:paraId="18084E7E" w14:textId="77777777" w:rsidR="008868F6" w:rsidRDefault="008868F6">
      <w:pPr>
        <w:pStyle w:val="CommentText"/>
      </w:pPr>
      <w:r>
        <w:rPr>
          <w:rStyle w:val="CommentReference"/>
        </w:rPr>
        <w:annotationRef/>
      </w:r>
      <w:r>
        <w:t xml:space="preserve">Why? This is the first time you have tried to limit your target group but you need to justify this selection. </w:t>
      </w:r>
    </w:p>
  </w:comment>
  <w:comment w:id="32" w:author="Author" w:date="2015-11-30T09:38:00Z" w:initials=" ">
    <w:p w14:paraId="11B7FB70" w14:textId="77777777" w:rsidR="008868F6" w:rsidRDefault="008868F6">
      <w:pPr>
        <w:pStyle w:val="CommentText"/>
      </w:pPr>
      <w:r>
        <w:rPr>
          <w:rStyle w:val="CommentReference"/>
        </w:rPr>
        <w:annotationRef/>
      </w:r>
      <w:r>
        <w:t xml:space="preserve">This is your aim and needed to be presented at the beginning of the chapter along with a chapter outline. </w:t>
      </w:r>
    </w:p>
  </w:comment>
  <w:comment w:id="34" w:author="Author" w:date="2015-11-30T10:03:00Z" w:initials=" ">
    <w:p w14:paraId="5A35ABFC" w14:textId="77777777" w:rsidR="00230AF2" w:rsidRDefault="00230AF2">
      <w:pPr>
        <w:pStyle w:val="CommentText"/>
      </w:pPr>
      <w:r>
        <w:rPr>
          <w:rStyle w:val="CommentReference"/>
        </w:rPr>
        <w:annotationRef/>
      </w:r>
      <w:r>
        <w:t xml:space="preserve">This is a much better section. </w:t>
      </w:r>
    </w:p>
  </w:comment>
  <w:comment w:id="35" w:author="Author" w:date="2015-11-30T10:27:00Z" w:initials=" ">
    <w:p w14:paraId="5813DA82" w14:textId="77777777" w:rsidR="00035117" w:rsidRDefault="00035117">
      <w:pPr>
        <w:pStyle w:val="CommentText"/>
      </w:pPr>
      <w:r>
        <w:rPr>
          <w:rStyle w:val="CommentReference"/>
        </w:rPr>
        <w:annotationRef/>
      </w:r>
      <w:r>
        <w:t xml:space="preserve">As well as  guidelines about what constitutes one cultures astronomy being translated into story by another. </w:t>
      </w:r>
    </w:p>
  </w:comment>
  <w:comment w:id="36" w:author="Author" w:date="2015-11-30T10:34:00Z" w:initials=" ">
    <w:p w14:paraId="0CB27FA7" w14:textId="77777777" w:rsidR="00035117" w:rsidRDefault="00035117">
      <w:pPr>
        <w:pStyle w:val="CommentText"/>
      </w:pPr>
      <w:r>
        <w:rPr>
          <w:rStyle w:val="CommentReference"/>
        </w:rPr>
        <w:annotationRef/>
      </w:r>
      <w:r>
        <w:t xml:space="preserve">Good. </w:t>
      </w:r>
    </w:p>
  </w:comment>
  <w:comment w:id="37" w:author="Author" w:date="2015-11-30T10:34:00Z" w:initials=" ">
    <w:p w14:paraId="36D7D5A7" w14:textId="77777777" w:rsidR="00035117" w:rsidRDefault="00035117">
      <w:pPr>
        <w:pStyle w:val="CommentText"/>
      </w:pPr>
      <w:r>
        <w:rPr>
          <w:rStyle w:val="CommentReference"/>
        </w:rPr>
        <w:annotationRef/>
      </w:r>
      <w:r>
        <w:t xml:space="preserve">This is one of the difficulties, your definition of Mesopotamia is too broad. With such a board definition one should be able to find evidence of transmission. But you may tighten this later. </w:t>
      </w:r>
    </w:p>
  </w:comment>
  <w:comment w:id="38" w:author="Dorian" w:date="1990-13-07T09:04:00Z" w:initials="D">
    <w:p w14:paraId="112C330D" w14:textId="77777777" w:rsidR="005B3668" w:rsidRDefault="005B3668">
      <w:pPr>
        <w:pStyle w:val="CommentText"/>
      </w:pPr>
      <w:r>
        <w:rPr>
          <w:rStyle w:val="CommentReference"/>
        </w:rPr>
        <w:annotationRef/>
      </w:r>
      <w:r>
        <w:t>Sources for the information in this chart, other than Dalley for the Enuma Elish?</w:t>
      </w:r>
    </w:p>
  </w:comment>
  <w:comment w:id="39" w:author="Author" w:date="2015-11-30T10:37:00Z" w:initials=" ">
    <w:p w14:paraId="67AF22DB" w14:textId="77777777" w:rsidR="00F348DD" w:rsidRDefault="00F348DD">
      <w:pPr>
        <w:pStyle w:val="CommentText"/>
      </w:pPr>
      <w:r>
        <w:rPr>
          <w:rStyle w:val="CommentReference"/>
        </w:rPr>
        <w:annotationRef/>
      </w:r>
      <w:r>
        <w:t xml:space="preserve">Good you needed to do this for your introduction. </w:t>
      </w:r>
    </w:p>
  </w:comment>
  <w:comment w:id="41" w:author="Author" w:date="2015-11-30T10:38:00Z" w:initials=" ">
    <w:p w14:paraId="44D9210C" w14:textId="77777777" w:rsidR="00F348DD" w:rsidRDefault="00F348DD">
      <w:pPr>
        <w:pStyle w:val="CommentText"/>
      </w:pPr>
      <w:r>
        <w:rPr>
          <w:rStyle w:val="CommentReference"/>
        </w:rPr>
        <w:annotationRef/>
      </w:r>
      <w:r>
        <w:t xml:space="preserve">Since this is such an important definition for your whole argument you needed to cite the scholars by name in your paper as well as unpack this a little further. </w:t>
      </w:r>
    </w:p>
  </w:comment>
  <w:comment w:id="42" w:author="Author" w:date="2015-11-30T10:39:00Z" w:initials=" ">
    <w:p w14:paraId="58D59C01" w14:textId="77777777" w:rsidR="00F348DD" w:rsidRDefault="00F348DD">
      <w:pPr>
        <w:pStyle w:val="CommentText"/>
      </w:pPr>
      <w:r>
        <w:rPr>
          <w:rStyle w:val="CommentReference"/>
        </w:rPr>
        <w:annotationRef/>
      </w:r>
      <w:r>
        <w:t xml:space="preserve">Citation needed. </w:t>
      </w:r>
    </w:p>
  </w:comment>
  <w:comment w:id="43" w:author="Author" w:date="2015-11-30T10:39:00Z" w:initials=" ">
    <w:p w14:paraId="15CEB99E" w14:textId="77777777" w:rsidR="00F348DD" w:rsidRDefault="00F348DD">
      <w:pPr>
        <w:pStyle w:val="CommentText"/>
      </w:pPr>
      <w:r>
        <w:rPr>
          <w:rStyle w:val="CommentReference"/>
        </w:rPr>
        <w:annotationRef/>
      </w:r>
      <w:r>
        <w:t xml:space="preserve">You needed to define this term, what does Burket mean by the ‘Orientalising Period’. </w:t>
      </w:r>
    </w:p>
  </w:comment>
  <w:comment w:id="44" w:author="Author" w:date="2015-11-30T10:40:00Z" w:initials=" ">
    <w:p w14:paraId="36B3A16A" w14:textId="77777777" w:rsidR="00F348DD" w:rsidRDefault="00F348DD">
      <w:pPr>
        <w:pStyle w:val="CommentText"/>
      </w:pPr>
      <w:r>
        <w:rPr>
          <w:rStyle w:val="CommentReference"/>
        </w:rPr>
        <w:annotationRef/>
      </w:r>
      <w:r>
        <w:t xml:space="preserve">Earlier you had defined the whole area as Mesopotamian or Egyptian, but now you are bringing in Syria and Anatolia as separate cultures. Does this not contradict your position in the first section? </w:t>
      </w:r>
    </w:p>
  </w:comment>
  <w:comment w:id="46" w:author="Author" w:date="2015-11-30T10:43:00Z" w:initials=" ">
    <w:p w14:paraId="24443022" w14:textId="77777777" w:rsidR="00F348DD" w:rsidRDefault="00F348DD">
      <w:pPr>
        <w:pStyle w:val="CommentText"/>
      </w:pPr>
      <w:r>
        <w:rPr>
          <w:rStyle w:val="CommentReference"/>
        </w:rPr>
        <w:annotationRef/>
      </w:r>
      <w:r>
        <w:t xml:space="preserve">Yes, it would be stronger to say that West argues this point. You cite West but as this is an opinion you needed to name him in the text, otherwise your work will begin to suffer from lack of critical thinking on your part. </w:t>
      </w:r>
    </w:p>
  </w:comment>
  <w:comment w:id="57" w:author="Author" w:date="2015-11-30T10:44:00Z" w:initials=" ">
    <w:p w14:paraId="66F74CE9" w14:textId="77777777" w:rsidR="00F348DD" w:rsidRDefault="00F348DD" w:rsidP="00F348DD">
      <w:pPr>
        <w:pStyle w:val="CommentText"/>
      </w:pPr>
      <w:r>
        <w:rPr>
          <w:rStyle w:val="CommentReference"/>
        </w:rPr>
        <w:annotationRef/>
      </w:r>
      <w:r>
        <w:t xml:space="preserve">Is this now not including </w:t>
      </w:r>
      <w:r>
        <w:t>Syria and Anatolia</w:t>
      </w:r>
      <w:r>
        <w:t xml:space="preserve">? This is unclear for your reader. </w:t>
      </w:r>
    </w:p>
  </w:comment>
  <w:comment w:id="58" w:author="Author" w:date="2015-11-30T10:45:00Z" w:initials=" ">
    <w:p w14:paraId="384E6834" w14:textId="77777777" w:rsidR="00F348DD" w:rsidRDefault="00F348DD">
      <w:pPr>
        <w:pStyle w:val="CommentText"/>
      </w:pPr>
      <w:r>
        <w:rPr>
          <w:rStyle w:val="CommentReference"/>
        </w:rPr>
        <w:annotationRef/>
      </w:r>
      <w:r>
        <w:t xml:space="preserve">Is this not the conclusion of your thesis – that the literature influenced Homer? </w:t>
      </w:r>
    </w:p>
  </w:comment>
  <w:comment w:id="60" w:author="Dorian" w:date="2015-11-23T17:16:00Z" w:initials="D">
    <w:p w14:paraId="33005966" w14:textId="77777777" w:rsidR="005B3668" w:rsidRDefault="005B3668">
      <w:pPr>
        <w:pStyle w:val="CommentText"/>
      </w:pPr>
      <w:r>
        <w:rPr>
          <w:rStyle w:val="CommentReference"/>
        </w:rPr>
        <w:annotationRef/>
      </w:r>
      <w:r>
        <w:t>Plagiarised from Dalley, p. 47</w:t>
      </w:r>
    </w:p>
  </w:comment>
  <w:comment w:id="61" w:author="Author" w:date="2015-11-30T10:47:00Z" w:initials=" ">
    <w:p w14:paraId="2F7274F9" w14:textId="77777777" w:rsidR="000374E0" w:rsidRDefault="000374E0">
      <w:pPr>
        <w:pStyle w:val="CommentText"/>
      </w:pPr>
      <w:r>
        <w:rPr>
          <w:rStyle w:val="CommentReference"/>
        </w:rPr>
        <w:annotationRef/>
      </w:r>
      <w:r>
        <w:t xml:space="preserve">Yes this is correctly done, it is a very board statement by Dalley so you need to state that it is her opinion. </w:t>
      </w:r>
    </w:p>
  </w:comment>
  <w:comment w:id="62" w:author="Author" w:date="2015-11-30T10:49:00Z" w:initials=" ">
    <w:p w14:paraId="54FE42E8" w14:textId="77777777" w:rsidR="000374E0" w:rsidRDefault="000374E0">
      <w:pPr>
        <w:pStyle w:val="CommentText"/>
      </w:pPr>
      <w:r>
        <w:rPr>
          <w:rStyle w:val="CommentReference"/>
        </w:rPr>
        <w:annotationRef/>
      </w:r>
      <w:r>
        <w:t xml:space="preserve">Penglase argues. </w:t>
      </w:r>
    </w:p>
  </w:comment>
  <w:comment w:id="63" w:author="Author" w:date="2015-11-30T10:49:00Z" w:initials=" ">
    <w:p w14:paraId="39599EF1" w14:textId="77777777" w:rsidR="000374E0" w:rsidRDefault="000374E0">
      <w:pPr>
        <w:pStyle w:val="CommentText"/>
      </w:pPr>
      <w:r>
        <w:rPr>
          <w:rStyle w:val="CommentReference"/>
        </w:rPr>
        <w:annotationRef/>
      </w:r>
      <w:r>
        <w:t>Good. But if this is the case then it is logical that it would have influenced Homer, what do you add to this to show that West does not think that Homer contains the astronomy of these other cutlures?</w:t>
      </w:r>
    </w:p>
  </w:comment>
  <w:comment w:id="65" w:author="Author" w:date="2015-11-30T10:57:00Z" w:initials=" ">
    <w:p w14:paraId="3E33432A" w14:textId="77777777" w:rsidR="00267780" w:rsidRDefault="00267780">
      <w:pPr>
        <w:pStyle w:val="CommentText"/>
      </w:pPr>
      <w:r>
        <w:rPr>
          <w:rStyle w:val="CommentReference"/>
        </w:rPr>
        <w:annotationRef/>
      </w:r>
      <w:r>
        <w:t xml:space="preserve">This seems to make your research question redundant.  </w:t>
      </w:r>
    </w:p>
  </w:comment>
  <w:comment w:id="66" w:author="Author" w:date="2015-11-30T11:09:00Z" w:initials=" ">
    <w:p w14:paraId="4FA48443" w14:textId="77777777" w:rsidR="00636F15" w:rsidRDefault="00636F15">
      <w:pPr>
        <w:pStyle w:val="CommentText"/>
      </w:pPr>
      <w:r>
        <w:rPr>
          <w:rStyle w:val="CommentReference"/>
        </w:rPr>
        <w:annotationRef/>
      </w:r>
      <w:r>
        <w:t xml:space="preserve">Possible dates? </w:t>
      </w:r>
    </w:p>
  </w:comment>
  <w:comment w:id="67" w:author="Dorian" w:date="1990-13-07T10:02:00Z" w:initials="D">
    <w:p w14:paraId="7572EEA8" w14:textId="77777777" w:rsidR="005B3668" w:rsidRDefault="005B3668">
      <w:pPr>
        <w:pStyle w:val="CommentText"/>
      </w:pPr>
      <w:r>
        <w:rPr>
          <w:rStyle w:val="CommentReference"/>
        </w:rPr>
        <w:annotationRef/>
      </w:r>
      <w:r>
        <w:t>But you cite Güterbock’s work  (1948) in this regard in n. 17, so how can Walcot be first?</w:t>
      </w:r>
    </w:p>
  </w:comment>
  <w:comment w:id="68" w:author="Author" w:date="2015-11-30T11:08:00Z" w:initials=" ">
    <w:p w14:paraId="553A8796" w14:textId="77777777" w:rsidR="00636F15" w:rsidRDefault="00636F15">
      <w:pPr>
        <w:pStyle w:val="CommentText"/>
      </w:pPr>
      <w:r>
        <w:rPr>
          <w:rStyle w:val="CommentReference"/>
        </w:rPr>
        <w:annotationRef/>
      </w:r>
      <w:r>
        <w:t xml:space="preserve">What are the Akkadian constellations? Also does this statement raise questions about the necessity of your research? </w:t>
      </w:r>
    </w:p>
  </w:comment>
  <w:comment w:id="69" w:author="Author" w:date="2015-11-30T11:12:00Z" w:initials=" ">
    <w:p w14:paraId="41705657" w14:textId="77777777" w:rsidR="00636F15" w:rsidRDefault="00636F15">
      <w:pPr>
        <w:pStyle w:val="CommentText"/>
      </w:pPr>
      <w:r>
        <w:rPr>
          <w:rStyle w:val="CommentReference"/>
        </w:rPr>
        <w:annotationRef/>
      </w:r>
      <w:r>
        <w:t>Is it a dislike or an academic challenge?</w:t>
      </w:r>
    </w:p>
  </w:comment>
  <w:comment w:id="70" w:author="Dorian" w:date="1990-13-07T10:32:00Z" w:initials="D">
    <w:p w14:paraId="0DAD2113" w14:textId="77777777" w:rsidR="005B3668" w:rsidRDefault="005B3668">
      <w:pPr>
        <w:pStyle w:val="CommentText"/>
      </w:pPr>
      <w:r>
        <w:rPr>
          <w:rStyle w:val="CommentReference"/>
        </w:rPr>
        <w:annotationRef/>
      </w:r>
      <w:r>
        <w:t>Plagiarised from Burkert, ‘Near Eastern Connections’ (from Turnitin software)</w:t>
      </w:r>
    </w:p>
  </w:comment>
  <w:comment w:id="71" w:author="Dorian" w:date="2015-11-20T20:07:00Z" w:initials="D">
    <w:p w14:paraId="45DA84BC" w14:textId="77777777" w:rsidR="005B3668" w:rsidRDefault="005B3668">
      <w:pPr>
        <w:pStyle w:val="CommentText"/>
      </w:pPr>
      <w:r>
        <w:rPr>
          <w:rStyle w:val="CommentReference"/>
        </w:rPr>
        <w:annotationRef/>
      </w:r>
      <w:r>
        <w:t>How many of these features are true of all forms of epic genre, in other cultures than the ones you mention? In other words, how does this prove a specific link between these two particular cultures in epic narratives? Are there any parallels between Egypt and Greece in this format?</w:t>
      </w:r>
    </w:p>
  </w:comment>
  <w:comment w:id="73" w:author="Dorian" w:date="2015-11-20T20:10:00Z" w:initials="D">
    <w:p w14:paraId="6B22E7ED" w14:textId="77777777" w:rsidR="005B3668" w:rsidRDefault="005B3668">
      <w:pPr>
        <w:pStyle w:val="CommentText"/>
      </w:pPr>
      <w:r>
        <w:rPr>
          <w:rStyle w:val="CommentReference"/>
        </w:rPr>
        <w:annotationRef/>
      </w:r>
      <w:r>
        <w:t>wrong punctuation; should be a comma</w:t>
      </w:r>
    </w:p>
  </w:comment>
  <w:comment w:id="74" w:author="Dorian" w:date="2015-11-20T20:10:00Z" w:initials="D">
    <w:p w14:paraId="352861D0" w14:textId="77777777" w:rsidR="005B3668" w:rsidRDefault="005B3668">
      <w:pPr>
        <w:pStyle w:val="CommentText"/>
      </w:pPr>
      <w:r>
        <w:rPr>
          <w:rStyle w:val="CommentReference"/>
        </w:rPr>
        <w:annotationRef/>
      </w:r>
      <w:r>
        <w:t>wrong punctuation; should be a semi-colon</w:t>
      </w:r>
    </w:p>
  </w:comment>
  <w:comment w:id="75" w:author="Dorian" w:date="2015-11-20T20:10:00Z" w:initials="D">
    <w:p w14:paraId="693D45FF" w14:textId="77777777" w:rsidR="005B3668" w:rsidRDefault="005B3668">
      <w:pPr>
        <w:pStyle w:val="CommentText"/>
      </w:pPr>
      <w:r>
        <w:rPr>
          <w:rStyle w:val="CommentReference"/>
        </w:rPr>
        <w:annotationRef/>
      </w:r>
      <w:r>
        <w:t>wrong punctuation; should be a comma</w:t>
      </w:r>
    </w:p>
  </w:comment>
  <w:comment w:id="77" w:author="Author" w:date="2015-11-30T11:22:00Z" w:initials=" ">
    <w:p w14:paraId="6EB334E1" w14:textId="77777777" w:rsidR="00BE076E" w:rsidRDefault="00BE076E">
      <w:pPr>
        <w:pStyle w:val="CommentText"/>
      </w:pPr>
      <w:r>
        <w:rPr>
          <w:rStyle w:val="CommentReference"/>
        </w:rPr>
        <w:annotationRef/>
      </w:r>
      <w:r>
        <w:t xml:space="preserve">Once again your board use of this term does not allow the reader to place your thinking into any form of historical context. </w:t>
      </w:r>
    </w:p>
  </w:comment>
  <w:comment w:id="78" w:author="Author" w:date="2015-11-30T11:23:00Z" w:initials=" ">
    <w:p w14:paraId="6C00957F" w14:textId="77777777" w:rsidR="00BE076E" w:rsidRDefault="00BE076E">
      <w:pPr>
        <w:pStyle w:val="CommentText"/>
      </w:pPr>
      <w:r>
        <w:rPr>
          <w:rStyle w:val="CommentReference"/>
        </w:rPr>
        <w:annotationRef/>
      </w:r>
      <w:r>
        <w:t xml:space="preserve">? Are these Whites examples. It is not clear why this statement has a citation to White. </w:t>
      </w:r>
    </w:p>
  </w:comment>
  <w:comment w:id="79" w:author="Author" w:date="2015-11-30T11:39:00Z" w:initials=" ">
    <w:p w14:paraId="6D74096B" w14:textId="77777777" w:rsidR="007F26B1" w:rsidRDefault="007F26B1">
      <w:pPr>
        <w:pStyle w:val="CommentText"/>
      </w:pPr>
      <w:r>
        <w:rPr>
          <w:rStyle w:val="CommentReference"/>
        </w:rPr>
        <w:annotationRef/>
      </w:r>
      <w:r>
        <w:t>Since you are discussing how these could be reflected in Homer as narrative elements you needed to fo</w:t>
      </w:r>
      <w:r w:rsidR="00765D5D">
        <w:t xml:space="preserve">llow this with greater explanations. </w:t>
      </w:r>
    </w:p>
  </w:comment>
  <w:comment w:id="95" w:author="Author" w:date="2015-11-30T11:24:00Z" w:initials=" ">
    <w:p w14:paraId="179A3773" w14:textId="77777777" w:rsidR="00BE076E" w:rsidRDefault="00BE076E">
      <w:pPr>
        <w:pStyle w:val="CommentText"/>
      </w:pPr>
      <w:r>
        <w:rPr>
          <w:rStyle w:val="CommentReference"/>
        </w:rPr>
        <w:annotationRef/>
      </w:r>
      <w:r>
        <w:t xml:space="preserve">Yes a critical and vital point which  you are not really addressing. </w:t>
      </w:r>
    </w:p>
  </w:comment>
  <w:comment w:id="98" w:author="Author" w:date="2015-11-30T11:25:00Z" w:initials=" ">
    <w:p w14:paraId="124DE7B5" w14:textId="77777777" w:rsidR="00BE076E" w:rsidRDefault="00BE076E">
      <w:pPr>
        <w:pStyle w:val="CommentText"/>
      </w:pPr>
      <w:r>
        <w:rPr>
          <w:rStyle w:val="CommentReference"/>
        </w:rPr>
        <w:annotationRef/>
      </w:r>
      <w:r>
        <w:t xml:space="preserve">This appears to be another aim. </w:t>
      </w:r>
    </w:p>
  </w:comment>
  <w:comment w:id="101" w:author="Author" w:date="2015-11-30T11:27:00Z" w:initials=" ">
    <w:p w14:paraId="51BED5AE" w14:textId="77777777" w:rsidR="00BE076E" w:rsidRDefault="00BE076E">
      <w:pPr>
        <w:pStyle w:val="CommentText"/>
      </w:pPr>
      <w:r>
        <w:rPr>
          <w:rStyle w:val="CommentReference"/>
        </w:rPr>
        <w:annotationRef/>
      </w:r>
      <w:r>
        <w:t xml:space="preserve">This belongs in your methodology section. </w:t>
      </w:r>
    </w:p>
  </w:comment>
  <w:comment w:id="105" w:author="Author" w:date="2015-11-30T11:30:00Z" w:initials=" ">
    <w:p w14:paraId="211866A1" w14:textId="77777777" w:rsidR="007F26B1" w:rsidRDefault="007F26B1">
      <w:pPr>
        <w:pStyle w:val="CommentText"/>
      </w:pPr>
      <w:r>
        <w:rPr>
          <w:rStyle w:val="CommentReference"/>
        </w:rPr>
        <w:annotationRef/>
      </w:r>
    </w:p>
  </w:comment>
  <w:comment w:id="106" w:author="Author" w:date="2015-11-30T11:30:00Z" w:initials=" ">
    <w:p w14:paraId="4025EFFA" w14:textId="77777777" w:rsidR="007F26B1" w:rsidRDefault="007F26B1">
      <w:pPr>
        <w:pStyle w:val="CommentText"/>
      </w:pPr>
      <w:r>
        <w:rPr>
          <w:rStyle w:val="CommentReference"/>
        </w:rPr>
        <w:annotationRef/>
      </w:r>
      <w:r>
        <w:t xml:space="preserve">So are you adopting Cooley’s methodology? </w:t>
      </w:r>
    </w:p>
  </w:comment>
  <w:comment w:id="107" w:author="Author" w:date="2015-11-30T11:33:00Z" w:initials=" ">
    <w:p w14:paraId="0A741A39" w14:textId="77777777" w:rsidR="007F26B1" w:rsidRDefault="007F26B1">
      <w:pPr>
        <w:pStyle w:val="CommentText"/>
      </w:pPr>
      <w:r>
        <w:rPr>
          <w:rStyle w:val="CommentReference"/>
        </w:rPr>
        <w:annotationRef/>
      </w:r>
      <w:r>
        <w:t xml:space="preserve">So are you dismissing Cooley’s work? </w:t>
      </w:r>
    </w:p>
  </w:comment>
  <w:comment w:id="108" w:author="Author" w:date="2015-11-30T11:46:00Z" w:initials=" ">
    <w:p w14:paraId="231EAC5D" w14:textId="77777777" w:rsidR="00765D5D" w:rsidRDefault="00765D5D">
      <w:pPr>
        <w:pStyle w:val="CommentText"/>
      </w:pPr>
      <w:r>
        <w:rPr>
          <w:rStyle w:val="CommentReference"/>
        </w:rPr>
        <w:annotationRef/>
      </w:r>
      <w:r>
        <w:t xml:space="preserve">This whole section is primarily a list with no discussion. </w:t>
      </w:r>
    </w:p>
  </w:comment>
  <w:comment w:id="110" w:author="Author" w:date="2015-11-30T11:48:00Z" w:initials=" ">
    <w:p w14:paraId="6AC73357" w14:textId="77777777" w:rsidR="00765D5D" w:rsidRDefault="00765D5D">
      <w:pPr>
        <w:pStyle w:val="CommentText"/>
      </w:pPr>
      <w:r>
        <w:rPr>
          <w:rStyle w:val="CommentReference"/>
        </w:rPr>
        <w:annotationRef/>
      </w:r>
      <w:r>
        <w:t xml:space="preserve">This is your second methodology section. </w:t>
      </w:r>
    </w:p>
    <w:p w14:paraId="77097C59" w14:textId="77777777" w:rsidR="00765D5D" w:rsidRDefault="00765D5D">
      <w:pPr>
        <w:pStyle w:val="CommentText"/>
      </w:pPr>
    </w:p>
    <w:p w14:paraId="41F46A54" w14:textId="77777777" w:rsidR="00765D5D" w:rsidRDefault="00765D5D">
      <w:pPr>
        <w:pStyle w:val="CommentText"/>
      </w:pPr>
      <w:r>
        <w:t xml:space="preserve">In one methodology section you need to pull all of these elements together and present them as a clear set of criteria you were going to apply to your primary sources. </w:t>
      </w:r>
    </w:p>
  </w:comment>
  <w:comment w:id="111" w:author="Author" w:date="2015-11-30T11:48:00Z" w:initials=" ">
    <w:p w14:paraId="589FE611" w14:textId="77777777" w:rsidR="00765D5D" w:rsidRDefault="00765D5D">
      <w:pPr>
        <w:pStyle w:val="CommentText"/>
      </w:pPr>
      <w:r>
        <w:rPr>
          <w:rStyle w:val="CommentReference"/>
        </w:rPr>
        <w:annotationRef/>
      </w:r>
      <w:r>
        <w:t xml:space="preserve">Which you appear to have dismissed earlier. </w:t>
      </w:r>
    </w:p>
  </w:comment>
  <w:comment w:id="112" w:author="Dorian" w:date="2015-11-29T14:01:00Z" w:initials="D">
    <w:p w14:paraId="0949F3F2" w14:textId="77777777" w:rsidR="005B3668" w:rsidRDefault="005B3668">
      <w:pPr>
        <w:pStyle w:val="CommentText"/>
      </w:pPr>
      <w:r>
        <w:rPr>
          <w:rStyle w:val="CommentReference"/>
        </w:rPr>
        <w:annotationRef/>
      </w:r>
      <w:r>
        <w:t xml:space="preserve">This is a rather bold statement. Do some parallels then yield the assumption, verging on certainty, that all astral </w:t>
      </w:r>
      <w:r w:rsidRPr="00A259B3">
        <w:t>con</w:t>
      </w:r>
      <w:r>
        <w:t>t</w:t>
      </w:r>
      <w:r w:rsidRPr="00A259B3">
        <w:t>ent</w:t>
      </w:r>
      <w:r>
        <w:t xml:space="preserve"> must not be ‘native’ Greek?</w:t>
      </w:r>
    </w:p>
  </w:comment>
  <w:comment w:id="115" w:author="Dorian" w:date="2015-11-20T20:26:00Z" w:initials="D">
    <w:p w14:paraId="75202F40" w14:textId="77777777" w:rsidR="005B3668" w:rsidRDefault="005B3668">
      <w:pPr>
        <w:pStyle w:val="CommentText"/>
      </w:pPr>
      <w:r>
        <w:rPr>
          <w:rStyle w:val="CommentReference"/>
        </w:rPr>
        <w:annotationRef/>
      </w:r>
      <w:r>
        <w:t>Do not assume that your readers will not know Greek. It is customary in academic practice to provide evidence in the original language, especially in well-known languages such as Greek and Latin.</w:t>
      </w:r>
    </w:p>
  </w:comment>
  <w:comment w:id="116" w:author="Dorian" w:date="2015-11-20T20:27:00Z" w:initials="D">
    <w:p w14:paraId="6EC1AE1F" w14:textId="77777777" w:rsidR="005B3668" w:rsidRDefault="005B3668">
      <w:pPr>
        <w:pStyle w:val="CommentText"/>
      </w:pPr>
      <w:r>
        <w:rPr>
          <w:rStyle w:val="CommentReference"/>
        </w:rPr>
        <w:annotationRef/>
      </w:r>
      <w:r>
        <w:t>missing punctuation</w:t>
      </w:r>
    </w:p>
  </w:comment>
  <w:comment w:id="118" w:author="Dorian" w:date="2015-11-20T20:28:00Z" w:initials="D">
    <w:p w14:paraId="1741CF7A" w14:textId="77777777" w:rsidR="005B3668" w:rsidRDefault="005B3668">
      <w:pPr>
        <w:pStyle w:val="CommentText"/>
      </w:pPr>
      <w:r>
        <w:rPr>
          <w:rStyle w:val="CommentReference"/>
        </w:rPr>
        <w:annotationRef/>
      </w:r>
      <w:r>
        <w:t>Good strategy</w:t>
      </w:r>
    </w:p>
  </w:comment>
  <w:comment w:id="119" w:author="Dorian" w:date="2015-11-20T20:29:00Z" w:initials="D">
    <w:p w14:paraId="52C14AAB" w14:textId="77777777" w:rsidR="005B3668" w:rsidRDefault="005B3668">
      <w:pPr>
        <w:pStyle w:val="CommentText"/>
      </w:pPr>
      <w:r>
        <w:rPr>
          <w:rStyle w:val="CommentReference"/>
        </w:rPr>
        <w:annotationRef/>
      </w:r>
      <w:r>
        <w:t>missing punctuation</w:t>
      </w:r>
    </w:p>
  </w:comment>
  <w:comment w:id="120" w:author="Author" w:date="2015-11-30T11:56:00Z" w:initials=" ">
    <w:p w14:paraId="5C5A69AC" w14:textId="77777777" w:rsidR="00FD30D5" w:rsidRDefault="00FD30D5">
      <w:pPr>
        <w:pStyle w:val="CommentText"/>
      </w:pPr>
      <w:r>
        <w:rPr>
          <w:rStyle w:val="CommentReference"/>
        </w:rPr>
        <w:annotationRef/>
      </w:r>
      <w:r>
        <w:t xml:space="preserve">Which is a little unclear as you have several sections and have dismissed Cooleys’ methodology, which should I believe be your model. </w:t>
      </w:r>
    </w:p>
  </w:comment>
  <w:comment w:id="122" w:author="Author" w:date="2015-11-30T11:58:00Z" w:initials=" ">
    <w:p w14:paraId="1394C660" w14:textId="77777777" w:rsidR="00FD30D5" w:rsidRDefault="00FD30D5">
      <w:pPr>
        <w:pStyle w:val="CommentText"/>
      </w:pPr>
      <w:r>
        <w:rPr>
          <w:rStyle w:val="CommentReference"/>
        </w:rPr>
        <w:annotationRef/>
      </w:r>
      <w:r>
        <w:t xml:space="preserve">Which Cooley has done? This citation suggest that he has covered this area. </w:t>
      </w:r>
    </w:p>
  </w:comment>
  <w:comment w:id="124" w:author="Dorian" w:date="2015-11-29T14:01:00Z" w:initials="D">
    <w:p w14:paraId="4D8B1103" w14:textId="77777777" w:rsidR="005B3668" w:rsidRDefault="005B3668">
      <w:pPr>
        <w:pStyle w:val="CommentText"/>
      </w:pPr>
      <w:r>
        <w:rPr>
          <w:rStyle w:val="CommentReference"/>
        </w:rPr>
        <w:annotationRef/>
      </w:r>
      <w:r>
        <w:t>Plagiarised from Pryke (see marker’s comments; plagiarism section)</w:t>
      </w:r>
    </w:p>
  </w:comment>
  <w:comment w:id="126" w:author="Dorian" w:date="1990-13-07T11:38:00Z" w:initials="D">
    <w:p w14:paraId="6B188C82" w14:textId="77777777" w:rsidR="005B3668" w:rsidRDefault="005B3668">
      <w:pPr>
        <w:pStyle w:val="CommentText"/>
      </w:pPr>
      <w:r>
        <w:rPr>
          <w:rStyle w:val="CommentReference"/>
        </w:rPr>
        <w:annotationRef/>
      </w:r>
      <w:r>
        <w:t>needs citation</w:t>
      </w:r>
    </w:p>
  </w:comment>
  <w:comment w:id="127" w:author="Author" w:date="2015-11-30T12:31:00Z" w:initials=" ">
    <w:p w14:paraId="222A1EEF" w14:textId="58A9CF22" w:rsidR="00AB57F5" w:rsidRDefault="00AB57F5">
      <w:pPr>
        <w:pStyle w:val="CommentText"/>
      </w:pPr>
      <w:r>
        <w:rPr>
          <w:rStyle w:val="CommentReference"/>
        </w:rPr>
        <w:annotationRef/>
      </w:r>
      <w:r>
        <w:t xml:space="preserve">Good point. </w:t>
      </w:r>
    </w:p>
  </w:comment>
  <w:comment w:id="128" w:author="Dorian" w:date="1990-13-07T13:44:00Z" w:initials="D">
    <w:p w14:paraId="27D35110" w14:textId="77777777" w:rsidR="005B3668" w:rsidRDefault="005B3668">
      <w:pPr>
        <w:pStyle w:val="CommentText"/>
      </w:pPr>
      <w:r>
        <w:rPr>
          <w:rStyle w:val="CommentReference"/>
        </w:rPr>
        <w:annotationRef/>
      </w:r>
      <w:r>
        <w:t xml:space="preserve"> Burkert uses the exact passages you mention. It is a poor and dishonest scholarly practice to list the primary source first, when you found it in Burkert; you should list Burkert first, and the primary source next, ‘as cited in Burkert’. The order in which you have done this implies that your own research led you to this primary source, when actually it was Burkert’s research. Such practice occurs throughout this dissertation.</w:t>
      </w:r>
    </w:p>
  </w:comment>
  <w:comment w:id="129" w:author="Author" w:date="2015-11-30T12:32:00Z" w:initials=" ">
    <w:p w14:paraId="413AEC1A" w14:textId="0A61A315" w:rsidR="00AB57F5" w:rsidRDefault="00AB57F5">
      <w:pPr>
        <w:pStyle w:val="CommentText"/>
      </w:pPr>
      <w:r>
        <w:rPr>
          <w:rStyle w:val="CommentReference"/>
        </w:rPr>
        <w:annotationRef/>
      </w:r>
      <w:r>
        <w:t xml:space="preserve">Citation needed. </w:t>
      </w:r>
    </w:p>
  </w:comment>
  <w:comment w:id="130" w:author="Author" w:date="2015-11-30T12:32:00Z" w:initials=" ">
    <w:p w14:paraId="72F76D7E" w14:textId="5A7A09FC" w:rsidR="00AB57F5" w:rsidRDefault="00AB57F5">
      <w:pPr>
        <w:pStyle w:val="CommentText"/>
      </w:pPr>
      <w:r>
        <w:rPr>
          <w:rStyle w:val="CommentReference"/>
        </w:rPr>
        <w:annotationRef/>
      </w:r>
      <w:r>
        <w:t>White argues that…</w:t>
      </w:r>
    </w:p>
  </w:comment>
  <w:comment w:id="131" w:author="Dorian" w:date="2015-11-22T21:57:00Z" w:initials="D">
    <w:p w14:paraId="70D993C6" w14:textId="77777777" w:rsidR="005B3668" w:rsidRDefault="005B3668">
      <w:pPr>
        <w:pStyle w:val="CommentText"/>
      </w:pPr>
      <w:r>
        <w:rPr>
          <w:rStyle w:val="CommentReference"/>
        </w:rPr>
        <w:annotationRef/>
      </w:r>
      <w:r>
        <w:t>More commonly, ‘Book’</w:t>
      </w:r>
    </w:p>
  </w:comment>
  <w:comment w:id="132" w:author="Dorian" w:date="2015-11-23T18:22:00Z" w:initials="D">
    <w:p w14:paraId="6606FF46" w14:textId="77777777" w:rsidR="005B3668" w:rsidRDefault="005B3668">
      <w:pPr>
        <w:pStyle w:val="CommentText"/>
      </w:pPr>
      <w:r>
        <w:rPr>
          <w:rStyle w:val="CommentReference"/>
        </w:rPr>
        <w:annotationRef/>
      </w:r>
      <w:r>
        <w:t>missing diacritics</w:t>
      </w:r>
    </w:p>
  </w:comment>
  <w:comment w:id="133" w:author="Author" w:date="2015-11-30T12:33:00Z" w:initials=" ">
    <w:p w14:paraId="12A99F71" w14:textId="438E638A" w:rsidR="00AB57F5" w:rsidRDefault="00AB57F5">
      <w:pPr>
        <w:pStyle w:val="CommentText"/>
      </w:pPr>
      <w:r>
        <w:rPr>
          <w:rStyle w:val="CommentReference"/>
        </w:rPr>
        <w:annotationRef/>
      </w:r>
      <w:r>
        <w:t xml:space="preserve">This is a weak argument, a lose association. </w:t>
      </w:r>
    </w:p>
  </w:comment>
  <w:comment w:id="134" w:author="Dorian" w:date="1990-13-07T12:06:00Z" w:initials="D">
    <w:p w14:paraId="357C1372" w14:textId="77777777" w:rsidR="005B3668" w:rsidRDefault="005B3668">
      <w:pPr>
        <w:pStyle w:val="CommentText"/>
      </w:pPr>
      <w:r>
        <w:rPr>
          <w:rStyle w:val="CommentReference"/>
        </w:rPr>
        <w:annotationRef/>
      </w:r>
      <w:r>
        <w:t xml:space="preserve">Did you get this translation from Allen, </w:t>
      </w:r>
      <w:r w:rsidRPr="00CD35AC">
        <w:rPr>
          <w:i/>
        </w:rPr>
        <w:t>Star Names: Their Lore and Meaning</w:t>
      </w:r>
      <w:r>
        <w:t>, p. 380??</w:t>
      </w:r>
    </w:p>
  </w:comment>
  <w:comment w:id="135" w:author="Author" w:date="2015-11-30T12:34:00Z" w:initials=" ">
    <w:p w14:paraId="3329A5B9" w14:textId="10E5FF57" w:rsidR="00AB57F5" w:rsidRDefault="00AB57F5">
      <w:pPr>
        <w:pStyle w:val="CommentText"/>
      </w:pPr>
      <w:r>
        <w:rPr>
          <w:rStyle w:val="CommentReference"/>
        </w:rPr>
        <w:annotationRef/>
      </w:r>
      <w:r>
        <w:t xml:space="preserve">This is Allen’s opinion, which could be challenged. </w:t>
      </w:r>
    </w:p>
  </w:comment>
  <w:comment w:id="136" w:author="Author" w:date="2015-11-30T12:35:00Z" w:initials=" ">
    <w:p w14:paraId="00A95591" w14:textId="3CDD155A" w:rsidR="00AB57F5" w:rsidRDefault="00AB57F5">
      <w:pPr>
        <w:pStyle w:val="CommentText"/>
      </w:pPr>
      <w:r>
        <w:rPr>
          <w:rStyle w:val="CommentReference"/>
        </w:rPr>
        <w:annotationRef/>
      </w:r>
      <w:r>
        <w:t xml:space="preserve">This is highly questionable. You are showing a lack of critical thinking here. </w:t>
      </w:r>
    </w:p>
  </w:comment>
  <w:comment w:id="137" w:author="Dorian" w:date="1990-13-07T13:46:00Z" w:initials="D">
    <w:p w14:paraId="7402CF48" w14:textId="77777777" w:rsidR="005B3668" w:rsidRDefault="005B3668">
      <w:pPr>
        <w:pStyle w:val="CommentText"/>
      </w:pPr>
      <w:r>
        <w:rPr>
          <w:rStyle w:val="CommentReference"/>
        </w:rPr>
        <w:annotationRef/>
      </w:r>
      <w:r>
        <w:t xml:space="preserve">Is Wood and Wood a scholarly, credible source? I find evidence to the contrary: </w:t>
      </w:r>
      <w:hyperlink r:id="rId1" w:history="1">
        <w:r w:rsidRPr="00C437D0">
          <w:rPr>
            <w:rStyle w:val="Hyperlink"/>
          </w:rPr>
          <w:t>http://members.westnet.com.au/gary-david-thompson/page9j.html</w:t>
        </w:r>
      </w:hyperlink>
      <w:r>
        <w:t xml:space="preserve"> (search on “Homer’s Secret Odyssey”). Also citing yourself for your own theory may be, strictly speaking, accurate, but it does not provide evidence that this theory is true.</w:t>
      </w:r>
    </w:p>
  </w:comment>
  <w:comment w:id="138" w:author="Dorian" w:date="1990-13-07T13:30:00Z" w:initials="D">
    <w:p w14:paraId="2AD6F950" w14:textId="77777777" w:rsidR="005B3668" w:rsidRDefault="005B3668">
      <w:pPr>
        <w:pStyle w:val="CommentText"/>
      </w:pPr>
      <w:r>
        <w:rPr>
          <w:rStyle w:val="CommentReference"/>
        </w:rPr>
        <w:annotationRef/>
      </w:r>
      <w:r>
        <w:t>in whose mind?</w:t>
      </w:r>
    </w:p>
  </w:comment>
  <w:comment w:id="139" w:author="Dorian" w:date="1990-13-07T13:02:00Z" w:initials="D">
    <w:p w14:paraId="14274B28" w14:textId="77777777" w:rsidR="005B3668" w:rsidRDefault="005B3668">
      <w:pPr>
        <w:pStyle w:val="CommentText"/>
      </w:pPr>
      <w:r>
        <w:rPr>
          <w:rStyle w:val="CommentReference"/>
        </w:rPr>
        <w:annotationRef/>
      </w:r>
      <w:r>
        <w:t>Missing punctuation here.</w:t>
      </w:r>
    </w:p>
  </w:comment>
  <w:comment w:id="140" w:author="Dorian" w:date="1990-13-07T13:12:00Z" w:initials="D">
    <w:p w14:paraId="427AEFE2" w14:textId="77777777" w:rsidR="005B3668" w:rsidRDefault="005B3668">
      <w:pPr>
        <w:pStyle w:val="CommentText"/>
      </w:pPr>
      <w:r>
        <w:rPr>
          <w:rStyle w:val="CommentReference"/>
        </w:rPr>
        <w:annotationRef/>
      </w:r>
      <w:r>
        <w:t>Kirk only mentions Smyrna as a possible birthplace of Homer; putting the note here is misleading, since Kirk does not say anything about the moon when the sun is in Taurus.</w:t>
      </w:r>
    </w:p>
  </w:comment>
  <w:comment w:id="141" w:author="Dorian" w:date="2015-11-22T22:39:00Z" w:initials="D">
    <w:p w14:paraId="01518D58" w14:textId="77777777" w:rsidR="005B3668" w:rsidRDefault="005B3668">
      <w:pPr>
        <w:pStyle w:val="CommentText"/>
      </w:pPr>
      <w:r>
        <w:rPr>
          <w:rStyle w:val="CommentReference"/>
        </w:rPr>
        <w:annotationRef/>
      </w:r>
      <w:r>
        <w:t>But of course this does not prove that Homer meant to write allegorically of a solar eclipse.</w:t>
      </w:r>
    </w:p>
  </w:comment>
  <w:comment w:id="142" w:author="Dorian" w:date="2015-11-29T01:38:00Z" w:initials="D">
    <w:p w14:paraId="30A80D16" w14:textId="77777777" w:rsidR="005B3668" w:rsidRDefault="005B3668">
      <w:pPr>
        <w:pStyle w:val="CommentText"/>
      </w:pPr>
      <w:r>
        <w:rPr>
          <w:rStyle w:val="CommentReference"/>
        </w:rPr>
        <w:annotationRef/>
      </w:r>
      <w:r>
        <w:t xml:space="preserve">Perhaps this could refer to a solar eclipse, or just cloudy or stormy weather. Further research needed here to support this theory, which has been discussed in antiquity and in scholarship, mostly denying an eclipse: see Peter Gainsford, TAPA  142 (2012),  1-22: </w:t>
      </w:r>
      <w:r w:rsidRPr="00155911">
        <w:t>https://www.academia.edu/622261/Odyssey_20.356-57_and_the_Eclipse_of_1178_BCE_A_Response_to_Baikouzis_and_Magnasco</w:t>
      </w:r>
    </w:p>
  </w:comment>
  <w:comment w:id="143" w:author="Dorian" w:date="2015-11-22T22:41:00Z" w:initials="D">
    <w:p w14:paraId="3A0ACD99" w14:textId="77777777" w:rsidR="005B3668" w:rsidRDefault="005B3668">
      <w:pPr>
        <w:pStyle w:val="CommentText"/>
      </w:pPr>
      <w:r>
        <w:rPr>
          <w:rStyle w:val="CommentReference"/>
        </w:rPr>
        <w:annotationRef/>
      </w:r>
      <w:r>
        <w:t>Correct!</w:t>
      </w:r>
    </w:p>
  </w:comment>
  <w:comment w:id="144" w:author="Dorian" w:date="2015-11-22T22:41:00Z" w:initials="D">
    <w:p w14:paraId="4B7E4C4C" w14:textId="77777777" w:rsidR="005B3668" w:rsidRDefault="005B3668">
      <w:pPr>
        <w:pStyle w:val="CommentText"/>
      </w:pPr>
      <w:r>
        <w:rPr>
          <w:rStyle w:val="CommentReference"/>
        </w:rPr>
        <w:annotationRef/>
      </w:r>
      <w:r>
        <w:t>It would be good to cite the passage itself here.</w:t>
      </w:r>
    </w:p>
  </w:comment>
  <w:comment w:id="145" w:author="Dorian" w:date="1990-13-07T13:30:00Z" w:initials="D">
    <w:p w14:paraId="4741DC5F" w14:textId="77777777" w:rsidR="005B3668" w:rsidRDefault="005B3668">
      <w:pPr>
        <w:pStyle w:val="CommentText"/>
      </w:pPr>
      <w:r>
        <w:rPr>
          <w:rStyle w:val="CommentReference"/>
        </w:rPr>
        <w:annotationRef/>
      </w:r>
      <w:r>
        <w:t>what is your evidence for such ‘evoking’?</w:t>
      </w:r>
    </w:p>
  </w:comment>
  <w:comment w:id="146" w:author="Dorian" w:date="2015-11-22T22:44:00Z" w:initials="D">
    <w:p w14:paraId="44AFFD68" w14:textId="77777777" w:rsidR="005B3668" w:rsidRDefault="005B3668">
      <w:pPr>
        <w:pStyle w:val="CommentText"/>
      </w:pPr>
      <w:r>
        <w:rPr>
          <w:rStyle w:val="CommentReference"/>
        </w:rPr>
        <w:annotationRef/>
      </w:r>
      <w:r>
        <w:t>Again, is Alice Bailey a reliable source? How does this advance your argument?</w:t>
      </w:r>
    </w:p>
  </w:comment>
  <w:comment w:id="147" w:author="Author" w:date="2015-11-30T12:43:00Z" w:initials=" ">
    <w:p w14:paraId="04278FD0" w14:textId="2D7E9331" w:rsidR="00E128DE" w:rsidRDefault="00E128DE">
      <w:pPr>
        <w:pStyle w:val="CommentText"/>
      </w:pPr>
      <w:r>
        <w:rPr>
          <w:rStyle w:val="CommentReference"/>
        </w:rPr>
        <w:annotationRef/>
      </w:r>
      <w:r>
        <w:t xml:space="preserve">You have not made this case. </w:t>
      </w:r>
    </w:p>
  </w:comment>
  <w:comment w:id="148" w:author="Dorian" w:date="2015-11-22T22:45:00Z" w:initials="D">
    <w:p w14:paraId="2E9950E7" w14:textId="77777777" w:rsidR="005B3668" w:rsidRDefault="005B3668">
      <w:pPr>
        <w:pStyle w:val="CommentText"/>
      </w:pPr>
      <w:r>
        <w:rPr>
          <w:rStyle w:val="CommentReference"/>
        </w:rPr>
        <w:annotationRef/>
      </w:r>
      <w:r>
        <w:t>This argument is fairly unconvincing. You do not supply credible sources or compelling evidence to support your claim.</w:t>
      </w:r>
    </w:p>
  </w:comment>
  <w:comment w:id="150" w:author="Dorian" w:date="1990-13-07T13:50:00Z" w:initials="D">
    <w:p w14:paraId="4AC18AC1" w14:textId="77777777" w:rsidR="005B3668" w:rsidRDefault="005B3668">
      <w:pPr>
        <w:pStyle w:val="CommentText"/>
      </w:pPr>
      <w:r>
        <w:rPr>
          <w:rStyle w:val="CommentReference"/>
        </w:rPr>
        <w:annotationRef/>
      </w:r>
      <w:r>
        <w:t>needs citation</w:t>
      </w:r>
    </w:p>
  </w:comment>
  <w:comment w:id="151" w:author="Dorian" w:date="1990-13-07T14:04:00Z" w:initials="D">
    <w:p w14:paraId="7DF4E9F9" w14:textId="77777777" w:rsidR="005B3668" w:rsidRDefault="005B3668">
      <w:pPr>
        <w:pStyle w:val="CommentText"/>
      </w:pPr>
      <w:r>
        <w:rPr>
          <w:rStyle w:val="CommentReference"/>
        </w:rPr>
        <w:annotationRef/>
      </w:r>
      <w:r>
        <w:t>Did you read this quotation in White?</w:t>
      </w:r>
    </w:p>
  </w:comment>
  <w:comment w:id="152" w:author="Author" w:date="2015-11-30T12:50:00Z" w:initials=" ">
    <w:p w14:paraId="6C726240" w14:textId="3D4D673F" w:rsidR="00E128DE" w:rsidRDefault="00E128DE">
      <w:pPr>
        <w:pStyle w:val="CommentText"/>
      </w:pPr>
      <w:r>
        <w:rPr>
          <w:rStyle w:val="CommentReference"/>
        </w:rPr>
        <w:annotationRef/>
      </w:r>
      <w:r>
        <w:t xml:space="preserve">A quote from your primary source would have helped here. </w:t>
      </w:r>
    </w:p>
  </w:comment>
  <w:comment w:id="153" w:author="Author" w:date="2015-11-30T12:51:00Z" w:initials=" ">
    <w:p w14:paraId="67B357F4" w14:textId="5DAB08A9" w:rsidR="00943034" w:rsidRDefault="00943034">
      <w:pPr>
        <w:pStyle w:val="CommentText"/>
      </w:pPr>
      <w:r>
        <w:rPr>
          <w:rStyle w:val="CommentReference"/>
        </w:rPr>
        <w:annotationRef/>
      </w:r>
      <w:r>
        <w:t xml:space="preserve">Quotes needed here. </w:t>
      </w:r>
    </w:p>
  </w:comment>
  <w:comment w:id="154" w:author="Dorian" w:date="1990-13-07T14:18:00Z" w:initials="D">
    <w:p w14:paraId="37C0E9D2" w14:textId="77777777" w:rsidR="005B3668" w:rsidRDefault="005B3668">
      <w:pPr>
        <w:pStyle w:val="CommentText"/>
      </w:pPr>
      <w:r>
        <w:rPr>
          <w:rStyle w:val="CommentReference"/>
        </w:rPr>
        <w:annotationRef/>
      </w:r>
      <w:r>
        <w:t>The Germain reference is cited in West; it is not your original research.</w:t>
      </w:r>
    </w:p>
  </w:comment>
  <w:comment w:id="155" w:author="Dorian" w:date="1990-13-07T14:20:00Z" w:initials="D">
    <w:p w14:paraId="7ED6FA92" w14:textId="77777777" w:rsidR="005B3668" w:rsidRDefault="005B3668">
      <w:pPr>
        <w:pStyle w:val="CommentText"/>
      </w:pPr>
      <w:r>
        <w:rPr>
          <w:rStyle w:val="CommentReference"/>
        </w:rPr>
        <w:annotationRef/>
      </w:r>
      <w:r>
        <w:t>This is West’s phrase</w:t>
      </w:r>
    </w:p>
  </w:comment>
  <w:comment w:id="156" w:author="Dorian" w:date="2015-11-23T00:50:00Z" w:initials="D">
    <w:p w14:paraId="1857B8B7" w14:textId="77777777" w:rsidR="005B3668" w:rsidRDefault="005B3668">
      <w:pPr>
        <w:pStyle w:val="CommentText"/>
      </w:pPr>
      <w:r>
        <w:rPr>
          <w:rStyle w:val="CommentReference"/>
        </w:rPr>
        <w:annotationRef/>
      </w:r>
      <w:r>
        <w:t xml:space="preserve"> This is plagiarised from M. L. West, The East Face of Helicon, p. 407: ‘Circe’s island is called </w:t>
      </w:r>
      <w:r>
        <w:rPr>
          <w:rFonts w:ascii="Brill" w:hAnsi="Brill"/>
          <w:noProof/>
          <w:lang w:val="el-GR"/>
        </w:rPr>
        <w:t>Αἰαίη νῆσος</w:t>
      </w:r>
      <w:r>
        <w:t>, ‘”he Aiaian island”.... The name is manifestly related to Aia, which appears in Mimnermus as the land of the Golden Fleece...and to Aietes...Circe’s brother; they are the children of the Sun and the Oceanid Perse. [fn8: Mimn. 11.2, 11a; Od. 10, 135-9.]’ YOU HAVE NOT CITED WEST IN YOUR NOTE.</w:t>
      </w:r>
    </w:p>
  </w:comment>
  <w:comment w:id="157" w:author="Dorian" w:date="2015-11-23T01:09:00Z" w:initials="D">
    <w:p w14:paraId="7855F9C0" w14:textId="77777777" w:rsidR="005B3668" w:rsidRDefault="005B3668">
      <w:pPr>
        <w:pStyle w:val="CommentText"/>
      </w:pPr>
      <w:r>
        <w:rPr>
          <w:rStyle w:val="CommentReference"/>
        </w:rPr>
        <w:annotationRef/>
      </w:r>
      <w:r>
        <w:t>This is also plagiarised from West, p. 407: ‘The name Aia and its derivatives...have an intimate connection with the Sun-god and with the place of his rising. It seems impossible to separate this from the name of the Babylonian goddess Aya, who is the Sun-god’s wife and a goddess of the dawn...[fn9: Burkert (1979), 10. For Aya cf. Tallqvist (1938), 245.]’. In addition to the plagiarism of West, when you cite his sources (that you found in West, you must say, ‘cited in West, p. 407’. If you do not say this it is also plagiarism, in that you are not the one who originally researched Tallqvist’s 1938 book.</w:t>
      </w:r>
    </w:p>
  </w:comment>
  <w:comment w:id="158" w:author="Dorian" w:date="2015-11-23T01:15:00Z" w:initials="D">
    <w:p w14:paraId="155B4093" w14:textId="77777777" w:rsidR="005B3668" w:rsidRDefault="005B3668">
      <w:pPr>
        <w:pStyle w:val="CommentText"/>
      </w:pPr>
      <w:r>
        <w:rPr>
          <w:rStyle w:val="CommentReference"/>
        </w:rPr>
        <w:annotationRef/>
      </w:r>
      <w:r>
        <w:t>Again, you have plagiarised West (you have NOT cited him for these ideas). West, p. 407: ‘There was a gate of Ishtar (and) Aya leading out of the underworld into the light, [fn10:CPLM no. 32 (</w:t>
      </w:r>
      <w:r w:rsidRPr="00C77E39">
        <w:rPr>
          <w:i/>
        </w:rPr>
        <w:t>The Underworld</w:t>
      </w:r>
      <w:r>
        <w:t xml:space="preserve"> </w:t>
      </w:r>
      <w:r w:rsidRPr="00C77E39">
        <w:rPr>
          <w:i/>
        </w:rPr>
        <w:t>Vision of an Assyrian Prince</w:t>
      </w:r>
      <w:r>
        <w:t xml:space="preserve">) rev. 19.] no doubt the opening through which the Morning Star and the light of dawn appeared. In the </w:t>
      </w:r>
      <w:r w:rsidRPr="00C77E39">
        <w:rPr>
          <w:i/>
        </w:rPr>
        <w:t>Odyssey</w:t>
      </w:r>
      <w:r>
        <w:t xml:space="preserve"> it is from the Aiaian island that the hero sails...’</w:t>
      </w:r>
    </w:p>
  </w:comment>
  <w:comment w:id="160" w:author="Dorian" w:date="2015-11-22T23:14:00Z" w:initials="D">
    <w:p w14:paraId="68C90AC3" w14:textId="77777777" w:rsidR="005B3668" w:rsidRDefault="005B3668">
      <w:pPr>
        <w:pStyle w:val="CommentText"/>
      </w:pPr>
      <w:r>
        <w:rPr>
          <w:rStyle w:val="CommentReference"/>
        </w:rPr>
        <w:annotationRef/>
      </w:r>
      <w:r>
        <w:t>Missing acute accent on the iota</w:t>
      </w:r>
    </w:p>
  </w:comment>
  <w:comment w:id="159" w:author="Dorian" w:date="2015-11-23T00:57:00Z" w:initials="D">
    <w:p w14:paraId="03AEBFFF" w14:textId="77777777" w:rsidR="005B3668" w:rsidRDefault="005B3668">
      <w:pPr>
        <w:pStyle w:val="CommentText"/>
      </w:pPr>
      <w:r>
        <w:rPr>
          <w:rStyle w:val="CommentReference"/>
        </w:rPr>
        <w:annotationRef/>
      </w:r>
      <w:r>
        <w:t>These are West’s ideas, on his p. 408. You must cite him, as this is not your original research and you have plagiarised him again.</w:t>
      </w:r>
    </w:p>
  </w:comment>
  <w:comment w:id="161" w:author="Author" w:date="2015-11-30T13:01:00Z" w:initials=" ">
    <w:p w14:paraId="7A0F44AE" w14:textId="5C722D28" w:rsidR="000D5B37" w:rsidRDefault="000D5B37">
      <w:pPr>
        <w:pStyle w:val="CommentText"/>
      </w:pPr>
      <w:r>
        <w:rPr>
          <w:rStyle w:val="CommentReference"/>
        </w:rPr>
        <w:annotationRef/>
      </w:r>
      <w:r>
        <w:t xml:space="preserve"> You have introduced the Egyptian culture here and suggesting that they to influenced the Greeks. This is a valid point which potentially can derail your entire research aim. </w:t>
      </w:r>
    </w:p>
  </w:comment>
  <w:comment w:id="162" w:author="Dorian" w:date="2015-11-27T13:29:00Z" w:initials="D">
    <w:p w14:paraId="6208555A" w14:textId="77777777" w:rsidR="005B3668" w:rsidRDefault="005B3668">
      <w:pPr>
        <w:pStyle w:val="CommentText"/>
      </w:pPr>
      <w:r>
        <w:rPr>
          <w:rStyle w:val="CommentReference"/>
        </w:rPr>
        <w:annotationRef/>
      </w:r>
      <w:r>
        <w:t xml:space="preserve">The phrase ‘veiled with a veil’ in West, </w:t>
      </w:r>
      <w:r w:rsidRPr="007748A4">
        <w:rPr>
          <w:i/>
        </w:rPr>
        <w:t>The Making of the Odyssey</w:t>
      </w:r>
      <w:r>
        <w:t>, p. 127 n. 67: ‘Shiduri is described as ‘veiled with a veil’, which might be relevant to Calypso’s name.’</w:t>
      </w:r>
    </w:p>
  </w:comment>
  <w:comment w:id="163" w:author="Dorian" w:date="2015-11-22T23:19:00Z" w:initials="D">
    <w:p w14:paraId="74BF54FA" w14:textId="77777777" w:rsidR="005B3668" w:rsidRDefault="005B3668">
      <w:pPr>
        <w:pStyle w:val="CommentText"/>
      </w:pPr>
      <w:r>
        <w:rPr>
          <w:rStyle w:val="CommentReference"/>
        </w:rPr>
        <w:annotationRef/>
      </w:r>
      <w:r>
        <w:t>Quite a stretch.</w:t>
      </w:r>
    </w:p>
  </w:comment>
  <w:comment w:id="164" w:author="Author" w:date="2015-11-30T13:04:00Z" w:initials=" ">
    <w:p w14:paraId="2F0AB3BF" w14:textId="07C67158" w:rsidR="000D5B37" w:rsidRDefault="000D5B37">
      <w:pPr>
        <w:pStyle w:val="CommentText"/>
      </w:pPr>
      <w:r>
        <w:rPr>
          <w:rStyle w:val="CommentReference"/>
        </w:rPr>
        <w:annotationRef/>
      </w:r>
      <w:r>
        <w:t xml:space="preserve">You are not producing any primary evidence, you are simply listing the argument of others. </w:t>
      </w:r>
    </w:p>
  </w:comment>
  <w:comment w:id="165" w:author="Author" w:date="2015-11-30T14:23:00Z" w:initials=" ">
    <w:p w14:paraId="100536FB" w14:textId="1207FD68" w:rsidR="00955829" w:rsidRDefault="00955829">
      <w:pPr>
        <w:pStyle w:val="CommentText"/>
      </w:pPr>
      <w:r>
        <w:rPr>
          <w:rStyle w:val="CommentReference"/>
        </w:rPr>
        <w:annotationRef/>
      </w:r>
      <w:r>
        <w:t>With Murray has establish this point, the question is why does the paper now give a precise of his work?</w:t>
      </w:r>
    </w:p>
  </w:comment>
  <w:comment w:id="169" w:author="Dorian" w:date="2015-11-22T23:25:00Z" w:initials="D">
    <w:p w14:paraId="6B2C019D" w14:textId="77777777" w:rsidR="005B3668" w:rsidRDefault="005B3668">
      <w:pPr>
        <w:pStyle w:val="CommentText"/>
      </w:pPr>
      <w:r>
        <w:rPr>
          <w:rStyle w:val="CommentReference"/>
        </w:rPr>
        <w:annotationRef/>
      </w:r>
      <w:r>
        <w:t>missing diacritic</w:t>
      </w:r>
    </w:p>
  </w:comment>
  <w:comment w:id="170" w:author="Dorian" w:date="2015-11-23T20:30:00Z" w:initials="D">
    <w:p w14:paraId="1246DB8D" w14:textId="77777777" w:rsidR="005B3668" w:rsidRDefault="005B3668">
      <w:pPr>
        <w:pStyle w:val="CommentText"/>
      </w:pPr>
      <w:r>
        <w:rPr>
          <w:rStyle w:val="CommentReference"/>
        </w:rPr>
        <w:annotationRef/>
      </w:r>
      <w:r>
        <w:t>Except for the last reference (and LSJ does not list words by morpheme, as you have done), this note is copied virtually verbatim from West, The East Face of Helicon, p. 27, n. 110. You have not acknowledged West’s research.</w:t>
      </w:r>
    </w:p>
  </w:comment>
  <w:comment w:id="171" w:author="Dorian" w:date="2015-11-23T12:19:00Z" w:initials="D">
    <w:p w14:paraId="436158E9" w14:textId="77777777" w:rsidR="005B3668" w:rsidRDefault="005B3668">
      <w:pPr>
        <w:pStyle w:val="CommentText"/>
      </w:pPr>
      <w:r>
        <w:rPr>
          <w:rStyle w:val="CommentReference"/>
        </w:rPr>
        <w:annotationRef/>
      </w:r>
      <w:r>
        <w:t xml:space="preserve">Copied without attribution from West, p. 27: [West]: The word </w:t>
      </w:r>
      <w:r>
        <w:rPr>
          <w:rFonts w:ascii="Brill" w:hAnsi="Brill" w:cs="Arial"/>
          <w:noProof/>
          <w:sz w:val="24"/>
          <w:lang w:val="el-GR"/>
        </w:rPr>
        <w:t>φυλακή</w:t>
      </w:r>
      <w:r>
        <w:rPr>
          <w:rFonts w:ascii="Brill" w:hAnsi="Brill"/>
          <w:noProof/>
          <w:lang w:val="el-GR"/>
        </w:rPr>
        <w:t xml:space="preserve"> </w:t>
      </w:r>
      <w:r>
        <w:rPr>
          <w:rFonts w:ascii="Arial" w:hAnsi="Arial" w:cs="Arial"/>
        </w:rPr>
        <w:t xml:space="preserve">corresponds closely in most of its senses, including this one, to Akkadian </w:t>
      </w:r>
      <w:r w:rsidRPr="00BF3049">
        <w:rPr>
          <w:rFonts w:ascii="Arial" w:hAnsi="Arial" w:cs="Arial"/>
          <w:i/>
        </w:rPr>
        <w:t>ma</w:t>
      </w:r>
      <w:r>
        <w:rPr>
          <w:rFonts w:ascii="Arial" w:hAnsi="Arial" w:cs="Arial"/>
          <w:i/>
        </w:rPr>
        <w:t>ṣṣ</w:t>
      </w:r>
      <w:r w:rsidRPr="00BF3049">
        <w:rPr>
          <w:rFonts w:ascii="Arial" w:hAnsi="Arial" w:cs="Arial"/>
          <w:i/>
        </w:rPr>
        <w:t>artu</w:t>
      </w:r>
      <w:r>
        <w:rPr>
          <w:rFonts w:ascii="Arial" w:hAnsi="Arial" w:cs="Arial"/>
        </w:rPr>
        <w:t>.’</w:t>
      </w:r>
    </w:p>
  </w:comment>
  <w:comment w:id="174" w:author="Author" w:date="2015-11-30T14:25:00Z" w:initials=" ">
    <w:p w14:paraId="10E53C2B" w14:textId="0FAA9CF8" w:rsidR="00955829" w:rsidRDefault="00955829">
      <w:pPr>
        <w:pStyle w:val="CommentText"/>
      </w:pPr>
      <w:r>
        <w:rPr>
          <w:rStyle w:val="CommentReference"/>
        </w:rPr>
        <w:annotationRef/>
      </w:r>
      <w:r>
        <w:t xml:space="preserve">Good – quoting from Homer. The paper needs more of this. </w:t>
      </w:r>
    </w:p>
  </w:comment>
  <w:comment w:id="175" w:author="Dorian" w:date="2015-11-23T12:21:00Z" w:initials="D">
    <w:p w14:paraId="089CAE53" w14:textId="77777777" w:rsidR="005B3668" w:rsidRDefault="005B3668">
      <w:pPr>
        <w:pStyle w:val="CommentText"/>
      </w:pPr>
      <w:r>
        <w:rPr>
          <w:rStyle w:val="CommentReference"/>
        </w:rPr>
        <w:annotationRef/>
      </w:r>
      <w:r>
        <w:t>Plagiarised from West: ‘The same division into three “watches” (‘ašmôrôt) is attested in the Old Testament...’. [You duplicate the sources exactly as they are in West’s footnote 112, though expanding the Güterbock reference to include the title.</w:t>
      </w:r>
    </w:p>
  </w:comment>
  <w:comment w:id="176" w:author="Author" w:date="2015-11-30T14:25:00Z" w:initials=" ">
    <w:p w14:paraId="7482C96C" w14:textId="2FEEECF6" w:rsidR="00955829" w:rsidRDefault="00955829">
      <w:pPr>
        <w:pStyle w:val="CommentText"/>
      </w:pPr>
      <w:r>
        <w:rPr>
          <w:rStyle w:val="CommentReference"/>
        </w:rPr>
        <w:annotationRef/>
      </w:r>
      <w:r>
        <w:t xml:space="preserve">But this is just the reporting of the established arguments. </w:t>
      </w:r>
    </w:p>
  </w:comment>
  <w:comment w:id="178" w:author="Dorian" w:date="2015-11-27T14:17:00Z" w:initials="D">
    <w:p w14:paraId="7DD86B28" w14:textId="77777777" w:rsidR="005B3668" w:rsidRDefault="005B3668">
      <w:pPr>
        <w:pStyle w:val="CommentText"/>
      </w:pPr>
      <w:r>
        <w:rPr>
          <w:rStyle w:val="CommentReference"/>
        </w:rPr>
        <w:annotationRef/>
      </w:r>
      <w:r>
        <w:t>Uncited West p. 175</w:t>
      </w:r>
    </w:p>
  </w:comment>
  <w:comment w:id="179" w:author="Author" w:date="2015-11-30T14:27:00Z" w:initials=" ">
    <w:p w14:paraId="472A6FCD" w14:textId="7B58E1FF" w:rsidR="00955829" w:rsidRDefault="00955829">
      <w:pPr>
        <w:pStyle w:val="CommentText"/>
      </w:pPr>
      <w:r>
        <w:rPr>
          <w:rStyle w:val="CommentReference"/>
        </w:rPr>
        <w:annotationRef/>
      </w:r>
      <w:r>
        <w:t xml:space="preserve">Rather then telling the reader, you needed to quote from your primary sources. </w:t>
      </w:r>
    </w:p>
  </w:comment>
  <w:comment w:id="180" w:author="Dorian" w:date="2015-11-27T14:17:00Z" w:initials="D">
    <w:p w14:paraId="7293E8E5" w14:textId="77777777" w:rsidR="005B3668" w:rsidRDefault="005B3668">
      <w:pPr>
        <w:pStyle w:val="CommentText"/>
      </w:pPr>
      <w:r>
        <w:rPr>
          <w:rStyle w:val="CommentReference"/>
        </w:rPr>
        <w:annotationRef/>
      </w:r>
      <w:r>
        <w:t>Uncited West p. 175</w:t>
      </w:r>
    </w:p>
  </w:comment>
  <w:comment w:id="181" w:author="Dorian" w:date="2015-11-27T14:17:00Z" w:initials="D">
    <w:p w14:paraId="2F5A93B3" w14:textId="77777777" w:rsidR="005B3668" w:rsidRDefault="005B3668">
      <w:pPr>
        <w:pStyle w:val="CommentText"/>
      </w:pPr>
      <w:r>
        <w:rPr>
          <w:rStyle w:val="CommentReference"/>
        </w:rPr>
        <w:annotationRef/>
      </w:r>
      <w:r>
        <w:t>Uncited West p. 176</w:t>
      </w:r>
    </w:p>
  </w:comment>
  <w:comment w:id="183" w:author="Author" w:date="2015-11-30T14:28:00Z" w:initials=" ">
    <w:p w14:paraId="0B12D12E" w14:textId="05DDCEC6" w:rsidR="00955829" w:rsidRDefault="00955829">
      <w:pPr>
        <w:pStyle w:val="CommentText"/>
      </w:pPr>
      <w:r>
        <w:rPr>
          <w:rStyle w:val="CommentReference"/>
        </w:rPr>
        <w:annotationRef/>
      </w:r>
      <w:r>
        <w:t xml:space="preserve">Murray needed to be paraphrased here. </w:t>
      </w:r>
    </w:p>
  </w:comment>
  <w:comment w:id="184" w:author="Dorian" w:date="1990-13-07T14:36:00Z" w:initials="D">
    <w:p w14:paraId="40E11344" w14:textId="77777777" w:rsidR="005B3668" w:rsidRDefault="005B3668">
      <w:pPr>
        <w:pStyle w:val="CommentText"/>
      </w:pPr>
      <w:r>
        <w:rPr>
          <w:rStyle w:val="CommentReference"/>
        </w:rPr>
        <w:annotationRef/>
      </w:r>
      <w:r>
        <w:t>Wood and Wood is an unreliable source.</w:t>
      </w:r>
    </w:p>
  </w:comment>
  <w:comment w:id="185" w:author="Dorian" w:date="2015-11-29T01:41:00Z" w:initials="D">
    <w:p w14:paraId="15ACFE5C" w14:textId="77777777" w:rsidR="005B3668" w:rsidRDefault="005B3668">
      <w:pPr>
        <w:pStyle w:val="CommentText"/>
      </w:pPr>
      <w:r>
        <w:rPr>
          <w:rStyle w:val="CommentReference"/>
        </w:rPr>
        <w:annotationRef/>
      </w:r>
      <w:r>
        <w:t>You are taking as fact that Homer was writing about a solar eclipse, when this has not at all been established and has in fact been controversial (and mostly rejected) by both writers in antiquity and modern scholarship.</w:t>
      </w:r>
    </w:p>
  </w:comment>
  <w:comment w:id="186" w:author="Dorian" w:date="2015-11-29T13:57:00Z" w:initials="D">
    <w:p w14:paraId="28A6BD0E" w14:textId="77777777" w:rsidR="005B3668" w:rsidRDefault="005B3668">
      <w:pPr>
        <w:pStyle w:val="CommentText"/>
      </w:pPr>
      <w:r>
        <w:rPr>
          <w:rStyle w:val="CommentReference"/>
        </w:rPr>
        <w:annotationRef/>
      </w:r>
      <w:r>
        <w:t xml:space="preserve">This is Murray’s idea, </w:t>
      </w:r>
      <w:r w:rsidRPr="003F5238">
        <w:rPr>
          <w:i/>
        </w:rPr>
        <w:t>The Rise of the Greek Epic</w:t>
      </w:r>
      <w:r>
        <w:t>, pp. 211-12.</w:t>
      </w:r>
    </w:p>
  </w:comment>
  <w:comment w:id="187" w:author="Author" w:date="2015-11-30T14:35:00Z" w:initials=" ">
    <w:p w14:paraId="6F835E8D" w14:textId="3571E756" w:rsidR="00EC2F03" w:rsidRDefault="00EC2F03">
      <w:pPr>
        <w:pStyle w:val="CommentText"/>
      </w:pPr>
      <w:r>
        <w:rPr>
          <w:rStyle w:val="CommentReference"/>
        </w:rPr>
        <w:annotationRef/>
      </w:r>
      <w:r>
        <w:t>Good introduction to the chapter.</w:t>
      </w:r>
    </w:p>
  </w:comment>
  <w:comment w:id="189" w:author="Author" w:date="2015-11-30T14:35:00Z" w:initials=" ">
    <w:p w14:paraId="29632438" w14:textId="286F58CF" w:rsidR="00EC2F03" w:rsidRDefault="00EC2F03">
      <w:pPr>
        <w:pStyle w:val="CommentText"/>
      </w:pPr>
      <w:r>
        <w:rPr>
          <w:rStyle w:val="CommentReference"/>
        </w:rPr>
        <w:annotationRef/>
      </w:r>
      <w:r>
        <w:t xml:space="preserve">Citation? </w:t>
      </w:r>
    </w:p>
  </w:comment>
  <w:comment w:id="190" w:author="Author" w:date="2015-11-30T14:35:00Z" w:initials=" ">
    <w:p w14:paraId="5DC0F2D8" w14:textId="230C5007" w:rsidR="00EC2F03" w:rsidRDefault="00EC2F03">
      <w:pPr>
        <w:pStyle w:val="CommentText"/>
      </w:pPr>
      <w:r>
        <w:rPr>
          <w:rStyle w:val="CommentReference"/>
        </w:rPr>
        <w:annotationRef/>
      </w:r>
      <w:r>
        <w:t>So this is suggesting that the argument of the chapter has has already been made.</w:t>
      </w:r>
    </w:p>
  </w:comment>
  <w:comment w:id="191" w:author="Dorian" w:date="2015-11-23T01:57:00Z" w:initials="D">
    <w:p w14:paraId="1FAF8D51" w14:textId="77777777" w:rsidR="005B3668" w:rsidRDefault="005B3668">
      <w:pPr>
        <w:pStyle w:val="CommentText"/>
      </w:pPr>
      <w:r>
        <w:rPr>
          <w:rStyle w:val="CommentReference"/>
        </w:rPr>
        <w:annotationRef/>
      </w:r>
      <w:r>
        <w:t>faulty grammar</w:t>
      </w:r>
    </w:p>
  </w:comment>
  <w:comment w:id="192" w:author="Dorian" w:date="1990-13-07T15:00:00Z" w:initials="D">
    <w:p w14:paraId="2CCD1DFD" w14:textId="77777777" w:rsidR="005B3668" w:rsidRDefault="005B3668">
      <w:pPr>
        <w:pStyle w:val="CommentText"/>
      </w:pPr>
      <w:r>
        <w:rPr>
          <w:rStyle w:val="CommentReference"/>
        </w:rPr>
        <w:annotationRef/>
      </w:r>
      <w:r>
        <w:t xml:space="preserve">uncited quotation from Burkert, </w:t>
      </w:r>
      <w:r w:rsidRPr="00C976A7">
        <w:rPr>
          <w:i/>
        </w:rPr>
        <w:t>Babylon</w:t>
      </w:r>
      <w:r>
        <w:t>, p. 30: ‘this is the only passage in the Homeric compositions where cosmogony unexpectedly comes to the fore.’</w:t>
      </w:r>
    </w:p>
  </w:comment>
  <w:comment w:id="193" w:author="Author" w:date="2015-11-30T14:42:00Z" w:initials=" ">
    <w:p w14:paraId="51EF30E6" w14:textId="5A86AC56" w:rsidR="00EC2F03" w:rsidRDefault="00EC2F03">
      <w:pPr>
        <w:pStyle w:val="CommentText"/>
      </w:pPr>
      <w:r>
        <w:rPr>
          <w:rStyle w:val="CommentReference"/>
        </w:rPr>
        <w:annotationRef/>
      </w:r>
      <w:r>
        <w:t>What does this imply in the context of your research?</w:t>
      </w:r>
    </w:p>
  </w:comment>
  <w:comment w:id="194" w:author="Author" w:date="2015-11-30T14:43:00Z" w:initials=" ">
    <w:p w14:paraId="45736467" w14:textId="32E6525C" w:rsidR="00EC2F03" w:rsidRDefault="00EC2F03">
      <w:pPr>
        <w:pStyle w:val="CommentText"/>
      </w:pPr>
      <w:r>
        <w:rPr>
          <w:rStyle w:val="CommentReference"/>
        </w:rPr>
        <w:annotationRef/>
      </w:r>
      <w:r>
        <w:t xml:space="preserve">You have not made this case as yet, you are only claiming that it is so. </w:t>
      </w:r>
    </w:p>
  </w:comment>
  <w:comment w:id="195" w:author="Dorian" w:date="2015-11-29T13:57:00Z" w:initials="D">
    <w:p w14:paraId="54044A47" w14:textId="77777777" w:rsidR="005B3668" w:rsidRDefault="005B3668">
      <w:pPr>
        <w:pStyle w:val="CommentText"/>
      </w:pPr>
      <w:r>
        <w:rPr>
          <w:rStyle w:val="CommentReference"/>
        </w:rPr>
        <w:annotationRef/>
      </w:r>
      <w:r>
        <w:t xml:space="preserve">Plagiarised from Burkert, </w:t>
      </w:r>
      <w:r w:rsidRPr="003F5238">
        <w:rPr>
          <w:i/>
        </w:rPr>
        <w:t>Babylon</w:t>
      </w:r>
      <w:r>
        <w:t>, p. 30</w:t>
      </w:r>
    </w:p>
  </w:comment>
  <w:comment w:id="196" w:author="Author" w:date="2015-11-30T14:44:00Z" w:initials=" ">
    <w:p w14:paraId="14EF6C23" w14:textId="3E0FC6CF" w:rsidR="002B56F2" w:rsidRDefault="002B56F2">
      <w:pPr>
        <w:pStyle w:val="CommentText"/>
      </w:pPr>
      <w:r>
        <w:rPr>
          <w:rStyle w:val="CommentReference"/>
        </w:rPr>
        <w:annotationRef/>
      </w:r>
      <w:r>
        <w:t xml:space="preserve">Once again you are listing arguments but not creating an argument of your own. </w:t>
      </w:r>
    </w:p>
  </w:comment>
  <w:comment w:id="197" w:author="Dorian" w:date="2015-11-24T04:58:00Z" w:initials="D">
    <w:p w14:paraId="43A257B1" w14:textId="77777777" w:rsidR="005B3668" w:rsidRDefault="005B3668">
      <w:pPr>
        <w:pStyle w:val="CommentText"/>
      </w:pPr>
      <w:r>
        <w:rPr>
          <w:rStyle w:val="CommentReference"/>
        </w:rPr>
        <w:annotationRef/>
      </w:r>
      <w:r>
        <w:t>You cite the Atrahasis, but this is an almost direct quote from Burkert, p. 35, whom you do not cite. (Dalley’s translation, p. 9, is different.)</w:t>
      </w:r>
    </w:p>
  </w:comment>
  <w:comment w:id="198" w:author="Author" w:date="2015-11-30T14:46:00Z" w:initials=" ">
    <w:p w14:paraId="7C4A291D" w14:textId="6F62DE64" w:rsidR="002B56F2" w:rsidRDefault="002B56F2">
      <w:pPr>
        <w:pStyle w:val="CommentText"/>
      </w:pPr>
      <w:r>
        <w:rPr>
          <w:rStyle w:val="CommentReference"/>
        </w:rPr>
        <w:annotationRef/>
      </w:r>
      <w:r>
        <w:t xml:space="preserve">So this is not a new argument that you are putting forward. </w:t>
      </w:r>
    </w:p>
  </w:comment>
  <w:comment w:id="199" w:author="Author" w:date="2015-11-30T14:47:00Z" w:initials=" ">
    <w:p w14:paraId="65DE88D3" w14:textId="10A288EC" w:rsidR="002B56F2" w:rsidRDefault="002B56F2">
      <w:pPr>
        <w:pStyle w:val="CommentText"/>
      </w:pPr>
      <w:r>
        <w:rPr>
          <w:rStyle w:val="CommentReference"/>
        </w:rPr>
        <w:annotationRef/>
      </w:r>
      <w:r>
        <w:t xml:space="preserve">So this is not your point but rather a reporting of West. </w:t>
      </w:r>
    </w:p>
  </w:comment>
  <w:comment w:id="200" w:author="Author" w:date="2015-11-30T14:50:00Z" w:initials=" ">
    <w:p w14:paraId="1D8F024C" w14:textId="53468733" w:rsidR="002B56F2" w:rsidRDefault="002B56F2">
      <w:pPr>
        <w:pStyle w:val="CommentText"/>
      </w:pPr>
      <w:r>
        <w:rPr>
          <w:rStyle w:val="CommentReference"/>
        </w:rPr>
        <w:annotationRef/>
      </w:r>
      <w:r>
        <w:t xml:space="preserve">Quotes here from Homer would have helped. </w:t>
      </w:r>
    </w:p>
  </w:comment>
  <w:comment w:id="201" w:author="Author" w:date="2015-11-30T14:51:00Z" w:initials=" ">
    <w:p w14:paraId="5E16BB5D" w14:textId="05523DAC" w:rsidR="002B56F2" w:rsidRDefault="002B56F2">
      <w:pPr>
        <w:pStyle w:val="CommentText"/>
      </w:pPr>
      <w:r>
        <w:rPr>
          <w:rStyle w:val="CommentReference"/>
        </w:rPr>
        <w:annotationRef/>
      </w:r>
      <w:r>
        <w:t xml:space="preserve">Is this an idea that you are putting forward? </w:t>
      </w:r>
    </w:p>
  </w:comment>
  <w:comment w:id="202" w:author="Author" w:date="2015-11-30T14:51:00Z" w:initials=" ">
    <w:p w14:paraId="4335445A" w14:textId="162C010F" w:rsidR="002B56F2" w:rsidRDefault="002B56F2">
      <w:pPr>
        <w:pStyle w:val="CommentText"/>
      </w:pPr>
      <w:r>
        <w:rPr>
          <w:rStyle w:val="CommentReference"/>
        </w:rPr>
        <w:annotationRef/>
      </w:r>
      <w:r>
        <w:t xml:space="preserve">Citation  needed. </w:t>
      </w:r>
    </w:p>
  </w:comment>
  <w:comment w:id="203" w:author="Author" w:date="2015-11-30T14:52:00Z" w:initials=" ">
    <w:p w14:paraId="2E2A945B" w14:textId="276334F0" w:rsidR="002B56F2" w:rsidRDefault="002B56F2">
      <w:pPr>
        <w:pStyle w:val="CommentText"/>
      </w:pPr>
      <w:r>
        <w:rPr>
          <w:rStyle w:val="CommentReference"/>
        </w:rPr>
        <w:annotationRef/>
      </w:r>
      <w:r>
        <w:t>And how does this advance your arugments?</w:t>
      </w:r>
    </w:p>
  </w:comment>
  <w:comment w:id="205" w:author="Author" w:date="2015-11-30T14:58:00Z" w:initials=" ">
    <w:p w14:paraId="7CD3FB6E" w14:textId="26A16765" w:rsidR="00264AC8" w:rsidRDefault="00264AC8">
      <w:pPr>
        <w:pStyle w:val="CommentText"/>
      </w:pPr>
      <w:r>
        <w:rPr>
          <w:rStyle w:val="CommentReference"/>
        </w:rPr>
        <w:annotationRef/>
      </w:r>
      <w:r>
        <w:t xml:space="preserve">Quotes from primary sources needed. </w:t>
      </w:r>
    </w:p>
  </w:comment>
  <w:comment w:id="206" w:author="Author" w:date="2015-11-30T14:59:00Z" w:initials=" ">
    <w:p w14:paraId="4D5A33CA" w14:textId="6E397B32" w:rsidR="00264AC8" w:rsidRDefault="00264AC8">
      <w:pPr>
        <w:pStyle w:val="CommentText"/>
      </w:pPr>
      <w:r>
        <w:rPr>
          <w:rStyle w:val="CommentReference"/>
        </w:rPr>
        <w:annotationRef/>
      </w:r>
      <w:r>
        <w:t xml:space="preserve">This should not really be assumed. The scorpion is also a goddess in the Egyptian cosmology, she is the goddess of fertility and although she is represented in the sky she has not link with the constellation Scorpius. </w:t>
      </w:r>
    </w:p>
  </w:comment>
  <w:comment w:id="207" w:author="Author" w:date="2015-11-30T15:00:00Z" w:initials=" ">
    <w:p w14:paraId="5554F752" w14:textId="4BDD5472" w:rsidR="00264AC8" w:rsidRDefault="00264AC8">
      <w:pPr>
        <w:pStyle w:val="CommentText"/>
      </w:pPr>
      <w:r>
        <w:rPr>
          <w:rStyle w:val="CommentReference"/>
        </w:rPr>
        <w:annotationRef/>
      </w:r>
      <w:r>
        <w:t xml:space="preserve">What was the epoch that the equinox was in this gate? </w:t>
      </w:r>
    </w:p>
  </w:comment>
  <w:comment w:id="208" w:author="Dorian" w:date="2015-11-27T14:30:00Z" w:initials="D">
    <w:p w14:paraId="460AE93B" w14:textId="77777777" w:rsidR="005B3668" w:rsidRDefault="005B3668">
      <w:pPr>
        <w:pStyle w:val="CommentText"/>
      </w:pPr>
      <w:r>
        <w:rPr>
          <w:rStyle w:val="CommentReference"/>
        </w:rPr>
        <w:annotationRef/>
      </w:r>
      <w:r>
        <w:t>So are you accepting the argument of Latura without analysis?</w:t>
      </w:r>
    </w:p>
  </w:comment>
  <w:comment w:id="209" w:author="Author" w:date="2015-11-30T15:00:00Z" w:initials=" ">
    <w:p w14:paraId="742A3047" w14:textId="46989D71" w:rsidR="00264AC8" w:rsidRDefault="00264AC8">
      <w:pPr>
        <w:pStyle w:val="CommentText"/>
      </w:pPr>
      <w:r>
        <w:rPr>
          <w:rStyle w:val="CommentReference"/>
        </w:rPr>
        <w:annotationRef/>
      </w:r>
      <w:r>
        <w:t xml:space="preserve">This needs discussion. </w:t>
      </w:r>
    </w:p>
  </w:comment>
  <w:comment w:id="211" w:author="Dorian" w:date="2015-11-24T12:09:00Z" w:initials="D">
    <w:p w14:paraId="2BA264A9" w14:textId="77777777" w:rsidR="005B3668" w:rsidRDefault="005B3668">
      <w:pPr>
        <w:pStyle w:val="CommentText"/>
      </w:pPr>
      <w:r>
        <w:rPr>
          <w:rStyle w:val="CommentReference"/>
        </w:rPr>
        <w:annotationRef/>
      </w:r>
      <w:r>
        <w:t>How do you know? Needs citation</w:t>
      </w:r>
    </w:p>
  </w:comment>
  <w:comment w:id="212" w:author="Dorian" w:date="2015-11-24T12:38:00Z" w:initials="D">
    <w:p w14:paraId="0FFC7446" w14:textId="77777777" w:rsidR="005B3668" w:rsidRDefault="005B3668">
      <w:pPr>
        <w:pStyle w:val="CommentText"/>
      </w:pPr>
      <w:r>
        <w:rPr>
          <w:rStyle w:val="CommentReference"/>
        </w:rPr>
        <w:annotationRef/>
      </w:r>
      <w:r>
        <w:t>This appears to be Gilbert Murray’s translation, which you must cite.</w:t>
      </w:r>
    </w:p>
  </w:comment>
  <w:comment w:id="213" w:author="Dorian" w:date="2015-11-24T05:22:00Z" w:initials="D">
    <w:p w14:paraId="630562D7" w14:textId="77777777" w:rsidR="005B3668" w:rsidRDefault="005B3668">
      <w:pPr>
        <w:pStyle w:val="CommentText"/>
      </w:pPr>
      <w:r>
        <w:rPr>
          <w:rStyle w:val="CommentReference"/>
        </w:rPr>
        <w:annotationRef/>
      </w:r>
      <w:r>
        <w:t>Changed the spelling?</w:t>
      </w:r>
    </w:p>
  </w:comment>
  <w:comment w:id="214" w:author="Dorian" w:date="2015-11-24T12:38:00Z" w:initials="D">
    <w:p w14:paraId="60ADC1E6" w14:textId="77777777" w:rsidR="005B3668" w:rsidRDefault="005B3668">
      <w:pPr>
        <w:pStyle w:val="CommentText"/>
      </w:pPr>
      <w:r>
        <w:rPr>
          <w:rStyle w:val="CommentReference"/>
        </w:rPr>
        <w:annotationRef/>
      </w:r>
      <w:r>
        <w:t>needs citation</w:t>
      </w:r>
    </w:p>
  </w:comment>
  <w:comment w:id="215" w:author="Author" w:date="2015-11-30T15:22:00Z" w:initials=" ">
    <w:p w14:paraId="6B82353E" w14:textId="672889CA" w:rsidR="009654D9" w:rsidRDefault="009654D9">
      <w:pPr>
        <w:pStyle w:val="CommentText"/>
      </w:pPr>
      <w:r>
        <w:rPr>
          <w:rStyle w:val="CommentReference"/>
        </w:rPr>
        <w:annotationRef/>
      </w:r>
      <w:r>
        <w:t xml:space="preserve">Good a quote from one of your primary sources. </w:t>
      </w:r>
    </w:p>
  </w:comment>
  <w:comment w:id="216" w:author="Author" w:date="2015-11-30T15:23:00Z" w:initials=" ">
    <w:p w14:paraId="51D6477D" w14:textId="25735318" w:rsidR="009654D9" w:rsidRDefault="009654D9">
      <w:pPr>
        <w:pStyle w:val="CommentText"/>
      </w:pPr>
      <w:r>
        <w:rPr>
          <w:rStyle w:val="CommentReference"/>
        </w:rPr>
        <w:annotationRef/>
      </w:r>
      <w:r>
        <w:t>Good</w:t>
      </w:r>
    </w:p>
  </w:comment>
  <w:comment w:id="217" w:author="Author" w:date="2015-11-30T15:23:00Z" w:initials=" ">
    <w:p w14:paraId="7B4C71B8" w14:textId="13C742FC" w:rsidR="009654D9" w:rsidRDefault="009654D9">
      <w:pPr>
        <w:pStyle w:val="CommentText"/>
      </w:pPr>
      <w:r>
        <w:rPr>
          <w:rStyle w:val="CommentReference"/>
        </w:rPr>
        <w:annotationRef/>
      </w:r>
      <w:r>
        <w:t xml:space="preserve">Or it can be argued that it represents an observation of the same celestial phenomena. </w:t>
      </w:r>
    </w:p>
  </w:comment>
  <w:comment w:id="219" w:author="Author" w:date="2015-11-30T15:24:00Z" w:initials=" ">
    <w:p w14:paraId="5E8E6DF4" w14:textId="1675D96B" w:rsidR="009654D9" w:rsidRDefault="009654D9">
      <w:pPr>
        <w:pStyle w:val="CommentText"/>
      </w:pPr>
      <w:r>
        <w:rPr>
          <w:rStyle w:val="CommentReference"/>
        </w:rPr>
        <w:annotationRef/>
      </w:r>
      <w:r>
        <w:t>But you have just argued otherwise?</w:t>
      </w:r>
    </w:p>
  </w:comment>
  <w:comment w:id="220" w:author="Dorian" w:date="2015-11-29T02:15:00Z" w:initials="D">
    <w:p w14:paraId="04F46EB3" w14:textId="77777777" w:rsidR="005B3668" w:rsidRDefault="005B3668">
      <w:pPr>
        <w:pStyle w:val="CommentText"/>
      </w:pPr>
      <w:r>
        <w:rPr>
          <w:rStyle w:val="CommentReference"/>
        </w:rPr>
        <w:annotationRef/>
      </w:r>
      <w:r>
        <w:t>But if the sun is his rival according to Murray, how is Murray saying that Odysseus is a ‘personification of the sun’ (your words)?</w:t>
      </w:r>
    </w:p>
  </w:comment>
  <w:comment w:id="221" w:author="Dorian" w:date="2015-11-29T14:08:00Z" w:initials="D">
    <w:p w14:paraId="304769D9" w14:textId="77777777" w:rsidR="005B3668" w:rsidRDefault="005B3668">
      <w:pPr>
        <w:pStyle w:val="CommentText"/>
      </w:pPr>
      <w:r>
        <w:rPr>
          <w:rStyle w:val="CommentReference"/>
        </w:rPr>
        <w:annotationRef/>
      </w:r>
      <w:r>
        <w:t>But wouldn’t this suggest that Odysseus is more like a planet, or the moon, than the sun, which was seen as stable and constant, in that it rose every day in the east and set in the west, but the Moon and planets were seen as more volatile and wandering</w:t>
      </w:r>
      <w:r>
        <w:rPr>
          <w:rFonts w:ascii="Brill" w:hAnsi="Brill"/>
          <w:noProof/>
          <w:lang w:val="el-GR"/>
        </w:rPr>
        <w:t xml:space="preserve"> </w:t>
      </w:r>
      <w:r w:rsidRPr="003F5238">
        <w:rPr>
          <w:rFonts w:ascii="Brill" w:hAnsi="Brill"/>
          <w:noProof/>
          <w:lang w:val="el-GR"/>
        </w:rPr>
        <w:t>in</w:t>
      </w:r>
      <w:r>
        <w:t xml:space="preserve"> their motions?</w:t>
      </w:r>
    </w:p>
  </w:comment>
  <w:comment w:id="222" w:author="Dorian" w:date="2015-11-29T13:54:00Z" w:initials="D">
    <w:p w14:paraId="3EB472BD" w14:textId="77777777" w:rsidR="005B3668" w:rsidRDefault="005B3668">
      <w:pPr>
        <w:pStyle w:val="CommentText"/>
      </w:pPr>
      <w:r>
        <w:rPr>
          <w:rStyle w:val="CommentReference"/>
        </w:rPr>
        <w:annotationRef/>
      </w:r>
      <w:r>
        <w:t xml:space="preserve">This discussion of </w:t>
      </w:r>
      <w:r>
        <w:rPr>
          <w:rFonts w:ascii="Brill" w:hAnsi="Brill"/>
          <w:noProof/>
          <w:lang w:val="el-GR"/>
        </w:rPr>
        <w:t>τροπή</w:t>
      </w:r>
      <w:r>
        <w:t xml:space="preserve"> in connection with the common epithet of Odysseus, </w:t>
      </w:r>
      <w:r w:rsidRPr="003F5238">
        <w:rPr>
          <w:rFonts w:ascii="Brill" w:hAnsi="Brill"/>
          <w:noProof/>
          <w:lang w:val="el-GR"/>
        </w:rPr>
        <w:t>πολυ</w:t>
      </w:r>
      <w:r w:rsidRPr="003F5238">
        <w:rPr>
          <w:rFonts w:ascii="Brill" w:eastAsia="Times New Roman" w:hAnsi="Brill"/>
          <w:noProof/>
          <w:lang w:val="el-GR"/>
        </w:rPr>
        <w:t>́τροπο</w:t>
      </w:r>
      <w:r>
        <w:rPr>
          <w:rFonts w:ascii="Brill" w:eastAsia="Times New Roman" w:hAnsi="Brill"/>
          <w:noProof/>
          <w:lang w:val="el-GR"/>
        </w:rPr>
        <w:t>ς</w:t>
      </w:r>
      <w:r>
        <w:t xml:space="preserve">, is interesting and you make a good point here, even though it is perfectly valid to translate </w:t>
      </w:r>
      <w:r w:rsidRPr="003F5238">
        <w:rPr>
          <w:i/>
        </w:rPr>
        <w:t>polutropos</w:t>
      </w:r>
      <w:r>
        <w:t xml:space="preserve"> as ‘versatile’, ‘resourceful’ or ‘of many ways’. It is possible that Homer meant to evoke a thought of the sun’s path in using this word.</w:t>
      </w:r>
    </w:p>
  </w:comment>
  <w:comment w:id="223" w:author="Dorian" w:date="1990-13-07T16:24:00Z" w:initials="D">
    <w:p w14:paraId="2BA28C63" w14:textId="77777777" w:rsidR="005B3668" w:rsidRDefault="005B3668">
      <w:pPr>
        <w:pStyle w:val="CommentText"/>
      </w:pPr>
      <w:r>
        <w:rPr>
          <w:rStyle w:val="CommentReference"/>
        </w:rPr>
        <w:annotationRef/>
      </w:r>
      <w:r>
        <w:t>misspelling</w:t>
      </w:r>
    </w:p>
  </w:comment>
  <w:comment w:id="224" w:author="Dorian" w:date="2015-11-29T01:53:00Z" w:initials="D">
    <w:p w14:paraId="15F06FA2" w14:textId="77777777" w:rsidR="005B3668" w:rsidRDefault="005B3668">
      <w:pPr>
        <w:pStyle w:val="CommentText"/>
      </w:pPr>
      <w:r>
        <w:rPr>
          <w:rStyle w:val="CommentReference"/>
        </w:rPr>
        <w:annotationRef/>
      </w:r>
      <w:r>
        <w:t>Needs more analysis. How is the ouroboros ‘Egyptian’ and what are your sources for this?</w:t>
      </w:r>
    </w:p>
  </w:comment>
  <w:comment w:id="225" w:author="Dorian" w:date="2015-11-29T01:56:00Z" w:initials="D">
    <w:p w14:paraId="43F76022" w14:textId="77777777" w:rsidR="005B3668" w:rsidRDefault="005B3668">
      <w:pPr>
        <w:pStyle w:val="CommentText"/>
      </w:pPr>
      <w:r>
        <w:rPr>
          <w:rStyle w:val="CommentReference"/>
        </w:rPr>
        <w:annotationRef/>
      </w:r>
      <w:r>
        <w:t>So, when any character uses a bow, we must assume this is a reference to the sun-god? Needs more analysis here.</w:t>
      </w:r>
    </w:p>
  </w:comment>
  <w:comment w:id="226" w:author="Author" w:date="2015-11-30T15:28:00Z" w:initials=" ">
    <w:p w14:paraId="614C4FA3" w14:textId="70EFEA67" w:rsidR="005F1B58" w:rsidRDefault="005F1B58">
      <w:pPr>
        <w:pStyle w:val="CommentText"/>
      </w:pPr>
      <w:r>
        <w:rPr>
          <w:rStyle w:val="CommentReference"/>
        </w:rPr>
        <w:annotationRef/>
      </w:r>
      <w:r>
        <w:t>Where is your methodology? Why must this be the zodiac signs?</w:t>
      </w:r>
    </w:p>
  </w:comment>
  <w:comment w:id="227" w:author="Author" w:date="2015-11-30T15:29:00Z" w:initials=" ">
    <w:p w14:paraId="5219B5E2" w14:textId="6BD2CECA" w:rsidR="005F1B58" w:rsidRDefault="005F1B58">
      <w:pPr>
        <w:pStyle w:val="CommentText"/>
      </w:pPr>
      <w:r>
        <w:rPr>
          <w:rStyle w:val="CommentReference"/>
        </w:rPr>
        <w:annotationRef/>
      </w:r>
      <w:r>
        <w:t xml:space="preserve">This needs a lot more work, and once again you are not applying any methodology to your analysis. </w:t>
      </w:r>
    </w:p>
  </w:comment>
  <w:comment w:id="228" w:author="Dorian" w:date="2015-11-29T13:52:00Z" w:initials="D">
    <w:p w14:paraId="042FE0BB" w14:textId="77777777" w:rsidR="005B3668" w:rsidRDefault="005B3668">
      <w:pPr>
        <w:pStyle w:val="CommentText"/>
      </w:pPr>
      <w:r>
        <w:rPr>
          <w:rStyle w:val="CommentReference"/>
        </w:rPr>
        <w:annotationRef/>
      </w:r>
      <w:r>
        <w:t>diacritics needed</w:t>
      </w:r>
    </w:p>
  </w:comment>
  <w:comment w:id="229" w:author="Dorian" w:date="2015-11-29T01:44:00Z" w:initials="D">
    <w:p w14:paraId="3BCD1A62" w14:textId="77777777" w:rsidR="005B3668" w:rsidRDefault="005B3668">
      <w:pPr>
        <w:pStyle w:val="CommentText"/>
      </w:pPr>
      <w:r>
        <w:rPr>
          <w:rStyle w:val="CommentReference"/>
        </w:rPr>
        <w:annotationRef/>
      </w:r>
      <w:r>
        <w:t>Again, you are assuming that Homer was writing of a solar eclipse, when such an assertion is not proven.</w:t>
      </w:r>
    </w:p>
  </w:comment>
  <w:comment w:id="230" w:author="Dorian" w:date="2015-11-29T01:59:00Z" w:initials="D">
    <w:p w14:paraId="467A0123" w14:textId="77777777" w:rsidR="005B3668" w:rsidRDefault="005B3668">
      <w:pPr>
        <w:pStyle w:val="CommentText"/>
      </w:pPr>
      <w:r>
        <w:rPr>
          <w:rStyle w:val="CommentReference"/>
        </w:rPr>
        <w:annotationRef/>
      </w:r>
      <w:r>
        <w:t>missing punctuation</w:t>
      </w:r>
    </w:p>
  </w:comment>
  <w:comment w:id="231" w:author="Dorian" w:date="2015-11-29T02:02:00Z" w:initials="D">
    <w:p w14:paraId="518A65E5" w14:textId="77777777" w:rsidR="005B3668" w:rsidRDefault="005B3668">
      <w:pPr>
        <w:pStyle w:val="CommentText"/>
      </w:pPr>
      <w:r>
        <w:rPr>
          <w:rStyle w:val="CommentReference"/>
        </w:rPr>
        <w:annotationRef/>
      </w:r>
      <w:r>
        <w:t>who exactly is doing this? Murray does not seem to.</w:t>
      </w:r>
    </w:p>
  </w:comment>
  <w:comment w:id="232" w:author="Dorian" w:date="2015-11-29T02:39:00Z" w:initials="D">
    <w:p w14:paraId="4573D549" w14:textId="77777777" w:rsidR="005B3668" w:rsidRDefault="005B3668">
      <w:pPr>
        <w:pStyle w:val="CommentText"/>
      </w:pPr>
      <w:r>
        <w:rPr>
          <w:rStyle w:val="CommentReference"/>
        </w:rPr>
        <w:annotationRef/>
      </w:r>
      <w:r>
        <w:t>Doesn’t this disprove your assertion that Murray was conflating Odysseus with the sun? Also, you need a citation here.</w:t>
      </w:r>
    </w:p>
  </w:comment>
  <w:comment w:id="233" w:author="Dorian" w:date="2015-11-24T13:20:00Z" w:initials="D">
    <w:p w14:paraId="07CA3C39" w14:textId="77777777" w:rsidR="005B3668" w:rsidRDefault="005B3668">
      <w:pPr>
        <w:pStyle w:val="CommentText"/>
      </w:pPr>
      <w:r>
        <w:rPr>
          <w:rStyle w:val="CommentReference"/>
        </w:rPr>
        <w:annotationRef/>
      </w:r>
      <w:r>
        <w:t>needs citation</w:t>
      </w:r>
    </w:p>
  </w:comment>
  <w:comment w:id="234" w:author="Author" w:date="2015-11-30T15:34:00Z" w:initials=" ">
    <w:p w14:paraId="5CA7715E" w14:textId="710810D6" w:rsidR="005F1B58" w:rsidRDefault="005F1B58">
      <w:pPr>
        <w:pStyle w:val="CommentText"/>
      </w:pPr>
      <w:r>
        <w:rPr>
          <w:rStyle w:val="CommentReference"/>
        </w:rPr>
        <w:annotationRef/>
      </w:r>
      <w:r>
        <w:t xml:space="preserve">But you adopted a pan-Babylonian approach, you did not look at any other possibilities. </w:t>
      </w:r>
    </w:p>
  </w:comment>
  <w:comment w:id="235" w:author="Author" w:date="2015-11-30T15:35:00Z" w:initials=" ">
    <w:p w14:paraId="2F783B4B" w14:textId="12126EB3" w:rsidR="005F1B58" w:rsidRDefault="005F1B58">
      <w:pPr>
        <w:pStyle w:val="CommentText"/>
      </w:pPr>
      <w:r>
        <w:rPr>
          <w:rStyle w:val="CommentReference"/>
        </w:rPr>
        <w:annotationRef/>
      </w:r>
      <w:r>
        <w:t xml:space="preserve">I do not think you have, what you have done is give a great deal of literature which states that the Greek does draw on the Mesopotamian literature. </w:t>
      </w:r>
    </w:p>
  </w:comment>
  <w:comment w:id="236" w:author="Author" w:date="2015-11-30T15:36:00Z" w:initials=" ">
    <w:p w14:paraId="3C9BB3C6" w14:textId="0DE3D124" w:rsidR="005F1B58" w:rsidRDefault="005F1B58">
      <w:pPr>
        <w:pStyle w:val="CommentText"/>
      </w:pPr>
      <w:r>
        <w:rPr>
          <w:rStyle w:val="CommentReference"/>
        </w:rPr>
        <w:annotationRef/>
      </w:r>
      <w:r>
        <w:t xml:space="preserve">This is your problem, you have tried to make everything an extension of the Mesopotamian. </w:t>
      </w:r>
    </w:p>
  </w:comment>
  <w:comment w:id="237" w:author="Author" w:date="2015-11-30T15:37:00Z" w:initials=" ">
    <w:p w14:paraId="5D2EC6A7" w14:textId="1E085A4D" w:rsidR="00E40062" w:rsidRDefault="00E40062">
      <w:pPr>
        <w:pStyle w:val="CommentText"/>
      </w:pPr>
      <w:r>
        <w:rPr>
          <w:rStyle w:val="CommentReference"/>
        </w:rPr>
        <w:annotationRef/>
      </w:r>
      <w:r>
        <w:t xml:space="preserve">But this is not a point that scholars would disagree on. </w:t>
      </w:r>
    </w:p>
  </w:comment>
  <w:comment w:id="238" w:author="Author" w:date="2015-11-30T15:38:00Z" w:initials=" ">
    <w:p w14:paraId="4C8FD98F" w14:textId="13F5813A" w:rsidR="00E40062" w:rsidRDefault="00E40062">
      <w:pPr>
        <w:pStyle w:val="CommentText"/>
      </w:pPr>
      <w:r>
        <w:rPr>
          <w:rStyle w:val="CommentReference"/>
        </w:rPr>
        <w:annotationRef/>
      </w:r>
      <w:r>
        <w:t>This was what was required, not a listing of literature.</w:t>
      </w:r>
    </w:p>
  </w:comment>
  <w:comment w:id="239" w:author="Author" w:date="2015-11-30T15:39:00Z" w:initials=" ">
    <w:p w14:paraId="180AABEC" w14:textId="4B8A9A3F" w:rsidR="00367539" w:rsidRDefault="00367539">
      <w:pPr>
        <w:pStyle w:val="CommentText"/>
      </w:pPr>
      <w:r>
        <w:rPr>
          <w:rStyle w:val="CommentReference"/>
        </w:rPr>
        <w:annotationRef/>
      </w:r>
      <w:r>
        <w:t xml:space="preserve">I do not think you can argue for a cross-cultural neo-pan-Babylonian </w:t>
      </w:r>
      <w:bookmarkStart w:id="240" w:name="_GoBack"/>
      <w:bookmarkEnd w:id="240"/>
      <w:r>
        <w:t xml:space="preserve">approach without also exploring other approaches. </w:t>
      </w:r>
    </w:p>
  </w:comment>
  <w:comment w:id="241" w:author="Dorian" w:date="2015-11-29T14:11:00Z" w:initials="D">
    <w:p w14:paraId="7474FCFE" w14:textId="77777777" w:rsidR="005B3668" w:rsidRDefault="005B3668">
      <w:pPr>
        <w:pStyle w:val="CommentText"/>
      </w:pPr>
      <w:r>
        <w:rPr>
          <w:rStyle w:val="CommentReference"/>
        </w:rPr>
        <w:annotationRef/>
      </w:r>
      <w:r>
        <w:t>Better, ‘Primary Sources’</w:t>
      </w:r>
    </w:p>
  </w:comment>
  <w:comment w:id="242" w:author="Dorian" w:date="2015-11-29T12:31:00Z" w:initials="D">
    <w:p w14:paraId="471A9582" w14:textId="77777777" w:rsidR="005B3668" w:rsidRDefault="005B3668">
      <w:pPr>
        <w:pStyle w:val="CommentText"/>
      </w:pPr>
      <w:r>
        <w:rPr>
          <w:rStyle w:val="CommentReference"/>
        </w:rPr>
        <w:annotationRef/>
      </w:r>
      <w:r>
        <w:t>Titles of works such as this should be in italics</w:t>
      </w:r>
    </w:p>
  </w:comment>
  <w:comment w:id="243" w:author="Dorian" w:date="2015-11-29T13:51:00Z" w:initials="D">
    <w:p w14:paraId="61E6722B" w14:textId="77777777" w:rsidR="005B3668" w:rsidRDefault="005B3668">
      <w:pPr>
        <w:pStyle w:val="CommentText"/>
      </w:pPr>
      <w:r>
        <w:rPr>
          <w:rStyle w:val="CommentReference"/>
        </w:rPr>
        <w:annotationRef/>
      </w:r>
      <w:r>
        <w:t>Better, ‘Secondary Sources’. Also, there is some missing punctuation in these entries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ADF03BF" w15:done="0"/>
  <w15:commentEx w15:paraId="689FA654" w15:done="0"/>
  <w15:commentEx w15:paraId="4FBCCC97" w15:done="0"/>
  <w15:commentEx w15:paraId="1901A229" w15:done="0"/>
  <w15:commentEx w15:paraId="6EB6C88C" w15:done="0"/>
  <w15:commentEx w15:paraId="5A695DD4" w15:done="0"/>
  <w15:commentEx w15:paraId="753891E6" w15:done="0"/>
  <w15:commentEx w15:paraId="16422C41" w15:done="0"/>
  <w15:commentEx w15:paraId="03A86B4B" w15:done="0"/>
  <w15:commentEx w15:paraId="6F28E021" w15:done="0"/>
  <w15:commentEx w15:paraId="0E2B418F" w15:done="0"/>
  <w15:commentEx w15:paraId="2C7ED042" w15:done="0"/>
  <w15:commentEx w15:paraId="18084E7E" w15:done="0"/>
  <w15:commentEx w15:paraId="11B7FB70" w15:done="0"/>
  <w15:commentEx w15:paraId="5A35ABFC" w15:done="0"/>
  <w15:commentEx w15:paraId="5813DA82" w15:done="0"/>
  <w15:commentEx w15:paraId="0CB27FA7" w15:done="0"/>
  <w15:commentEx w15:paraId="36D7D5A7" w15:done="0"/>
  <w15:commentEx w15:paraId="112C330D" w15:done="0"/>
  <w15:commentEx w15:paraId="67AF22DB" w15:done="0"/>
  <w15:commentEx w15:paraId="44D9210C" w15:done="0"/>
  <w15:commentEx w15:paraId="58D59C01" w15:done="0"/>
  <w15:commentEx w15:paraId="15CEB99E" w15:done="0"/>
  <w15:commentEx w15:paraId="36B3A16A" w15:done="0"/>
  <w15:commentEx w15:paraId="24443022" w15:done="0"/>
  <w15:commentEx w15:paraId="66F74CE9" w15:done="0"/>
  <w15:commentEx w15:paraId="384E6834" w15:done="0"/>
  <w15:commentEx w15:paraId="33005966" w15:done="0"/>
  <w15:commentEx w15:paraId="2F7274F9" w15:done="0"/>
  <w15:commentEx w15:paraId="54FE42E8" w15:done="0"/>
  <w15:commentEx w15:paraId="39599EF1" w15:done="0"/>
  <w15:commentEx w15:paraId="3E33432A" w15:done="0"/>
  <w15:commentEx w15:paraId="4FA48443" w15:done="0"/>
  <w15:commentEx w15:paraId="7572EEA8" w15:done="0"/>
  <w15:commentEx w15:paraId="553A8796" w15:done="0"/>
  <w15:commentEx w15:paraId="41705657" w15:done="0"/>
  <w15:commentEx w15:paraId="0DAD2113" w15:done="0"/>
  <w15:commentEx w15:paraId="45DA84BC" w15:done="0"/>
  <w15:commentEx w15:paraId="6B22E7ED" w15:done="0"/>
  <w15:commentEx w15:paraId="352861D0" w15:done="0"/>
  <w15:commentEx w15:paraId="693D45FF" w15:done="0"/>
  <w15:commentEx w15:paraId="6EB334E1" w15:done="0"/>
  <w15:commentEx w15:paraId="6C00957F" w15:done="0"/>
  <w15:commentEx w15:paraId="6D74096B" w15:done="0"/>
  <w15:commentEx w15:paraId="179A3773" w15:done="0"/>
  <w15:commentEx w15:paraId="124DE7B5" w15:done="0"/>
  <w15:commentEx w15:paraId="51BED5AE" w15:done="0"/>
  <w15:commentEx w15:paraId="211866A1" w15:done="0"/>
  <w15:commentEx w15:paraId="4025EFFA" w15:done="0"/>
  <w15:commentEx w15:paraId="0A741A39" w15:done="0"/>
  <w15:commentEx w15:paraId="231EAC5D" w15:done="0"/>
  <w15:commentEx w15:paraId="41F46A54" w15:done="0"/>
  <w15:commentEx w15:paraId="589FE611" w15:done="0"/>
  <w15:commentEx w15:paraId="0949F3F2" w15:done="0"/>
  <w15:commentEx w15:paraId="75202F40" w15:done="0"/>
  <w15:commentEx w15:paraId="6EC1AE1F" w15:done="0"/>
  <w15:commentEx w15:paraId="1741CF7A" w15:done="0"/>
  <w15:commentEx w15:paraId="52C14AAB" w15:done="0"/>
  <w15:commentEx w15:paraId="5C5A69AC" w15:done="0"/>
  <w15:commentEx w15:paraId="1394C660" w15:done="0"/>
  <w15:commentEx w15:paraId="4D8B1103" w15:done="0"/>
  <w15:commentEx w15:paraId="6B188C82" w15:done="0"/>
  <w15:commentEx w15:paraId="222A1EEF" w15:done="0"/>
  <w15:commentEx w15:paraId="27D35110" w15:done="0"/>
  <w15:commentEx w15:paraId="413AEC1A" w15:done="0"/>
  <w15:commentEx w15:paraId="72F76D7E" w15:done="0"/>
  <w15:commentEx w15:paraId="70D993C6" w15:done="0"/>
  <w15:commentEx w15:paraId="6606FF46" w15:done="0"/>
  <w15:commentEx w15:paraId="12A99F71" w15:done="0"/>
  <w15:commentEx w15:paraId="357C1372" w15:done="0"/>
  <w15:commentEx w15:paraId="3329A5B9" w15:done="0"/>
  <w15:commentEx w15:paraId="00A95591" w15:done="0"/>
  <w15:commentEx w15:paraId="7402CF48" w15:done="0"/>
  <w15:commentEx w15:paraId="2AD6F950" w15:done="0"/>
  <w15:commentEx w15:paraId="14274B28" w15:done="0"/>
  <w15:commentEx w15:paraId="427AEFE2" w15:done="0"/>
  <w15:commentEx w15:paraId="01518D58" w15:done="0"/>
  <w15:commentEx w15:paraId="30A80D16" w15:done="0"/>
  <w15:commentEx w15:paraId="3A0ACD99" w15:done="0"/>
  <w15:commentEx w15:paraId="4B7E4C4C" w15:done="0"/>
  <w15:commentEx w15:paraId="4741DC5F" w15:done="0"/>
  <w15:commentEx w15:paraId="44AFFD68" w15:done="0"/>
  <w15:commentEx w15:paraId="04278FD0" w15:done="0"/>
  <w15:commentEx w15:paraId="2E9950E7" w15:done="0"/>
  <w15:commentEx w15:paraId="4AC18AC1" w15:done="0"/>
  <w15:commentEx w15:paraId="7DF4E9F9" w15:done="0"/>
  <w15:commentEx w15:paraId="6C726240" w15:done="0"/>
  <w15:commentEx w15:paraId="67B357F4" w15:done="0"/>
  <w15:commentEx w15:paraId="37C0E9D2" w15:done="0"/>
  <w15:commentEx w15:paraId="7ED6FA92" w15:done="0"/>
  <w15:commentEx w15:paraId="1857B8B7" w15:done="0"/>
  <w15:commentEx w15:paraId="7855F9C0" w15:done="0"/>
  <w15:commentEx w15:paraId="155B4093" w15:done="0"/>
  <w15:commentEx w15:paraId="68C90AC3" w15:done="0"/>
  <w15:commentEx w15:paraId="03AEBFFF" w15:done="0"/>
  <w15:commentEx w15:paraId="7A0F44AE" w15:done="0"/>
  <w15:commentEx w15:paraId="6208555A" w15:done="0"/>
  <w15:commentEx w15:paraId="74BF54FA" w15:done="0"/>
  <w15:commentEx w15:paraId="2F0AB3BF" w15:done="0"/>
  <w15:commentEx w15:paraId="100536FB" w15:done="0"/>
  <w15:commentEx w15:paraId="6B2C019D" w15:done="0"/>
  <w15:commentEx w15:paraId="1246DB8D" w15:done="0"/>
  <w15:commentEx w15:paraId="436158E9" w15:done="0"/>
  <w15:commentEx w15:paraId="10E53C2B" w15:done="0"/>
  <w15:commentEx w15:paraId="089CAE53" w15:done="0"/>
  <w15:commentEx w15:paraId="7482C96C" w15:done="0"/>
  <w15:commentEx w15:paraId="7DD86B28" w15:done="0"/>
  <w15:commentEx w15:paraId="472A6FCD" w15:done="0"/>
  <w15:commentEx w15:paraId="7293E8E5" w15:done="0"/>
  <w15:commentEx w15:paraId="2F5A93B3" w15:done="0"/>
  <w15:commentEx w15:paraId="0B12D12E" w15:done="0"/>
  <w15:commentEx w15:paraId="40E11344" w15:done="0"/>
  <w15:commentEx w15:paraId="15ACFE5C" w15:done="0"/>
  <w15:commentEx w15:paraId="28A6BD0E" w15:done="0"/>
  <w15:commentEx w15:paraId="6F835E8D" w15:done="0"/>
  <w15:commentEx w15:paraId="29632438" w15:done="0"/>
  <w15:commentEx w15:paraId="5DC0F2D8" w15:done="0"/>
  <w15:commentEx w15:paraId="1FAF8D51" w15:done="0"/>
  <w15:commentEx w15:paraId="2CCD1DFD" w15:done="0"/>
  <w15:commentEx w15:paraId="51EF30E6" w15:done="0"/>
  <w15:commentEx w15:paraId="45736467" w15:done="0"/>
  <w15:commentEx w15:paraId="54044A47" w15:done="0"/>
  <w15:commentEx w15:paraId="14EF6C23" w15:done="0"/>
  <w15:commentEx w15:paraId="43A257B1" w15:done="0"/>
  <w15:commentEx w15:paraId="7C4A291D" w15:done="0"/>
  <w15:commentEx w15:paraId="65DE88D3" w15:done="0"/>
  <w15:commentEx w15:paraId="1D8F024C" w15:done="0"/>
  <w15:commentEx w15:paraId="5E16BB5D" w15:done="0"/>
  <w15:commentEx w15:paraId="4335445A" w15:done="0"/>
  <w15:commentEx w15:paraId="2E2A945B" w15:done="0"/>
  <w15:commentEx w15:paraId="7CD3FB6E" w15:done="0"/>
  <w15:commentEx w15:paraId="4D5A33CA" w15:done="0"/>
  <w15:commentEx w15:paraId="5554F752" w15:done="0"/>
  <w15:commentEx w15:paraId="460AE93B" w15:done="0"/>
  <w15:commentEx w15:paraId="742A3047" w15:done="0"/>
  <w15:commentEx w15:paraId="2BA264A9" w15:done="0"/>
  <w15:commentEx w15:paraId="0FFC7446" w15:done="0"/>
  <w15:commentEx w15:paraId="630562D7" w15:done="0"/>
  <w15:commentEx w15:paraId="60ADC1E6" w15:done="0"/>
  <w15:commentEx w15:paraId="6B82353E" w15:done="0"/>
  <w15:commentEx w15:paraId="51D6477D" w15:done="0"/>
  <w15:commentEx w15:paraId="7B4C71B8" w15:done="0"/>
  <w15:commentEx w15:paraId="5E8E6DF4" w15:done="0"/>
  <w15:commentEx w15:paraId="04F46EB3" w15:done="0"/>
  <w15:commentEx w15:paraId="304769D9" w15:done="0"/>
  <w15:commentEx w15:paraId="3EB472BD" w15:done="0"/>
  <w15:commentEx w15:paraId="2BA28C63" w15:done="0"/>
  <w15:commentEx w15:paraId="15F06FA2" w15:done="0"/>
  <w15:commentEx w15:paraId="43F76022" w15:done="0"/>
  <w15:commentEx w15:paraId="614C4FA3" w15:done="0"/>
  <w15:commentEx w15:paraId="5219B5E2" w15:done="0"/>
  <w15:commentEx w15:paraId="042FE0BB" w15:done="0"/>
  <w15:commentEx w15:paraId="3BCD1A62" w15:done="0"/>
  <w15:commentEx w15:paraId="467A0123" w15:done="0"/>
  <w15:commentEx w15:paraId="518A65E5" w15:done="0"/>
  <w15:commentEx w15:paraId="4573D549" w15:done="0"/>
  <w15:commentEx w15:paraId="07CA3C39" w15:done="0"/>
  <w15:commentEx w15:paraId="5CA7715E" w15:done="0"/>
  <w15:commentEx w15:paraId="2F783B4B" w15:done="0"/>
  <w15:commentEx w15:paraId="3C9BB3C6" w15:done="0"/>
  <w15:commentEx w15:paraId="5D2EC6A7" w15:done="0"/>
  <w15:commentEx w15:paraId="4C8FD98F" w15:done="0"/>
  <w15:commentEx w15:paraId="180AABEC" w15:done="0"/>
  <w15:commentEx w15:paraId="7474FCFE" w15:done="0"/>
  <w15:commentEx w15:paraId="471A9582" w15:done="0"/>
  <w15:commentEx w15:paraId="61E6722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256A21" w14:textId="77777777" w:rsidR="00CC0253" w:rsidRDefault="00CC0253" w:rsidP="000924E5">
      <w:pPr>
        <w:spacing w:after="0" w:line="240" w:lineRule="auto"/>
      </w:pPr>
      <w:r>
        <w:separator/>
      </w:r>
    </w:p>
  </w:endnote>
  <w:endnote w:type="continuationSeparator" w:id="0">
    <w:p w14:paraId="3C34800E" w14:textId="77777777" w:rsidR="00CC0253" w:rsidRDefault="00CC0253" w:rsidP="00092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Urdu Typesetting">
    <w:panose1 w:val="03020402040406030203"/>
    <w:charset w:val="00"/>
    <w:family w:val="script"/>
    <w:notTrueType/>
    <w:pitch w:val="variable"/>
    <w:sig w:usb0="00000003" w:usb1="00000000" w:usb2="00000000" w:usb3="00000000" w:csb0="00000001" w:csb1="00000000"/>
  </w:font>
  <w:font w:name="Brill">
    <w:altName w:val="Arial"/>
    <w:panose1 w:val="00000000000000000000"/>
    <w:charset w:val="00"/>
    <w:family w:val="swiss"/>
    <w:notTrueType/>
    <w:pitch w:val="variable"/>
    <w:sig w:usb0="E00002FF" w:usb1="4200E4FB"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51E456" w14:textId="77777777" w:rsidR="00CC0253" w:rsidRDefault="00CC0253" w:rsidP="000924E5">
      <w:pPr>
        <w:spacing w:after="0" w:line="240" w:lineRule="auto"/>
      </w:pPr>
      <w:r>
        <w:separator/>
      </w:r>
    </w:p>
  </w:footnote>
  <w:footnote w:type="continuationSeparator" w:id="0">
    <w:p w14:paraId="1F3CEE1D" w14:textId="77777777" w:rsidR="00CC0253" w:rsidRDefault="00CC0253" w:rsidP="000924E5">
      <w:pPr>
        <w:spacing w:after="0" w:line="240" w:lineRule="auto"/>
      </w:pPr>
      <w:r>
        <w:continuationSeparator/>
      </w:r>
    </w:p>
  </w:footnote>
  <w:footnote w:id="1">
    <w:p w14:paraId="16330AE4" w14:textId="77777777" w:rsidR="005B3668" w:rsidRDefault="005B3668">
      <w:pPr>
        <w:pStyle w:val="FootnoteText"/>
      </w:pPr>
      <w:r w:rsidRPr="00745BDD">
        <w:rPr>
          <w:rStyle w:val="FootnoteReference"/>
        </w:rPr>
        <w:footnoteRef/>
      </w:r>
      <w:r w:rsidRPr="00745BDD">
        <w:t xml:space="preserve"> Ovid </w:t>
      </w:r>
      <w:r w:rsidRPr="00745BDD">
        <w:rPr>
          <w:i/>
        </w:rPr>
        <w:t>Metamorphoses</w:t>
      </w:r>
      <w:r w:rsidRPr="00745BDD">
        <w:t>: I.85-89.</w:t>
      </w:r>
      <w:ins w:id="21" w:author="Dorian" w:date="2015-11-20T19:32:00Z">
        <w:r>
          <w:t xml:space="preserve"> Trans. by? </w:t>
        </w:r>
      </w:ins>
    </w:p>
  </w:footnote>
  <w:footnote w:id="2">
    <w:p w14:paraId="3F358B65" w14:textId="77777777" w:rsidR="005B3668" w:rsidRDefault="005B3668" w:rsidP="006212CA">
      <w:pPr>
        <w:pStyle w:val="FootnoteText"/>
      </w:pPr>
      <w:r w:rsidRPr="00745BDD">
        <w:rPr>
          <w:rStyle w:val="FootnoteReference"/>
        </w:rPr>
        <w:footnoteRef/>
      </w:r>
      <w:r w:rsidRPr="00745BDD">
        <w:rPr>
          <w:rFonts w:cs="Arial"/>
          <w:shd w:val="clear" w:color="auto" w:fill="FFFFFF"/>
        </w:rPr>
        <w:t>van de Mieroop, M.</w:t>
      </w:r>
      <w:r w:rsidRPr="00745BDD">
        <w:rPr>
          <w:rFonts w:cs="Arial"/>
          <w:color w:val="252525"/>
          <w:shd w:val="clear" w:color="auto" w:fill="FFFFFF"/>
        </w:rPr>
        <w:t> (2007) </w:t>
      </w:r>
      <w:r w:rsidRPr="00745BDD">
        <w:rPr>
          <w:rFonts w:cs="Arial"/>
          <w:i/>
          <w:iCs/>
          <w:color w:val="252525"/>
          <w:shd w:val="clear" w:color="auto" w:fill="FFFFFF"/>
        </w:rPr>
        <w:t>A History of the Ancient Near East, ca. 3000–323 BC</w:t>
      </w:r>
      <w:r w:rsidRPr="00745BDD">
        <w:rPr>
          <w:rFonts w:cs="Arial"/>
          <w:color w:val="252525"/>
          <w:shd w:val="clear" w:color="auto" w:fill="FFFFFF"/>
        </w:rPr>
        <w:t xml:space="preserve">. Malden: Blackwell. </w:t>
      </w:r>
    </w:p>
  </w:footnote>
  <w:footnote w:id="3">
    <w:p w14:paraId="04316EDF" w14:textId="77777777" w:rsidR="005B3668" w:rsidRDefault="005B3668" w:rsidP="006212CA">
      <w:pPr>
        <w:pStyle w:val="FootnoteText"/>
      </w:pPr>
      <w:r w:rsidRPr="00745BDD">
        <w:rPr>
          <w:rStyle w:val="FootnoteReference"/>
        </w:rPr>
        <w:footnoteRef/>
      </w:r>
      <w:r w:rsidRPr="00745BDD">
        <w:rPr>
          <w:rFonts w:cs="Arial"/>
          <w:color w:val="252525"/>
          <w:shd w:val="clear" w:color="auto" w:fill="FFFFFF"/>
        </w:rPr>
        <w:t>Akkermans, P. M., and Schwartz, G. M. (2003). </w:t>
      </w:r>
      <w:r w:rsidRPr="00745BDD">
        <w:rPr>
          <w:rFonts w:cs="Arial"/>
          <w:i/>
          <w:iCs/>
          <w:color w:val="252525"/>
          <w:shd w:val="clear" w:color="auto" w:fill="FFFFFF"/>
        </w:rPr>
        <w:t>The Archaeology of Syria. From Complex Hunter-Gatherers to Early Urban Societies (ca. 16,000–300 BC)</w:t>
      </w:r>
      <w:r w:rsidRPr="00745BDD">
        <w:rPr>
          <w:rFonts w:cs="Arial"/>
          <w:color w:val="252525"/>
          <w:shd w:val="clear" w:color="auto" w:fill="FFFFFF"/>
        </w:rPr>
        <w:t xml:space="preserve"> Cambridge: Cambridge University Press: 17; Maisels, C. K. (1993) </w:t>
      </w:r>
      <w:r w:rsidRPr="00745BDD">
        <w:rPr>
          <w:rFonts w:cs="Arial"/>
          <w:i/>
          <w:iCs/>
          <w:color w:val="252525"/>
          <w:shd w:val="clear" w:color="auto" w:fill="FFFFFF"/>
        </w:rPr>
        <w:t>The Near East: Archaeology in the "Cradle of Civilization"</w:t>
      </w:r>
      <w:r w:rsidRPr="00745BDD">
        <w:rPr>
          <w:rFonts w:cs="Arial"/>
          <w:color w:val="252525"/>
          <w:shd w:val="clear" w:color="auto" w:fill="FFFFFF"/>
        </w:rPr>
        <w:t>, London: Routledge; Matthews, R. (2002) ‘</w:t>
      </w:r>
      <w:r w:rsidRPr="00745BDD">
        <w:rPr>
          <w:rFonts w:cs="Arial"/>
          <w:iCs/>
          <w:color w:val="252525"/>
          <w:shd w:val="clear" w:color="auto" w:fill="FFFFFF"/>
        </w:rPr>
        <w:t>Secrets of the Dark Mound: Jemdet Nasr 1926–1928’</w:t>
      </w:r>
      <w:r w:rsidRPr="00745BDD">
        <w:rPr>
          <w:rFonts w:cs="Arial"/>
          <w:color w:val="252525"/>
          <w:shd w:val="clear" w:color="auto" w:fill="FFFFFF"/>
        </w:rPr>
        <w:t xml:space="preserve">, in, </w:t>
      </w:r>
      <w:r w:rsidRPr="00745BDD">
        <w:rPr>
          <w:rFonts w:cs="Arial"/>
          <w:i/>
          <w:color w:val="252525"/>
          <w:shd w:val="clear" w:color="auto" w:fill="FFFFFF"/>
        </w:rPr>
        <w:t>Iraq Archaeological Reports</w:t>
      </w:r>
      <w:r w:rsidRPr="00745BDD">
        <w:rPr>
          <w:rFonts w:cs="Arial"/>
          <w:color w:val="252525"/>
          <w:shd w:val="clear" w:color="auto" w:fill="FFFFFF"/>
        </w:rPr>
        <w:t> </w:t>
      </w:r>
      <w:r w:rsidRPr="00745BDD">
        <w:rPr>
          <w:rFonts w:cs="Arial"/>
          <w:bCs/>
          <w:color w:val="252525"/>
          <w:shd w:val="clear" w:color="auto" w:fill="FFFFFF"/>
        </w:rPr>
        <w:t>6</w:t>
      </w:r>
      <w:r w:rsidRPr="00745BDD">
        <w:rPr>
          <w:rFonts w:cs="Arial"/>
          <w:color w:val="252525"/>
          <w:shd w:val="clear" w:color="auto" w:fill="FFFFFF"/>
        </w:rPr>
        <w:t>: 33-37;</w:t>
      </w:r>
      <w:r w:rsidRPr="00745BDD">
        <w:t xml:space="preserve"> Matthews, R. (2003) </w:t>
      </w:r>
      <w:r w:rsidRPr="00745BDD">
        <w:rPr>
          <w:i/>
          <w:iCs/>
        </w:rPr>
        <w:t>The Archaeology of Mesopotamia: Theories and Approaches</w:t>
      </w:r>
      <w:r w:rsidRPr="00745BDD">
        <w:t xml:space="preserve"> London: Routledge: 5, 65-66; </w:t>
      </w:r>
      <w:r w:rsidRPr="00745BDD">
        <w:rPr>
          <w:rFonts w:cs="Arial"/>
          <w:color w:val="252525"/>
          <w:shd w:val="clear" w:color="auto" w:fill="FFFFFF"/>
        </w:rPr>
        <w:t>Sagona, A., and Zimansky, P. (2009) </w:t>
      </w:r>
      <w:r w:rsidRPr="00745BDD">
        <w:rPr>
          <w:rFonts w:cs="Arial"/>
          <w:i/>
          <w:iCs/>
          <w:color w:val="252525"/>
          <w:shd w:val="clear" w:color="auto" w:fill="FFFFFF"/>
        </w:rPr>
        <w:t>Ancient Turkey</w:t>
      </w:r>
      <w:r w:rsidRPr="00745BDD">
        <w:rPr>
          <w:rFonts w:cs="Arial"/>
          <w:color w:val="252525"/>
          <w:shd w:val="clear" w:color="auto" w:fill="FFFFFF"/>
        </w:rPr>
        <w:t xml:space="preserve"> London: Routledge: 251</w:t>
      </w:r>
      <w:r w:rsidRPr="00745BDD">
        <w:t>.</w:t>
      </w:r>
    </w:p>
  </w:footnote>
  <w:footnote w:id="4">
    <w:p w14:paraId="777717EE" w14:textId="77777777" w:rsidR="005B3668" w:rsidRDefault="005B3668" w:rsidP="006212CA">
      <w:pPr>
        <w:pStyle w:val="FootnoteText"/>
      </w:pPr>
      <w:r w:rsidRPr="00745BDD">
        <w:rPr>
          <w:rStyle w:val="FootnoteReference"/>
        </w:rPr>
        <w:footnoteRef/>
      </w:r>
      <w:r w:rsidRPr="00745BDD">
        <w:t xml:space="preserve"> Campion, N. (2012) </w:t>
      </w:r>
      <w:r w:rsidRPr="00745BDD">
        <w:rPr>
          <w:i/>
        </w:rPr>
        <w:t>A History of Western AstrologyVolume I: The Ancient World</w:t>
      </w:r>
      <w:r w:rsidRPr="00745BDD">
        <w:t>: London: Continuum Books: 34-67.</w:t>
      </w:r>
    </w:p>
  </w:footnote>
  <w:footnote w:id="5">
    <w:p w14:paraId="2EDE0B22" w14:textId="77777777" w:rsidR="005B3668" w:rsidRDefault="005B3668" w:rsidP="006212CA">
      <w:pPr>
        <w:pStyle w:val="FootnoteText"/>
      </w:pPr>
      <w:r w:rsidRPr="00745BDD">
        <w:rPr>
          <w:rStyle w:val="FootnoteReference"/>
        </w:rPr>
        <w:footnoteRef/>
      </w:r>
      <w:r w:rsidRPr="00745BDD">
        <w:t xml:space="preserve"> West, M. L. (1997) </w:t>
      </w:r>
      <w:r w:rsidRPr="00745BDD">
        <w:rPr>
          <w:i/>
        </w:rPr>
        <w:t>The East Face of Helicon, West Asiatic Elements in Greek Poetry</w:t>
      </w:r>
      <w:r w:rsidRPr="00745BDD">
        <w:t xml:space="preserve"> Oxford: Oxford University Press :1-60.</w:t>
      </w:r>
    </w:p>
  </w:footnote>
  <w:footnote w:id="6">
    <w:p w14:paraId="175DF2FE" w14:textId="77777777" w:rsidR="005B3668" w:rsidRDefault="005B3668" w:rsidP="006212CA">
      <w:pPr>
        <w:pStyle w:val="FootnoteText"/>
      </w:pPr>
      <w:r w:rsidRPr="00745BDD">
        <w:rPr>
          <w:rStyle w:val="FootnoteReference"/>
        </w:rPr>
        <w:footnoteRef/>
      </w:r>
      <w:r w:rsidRPr="00745BDD">
        <w:t xml:space="preserve"> Herodotus </w:t>
      </w:r>
      <w:r w:rsidRPr="00745BDD">
        <w:rPr>
          <w:i/>
        </w:rPr>
        <w:t>Histories</w:t>
      </w:r>
      <w:r w:rsidRPr="00745BDD">
        <w:t xml:space="preserve">: V.58.2; </w:t>
      </w:r>
      <w:r w:rsidRPr="00745BDD">
        <w:rPr>
          <w:i/>
        </w:rPr>
        <w:t xml:space="preserve">SIG </w:t>
      </w:r>
      <w:r w:rsidRPr="00745BDD">
        <w:t>38.37.</w:t>
      </w:r>
    </w:p>
  </w:footnote>
  <w:footnote w:id="7">
    <w:p w14:paraId="0A3FB35F" w14:textId="77777777" w:rsidR="005B3668" w:rsidRDefault="005B3668" w:rsidP="006212CA">
      <w:pPr>
        <w:pStyle w:val="FootnoteText"/>
      </w:pPr>
      <w:r w:rsidRPr="00745BDD">
        <w:rPr>
          <w:rStyle w:val="FootnoteReference"/>
        </w:rPr>
        <w:footnoteRef/>
      </w:r>
      <w:r w:rsidRPr="00745BDD">
        <w:t xml:space="preserve"> For example: Burkert, W. (1992) </w:t>
      </w:r>
      <w:r w:rsidRPr="00745BDD">
        <w:rPr>
          <w:i/>
        </w:rPr>
        <w:t>The Orientalising Revolution: Near Eastern Influence on Greek Culture in the Early Archaic Age</w:t>
      </w:r>
      <w:r w:rsidRPr="00745BDD">
        <w:t xml:space="preserve"> Cambridge, MA: Harvard University Press: </w:t>
      </w:r>
      <w:r w:rsidRPr="00745BDD">
        <w:rPr>
          <w:i/>
        </w:rPr>
        <w:t>passim</w:t>
      </w:r>
      <w:r w:rsidRPr="00745BDD">
        <w:t xml:space="preserve">;West, M. L. (1997) </w:t>
      </w:r>
      <w:r w:rsidRPr="00745BDD">
        <w:rPr>
          <w:i/>
        </w:rPr>
        <w:t>The East Face of Helicon, West Asiatic Elements in Greek Poetry</w:t>
      </w:r>
      <w:r w:rsidRPr="00745BDD">
        <w:t xml:space="preserve"> Oxford: Oxford University Press :</w:t>
      </w:r>
      <w:r w:rsidRPr="00745BDD">
        <w:rPr>
          <w:i/>
        </w:rPr>
        <w:t>passim</w:t>
      </w:r>
      <w:r w:rsidRPr="00745BDD">
        <w:t xml:space="preserve">, and;Penglase, C. (1994) </w:t>
      </w:r>
      <w:r w:rsidRPr="00745BDD">
        <w:rPr>
          <w:i/>
        </w:rPr>
        <w:t>Greek Myths and Mesopotamia: Parallels and Influence in the Homeric Hymns and Hesiod</w:t>
      </w:r>
      <w:r w:rsidRPr="00745BDD">
        <w:t xml:space="preserve"> London: Routledge: </w:t>
      </w:r>
      <w:r w:rsidRPr="00745BDD">
        <w:rPr>
          <w:i/>
        </w:rPr>
        <w:t>passim</w:t>
      </w:r>
      <w:r w:rsidRPr="00745BDD">
        <w:t>.</w:t>
      </w:r>
    </w:p>
  </w:footnote>
  <w:footnote w:id="8">
    <w:p w14:paraId="48D106B9" w14:textId="77777777" w:rsidR="005B3668" w:rsidRDefault="005B3668" w:rsidP="006212CA">
      <w:pPr>
        <w:pStyle w:val="FootnoteText"/>
      </w:pPr>
      <w:r w:rsidRPr="00745BDD">
        <w:rPr>
          <w:rStyle w:val="FootnoteReference"/>
        </w:rPr>
        <w:footnoteRef/>
      </w:r>
      <w:r w:rsidRPr="00745BDD">
        <w:t xml:space="preserve"> Kirk, G. S. (1962) </w:t>
      </w:r>
      <w:r w:rsidRPr="00745BDD">
        <w:rPr>
          <w:i/>
        </w:rPr>
        <w:t xml:space="preserve">The Songs of Homer </w:t>
      </w:r>
      <w:r w:rsidRPr="00745BDD">
        <w:t>Cambridge: Cambridge University Press: 106.</w:t>
      </w:r>
    </w:p>
  </w:footnote>
  <w:footnote w:id="9">
    <w:p w14:paraId="15FBBE6D" w14:textId="77777777" w:rsidR="005B3668" w:rsidRDefault="005B3668" w:rsidP="006212CA">
      <w:pPr>
        <w:pStyle w:val="FootnoteText"/>
      </w:pPr>
      <w:r w:rsidRPr="00745BDD">
        <w:rPr>
          <w:rStyle w:val="FootnoteReference"/>
        </w:rPr>
        <w:footnoteRef/>
      </w:r>
      <w:r w:rsidRPr="00745BDD">
        <w:t xml:space="preserve">Penglase, C. (1994) </w:t>
      </w:r>
      <w:r w:rsidRPr="00745BDD">
        <w:rPr>
          <w:i/>
        </w:rPr>
        <w:t>Greek Myths and Mesopotamia: Parallels and Influence in the Homeric Hymns and Hesiod</w:t>
      </w:r>
      <w:r w:rsidRPr="00745BDD">
        <w:t xml:space="preserve"> London: Routledge:7.</w:t>
      </w:r>
    </w:p>
  </w:footnote>
  <w:footnote w:id="10">
    <w:p w14:paraId="75C51F8E" w14:textId="77777777" w:rsidR="005B3668" w:rsidRDefault="005B3668">
      <w:pPr>
        <w:pStyle w:val="FootnoteText"/>
      </w:pPr>
      <w:r w:rsidRPr="00745BDD">
        <w:rPr>
          <w:rStyle w:val="FootnoteReference"/>
        </w:rPr>
        <w:footnoteRef/>
      </w:r>
      <w:r w:rsidRPr="00745BDD">
        <w:t xml:space="preserve"> Various estimates have been given from the reign of Sumu-la-el (1936-1901BCE) to the reign of Nebuchadnezzar I (1125-1104BCE), see: Dalley, S. (trans.) (2000) </w:t>
      </w:r>
      <w:r w:rsidRPr="00745BDD">
        <w:rPr>
          <w:i/>
        </w:rPr>
        <w:t>Myths from Mesopotamia: Creation, The Flood, Gilgamesh and Others</w:t>
      </w:r>
      <w:r w:rsidRPr="00745BDD">
        <w:t xml:space="preserve"> [Revised Edition], Oxford: Oxford University Press [1989]: 229-230.</w:t>
      </w:r>
    </w:p>
  </w:footnote>
  <w:footnote w:id="11">
    <w:p w14:paraId="26588120" w14:textId="77777777" w:rsidR="005B3668" w:rsidRDefault="005B3668" w:rsidP="006F4BCE">
      <w:pPr>
        <w:pStyle w:val="FootnoteText"/>
      </w:pPr>
      <w:r w:rsidRPr="00745BDD">
        <w:rPr>
          <w:rStyle w:val="FootnoteReference"/>
        </w:rPr>
        <w:footnoteRef/>
      </w:r>
      <w:r w:rsidRPr="00745BDD">
        <w:t xml:space="preserve">Tsetskhladze G.R. (2006) (ed.) </w:t>
      </w:r>
      <w:r w:rsidRPr="00745BDD">
        <w:rPr>
          <w:i/>
        </w:rPr>
        <w:t>Greek Colonisation: An Account of Greek Colonies and Other Settlements Overseas</w:t>
      </w:r>
      <w:r w:rsidRPr="00745BDD">
        <w:t xml:space="preserve"> Vol. 1 Leiden: Brill: </w:t>
      </w:r>
      <w:r w:rsidRPr="00745BDD">
        <w:rPr>
          <w:i/>
        </w:rPr>
        <w:t>passim</w:t>
      </w:r>
      <w:r w:rsidRPr="00745BDD">
        <w:t xml:space="preserve">, and; Feldman, H. (1996) ‘Homer and the Near East: The Rise of the Greek Genius’, in, </w:t>
      </w:r>
      <w:r w:rsidRPr="00745BDD">
        <w:rPr>
          <w:i/>
        </w:rPr>
        <w:t>The Biblical Archaeologist</w:t>
      </w:r>
      <w:r w:rsidRPr="00745BDD">
        <w:t xml:space="preserve"> Vol.59, No.1: 14.</w:t>
      </w:r>
    </w:p>
  </w:footnote>
  <w:footnote w:id="12">
    <w:p w14:paraId="2C5E69E4" w14:textId="77777777" w:rsidR="005B3668" w:rsidRDefault="005B3668" w:rsidP="006F4BCE">
      <w:pPr>
        <w:pStyle w:val="FootnoteText"/>
      </w:pPr>
      <w:r w:rsidRPr="00745BDD">
        <w:rPr>
          <w:rStyle w:val="FootnoteReference"/>
        </w:rPr>
        <w:footnoteRef/>
      </w:r>
      <w:r w:rsidRPr="00745BDD">
        <w:t xml:space="preserve"> The reasons for this catastrophic collapse are widely hypothesised, see; Drews, R. (1993) </w:t>
      </w:r>
      <w:r w:rsidRPr="00745BDD">
        <w:rPr>
          <w:i/>
        </w:rPr>
        <w:t>The End of the Bronze Age: changes in warfare and the catastrophe ca. 1200 BC</w:t>
      </w:r>
      <w:r w:rsidRPr="00745BDD">
        <w:t xml:space="preserve"> Princeton: Princeton University Press; Yurco, F. J. ‘End of the Late Bronze Age and Other Crisis Periods: A Volcanic Cause’, in, Teeter, E. and Larson, J. (1999) (eds.) </w:t>
      </w:r>
      <w:r w:rsidRPr="00745BDD">
        <w:rPr>
          <w:i/>
        </w:rPr>
        <w:t>Gold of Praise: Studies on Ancient Egypt in Honor of Edward F. Wente</w:t>
      </w:r>
      <w:r w:rsidRPr="00745BDD">
        <w:t xml:space="preserve"> (Studies in Ancient Oriental Civilization) Chicago: University of Chicago Press:456–458; Weiss, H. (1982)  ‘The decline of Late Bronze Age civilization as a possible response to climatic change’, in, </w:t>
      </w:r>
      <w:r w:rsidRPr="00745BDD">
        <w:rPr>
          <w:i/>
        </w:rPr>
        <w:t>Climatic Change</w:t>
      </w:r>
      <w:r w:rsidRPr="00745BDD">
        <w:t xml:space="preserve"> 4 (2): 173–198; Langgut, D., Finkelstein, I., and Litt, T. (2013) ‘Climate and the late Bronze Collapse: New evidence from the southern Levant’, in, </w:t>
      </w:r>
      <w:r w:rsidRPr="00745BDD">
        <w:rPr>
          <w:i/>
        </w:rPr>
        <w:t>Journal of Institute of Archaeology of Tel Aviv University</w:t>
      </w:r>
      <w:r w:rsidRPr="00745BDD">
        <w:t>, 40 (2) : 149-175.</w:t>
      </w:r>
    </w:p>
  </w:footnote>
  <w:footnote w:id="13">
    <w:p w14:paraId="3D110B52" w14:textId="77777777" w:rsidR="005B3668" w:rsidRDefault="005B3668" w:rsidP="006F4BCE">
      <w:pPr>
        <w:pStyle w:val="FootnoteText"/>
      </w:pPr>
      <w:r w:rsidRPr="00745BDD">
        <w:rPr>
          <w:rStyle w:val="FootnoteReference"/>
        </w:rPr>
        <w:footnoteRef/>
      </w:r>
      <w:r w:rsidRPr="00745BDD">
        <w:t xml:space="preserve">Burkert, W. (1992) </w:t>
      </w:r>
      <w:r w:rsidRPr="00745BDD">
        <w:rPr>
          <w:i/>
        </w:rPr>
        <w:t>The Orientalizing Revolution: Near Eastern Influence on Greek Culture in the Early Archaic Age</w:t>
      </w:r>
      <w:r w:rsidRPr="00745BDD">
        <w:rPr>
          <w:rFonts w:cs="Calibri"/>
        </w:rPr>
        <w:t>Cambridge, MA: Harvard University Press.</w:t>
      </w:r>
    </w:p>
  </w:footnote>
  <w:footnote w:id="14">
    <w:p w14:paraId="51EC2B2B" w14:textId="77777777" w:rsidR="005B3668" w:rsidRDefault="005B3668" w:rsidP="006F4BCE">
      <w:pPr>
        <w:pStyle w:val="FootnoteText"/>
      </w:pPr>
      <w:r w:rsidRPr="00745BDD">
        <w:rPr>
          <w:rStyle w:val="FootnoteReference"/>
        </w:rPr>
        <w:footnoteRef/>
      </w:r>
      <w:r w:rsidRPr="00745BDD">
        <w:t xml:space="preserve">Burkert, W. (2004) </w:t>
      </w:r>
      <w:r w:rsidRPr="00745BDD">
        <w:rPr>
          <w:i/>
        </w:rPr>
        <w:t xml:space="preserve">Babylon, Memphis, Persepolis: Eastern Contexts of Greek Culture </w:t>
      </w:r>
      <w:r w:rsidRPr="00745BDD">
        <w:t xml:space="preserve">Cambridge, MA: Harvard University Press: 5, and; West, M. L. (1997) </w:t>
      </w:r>
      <w:r w:rsidRPr="00745BDD">
        <w:rPr>
          <w:i/>
        </w:rPr>
        <w:t>The East Face of Helicon: West Asiatic Elements in Greek Poetry and Myth</w:t>
      </w:r>
      <w:r w:rsidRPr="00745BDD">
        <w:t xml:space="preserve"> Oxford: Oxford University Press: 10-27.</w:t>
      </w:r>
    </w:p>
  </w:footnote>
  <w:footnote w:id="15">
    <w:p w14:paraId="6C40FD6A" w14:textId="77777777" w:rsidR="005B3668" w:rsidRDefault="005B3668" w:rsidP="006F4BCE">
      <w:pPr>
        <w:pStyle w:val="FootnoteText"/>
      </w:pPr>
      <w:r w:rsidRPr="00745BDD">
        <w:rPr>
          <w:rStyle w:val="FootnoteReference"/>
        </w:rPr>
        <w:footnoteRef/>
      </w:r>
      <w:r w:rsidRPr="00745BDD">
        <w:rPr>
          <w:rFonts w:cs="Arial"/>
          <w:color w:val="222222"/>
          <w:shd w:val="clear" w:color="auto" w:fill="FFFFFF"/>
        </w:rPr>
        <w:t xml:space="preserve">J. H. Hurwitt (1985) </w:t>
      </w:r>
      <w:r w:rsidRPr="00745BDD">
        <w:rPr>
          <w:rFonts w:cs="Arial"/>
          <w:i/>
          <w:color w:val="222222"/>
          <w:shd w:val="clear" w:color="auto" w:fill="FFFFFF"/>
        </w:rPr>
        <w:t>The Art and Culture of Early Greece 1100 – 480BC</w:t>
      </w:r>
      <w:r w:rsidRPr="00745BDD">
        <w:rPr>
          <w:rFonts w:cs="Arial"/>
          <w:color w:val="222222"/>
          <w:shd w:val="clear" w:color="auto" w:fill="FFFFFF"/>
        </w:rPr>
        <w:t xml:space="preserve">, Ithaca: Cornell University Press: 125-202; Akurgal, E. (1968) </w:t>
      </w:r>
      <w:r w:rsidRPr="00745BDD">
        <w:rPr>
          <w:rFonts w:cs="Arial"/>
          <w:i/>
          <w:color w:val="222222"/>
          <w:shd w:val="clear" w:color="auto" w:fill="FFFFFF"/>
        </w:rPr>
        <w:t xml:space="preserve">The Art of Greece: Its Origins in the Mediterranean and the Near East </w:t>
      </w:r>
      <w:r w:rsidRPr="00745BDD">
        <w:rPr>
          <w:rFonts w:cs="Arial"/>
          <w:color w:val="222222"/>
          <w:shd w:val="clear" w:color="auto" w:fill="FFFFFF"/>
        </w:rPr>
        <w:t>New York: Crown Publishers: 187-188.</w:t>
      </w:r>
    </w:p>
  </w:footnote>
  <w:footnote w:id="16">
    <w:p w14:paraId="1446C1D3" w14:textId="77777777" w:rsidR="005B3668" w:rsidRDefault="005B3668" w:rsidP="006F4BCE">
      <w:pPr>
        <w:pStyle w:val="FootnoteText"/>
      </w:pPr>
      <w:r w:rsidRPr="00745BDD">
        <w:rPr>
          <w:rStyle w:val="FootnoteReference"/>
        </w:rPr>
        <w:footnoteRef/>
      </w:r>
      <w:r w:rsidRPr="00745BDD">
        <w:t xml:space="preserve">Hagg, R. (1983) (ed.) </w:t>
      </w:r>
      <w:r w:rsidRPr="00745BDD">
        <w:rPr>
          <w:i/>
        </w:rPr>
        <w:t>The Greek Renaissance of the Eight</w:t>
      </w:r>
      <w:ins w:id="45" w:author="Dorian" w:date="2015-11-23T16:59:00Z">
        <w:r>
          <w:rPr>
            <w:i/>
          </w:rPr>
          <w:t>h</w:t>
        </w:r>
      </w:ins>
      <w:r w:rsidRPr="00745BDD">
        <w:rPr>
          <w:i/>
        </w:rPr>
        <w:t xml:space="preserve"> Century B.C.: Tradition and Innovation: Proceedings of the Second International Symposium at the Swedish Institute in Athens June 1981</w:t>
      </w:r>
      <w:r w:rsidRPr="00745BDD">
        <w:t xml:space="preserve"> Stockholm: Aströms: </w:t>
      </w:r>
      <w:r w:rsidRPr="00745BDD">
        <w:rPr>
          <w:i/>
        </w:rPr>
        <w:t>passim</w:t>
      </w:r>
      <w:r w:rsidRPr="00745BDD">
        <w:t xml:space="preserve">;Cline, E. H. (1994) </w:t>
      </w:r>
      <w:r w:rsidRPr="00745BDD">
        <w:rPr>
          <w:i/>
        </w:rPr>
        <w:t>Sailing the Wine-Dark Sea. International Trade and the Late Bronze Age Aegean</w:t>
      </w:r>
      <w:r w:rsidRPr="00745BDD">
        <w:t xml:space="preserve"> Oxford: Oxford University Press: 36</w:t>
      </w:r>
      <w:r w:rsidRPr="00745BDD">
        <w:rPr>
          <w:i/>
        </w:rPr>
        <w:t>f</w:t>
      </w:r>
      <w:r w:rsidRPr="00745BDD">
        <w:t xml:space="preserve">, and; West, M. L. (1997) </w:t>
      </w:r>
      <w:r w:rsidRPr="00745BDD">
        <w:rPr>
          <w:i/>
        </w:rPr>
        <w:t>The East Face of Helicon, West Asiatic Elements in Greek Poetry</w:t>
      </w:r>
      <w:r w:rsidRPr="00745BDD">
        <w:t xml:space="preserve"> Oxford: Oxford University Press: 59.</w:t>
      </w:r>
    </w:p>
  </w:footnote>
  <w:footnote w:id="17">
    <w:p w14:paraId="798667EF" w14:textId="77777777" w:rsidR="005B3668" w:rsidRDefault="005B3668" w:rsidP="006F4BCE">
      <w:pPr>
        <w:pStyle w:val="FootnoteText"/>
      </w:pPr>
      <w:r w:rsidRPr="00745BDD">
        <w:rPr>
          <w:rStyle w:val="FootnoteReference"/>
        </w:rPr>
        <w:footnoteRef/>
      </w:r>
      <w:r w:rsidRPr="00745BDD">
        <w:t xml:space="preserve"> West, M. L. (1997) </w:t>
      </w:r>
      <w:r w:rsidRPr="00745BDD">
        <w:rPr>
          <w:i/>
        </w:rPr>
        <w:t>The East Face of Helicon: West Asiatic Elements in Greek Poetry and Myth</w:t>
      </w:r>
      <w:r w:rsidRPr="00745BDD">
        <w:t xml:space="preserve"> Oxford: Oxford University Press: 2-9.</w:t>
      </w:r>
      <w:ins w:id="47" w:author="Dorian" w:date="2015-11-20T19:49:00Z">
        <w:r>
          <w:t xml:space="preserve"> [Once you cite a source for the first time, there is no need to cite the source again in full; you may use a short title, e.g. West, </w:t>
        </w:r>
        <w:r w:rsidRPr="008752A3">
          <w:rPr>
            <w:i/>
          </w:rPr>
          <w:t>East Face of Helicon</w:t>
        </w:r>
        <w:r>
          <w:t>.]</w:t>
        </w:r>
      </w:ins>
    </w:p>
  </w:footnote>
  <w:footnote w:id="18">
    <w:p w14:paraId="344E2314" w14:textId="77777777" w:rsidR="005B3668" w:rsidRDefault="005B3668" w:rsidP="006F4BCE">
      <w:pPr>
        <w:pStyle w:val="FootnoteText"/>
      </w:pPr>
      <w:r w:rsidRPr="00745BDD">
        <w:rPr>
          <w:rStyle w:val="FootnoteReference"/>
        </w:rPr>
        <w:footnoteRef/>
      </w:r>
      <w:r w:rsidRPr="00745BDD">
        <w:t xml:space="preserve">Balmuth, M. S. (1992) ‘Phoenician Chronology in Sardinia: Prospecting Trade and Settlement before 900B.C.’, in, Hackens, T. and Moucharte, G. (eds.) </w:t>
      </w:r>
      <w:r w:rsidRPr="00745BDD">
        <w:rPr>
          <w:i/>
        </w:rPr>
        <w:t xml:space="preserve">Publications d’Histoire de l’Art et </w:t>
      </w:r>
      <w:del w:id="48" w:author="Dorian" w:date="2015-11-20T19:53:00Z">
        <w:r w:rsidRPr="00745BDD" w:rsidDel="007E57E9">
          <w:rPr>
            <w:i/>
          </w:rPr>
          <w:delText xml:space="preserve">d’Archeologie </w:delText>
        </w:r>
      </w:del>
      <w:ins w:id="49" w:author="Dorian" w:date="2015-11-20T19:53:00Z">
        <w:r w:rsidRPr="00745BDD">
          <w:rPr>
            <w:i/>
          </w:rPr>
          <w:t>d’Arch</w:t>
        </w:r>
        <w:r>
          <w:rPr>
            <w:i/>
          </w:rPr>
          <w:t>é</w:t>
        </w:r>
        <w:r w:rsidRPr="00745BDD">
          <w:rPr>
            <w:i/>
          </w:rPr>
          <w:t xml:space="preserve">ologie </w:t>
        </w:r>
      </w:ins>
      <w:r w:rsidRPr="00745BDD">
        <w:rPr>
          <w:i/>
        </w:rPr>
        <w:t xml:space="preserve">de </w:t>
      </w:r>
      <w:del w:id="50" w:author="Dorian" w:date="2015-11-20T19:53:00Z">
        <w:r w:rsidRPr="00745BDD" w:rsidDel="007E57E9">
          <w:rPr>
            <w:i/>
          </w:rPr>
          <w:delText xml:space="preserve">l’UniversiteCatholique </w:delText>
        </w:r>
      </w:del>
      <w:ins w:id="51" w:author="Dorian" w:date="2015-11-20T19:53:00Z">
        <w:r w:rsidRPr="00745BDD">
          <w:rPr>
            <w:i/>
          </w:rPr>
          <w:t>l’Universit</w:t>
        </w:r>
        <w:r>
          <w:rPr>
            <w:i/>
          </w:rPr>
          <w:t xml:space="preserve">é </w:t>
        </w:r>
        <w:r w:rsidRPr="00745BDD">
          <w:rPr>
            <w:i/>
          </w:rPr>
          <w:t xml:space="preserve">Catholique </w:t>
        </w:r>
      </w:ins>
      <w:r w:rsidRPr="00745BDD">
        <w:rPr>
          <w:i/>
        </w:rPr>
        <w:t>de Louvain</w:t>
      </w:r>
      <w:r w:rsidRPr="00745BDD">
        <w:t xml:space="preserve"> 58: </w:t>
      </w:r>
      <w:r w:rsidRPr="00745BDD">
        <w:rPr>
          <w:i/>
        </w:rPr>
        <w:t>Studia Phoenicia</w:t>
      </w:r>
      <w:r w:rsidRPr="00745BDD">
        <w:t xml:space="preserve">, 9: </w:t>
      </w:r>
      <w:r w:rsidRPr="00745BDD">
        <w:rPr>
          <w:i/>
        </w:rPr>
        <w:t xml:space="preserve">Numismatique et histoire economiquepheniciennes et puniques: Actes du Colloquetenu </w:t>
      </w:r>
      <w:del w:id="52" w:author="Dorian" w:date="2015-11-20T19:52:00Z">
        <w:r w:rsidRPr="00745BDD" w:rsidDel="009E421F">
          <w:rPr>
            <w:i/>
          </w:rPr>
          <w:delText xml:space="preserve">a </w:delText>
        </w:r>
      </w:del>
      <w:ins w:id="53" w:author="Dorian" w:date="2015-11-20T19:52:00Z">
        <w:r>
          <w:rPr>
            <w:i/>
          </w:rPr>
          <w:t>à</w:t>
        </w:r>
        <w:r w:rsidRPr="00745BDD">
          <w:rPr>
            <w:i/>
          </w:rPr>
          <w:t xml:space="preserve"> </w:t>
        </w:r>
      </w:ins>
      <w:r w:rsidRPr="00745BDD">
        <w:rPr>
          <w:i/>
        </w:rPr>
        <w:t>Louvain-la-Neuve</w:t>
      </w:r>
      <w:r w:rsidRPr="00745BDD">
        <w:t xml:space="preserve">1987 Louvain-la-Neuve: Seminaire de Numismatique Marcel Hoc UniversiteCatholique de Louvain: 215-227; Braun, T. F. R. G. (1983) ‘The Greeks in the Near East’, in, Boardman, J. and Hammond, N. G. L. (eds.) </w:t>
      </w:r>
      <w:r w:rsidRPr="00745BDD">
        <w:rPr>
          <w:i/>
        </w:rPr>
        <w:t xml:space="preserve">Cambridge Ancient History </w:t>
      </w:r>
      <w:r w:rsidRPr="00745BDD">
        <w:t>2</w:t>
      </w:r>
      <w:r w:rsidRPr="00745BDD">
        <w:rPr>
          <w:vertAlign w:val="superscript"/>
        </w:rPr>
        <w:t>nd</w:t>
      </w:r>
      <w:r w:rsidRPr="00745BDD">
        <w:t xml:space="preserve"> ed. Vol.3 part 3 Cambridge: Cambridge University Press: 5-15; Feldman, H. (1996) ‘Homer and the Near East: The Rise of the Greek Genius’, in, </w:t>
      </w:r>
      <w:r w:rsidRPr="00745BDD">
        <w:rPr>
          <w:i/>
        </w:rPr>
        <w:t>The Biblical Archaeologist</w:t>
      </w:r>
      <w:r w:rsidRPr="00745BDD">
        <w:t xml:space="preserve"> Vol.59, No.1: 14, and; Woods, C. (2006) ‘Bilingualism, Scribal Learning, and the Death of Sumerian’, in, </w:t>
      </w:r>
      <w:r w:rsidRPr="00745BDD">
        <w:rPr>
          <w:i/>
          <w:iCs/>
        </w:rPr>
        <w:t xml:space="preserve">Sanders, S. L. </w:t>
      </w:r>
      <w:r w:rsidRPr="00745BDD">
        <w:rPr>
          <w:iCs/>
        </w:rPr>
        <w:t>(ed)</w:t>
      </w:r>
      <w:r w:rsidRPr="00745BDD">
        <w:t> </w:t>
      </w:r>
      <w:r w:rsidRPr="00745BDD">
        <w:rPr>
          <w:i/>
        </w:rPr>
        <w:t>Margins of Writing, Origins of Culture</w:t>
      </w:r>
      <w:r w:rsidRPr="00745BDD">
        <w:rPr>
          <w:iCs/>
        </w:rPr>
        <w:t>: 91–120</w:t>
      </w:r>
      <w:r w:rsidRPr="00745BDD">
        <w:t>.</w:t>
      </w:r>
      <w:ins w:id="54" w:author="Dorian" w:date="2015-11-20T19:53:00Z">
        <w:r>
          <w:t xml:space="preserve"> [Make sure that you place all diacritics on foreign wo</w:t>
        </w:r>
      </w:ins>
      <w:ins w:id="55" w:author="Dorian" w:date="2015-11-20T19:54:00Z">
        <w:r>
          <w:t>rds.]</w:t>
        </w:r>
      </w:ins>
    </w:p>
  </w:footnote>
  <w:footnote w:id="19">
    <w:p w14:paraId="34A4756E" w14:textId="77777777" w:rsidR="005B3668" w:rsidRDefault="005B3668" w:rsidP="006F4BCE">
      <w:pPr>
        <w:pStyle w:val="FootnoteText"/>
      </w:pPr>
      <w:r w:rsidRPr="00745BDD">
        <w:rPr>
          <w:rStyle w:val="FootnoteReference"/>
        </w:rPr>
        <w:footnoteRef/>
      </w:r>
      <w:r w:rsidRPr="00745BDD">
        <w:t xml:space="preserve"> See Chronological Chart.</w:t>
      </w:r>
    </w:p>
  </w:footnote>
  <w:footnote w:id="20">
    <w:p w14:paraId="2439DB86" w14:textId="77777777" w:rsidR="005B3668" w:rsidRDefault="005B3668" w:rsidP="006F4BCE">
      <w:pPr>
        <w:pStyle w:val="FootnoteText"/>
      </w:pPr>
      <w:r w:rsidRPr="00745BDD">
        <w:rPr>
          <w:rStyle w:val="FootnoteReference"/>
        </w:rPr>
        <w:footnoteRef/>
      </w:r>
      <w:r w:rsidRPr="00745BDD">
        <w:t xml:space="preserve">Dalley, S. (trans.) (2000) </w:t>
      </w:r>
      <w:r w:rsidRPr="00745BDD">
        <w:rPr>
          <w:i/>
        </w:rPr>
        <w:t>Myths from Mesopotamia: Creation, The Flood, Gilgamesh and Others</w:t>
      </w:r>
      <w:r w:rsidRPr="00745BDD">
        <w:t xml:space="preserve"> [Revised Edition], Oxford: Oxford University Press [1989]: xviii-xix (Introduction).</w:t>
      </w:r>
    </w:p>
  </w:footnote>
  <w:footnote w:id="21">
    <w:p w14:paraId="5AA75FFF" w14:textId="77777777" w:rsidR="005B3668" w:rsidRDefault="005B3668" w:rsidP="006F4BCE">
      <w:pPr>
        <w:pStyle w:val="FootnoteText"/>
      </w:pPr>
      <w:r w:rsidRPr="00745BDD">
        <w:rPr>
          <w:rStyle w:val="FootnoteReference"/>
        </w:rPr>
        <w:footnoteRef/>
      </w:r>
      <w:r w:rsidRPr="00745BDD">
        <w:t xml:space="preserve">Penglase, C. (1994) </w:t>
      </w:r>
      <w:r w:rsidRPr="00745BDD">
        <w:rPr>
          <w:i/>
        </w:rPr>
        <w:t>Greek Myths and Mesopotamia: Parallels and Influence in the Homeric Hymns and Hesiod</w:t>
      </w:r>
      <w:r w:rsidRPr="00745BDD">
        <w:t xml:space="preserve"> London: Routledge: 5, and; Burkert, W. (1992) </w:t>
      </w:r>
      <w:r w:rsidRPr="00745BDD">
        <w:rPr>
          <w:i/>
        </w:rPr>
        <w:t>The Orientalising Revolution: Near Eastern Influence on Greek Culture in the Early Archaic Age</w:t>
      </w:r>
      <w:r w:rsidRPr="00745BDD">
        <w:t xml:space="preserve"> Cambridge, MA: Harvard University Press.</w:t>
      </w:r>
    </w:p>
  </w:footnote>
  <w:footnote w:id="22">
    <w:p w14:paraId="621A9BF1" w14:textId="77777777" w:rsidR="005B3668" w:rsidRDefault="005B3668" w:rsidP="006F4BCE">
      <w:pPr>
        <w:pStyle w:val="FootnoteText"/>
      </w:pPr>
      <w:r w:rsidRPr="00745BDD">
        <w:rPr>
          <w:rStyle w:val="FootnoteReference"/>
        </w:rPr>
        <w:footnoteRef/>
      </w:r>
      <w:r w:rsidRPr="00745BDD">
        <w:t xml:space="preserve"> West, M. L. (1997) </w:t>
      </w:r>
      <w:r w:rsidRPr="00745BDD">
        <w:rPr>
          <w:i/>
        </w:rPr>
        <w:t>The East Face of Helicon, West Asiatic Elements in Greek Poetry</w:t>
      </w:r>
      <w:r w:rsidRPr="00745BDD">
        <w:t xml:space="preserve"> Oxford: Oxford University Press: 59.</w:t>
      </w:r>
    </w:p>
  </w:footnote>
  <w:footnote w:id="23">
    <w:p w14:paraId="31DD5261" w14:textId="77777777" w:rsidR="005B3668" w:rsidRDefault="005B3668" w:rsidP="006F4BCE">
      <w:pPr>
        <w:pStyle w:val="FootnoteText"/>
      </w:pPr>
      <w:r w:rsidRPr="00745BDD">
        <w:rPr>
          <w:rStyle w:val="FootnoteReference"/>
        </w:rPr>
        <w:footnoteRef/>
      </w:r>
      <w:r w:rsidRPr="00745BDD">
        <w:t xml:space="preserve"> Powell, B. (2000) ‘Review: M. L. West, The East Face of Helicon, West Asiatic Elements in Greek Poetry (1997)’, in, </w:t>
      </w:r>
      <w:r w:rsidRPr="00745BDD">
        <w:rPr>
          <w:i/>
        </w:rPr>
        <w:t xml:space="preserve">Bryn Mawr Classical Review </w:t>
      </w:r>
      <w:r w:rsidRPr="00745BDD">
        <w:t>2000.05.08.</w:t>
      </w:r>
    </w:p>
  </w:footnote>
  <w:footnote w:id="24">
    <w:p w14:paraId="12AE2750" w14:textId="77777777" w:rsidR="005B3668" w:rsidRDefault="005B3668" w:rsidP="006F4BCE">
      <w:pPr>
        <w:pStyle w:val="FootnoteText"/>
      </w:pPr>
      <w:r w:rsidRPr="00745BDD">
        <w:rPr>
          <w:rStyle w:val="FootnoteReference"/>
        </w:rPr>
        <w:footnoteRef/>
      </w:r>
      <w:r w:rsidRPr="00745BDD">
        <w:t xml:space="preserve"> For a comprehensive study see: West, M. L. (1997) </w:t>
      </w:r>
      <w:r w:rsidRPr="00745BDD">
        <w:rPr>
          <w:i/>
        </w:rPr>
        <w:t>The East Face of Helicon: West Asiatic Elements in Greek Poetry</w:t>
      </w:r>
      <w:r w:rsidRPr="00745BDD">
        <w:t xml:space="preserve"> Oxford: Oxford University Press.For further reading see; Kirk, G. S. (1972) ‘Greek mythology: Some new Perspectives’, in, </w:t>
      </w:r>
      <w:r w:rsidRPr="00745BDD">
        <w:rPr>
          <w:i/>
        </w:rPr>
        <w:t>The Journal of Hellenic Studies</w:t>
      </w:r>
      <w:r w:rsidRPr="00745BDD">
        <w:t xml:space="preserve"> Vol. 92: 74-85, and; Mondi, R. (1990) ‘Greek Mythic thought in the Light of the Near East’ in Edmunds, L. </w:t>
      </w:r>
      <w:r w:rsidRPr="00745BDD">
        <w:rPr>
          <w:i/>
        </w:rPr>
        <w:t xml:space="preserve">Approaches to Greek Myth </w:t>
      </w:r>
      <w:r w:rsidRPr="00745BDD">
        <w:t xml:space="preserve">London: John Hopkins Press. </w:t>
      </w:r>
    </w:p>
  </w:footnote>
  <w:footnote w:id="25">
    <w:p w14:paraId="3E26D3E5" w14:textId="77777777" w:rsidR="005B3668" w:rsidRDefault="005B3668" w:rsidP="006F4BCE">
      <w:pPr>
        <w:pStyle w:val="FootnoteText"/>
      </w:pPr>
      <w:r w:rsidRPr="00745BDD">
        <w:rPr>
          <w:rStyle w:val="FootnoteReference"/>
        </w:rPr>
        <w:footnoteRef/>
      </w:r>
      <w:r w:rsidRPr="00745BDD">
        <w:t xml:space="preserve"> This is especially important given the current argument in favour of Hesiod preceding Homer, see; West, M. L. (1997) </w:t>
      </w:r>
      <w:r w:rsidRPr="00745BDD">
        <w:rPr>
          <w:i/>
        </w:rPr>
        <w:t>The East Face of Helicon: West Asiatic Elements in Greek Poetry</w:t>
      </w:r>
      <w:r w:rsidRPr="00745BDD">
        <w:t xml:space="preserve"> Oxford: Oxford University Press: 276, and; Ahl, F. &amp;Roisman, H. (1996) </w:t>
      </w:r>
      <w:r w:rsidRPr="00745BDD">
        <w:rPr>
          <w:i/>
        </w:rPr>
        <w:t>The Odyssey Re-formed</w:t>
      </w:r>
      <w:r w:rsidRPr="00745BDD">
        <w:t xml:space="preserve"> Ithaca, NY: Cornell University Press: 19.</w:t>
      </w:r>
    </w:p>
  </w:footnote>
  <w:footnote w:id="26">
    <w:p w14:paraId="729BDBFE" w14:textId="77777777" w:rsidR="005B3668" w:rsidRDefault="005B3668" w:rsidP="006F4BCE">
      <w:pPr>
        <w:pStyle w:val="FootnoteText"/>
      </w:pPr>
      <w:r w:rsidRPr="00745BDD">
        <w:rPr>
          <w:rStyle w:val="FootnoteReference"/>
        </w:rPr>
        <w:footnoteRef/>
      </w:r>
      <w:r w:rsidRPr="00745BDD">
        <w:t xml:space="preserve">Walcot, P. (1966) </w:t>
      </w:r>
      <w:r w:rsidRPr="00745BDD">
        <w:rPr>
          <w:i/>
        </w:rPr>
        <w:t>Hesiod and the Near East</w:t>
      </w:r>
      <w:r w:rsidRPr="00745BDD">
        <w:t xml:space="preserve"> Cardiff: University of Wales Press.</w:t>
      </w:r>
    </w:p>
  </w:footnote>
  <w:footnote w:id="27">
    <w:p w14:paraId="60539D60" w14:textId="77777777" w:rsidR="005B3668" w:rsidRDefault="005B3668" w:rsidP="006F4BCE">
      <w:pPr>
        <w:pStyle w:val="FootnoteText"/>
      </w:pPr>
      <w:r w:rsidRPr="00745BDD">
        <w:rPr>
          <w:rStyle w:val="FootnoteReference"/>
        </w:rPr>
        <w:footnoteRef/>
      </w:r>
      <w:r w:rsidRPr="00745BDD">
        <w:t xml:space="preserve"> For an examination of these stories and others see; West, M. L. (1997) </w:t>
      </w:r>
      <w:r w:rsidRPr="00745BDD">
        <w:rPr>
          <w:i/>
        </w:rPr>
        <w:t>The East Face of Helicon: West Asiatic Elements in Greek Poetry</w:t>
      </w:r>
      <w:r w:rsidRPr="00745BDD">
        <w:t xml:space="preserve"> Oxford: Oxford University Press: 107-167, and, 276-333; Penglase, C. (1994) </w:t>
      </w:r>
      <w:r w:rsidRPr="00745BDD">
        <w:rPr>
          <w:i/>
        </w:rPr>
        <w:t>Greek Myths and Mesopotamia: Parallels and Influence in the Homeric Hymns and Hesiod</w:t>
      </w:r>
      <w:r w:rsidRPr="00745BDD">
        <w:t xml:space="preserve"> London: Routledge: 180-229; </w:t>
      </w:r>
      <w:r w:rsidRPr="00745BDD">
        <w:rPr>
          <w:rFonts w:cs="Arial"/>
          <w:shd w:val="clear" w:color="auto" w:fill="FFFFFF"/>
        </w:rPr>
        <w:t xml:space="preserve">Solmsen, F. (1989) ‘The Two Near Eastern sources of Hesiod’, in, </w:t>
      </w:r>
      <w:r w:rsidRPr="00745BDD">
        <w:rPr>
          <w:rFonts w:cs="Arial"/>
          <w:i/>
          <w:shd w:val="clear" w:color="auto" w:fill="FFFFFF"/>
        </w:rPr>
        <w:t xml:space="preserve">Hermes </w:t>
      </w:r>
      <w:r w:rsidRPr="00745BDD">
        <w:rPr>
          <w:rFonts w:cs="Arial"/>
          <w:shd w:val="clear" w:color="auto" w:fill="FFFFFF"/>
        </w:rPr>
        <w:t xml:space="preserve">117 Bd., H.4: 413-422; West, M. L. (1966) </w:t>
      </w:r>
      <w:r w:rsidRPr="00745BDD">
        <w:rPr>
          <w:rFonts w:cs="Arial"/>
          <w:i/>
          <w:shd w:val="clear" w:color="auto" w:fill="FFFFFF"/>
        </w:rPr>
        <w:t xml:space="preserve">Hesiod Theogony </w:t>
      </w:r>
      <w:r w:rsidRPr="00745BDD">
        <w:rPr>
          <w:rFonts w:cs="Arial"/>
          <w:shd w:val="clear" w:color="auto" w:fill="FFFFFF"/>
        </w:rPr>
        <w:t>London: Clarendon Press: 19</w:t>
      </w:r>
      <w:r w:rsidRPr="00745BDD">
        <w:rPr>
          <w:rFonts w:cs="Arial"/>
          <w:i/>
          <w:shd w:val="clear" w:color="auto" w:fill="FFFFFF"/>
        </w:rPr>
        <w:t>f</w:t>
      </w:r>
      <w:r w:rsidRPr="00745BDD">
        <w:rPr>
          <w:rFonts w:cs="Arial"/>
          <w:shd w:val="clear" w:color="auto" w:fill="FFFFFF"/>
        </w:rPr>
        <w:t xml:space="preserve">; Lambert, W. G., &amp;Walcot, P. (1965) ‘A New Babylonian Theogony and Hesiod’, in, </w:t>
      </w:r>
      <w:r w:rsidRPr="00745BDD">
        <w:rPr>
          <w:rFonts w:cs="Arial"/>
          <w:i/>
          <w:shd w:val="clear" w:color="auto" w:fill="FFFFFF"/>
        </w:rPr>
        <w:t>Kadmos</w:t>
      </w:r>
      <w:r w:rsidRPr="00745BDD">
        <w:rPr>
          <w:rFonts w:cs="Arial"/>
          <w:shd w:val="clear" w:color="auto" w:fill="FFFFFF"/>
        </w:rPr>
        <w:t xml:space="preserve"> Vol.4 Issue 1: 64-72, and; </w:t>
      </w:r>
      <w:r w:rsidRPr="00745BDD">
        <w:rPr>
          <w:rFonts w:cs="Arial"/>
          <w:lang w:eastAsia="en-GB"/>
        </w:rPr>
        <w:t>Güterbock, H. G. (1948)</w:t>
      </w:r>
      <w:r w:rsidRPr="00745BDD">
        <w:rPr>
          <w:rFonts w:cs="Arial"/>
          <w:shd w:val="clear" w:color="auto" w:fill="FFFFFF"/>
        </w:rPr>
        <w:t xml:space="preserve"> ‘The Hittite Version of the Hurrian Kumarbi Myths: Oriental Forerunners of Hesiod’, in, </w:t>
      </w:r>
      <w:r w:rsidRPr="00745BDD">
        <w:rPr>
          <w:rFonts w:cs="Arial"/>
          <w:i/>
          <w:shd w:val="clear" w:color="auto" w:fill="FFFFFF"/>
        </w:rPr>
        <w:t xml:space="preserve">American Journal of Archaeology </w:t>
      </w:r>
      <w:r w:rsidRPr="00745BDD">
        <w:rPr>
          <w:rFonts w:cs="Arial"/>
          <w:shd w:val="clear" w:color="auto" w:fill="FFFFFF"/>
        </w:rPr>
        <w:t>Vol.52, No.1: 123-134.</w:t>
      </w:r>
    </w:p>
  </w:footnote>
  <w:footnote w:id="28">
    <w:p w14:paraId="02C960B1" w14:textId="77777777" w:rsidR="005B3668" w:rsidRDefault="005B3668" w:rsidP="006F4BCE">
      <w:pPr>
        <w:pStyle w:val="FootnoteText"/>
      </w:pPr>
      <w:r w:rsidRPr="00745BDD">
        <w:rPr>
          <w:rStyle w:val="FootnoteReference"/>
        </w:rPr>
        <w:footnoteRef/>
      </w:r>
      <w:r w:rsidRPr="00745BDD">
        <w:t xml:space="preserve"> Kramer, S. N. (1963) </w:t>
      </w:r>
      <w:r w:rsidRPr="00745BDD">
        <w:rPr>
          <w:i/>
        </w:rPr>
        <w:t>The Sumerians: Their History, Culture and Character</w:t>
      </w:r>
      <w:r w:rsidRPr="00745BDD">
        <w:t xml:space="preserve"> Chicago: University of Chicago Press: 105-9, 224, 340-2, and; Civil, M. (1994) ‘Sumerian Agricultural Manual’, in, </w:t>
      </w:r>
      <w:r w:rsidRPr="00745BDD">
        <w:rPr>
          <w:i/>
        </w:rPr>
        <w:t>AulaOrientalis</w:t>
      </w:r>
      <w:r w:rsidRPr="00745BDD">
        <w:t>Supp.5.</w:t>
      </w:r>
    </w:p>
  </w:footnote>
  <w:footnote w:id="29">
    <w:p w14:paraId="028F2099" w14:textId="77777777" w:rsidR="005B3668" w:rsidRDefault="005B3668" w:rsidP="006F4BCE">
      <w:pPr>
        <w:pStyle w:val="FootnoteText"/>
      </w:pPr>
      <w:r w:rsidRPr="00745BDD">
        <w:rPr>
          <w:rStyle w:val="FootnoteReference"/>
        </w:rPr>
        <w:footnoteRef/>
      </w:r>
      <w:r w:rsidRPr="00745BDD">
        <w:t xml:space="preserve"> West, M. L. (1997) </w:t>
      </w:r>
      <w:r w:rsidRPr="00745BDD">
        <w:rPr>
          <w:i/>
        </w:rPr>
        <w:t>The East Face of Helicon: West Asiatic Elements in Greek Poetry</w:t>
      </w:r>
      <w:r w:rsidRPr="00745BDD">
        <w:t xml:space="preserve"> Oxford: Oxford University Press: 332-333.</w:t>
      </w:r>
    </w:p>
  </w:footnote>
  <w:footnote w:id="30">
    <w:p w14:paraId="47E24D33" w14:textId="77777777" w:rsidR="005B3668" w:rsidRDefault="005B3668" w:rsidP="006F4BCE">
      <w:pPr>
        <w:pStyle w:val="FootnoteText"/>
      </w:pPr>
      <w:r w:rsidRPr="00745BDD">
        <w:rPr>
          <w:rStyle w:val="FootnoteReference"/>
        </w:rPr>
        <w:footnoteRef/>
      </w:r>
      <w:r w:rsidRPr="00745BDD">
        <w:t xml:space="preserve"> For sources, </w:t>
      </w:r>
      <w:r w:rsidRPr="00745BDD">
        <w:rPr>
          <w:i/>
        </w:rPr>
        <w:t xml:space="preserve">c.f. </w:t>
      </w:r>
      <w:r w:rsidRPr="00745BDD">
        <w:t xml:space="preserve">Burkert, W. (2004) </w:t>
      </w:r>
      <w:r w:rsidRPr="00745BDD">
        <w:rPr>
          <w:i/>
        </w:rPr>
        <w:t>Babylon, Memphis, Persepolis: Eastern Contexts of Greek Culture</w:t>
      </w:r>
      <w:r w:rsidRPr="00745BDD">
        <w:t xml:space="preserve"> Cambridge, MA: Harvard University Press: 22.</w:t>
      </w:r>
    </w:p>
  </w:footnote>
  <w:footnote w:id="31">
    <w:p w14:paraId="4FB8702B" w14:textId="77777777" w:rsidR="005B3668" w:rsidRDefault="005B3668" w:rsidP="006F4BCE">
      <w:pPr>
        <w:pStyle w:val="EndnoteText"/>
      </w:pPr>
      <w:r w:rsidRPr="00745BDD">
        <w:rPr>
          <w:rStyle w:val="FootnoteReference"/>
        </w:rPr>
        <w:footnoteRef/>
      </w:r>
      <w:r w:rsidRPr="00745BDD">
        <w:t xml:space="preserve">Faraone, C. A. (1987) </w:t>
      </w:r>
      <w:r w:rsidRPr="00745BDD">
        <w:rPr>
          <w:rFonts w:cs="Arial"/>
          <w:color w:val="222222"/>
          <w:shd w:val="clear" w:color="auto" w:fill="FFFFFF"/>
        </w:rPr>
        <w:t>‘</w:t>
      </w:r>
      <w:r w:rsidRPr="00745BDD">
        <w:t xml:space="preserve">Hephaestus the Magician and Near Eastern Parallels for Alcinous' Watchdogs’, in, </w:t>
      </w:r>
      <w:r w:rsidRPr="00745BDD">
        <w:rPr>
          <w:i/>
        </w:rPr>
        <w:t>Greek, Roman, and Byzantine Studies</w:t>
      </w:r>
      <w:r w:rsidRPr="00745BDD">
        <w:t xml:space="preserve"> Vol. 28, No.3: 257-280; Penglase, C. (1994) </w:t>
      </w:r>
      <w:r w:rsidRPr="00745BDD">
        <w:rPr>
          <w:i/>
        </w:rPr>
        <w:t>Greek Myths and Mesopotamia: Parallels and Influence in the Homeric Hymns and Hesiod</w:t>
      </w:r>
      <w:r w:rsidRPr="00745BDD">
        <w:t xml:space="preserve"> London: Routledge; Burkert, W. (1991) ‘Homerstudien und Orient’, in, Latacz, J. (ed.) </w:t>
      </w:r>
      <w:r w:rsidRPr="00745BDD">
        <w:rPr>
          <w:i/>
        </w:rPr>
        <w:t>ZweihundertJahre Homer-Forschung</w:t>
      </w:r>
      <w:r w:rsidRPr="00745BDD">
        <w:t xml:space="preserve">ColloquimRauricum 2: 155-181; Morris, S. (1997) ‘Homer and the Near East’, in, Morris, I. and Powell, B. </w:t>
      </w:r>
      <w:r w:rsidRPr="00745BDD">
        <w:rPr>
          <w:i/>
        </w:rPr>
        <w:t>A New Companion to Homer</w:t>
      </w:r>
      <w:r w:rsidRPr="00745BDD">
        <w:t xml:space="preserve"> Leiden: Brill: 599-623.</w:t>
      </w:r>
    </w:p>
  </w:footnote>
  <w:footnote w:id="32">
    <w:p w14:paraId="71B4013A" w14:textId="77777777" w:rsidR="005B3668" w:rsidRDefault="005B3668" w:rsidP="006F4BCE">
      <w:pPr>
        <w:pStyle w:val="FootnoteText"/>
      </w:pPr>
      <w:r w:rsidRPr="00745BDD">
        <w:rPr>
          <w:rStyle w:val="FootnoteReference"/>
        </w:rPr>
        <w:footnoteRef/>
      </w:r>
      <w:r w:rsidRPr="00745BDD">
        <w:t>Abusch, T. (2001) ‘The Development and Meaning of the Epic of Gilgamesh: An Interpretive Essay’, in, </w:t>
      </w:r>
      <w:r w:rsidRPr="00745BDD">
        <w:rPr>
          <w:i/>
          <w:iCs/>
        </w:rPr>
        <w:t>Journal of the American Oriental Society</w:t>
      </w:r>
      <w:r w:rsidRPr="00745BDD">
        <w:t> Vol.</w:t>
      </w:r>
      <w:r w:rsidRPr="00745BDD">
        <w:rPr>
          <w:bCs/>
        </w:rPr>
        <w:t>121</w:t>
      </w:r>
      <w:r w:rsidRPr="00745BDD">
        <w:t xml:space="preserve"> No.4: 614–622, and; West, M. L. (1997) </w:t>
      </w:r>
      <w:r w:rsidRPr="00745BDD">
        <w:rPr>
          <w:i/>
        </w:rPr>
        <w:t>The East Face of Helicon: West Asiatic Elements in Greek Poetry and Myth</w:t>
      </w:r>
      <w:r w:rsidRPr="00745BDD">
        <w:t xml:space="preserve"> Oxford: Oxford University Press: 334-437.</w:t>
      </w:r>
    </w:p>
  </w:footnote>
  <w:footnote w:id="33">
    <w:p w14:paraId="21A00595" w14:textId="77777777" w:rsidR="005B3668" w:rsidRDefault="005B3668" w:rsidP="006F4BCE">
      <w:pPr>
        <w:pStyle w:val="FootnoteText"/>
      </w:pPr>
      <w:r w:rsidRPr="00745BDD">
        <w:rPr>
          <w:rStyle w:val="FootnoteReference"/>
        </w:rPr>
        <w:footnoteRef/>
      </w:r>
      <w:r w:rsidRPr="00745BDD">
        <w:t xml:space="preserve"> Burgess, J. S. (2014) </w:t>
      </w:r>
      <w:r w:rsidRPr="00745BDD">
        <w:rPr>
          <w:i/>
        </w:rPr>
        <w:t>Homer</w:t>
      </w:r>
      <w:r w:rsidRPr="00745BDD">
        <w:t xml:space="preserve"> London: I. B. Tauris: 78, and; Hallo, W. W. (1991) ‘Information from before the Flood: Antediluvian Notes from Babylonia and Israel’, in, </w:t>
      </w:r>
      <w:r w:rsidRPr="00745BDD">
        <w:rPr>
          <w:i/>
          <w:iCs/>
        </w:rPr>
        <w:t>Maarav </w:t>
      </w:r>
      <w:r w:rsidRPr="00745BDD">
        <w:t>7: 173-181.</w:t>
      </w:r>
    </w:p>
  </w:footnote>
  <w:footnote w:id="34">
    <w:p w14:paraId="1302F42E" w14:textId="77777777" w:rsidR="005B3668" w:rsidRDefault="005B3668" w:rsidP="006F4BCE">
      <w:pPr>
        <w:pStyle w:val="FootnoteText"/>
      </w:pPr>
      <w:r w:rsidRPr="00745BDD">
        <w:rPr>
          <w:rStyle w:val="FootnoteReference"/>
        </w:rPr>
        <w:footnoteRef/>
      </w:r>
      <w:r w:rsidRPr="00745BDD">
        <w:rPr>
          <w:i/>
        </w:rPr>
        <w:t xml:space="preserve">Epic of Gilgamesh </w:t>
      </w:r>
      <w:r w:rsidRPr="00745BDD">
        <w:t xml:space="preserve">Tablet XI.1-201, in, Kovacs, M. G (1985) (trans.) </w:t>
      </w:r>
      <w:r w:rsidRPr="00745BDD">
        <w:rPr>
          <w:i/>
          <w:iCs/>
        </w:rPr>
        <w:t>The Epic of Gilgamesh</w:t>
      </w:r>
      <w:r w:rsidRPr="00745BDD">
        <w:t xml:space="preserve"> Stanford, CA: Stanford University Press, and; </w:t>
      </w:r>
      <w:r w:rsidRPr="00745BDD">
        <w:rPr>
          <w:i/>
        </w:rPr>
        <w:t xml:space="preserve">Odyssey </w:t>
      </w:r>
      <w:r w:rsidRPr="00745BDD">
        <w:t xml:space="preserve">IX-XII, in, Lattimore, R. (1965) (trans.) </w:t>
      </w:r>
      <w:r w:rsidRPr="00745BDD">
        <w:rPr>
          <w:i/>
        </w:rPr>
        <w:t>The Odyssey of Homer</w:t>
      </w:r>
      <w:r w:rsidRPr="00745BDD">
        <w:t>, New York: Harper Collins.</w:t>
      </w:r>
    </w:p>
  </w:footnote>
  <w:footnote w:id="35">
    <w:p w14:paraId="735E5463" w14:textId="77777777" w:rsidR="005B3668" w:rsidRDefault="005B3668" w:rsidP="006F4BCE">
      <w:pPr>
        <w:pStyle w:val="FootnoteText"/>
      </w:pPr>
      <w:r w:rsidRPr="00745BDD">
        <w:rPr>
          <w:rStyle w:val="FootnoteReference"/>
        </w:rPr>
        <w:footnoteRef/>
      </w:r>
      <w:r w:rsidRPr="00745BDD">
        <w:t xml:space="preserve">Burkert, W. (2004) </w:t>
      </w:r>
      <w:r w:rsidRPr="00745BDD">
        <w:rPr>
          <w:i/>
        </w:rPr>
        <w:t>Babylon, Memphis, Persepolis: Eastern Contexts of Greek Culture</w:t>
      </w:r>
      <w:r w:rsidRPr="00745BDD">
        <w:t xml:space="preserve"> Cambridge, MA: Harvard University Press: 21-46.</w:t>
      </w:r>
    </w:p>
  </w:footnote>
  <w:footnote w:id="36">
    <w:p w14:paraId="04D84557" w14:textId="77777777" w:rsidR="005B3668" w:rsidRDefault="005B3668" w:rsidP="006F4BCE">
      <w:pPr>
        <w:pStyle w:val="FootnoteText"/>
      </w:pPr>
      <w:r w:rsidRPr="00745BDD">
        <w:rPr>
          <w:rStyle w:val="FootnoteReference"/>
        </w:rPr>
        <w:footnoteRef/>
      </w:r>
      <w:r w:rsidRPr="00745BDD">
        <w:rPr>
          <w:i/>
        </w:rPr>
        <w:t xml:space="preserve">Iliad </w:t>
      </w:r>
      <w:r w:rsidRPr="00745BDD">
        <w:t>XIV.201</w:t>
      </w:r>
      <w:r w:rsidRPr="00745BDD">
        <w:rPr>
          <w:i/>
        </w:rPr>
        <w:t>f.</w:t>
      </w:r>
      <w:r w:rsidRPr="00745BDD">
        <w:t>and</w:t>
      </w:r>
      <w:r w:rsidRPr="00745BDD">
        <w:rPr>
          <w:i/>
        </w:rPr>
        <w:t xml:space="preserve">Gilgamesh </w:t>
      </w:r>
      <w:r w:rsidRPr="00745BDD">
        <w:t xml:space="preserve">Tablet I.1-5; Burkert, W. (2004) </w:t>
      </w:r>
      <w:r w:rsidRPr="00745BDD">
        <w:rPr>
          <w:i/>
        </w:rPr>
        <w:t>Babylon, Memphis, Persepolis: Eastern Contexts of Greek Culture</w:t>
      </w:r>
      <w:r w:rsidRPr="00745BDD">
        <w:t xml:space="preserve"> Cambridge, MA: Harvard University Press: 22.</w:t>
      </w:r>
    </w:p>
  </w:footnote>
  <w:footnote w:id="37">
    <w:p w14:paraId="77E8D951" w14:textId="77777777" w:rsidR="005B3668" w:rsidRDefault="005B3668" w:rsidP="006F4BCE">
      <w:pPr>
        <w:pStyle w:val="FootnoteText"/>
      </w:pPr>
      <w:r w:rsidRPr="00745BDD">
        <w:rPr>
          <w:rStyle w:val="FootnoteReference"/>
        </w:rPr>
        <w:footnoteRef/>
      </w:r>
      <w:r w:rsidRPr="00745BDD">
        <w:t xml:space="preserve"> West, M. L. (1997) </w:t>
      </w:r>
      <w:r w:rsidRPr="00745BDD">
        <w:rPr>
          <w:i/>
        </w:rPr>
        <w:t>The East Face of Helicon: West Asiatic Elements in Greek Poetry and Myth</w:t>
      </w:r>
      <w:r w:rsidRPr="00745BDD">
        <w:t xml:space="preserve"> Oxford: Oxford University Press: 402-437.</w:t>
      </w:r>
    </w:p>
  </w:footnote>
  <w:footnote w:id="38">
    <w:p w14:paraId="3AE5F9E7" w14:textId="77777777" w:rsidR="005B3668" w:rsidRDefault="005B3668" w:rsidP="006F4BCE">
      <w:pPr>
        <w:pStyle w:val="FootnoteText"/>
      </w:pPr>
      <w:r w:rsidRPr="00745BDD">
        <w:rPr>
          <w:rStyle w:val="FootnoteReference"/>
        </w:rPr>
        <w:footnoteRef/>
      </w:r>
      <w:r w:rsidRPr="00745BDD">
        <w:t xml:space="preserve">Penglase, C. (1994) </w:t>
      </w:r>
      <w:r w:rsidRPr="00745BDD">
        <w:rPr>
          <w:i/>
        </w:rPr>
        <w:t>Greek Myths and Mesopotamia: Parallels and Influence in the Homeric Hymns and Hesiod</w:t>
      </w:r>
      <w:r w:rsidRPr="00745BDD">
        <w:t xml:space="preserve"> London: Routledge: 4. </w:t>
      </w:r>
    </w:p>
  </w:footnote>
  <w:footnote w:id="39">
    <w:p w14:paraId="23B0E7F7" w14:textId="77777777" w:rsidR="005B3668" w:rsidRDefault="005B3668" w:rsidP="006F4BCE">
      <w:pPr>
        <w:pStyle w:val="FootnoteText"/>
      </w:pPr>
      <w:r w:rsidRPr="00745BDD">
        <w:rPr>
          <w:rStyle w:val="FootnoteReference"/>
        </w:rPr>
        <w:footnoteRef/>
      </w:r>
      <w:r w:rsidRPr="00745BDD">
        <w:t xml:space="preserve"> Louden, B. (2011) </w:t>
      </w:r>
      <w:r w:rsidRPr="00745BDD">
        <w:rPr>
          <w:i/>
        </w:rPr>
        <w:t xml:space="preserve">Homer’s </w:t>
      </w:r>
      <w:r w:rsidRPr="00745BDD">
        <w:t>Odyssey</w:t>
      </w:r>
      <w:r w:rsidRPr="00745BDD">
        <w:rPr>
          <w:i/>
        </w:rPr>
        <w:t xml:space="preserve"> and the Near East</w:t>
      </w:r>
      <w:r w:rsidRPr="00745BDD">
        <w:t xml:space="preserve">, Cambridge: Cambridge University Press: 124-135, and, 180-197, Dalley, S. (1989) </w:t>
      </w:r>
      <w:r w:rsidRPr="00745BDD">
        <w:rPr>
          <w:i/>
        </w:rPr>
        <w:t>Myths from Mesopotamia</w:t>
      </w:r>
      <w:r w:rsidRPr="00745BDD">
        <w:t xml:space="preserve"> Oxford: Oxford University Press, and; West, M. L. (1997) </w:t>
      </w:r>
      <w:r w:rsidRPr="00745BDD">
        <w:rPr>
          <w:i/>
        </w:rPr>
        <w:t>The East Face of Helicon: West Asiatic Elements in Greek Poetry and Myth</w:t>
      </w:r>
      <w:r w:rsidRPr="00745BDD">
        <w:t xml:space="preserve"> Oxford: Oxford University Press: 402-437.</w:t>
      </w:r>
    </w:p>
  </w:footnote>
  <w:footnote w:id="40">
    <w:p w14:paraId="54BFA86D" w14:textId="77777777" w:rsidR="005B3668" w:rsidRDefault="005B3668" w:rsidP="006F4BCE">
      <w:pPr>
        <w:pStyle w:val="FootnoteText"/>
      </w:pPr>
      <w:r w:rsidRPr="00745BDD">
        <w:rPr>
          <w:rStyle w:val="FootnoteReference"/>
        </w:rPr>
        <w:footnoteRef/>
      </w:r>
      <w:r w:rsidRPr="00745BDD">
        <w:t xml:space="preserve">Burkert, W. (2004) </w:t>
      </w:r>
      <w:r w:rsidRPr="00745BDD">
        <w:rPr>
          <w:i/>
        </w:rPr>
        <w:t>Babylon, Memphis, Persepolis: Eastern Contexts of Greek Culture</w:t>
      </w:r>
      <w:r w:rsidRPr="00745BDD">
        <w:t xml:space="preserve"> Cambridge, MA: Harvard University Press: 27.</w:t>
      </w:r>
    </w:p>
  </w:footnote>
  <w:footnote w:id="41">
    <w:p w14:paraId="57AD3231" w14:textId="77777777" w:rsidR="005B3668" w:rsidRDefault="005B3668" w:rsidP="006F4BCE">
      <w:pPr>
        <w:pStyle w:val="FootnoteText"/>
      </w:pPr>
      <w:r w:rsidRPr="00745BDD">
        <w:rPr>
          <w:rStyle w:val="FootnoteReference"/>
        </w:rPr>
        <w:footnoteRef/>
      </w:r>
      <w:r w:rsidRPr="00745BDD">
        <w:t xml:space="preserve"> Louden, B. (2011) </w:t>
      </w:r>
      <w:r w:rsidRPr="00745BDD">
        <w:rPr>
          <w:i/>
        </w:rPr>
        <w:t xml:space="preserve">Homer’s </w:t>
      </w:r>
      <w:r w:rsidRPr="00745BDD">
        <w:t>Odyssey</w:t>
      </w:r>
      <w:r w:rsidRPr="00745BDD">
        <w:rPr>
          <w:i/>
        </w:rPr>
        <w:t xml:space="preserve"> and the Near East</w:t>
      </w:r>
      <w:r w:rsidRPr="00745BDD">
        <w:t>, Cambridge: Cambridge University Press: 197-222.</w:t>
      </w:r>
    </w:p>
  </w:footnote>
  <w:footnote w:id="42">
    <w:p w14:paraId="2A6B5E6A" w14:textId="77777777" w:rsidR="005B3668" w:rsidRDefault="005B3668" w:rsidP="006F4BCE">
      <w:pPr>
        <w:pStyle w:val="FootnoteText"/>
      </w:pPr>
      <w:r w:rsidRPr="00745BDD">
        <w:rPr>
          <w:rStyle w:val="FootnoteReference"/>
        </w:rPr>
        <w:footnoteRef/>
      </w:r>
      <w:r w:rsidRPr="00745BDD">
        <w:t xml:space="preserve"> See also; Burkert, W. (1992) </w:t>
      </w:r>
      <w:r w:rsidRPr="00745BDD">
        <w:rPr>
          <w:i/>
        </w:rPr>
        <w:t>The Orientalising Revolution: Near Eastern Influence on Greek Culture in the Early Archaic Age</w:t>
      </w:r>
      <w:r w:rsidRPr="00745BDD">
        <w:t xml:space="preserve"> Cambridge, MA: Harvard University Press: 91-92.</w:t>
      </w:r>
    </w:p>
  </w:footnote>
  <w:footnote w:id="43">
    <w:p w14:paraId="7411CF76" w14:textId="77777777" w:rsidR="005B3668" w:rsidRDefault="005B3668" w:rsidP="006F4BCE">
      <w:pPr>
        <w:pStyle w:val="FootnoteText"/>
      </w:pPr>
      <w:r w:rsidRPr="00745BDD">
        <w:rPr>
          <w:rStyle w:val="FootnoteReference"/>
        </w:rPr>
        <w:footnoteRef/>
      </w:r>
      <w:r w:rsidRPr="00745BDD">
        <w:t xml:space="preserve"> West, M. L. (1997) </w:t>
      </w:r>
      <w:r w:rsidRPr="00745BDD">
        <w:rPr>
          <w:i/>
        </w:rPr>
        <w:t>The East Face of Helicon: West Asiatic Elements in Greek Poetry and Myth</w:t>
      </w:r>
      <w:r w:rsidRPr="00745BDD">
        <w:t xml:space="preserve"> Oxford: Oxford University Press: 29-31, 332-333.</w:t>
      </w:r>
    </w:p>
  </w:footnote>
  <w:footnote w:id="44">
    <w:p w14:paraId="6A50E297" w14:textId="77777777" w:rsidR="005B3668" w:rsidRDefault="005B3668" w:rsidP="006F4BCE">
      <w:pPr>
        <w:pStyle w:val="FootnoteText"/>
      </w:pPr>
      <w:r w:rsidRPr="00745BDD">
        <w:rPr>
          <w:rStyle w:val="FootnoteReference"/>
        </w:rPr>
        <w:footnoteRef/>
      </w:r>
      <w:r w:rsidRPr="00745BDD">
        <w:t xml:space="preserve"> West, M. L. (1997) </w:t>
      </w:r>
      <w:r w:rsidRPr="00745BDD">
        <w:rPr>
          <w:i/>
        </w:rPr>
        <w:t>The East Face of Helicon: West Asiatic Elements in Greek Poetry and Myth</w:t>
      </w:r>
      <w:r w:rsidRPr="00745BDD">
        <w:t xml:space="preserve"> Oxford: Oxford University Press: vi (Preface).</w:t>
      </w:r>
    </w:p>
  </w:footnote>
  <w:footnote w:id="45">
    <w:p w14:paraId="3C11BD75" w14:textId="77777777" w:rsidR="005B3668" w:rsidRDefault="005B3668" w:rsidP="006F4BCE">
      <w:pPr>
        <w:pStyle w:val="FootnoteText"/>
      </w:pPr>
      <w:r w:rsidRPr="00745BDD">
        <w:rPr>
          <w:rStyle w:val="FootnoteReference"/>
        </w:rPr>
        <w:footnoteRef/>
      </w:r>
      <w:r w:rsidRPr="00745BDD">
        <w:t xml:space="preserve"> Cooley, J. L. (2013) </w:t>
      </w:r>
      <w:r w:rsidRPr="00745BDD">
        <w:rPr>
          <w:i/>
        </w:rPr>
        <w:t>Poetic Astronomy in the Ancient Near East: The Reflexes of Celestial Science in Ancient Mesopotamian, Ugaritic, and Israelite Narrative</w:t>
      </w:r>
      <w:r w:rsidRPr="00745BDD">
        <w:t xml:space="preserve"> Winona Lake, IN: Eisenbrauns: </w:t>
      </w:r>
      <w:r w:rsidRPr="00745BDD">
        <w:rPr>
          <w:i/>
        </w:rPr>
        <w:t>passim</w:t>
      </w:r>
      <w:r w:rsidRPr="00745BDD">
        <w:t>.</w:t>
      </w:r>
    </w:p>
  </w:footnote>
  <w:footnote w:id="46">
    <w:p w14:paraId="0F9DFBFC" w14:textId="77777777" w:rsidR="005B3668" w:rsidRDefault="005B3668" w:rsidP="006F4BCE">
      <w:pPr>
        <w:pStyle w:val="FootnoteText"/>
      </w:pPr>
      <w:r w:rsidRPr="00745BDD">
        <w:rPr>
          <w:rStyle w:val="FootnoteReference"/>
        </w:rPr>
        <w:footnoteRef/>
      </w:r>
      <w:r w:rsidRPr="00745BDD">
        <w:t xml:space="preserve"> Wright, J. E. (2000) </w:t>
      </w:r>
      <w:r w:rsidRPr="00745BDD">
        <w:rPr>
          <w:i/>
        </w:rPr>
        <w:t>The Early History of Heaven</w:t>
      </w:r>
      <w:r w:rsidRPr="00745BDD">
        <w:t xml:space="preserve"> Oxford: Oxford University Press:31-41.</w:t>
      </w:r>
    </w:p>
  </w:footnote>
  <w:footnote w:id="47">
    <w:p w14:paraId="3AD8BB27" w14:textId="77777777" w:rsidR="005B3668" w:rsidRDefault="005B3668" w:rsidP="006F4BCE">
      <w:pPr>
        <w:pStyle w:val="FootnoteText"/>
      </w:pPr>
      <w:r w:rsidRPr="00745BDD">
        <w:rPr>
          <w:rStyle w:val="FootnoteReference"/>
        </w:rPr>
        <w:footnoteRef/>
      </w:r>
      <w:r w:rsidRPr="00745BDD">
        <w:t xml:space="preserve"> Wright, J. E. (2000) </w:t>
      </w:r>
      <w:r w:rsidRPr="00745BDD">
        <w:rPr>
          <w:i/>
        </w:rPr>
        <w:t>The Early History of Heaven</w:t>
      </w:r>
      <w:r w:rsidRPr="00745BDD">
        <w:t xml:space="preserve"> Oxford: Oxford University Press: 30-32.</w:t>
      </w:r>
    </w:p>
  </w:footnote>
  <w:footnote w:id="48">
    <w:p w14:paraId="2790A162" w14:textId="77777777" w:rsidR="005B3668" w:rsidRDefault="005B3668" w:rsidP="006F4BCE">
      <w:pPr>
        <w:pStyle w:val="FootnoteText"/>
      </w:pPr>
      <w:r w:rsidRPr="00745BDD">
        <w:rPr>
          <w:rStyle w:val="FootnoteReference"/>
        </w:rPr>
        <w:footnoteRef/>
      </w:r>
      <w:r w:rsidRPr="00745BDD">
        <w:t xml:space="preserve">Radau, H. (1911) </w:t>
      </w:r>
      <w:r w:rsidRPr="00745BDD">
        <w:rPr>
          <w:i/>
        </w:rPr>
        <w:t>Sumerian Hymns and Prayers to God Nin-Ib from the Temple Library of Nippur</w:t>
      </w:r>
      <w:r w:rsidRPr="00745BDD">
        <w:t xml:space="preserve"> Philadelphia: University of Pennsylvania: 32-37, and; Hunger, H. and Pingree, D. (1989) </w:t>
      </w:r>
      <w:r w:rsidRPr="00745BDD">
        <w:rPr>
          <w:i/>
        </w:rPr>
        <w:t>MUL.APIN: As Astronomical Compendium in Cuneiform</w:t>
      </w:r>
      <w:r w:rsidRPr="00745BDD">
        <w:t xml:space="preserve"> Horn, Austria: Ferdinand Berger &amp;SonneGesellenschaft: 186-208.</w:t>
      </w:r>
    </w:p>
  </w:footnote>
  <w:footnote w:id="49">
    <w:p w14:paraId="728BFAC0" w14:textId="77777777" w:rsidR="005B3668" w:rsidRDefault="005B3668" w:rsidP="006F4BCE">
      <w:pPr>
        <w:pStyle w:val="FootnoteText"/>
      </w:pPr>
      <w:r w:rsidRPr="00745BDD">
        <w:rPr>
          <w:rStyle w:val="FootnoteReference"/>
        </w:rPr>
        <w:footnoteRef/>
      </w:r>
      <w:r w:rsidRPr="00745BDD">
        <w:t xml:space="preserve"> See for example; Verderame, L. (2009) ‘The Primeval Zodiac: Its Social, Religious, and Mythological Background’, in, Rubiño-Martín, J. A. et al. </w:t>
      </w:r>
      <w:r w:rsidRPr="00745BDD">
        <w:rPr>
          <w:i/>
        </w:rPr>
        <w:t>Cosmology Across Cultures</w:t>
      </w:r>
      <w:r w:rsidRPr="00745BDD">
        <w:t>, ASP Conference Series 409, San Francisco: 151-156, and; Rogers, J. H. (1998) ‘Origins of the ancient constellations: I. The Mesopotamian traditions’, in,  </w:t>
      </w:r>
      <w:r w:rsidRPr="00745BDD">
        <w:rPr>
          <w:i/>
          <w:iCs/>
        </w:rPr>
        <w:t>Journal of the British Astronomical Association</w:t>
      </w:r>
      <w:r w:rsidRPr="00745BDD">
        <w:t> </w:t>
      </w:r>
      <w:r w:rsidRPr="00745BDD">
        <w:rPr>
          <w:bCs/>
        </w:rPr>
        <w:t>108</w:t>
      </w:r>
      <w:r w:rsidRPr="00745BDD">
        <w:t>: 9–28.</w:t>
      </w:r>
    </w:p>
  </w:footnote>
  <w:footnote w:id="50">
    <w:p w14:paraId="7F1F82E5" w14:textId="77777777" w:rsidR="005B3668" w:rsidRDefault="005B3668" w:rsidP="006F4BCE">
      <w:pPr>
        <w:pStyle w:val="FootnoteText"/>
      </w:pPr>
      <w:r w:rsidRPr="00745BDD">
        <w:rPr>
          <w:rStyle w:val="FootnoteReference"/>
        </w:rPr>
        <w:footnoteRef/>
      </w:r>
      <w:r w:rsidRPr="00745BDD">
        <w:t xml:space="preserve"> Wright, J. E. (2000) </w:t>
      </w:r>
      <w:r w:rsidRPr="00745BDD">
        <w:rPr>
          <w:i/>
        </w:rPr>
        <w:t>The Early History of Heaven</w:t>
      </w:r>
      <w:r w:rsidRPr="00745BDD">
        <w:t xml:space="preserve"> Oxford: Oxford University Press: 37.</w:t>
      </w:r>
    </w:p>
  </w:footnote>
  <w:footnote w:id="51">
    <w:p w14:paraId="76ED81CD" w14:textId="77777777" w:rsidR="005B3668" w:rsidRDefault="005B3668" w:rsidP="006F4BCE">
      <w:pPr>
        <w:pStyle w:val="FootnoteText"/>
      </w:pPr>
      <w:r w:rsidRPr="00745BDD">
        <w:rPr>
          <w:rStyle w:val="FootnoteReference"/>
        </w:rPr>
        <w:footnoteRef/>
      </w:r>
      <w:r w:rsidRPr="00745BDD">
        <w:t xml:space="preserve">Sachs, A. J. (1950) ‘A Classification of the Babylonian Astronomical Tablets of the Seleucid Period’, in, </w:t>
      </w:r>
      <w:r w:rsidRPr="00745BDD">
        <w:rPr>
          <w:i/>
        </w:rPr>
        <w:t>JCS</w:t>
      </w:r>
      <w:r w:rsidRPr="00745BDD">
        <w:t xml:space="preserve"> 2: 277-286.</w:t>
      </w:r>
    </w:p>
  </w:footnote>
  <w:footnote w:id="52">
    <w:p w14:paraId="109983FF" w14:textId="77777777" w:rsidR="005B3668" w:rsidRDefault="005B3668" w:rsidP="006F4BCE">
      <w:pPr>
        <w:pStyle w:val="FootnoteText"/>
      </w:pPr>
      <w:r w:rsidRPr="00745BDD">
        <w:rPr>
          <w:rStyle w:val="FootnoteReference"/>
        </w:rPr>
        <w:footnoteRef/>
      </w:r>
      <w:r w:rsidRPr="00745BDD">
        <w:t xml:space="preserve">Kramer, S. N. (1947) ‘Gilgamesh and the Land of the Living’, in, </w:t>
      </w:r>
      <w:r w:rsidRPr="00745BDD">
        <w:rPr>
          <w:i/>
        </w:rPr>
        <w:t>JCS</w:t>
      </w:r>
      <w:r w:rsidRPr="00745BDD">
        <w:t xml:space="preserve"> 1:11, line 28; Kramer, S. N. (1967) ‘The Death of Ur-Nammu and his Descent to the Netherworld’, in, </w:t>
      </w:r>
      <w:r w:rsidRPr="00745BDD">
        <w:rPr>
          <w:i/>
        </w:rPr>
        <w:t xml:space="preserve">JCS </w:t>
      </w:r>
      <w:r w:rsidRPr="00745BDD">
        <w:t>21:118, line 82.</w:t>
      </w:r>
    </w:p>
  </w:footnote>
  <w:footnote w:id="53">
    <w:p w14:paraId="6C697E1D" w14:textId="77777777" w:rsidR="005B3668" w:rsidRDefault="005B3668" w:rsidP="006F4BCE">
      <w:pPr>
        <w:pStyle w:val="FootnoteText"/>
      </w:pPr>
      <w:r w:rsidRPr="00745BDD">
        <w:rPr>
          <w:rStyle w:val="FootnoteReference"/>
        </w:rPr>
        <w:footnoteRef/>
      </w:r>
      <w:r w:rsidRPr="00745BDD">
        <w:t xml:space="preserve"> Kramer, S. N. (1947)’Gilgamesh and the Land of the Living’, in, </w:t>
      </w:r>
      <w:r w:rsidRPr="00745BDD">
        <w:rPr>
          <w:i/>
        </w:rPr>
        <w:t xml:space="preserve">JCS </w:t>
      </w:r>
      <w:r w:rsidRPr="00745BDD">
        <w:t>1:21, line 150.</w:t>
      </w:r>
    </w:p>
  </w:footnote>
  <w:footnote w:id="54">
    <w:p w14:paraId="26180C62" w14:textId="77777777" w:rsidR="005B3668" w:rsidRDefault="005B3668" w:rsidP="006F4BCE">
      <w:pPr>
        <w:pStyle w:val="FootnoteText"/>
      </w:pPr>
      <w:r w:rsidRPr="00745BDD">
        <w:rPr>
          <w:rStyle w:val="FootnoteReference"/>
        </w:rPr>
        <w:footnoteRef/>
      </w:r>
      <w:r w:rsidRPr="00745BDD">
        <w:t xml:space="preserve"> Wright, J. E. (2000) </w:t>
      </w:r>
      <w:r w:rsidRPr="00745BDD">
        <w:rPr>
          <w:i/>
        </w:rPr>
        <w:t>The Early History of Heaven</w:t>
      </w:r>
      <w:r w:rsidRPr="00745BDD">
        <w:t xml:space="preserve"> Oxford: Oxford University Press: 32.</w:t>
      </w:r>
    </w:p>
  </w:footnote>
  <w:footnote w:id="55">
    <w:p w14:paraId="039FCA2C" w14:textId="77777777" w:rsidR="005B3668" w:rsidRDefault="005B3668" w:rsidP="006F4BCE">
      <w:pPr>
        <w:pStyle w:val="FootnoteText"/>
      </w:pPr>
      <w:r w:rsidRPr="00745BDD">
        <w:rPr>
          <w:rStyle w:val="FootnoteReference"/>
        </w:rPr>
        <w:footnoteRef/>
      </w:r>
      <w:r w:rsidRPr="00745BDD">
        <w:t xml:space="preserve">Heimpel, W. (1986) ‘The Sun at Night and the Doors of Heaven in Babylonian Texts’ </w:t>
      </w:r>
      <w:r w:rsidRPr="00745BDD">
        <w:rPr>
          <w:i/>
        </w:rPr>
        <w:t xml:space="preserve">JCS </w:t>
      </w:r>
      <w:r w:rsidRPr="00745BDD">
        <w:t>38:2 132-140.</w:t>
      </w:r>
    </w:p>
  </w:footnote>
  <w:footnote w:id="56">
    <w:p w14:paraId="241BA0CD" w14:textId="77777777" w:rsidR="005B3668" w:rsidRDefault="005B3668" w:rsidP="006F4BCE">
      <w:pPr>
        <w:pStyle w:val="FootnoteText"/>
      </w:pPr>
      <w:r w:rsidRPr="00745BDD">
        <w:rPr>
          <w:rStyle w:val="FootnoteReference"/>
        </w:rPr>
        <w:footnoteRef/>
      </w:r>
      <w:r w:rsidRPr="00745BDD">
        <w:t xml:space="preserve">Heimpel, W. (1986) ‘The Sun at Night and the Doors of Heaven in Babylonian Texts’ </w:t>
      </w:r>
      <w:r w:rsidRPr="00745BDD">
        <w:rPr>
          <w:i/>
        </w:rPr>
        <w:t xml:space="preserve">JCS </w:t>
      </w:r>
      <w:r w:rsidRPr="00745BDD">
        <w:t>38:2 135-140.</w:t>
      </w:r>
    </w:p>
  </w:footnote>
  <w:footnote w:id="57">
    <w:p w14:paraId="52F48F65" w14:textId="77777777" w:rsidR="005B3668" w:rsidRDefault="005B3668" w:rsidP="006F4BCE">
      <w:pPr>
        <w:pStyle w:val="FootnoteText"/>
      </w:pPr>
      <w:r w:rsidRPr="00745BDD">
        <w:rPr>
          <w:rStyle w:val="FootnoteReference"/>
        </w:rPr>
        <w:footnoteRef/>
      </w:r>
      <w:r w:rsidRPr="00745BDD">
        <w:t xml:space="preserve"> The text of </w:t>
      </w:r>
      <w:r w:rsidRPr="00745BDD">
        <w:rPr>
          <w:i/>
        </w:rPr>
        <w:t>KAR</w:t>
      </w:r>
      <w:r w:rsidRPr="00745BDD">
        <w:t xml:space="preserve"> 307, see: Horowitz, W. (1998) </w:t>
      </w:r>
      <w:r w:rsidRPr="00745BDD">
        <w:rPr>
          <w:i/>
        </w:rPr>
        <w:t xml:space="preserve">Mesoptamian Cosmic Geography </w:t>
      </w:r>
      <w:r w:rsidRPr="00745BDD">
        <w:t xml:space="preserve">Winona Lake, IN: Eisenbrauns: 1-19, and; Livingstone, A. (1986) </w:t>
      </w:r>
      <w:r w:rsidRPr="00745BDD">
        <w:rPr>
          <w:i/>
        </w:rPr>
        <w:t>Mystical and Mythological Explanatory Works of Assyrian and Babylonian Scholars</w:t>
      </w:r>
      <w:r w:rsidRPr="00745BDD">
        <w:t xml:space="preserve"> Oxford: Clarendon Press: 79-91. </w:t>
      </w:r>
    </w:p>
  </w:footnote>
  <w:footnote w:id="58">
    <w:p w14:paraId="0B2DF501" w14:textId="77777777" w:rsidR="005B3668" w:rsidRDefault="005B3668" w:rsidP="006F4BCE">
      <w:pPr>
        <w:pStyle w:val="FootnoteText"/>
      </w:pPr>
      <w:r w:rsidRPr="00745BDD">
        <w:rPr>
          <w:rStyle w:val="FootnoteReference"/>
        </w:rPr>
        <w:footnoteRef/>
      </w:r>
      <w:r w:rsidRPr="00745BDD">
        <w:t xml:space="preserve"> See </w:t>
      </w:r>
      <w:r w:rsidRPr="00745BDD">
        <w:rPr>
          <w:i/>
        </w:rPr>
        <w:t>EnumaElish</w:t>
      </w:r>
      <w:r w:rsidRPr="00745BDD">
        <w:t>Tablet V.1-7.</w:t>
      </w:r>
    </w:p>
  </w:footnote>
  <w:footnote w:id="59">
    <w:p w14:paraId="7D1CDCA2" w14:textId="77777777" w:rsidR="005B3668" w:rsidRDefault="005B3668" w:rsidP="006F4BCE">
      <w:pPr>
        <w:pStyle w:val="FootnoteText"/>
      </w:pPr>
      <w:r w:rsidRPr="00745BDD">
        <w:rPr>
          <w:rStyle w:val="FootnoteReference"/>
        </w:rPr>
        <w:footnoteRef/>
      </w:r>
      <w:r w:rsidRPr="00745BDD">
        <w:rPr>
          <w:i/>
        </w:rPr>
        <w:t>EnumaElish</w:t>
      </w:r>
      <w:r w:rsidRPr="00745BDD">
        <w:t xml:space="preserve"> iv.135 – v.23, quoted from: Pritchard, J. P (1969) (ed.) </w:t>
      </w:r>
      <w:r w:rsidRPr="00745BDD">
        <w:rPr>
          <w:i/>
        </w:rPr>
        <w:t xml:space="preserve">Ancient Near Eastern Texts Relating to the Old Testament </w:t>
      </w:r>
      <w:r w:rsidRPr="00745BDD">
        <w:t>Princeton: Princeton University Press: 67-68. For full text see Appendix 1.</w:t>
      </w:r>
    </w:p>
  </w:footnote>
  <w:footnote w:id="60">
    <w:p w14:paraId="574938AC" w14:textId="77777777" w:rsidR="005B3668" w:rsidRDefault="005B3668" w:rsidP="006F4BCE">
      <w:pPr>
        <w:pStyle w:val="FootnoteText"/>
      </w:pPr>
      <w:r w:rsidRPr="00745BDD">
        <w:rPr>
          <w:rStyle w:val="FootnoteReference"/>
        </w:rPr>
        <w:footnoteRef/>
      </w:r>
      <w:r w:rsidRPr="00745BDD">
        <w:t xml:space="preserve"> Cooley, J. L. (2013) </w:t>
      </w:r>
      <w:r w:rsidRPr="00745BDD">
        <w:rPr>
          <w:i/>
        </w:rPr>
        <w:t>Poetic Astronomy in the Ancient Near East: The Reflexes of Celestial Science in Ancient Mesopotamian, Ugaritic, and Israelite Narrative</w:t>
      </w:r>
      <w:r w:rsidRPr="00745BDD">
        <w:t xml:space="preserve"> Winona Lake, IN: Eisenbrauns: Chapters 3, 4, 5.</w:t>
      </w:r>
    </w:p>
  </w:footnote>
  <w:footnote w:id="61">
    <w:p w14:paraId="2F100836" w14:textId="77777777" w:rsidR="005B3668" w:rsidRDefault="005B3668" w:rsidP="006F4BCE">
      <w:pPr>
        <w:pStyle w:val="FootnoteText"/>
      </w:pPr>
      <w:r w:rsidRPr="00745BDD">
        <w:rPr>
          <w:rStyle w:val="FootnoteReference"/>
        </w:rPr>
        <w:footnoteRef/>
      </w:r>
      <w:r w:rsidRPr="00745BDD">
        <w:t xml:space="preserve"> Cooley, J. L. (2013) </w:t>
      </w:r>
      <w:r w:rsidRPr="00745BDD">
        <w:rPr>
          <w:i/>
        </w:rPr>
        <w:t>Poetic Astronomy in the Ancient Near East: The Reflexes of Celestial Science in Ancient Mesopotamian, Ugaritic, and Israelite Narrative</w:t>
      </w:r>
      <w:r w:rsidRPr="00745BDD">
        <w:t xml:space="preserve"> Winona Lake, IN: Eisenbrauns: 2.</w:t>
      </w:r>
    </w:p>
  </w:footnote>
  <w:footnote w:id="62">
    <w:p w14:paraId="1517BE69" w14:textId="77777777" w:rsidR="005B3668" w:rsidRDefault="005B3668" w:rsidP="006F4BCE">
      <w:pPr>
        <w:pStyle w:val="FootnoteText"/>
      </w:pPr>
      <w:r w:rsidRPr="00745BDD">
        <w:rPr>
          <w:rStyle w:val="FootnoteReference"/>
        </w:rPr>
        <w:footnoteRef/>
      </w:r>
      <w:r w:rsidRPr="00745BDD">
        <w:t xml:space="preserve"> Cooley, J. L. (2013) </w:t>
      </w:r>
      <w:r w:rsidRPr="00745BDD">
        <w:rPr>
          <w:i/>
        </w:rPr>
        <w:t>Poetic Astronomy in the Ancient Near East: The Reflexes of Celestial Science in Ancient Mesopotamian, Ugaritic, and Israelite Narrative</w:t>
      </w:r>
      <w:r w:rsidRPr="00745BDD">
        <w:t xml:space="preserve"> Winona Lake, IN: Eisenbrauns: 25.</w:t>
      </w:r>
    </w:p>
  </w:footnote>
  <w:footnote w:id="63">
    <w:p w14:paraId="4AF07DDD" w14:textId="77777777" w:rsidR="005B3668" w:rsidRDefault="005B3668" w:rsidP="006F4BCE">
      <w:pPr>
        <w:pStyle w:val="FootnoteText"/>
      </w:pPr>
      <w:r w:rsidRPr="00745BDD">
        <w:rPr>
          <w:rStyle w:val="FootnoteReference"/>
        </w:rPr>
        <w:footnoteRef/>
      </w:r>
      <w:r w:rsidRPr="00745BDD">
        <w:t xml:space="preserve"> Cooley, J. L. (2013) </w:t>
      </w:r>
      <w:r w:rsidRPr="00745BDD">
        <w:rPr>
          <w:i/>
        </w:rPr>
        <w:t>Poetic Astronomy in the Ancient Near East: The Reflexes of Celestial Science in Ancient Mesopotamian, Ugaritic, and Israelite Narrative</w:t>
      </w:r>
      <w:r w:rsidRPr="00745BDD">
        <w:t xml:space="preserve"> Winona Lake, IN: Eisenbrauns: 89-93.</w:t>
      </w:r>
    </w:p>
  </w:footnote>
  <w:footnote w:id="64">
    <w:p w14:paraId="07195836" w14:textId="77777777" w:rsidR="005B3668" w:rsidRDefault="005B3668" w:rsidP="006F4BCE">
      <w:pPr>
        <w:pStyle w:val="FootnoteText"/>
      </w:pPr>
      <w:r w:rsidRPr="00745BDD">
        <w:rPr>
          <w:rStyle w:val="FootnoteReference"/>
        </w:rPr>
        <w:footnoteRef/>
      </w:r>
      <w:r w:rsidRPr="00745BDD">
        <w:t xml:space="preserve"> Cooley, J. L. (2013) </w:t>
      </w:r>
      <w:r w:rsidRPr="00745BDD">
        <w:rPr>
          <w:i/>
        </w:rPr>
        <w:t>Poetic Astronomy in the Ancient Near East: The Reflexes of Celestial Science in Ancient Mesopotamian, Ugaritic, and Israelite Narrative</w:t>
      </w:r>
      <w:r w:rsidRPr="00745BDD">
        <w:t xml:space="preserve"> Winona Lake, IN: Eisenbrauns: 87-88.</w:t>
      </w:r>
    </w:p>
  </w:footnote>
  <w:footnote w:id="65">
    <w:p w14:paraId="7259C9AF" w14:textId="77777777" w:rsidR="005B3668" w:rsidRDefault="005B3668" w:rsidP="006F4BCE">
      <w:pPr>
        <w:pStyle w:val="FootnoteText"/>
      </w:pPr>
      <w:r w:rsidRPr="00745BDD">
        <w:rPr>
          <w:rStyle w:val="FootnoteReference"/>
        </w:rPr>
        <w:footnoteRef/>
      </w:r>
      <w:r w:rsidRPr="00745BDD">
        <w:t xml:space="preserve"> Cooley, J. L. (2013) </w:t>
      </w:r>
      <w:r w:rsidRPr="00745BDD">
        <w:rPr>
          <w:i/>
        </w:rPr>
        <w:t>Poetic Astronomy in the Ancient Near East: The Reflexes of Celestial Science in Ancient Mesopotamian, Ugaritic, and Israelite Narrative</w:t>
      </w:r>
      <w:r w:rsidRPr="00745BDD">
        <w:t xml:space="preserve"> Winona Lake, IN: Eisenbrauns: 2-6, 8, 24, 328-329. </w:t>
      </w:r>
    </w:p>
  </w:footnote>
  <w:footnote w:id="66">
    <w:p w14:paraId="799B3602" w14:textId="77777777" w:rsidR="005B3668" w:rsidRDefault="005B3668" w:rsidP="006F4BCE">
      <w:pPr>
        <w:pStyle w:val="FootnoteText"/>
      </w:pPr>
      <w:r w:rsidRPr="00745BDD">
        <w:rPr>
          <w:rStyle w:val="FootnoteReference"/>
        </w:rPr>
        <w:footnoteRef/>
      </w:r>
      <w:r w:rsidRPr="00745BDD">
        <w:t xml:space="preserve"> Cooley, J. L. (2013) </w:t>
      </w:r>
      <w:r w:rsidRPr="00745BDD">
        <w:rPr>
          <w:i/>
        </w:rPr>
        <w:t>Poetic Astronomy in the Ancient Near East: The Reflexes of Celestial Science in Ancient Mesopotamian, Ugaritic, and Israelite Narrative</w:t>
      </w:r>
      <w:r w:rsidRPr="00745BDD">
        <w:t xml:space="preserve"> Winona Lake, IN: Eisenbrauns: ix, and, 624-5.</w:t>
      </w:r>
    </w:p>
  </w:footnote>
  <w:footnote w:id="67">
    <w:p w14:paraId="5273D93F" w14:textId="77777777" w:rsidR="005B3668" w:rsidRDefault="005B3668" w:rsidP="006F4BCE">
      <w:pPr>
        <w:pStyle w:val="FootnoteText"/>
      </w:pPr>
      <w:r w:rsidRPr="00745BDD">
        <w:rPr>
          <w:rStyle w:val="FootnoteReference"/>
        </w:rPr>
        <w:footnoteRef/>
      </w:r>
      <w:r w:rsidRPr="00745BDD">
        <w:t xml:space="preserve">van der Waerden, B. (1952) ‘History of the Zodiac’, in, </w:t>
      </w:r>
      <w:r w:rsidRPr="00745BDD">
        <w:rPr>
          <w:i/>
        </w:rPr>
        <w:t>Bulletin fur Orientforschung</w:t>
      </w:r>
      <w:r w:rsidRPr="00745BDD">
        <w:t xml:space="preserve"> Vol.16: 216-30; Aaboe, A. (1974) ‘Scientific Astronomy in Antiquity’, in, </w:t>
      </w:r>
      <w:r w:rsidRPr="00745BDD">
        <w:rPr>
          <w:i/>
        </w:rPr>
        <w:t>Philosophical Transactions of the Royal Society of London. Series A, Mathematical and Physical Sciences</w:t>
      </w:r>
      <w:r w:rsidRPr="00745BDD">
        <w:t xml:space="preserve">, Vol. 276, No. 1257, The Place of Astronomy in the Ancient World: 21-42; Kingsley, P. (1995)  </w:t>
      </w:r>
      <w:r w:rsidRPr="00745BDD">
        <w:rPr>
          <w:i/>
        </w:rPr>
        <w:t>Ancient Philosophy, Mystery and Magic: Empedocles and Pythagorean Tradition</w:t>
      </w:r>
      <w:r w:rsidRPr="00745BDD">
        <w:t xml:space="preserve"> Oxford: Clarendon Press: 9; Reiner, E. (1995) ‘Astral Magic in Babylonia’, in, </w:t>
      </w:r>
      <w:r w:rsidRPr="00745BDD">
        <w:rPr>
          <w:i/>
        </w:rPr>
        <w:t>Transactions of the American Philosophical Society</w:t>
      </w:r>
      <w:r w:rsidRPr="00745BDD">
        <w:t xml:space="preserve"> New Series Vol. 85, No. 4: i-150; Campion, N. (2008) </w:t>
      </w:r>
      <w:r w:rsidRPr="00745BDD">
        <w:rPr>
          <w:i/>
        </w:rPr>
        <w:t>A History of Western AstrologyVolume I: The Ancient World</w:t>
      </w:r>
      <w:r w:rsidRPr="00745BDD">
        <w:t xml:space="preserve">, London: Continuum Books; Campion, N. (2010) ‘More on the Transmission of the Babylonian Zodiac to Greece: the case of the Nativity Omens and their Modern Legacy’ </w:t>
      </w:r>
      <w:r w:rsidRPr="00745BDD">
        <w:rPr>
          <w:i/>
        </w:rPr>
        <w:t xml:space="preserve">ARAM Conference on Astrology in the Near East </w:t>
      </w:r>
      <w:r w:rsidRPr="00745BDD">
        <w:t xml:space="preserve">University of Oxford 8-10 July, and; Rochberg, F. (2010) </w:t>
      </w:r>
      <w:r w:rsidRPr="00745BDD">
        <w:rPr>
          <w:i/>
        </w:rPr>
        <w:t>In the Path of the Moon: Babylonian Celestial Divination and Its Legacy</w:t>
      </w:r>
      <w:r w:rsidRPr="00745BDD">
        <w:t xml:space="preserve"> London: Brill : 143-165.</w:t>
      </w:r>
    </w:p>
  </w:footnote>
  <w:footnote w:id="68">
    <w:p w14:paraId="41621CBB" w14:textId="77777777" w:rsidR="005B3668" w:rsidRDefault="005B3668" w:rsidP="006F4BCE">
      <w:pPr>
        <w:pStyle w:val="FootnoteText"/>
      </w:pPr>
      <w:r w:rsidRPr="00745BDD">
        <w:rPr>
          <w:rStyle w:val="FootnoteReference"/>
        </w:rPr>
        <w:footnoteRef/>
      </w:r>
      <w:r w:rsidRPr="00745BDD">
        <w:t xml:space="preserve"> West, M. L. (1997) </w:t>
      </w:r>
      <w:r w:rsidRPr="00745BDD">
        <w:rPr>
          <w:i/>
        </w:rPr>
        <w:t>The East Face of Helicon: West Asiatic Elements in Greek Poetry and Myth</w:t>
      </w:r>
      <w:r w:rsidRPr="00745BDD">
        <w:t xml:space="preserve"> Oxford: Oxford University Press: 276-333, also: Walcot, P. (1966) </w:t>
      </w:r>
      <w:r w:rsidRPr="00745BDD">
        <w:rPr>
          <w:i/>
        </w:rPr>
        <w:t>Hesiod and the Near East</w:t>
      </w:r>
      <w:r w:rsidRPr="00745BDD">
        <w:t xml:space="preserve"> Cardiff: University of Wales Press.</w:t>
      </w:r>
    </w:p>
  </w:footnote>
  <w:footnote w:id="69">
    <w:p w14:paraId="6BF4F96A" w14:textId="77777777" w:rsidR="005B3668" w:rsidRDefault="005B3668" w:rsidP="006F4BCE">
      <w:pPr>
        <w:pStyle w:val="FootnoteText"/>
      </w:pPr>
      <w:r w:rsidRPr="00745BDD">
        <w:rPr>
          <w:rStyle w:val="FootnoteReference"/>
        </w:rPr>
        <w:footnoteRef/>
      </w:r>
      <w:r w:rsidRPr="00745BDD">
        <w:t xml:space="preserve"> Nagy, G. (2004) </w:t>
      </w:r>
      <w:r w:rsidRPr="00745BDD">
        <w:rPr>
          <w:i/>
        </w:rPr>
        <w:t>Homer’s Text and Language</w:t>
      </w:r>
      <w:r w:rsidRPr="00745BDD">
        <w:t xml:space="preserve"> Chicago: University of Illinois Press; Nagy, G. (2013) </w:t>
      </w:r>
      <w:r w:rsidRPr="00745BDD">
        <w:rPr>
          <w:i/>
        </w:rPr>
        <w:t>The Ancient Greek Hero in 24 Hours</w:t>
      </w:r>
      <w:r w:rsidRPr="00745BDD">
        <w:t xml:space="preserve"> Cambridge, MA: Harvard University Press; Lattimore, R. (trans.) (1965) </w:t>
      </w:r>
      <w:r w:rsidRPr="00745BDD">
        <w:rPr>
          <w:i/>
        </w:rPr>
        <w:t>The Odyssey of Homer</w:t>
      </w:r>
      <w:r w:rsidRPr="00745BDD">
        <w:t xml:space="preserve">, New York: Harper Collins, see also; Rieu, E.V. (trans.) (1946) </w:t>
      </w:r>
      <w:r w:rsidRPr="00745BDD">
        <w:rPr>
          <w:i/>
        </w:rPr>
        <w:t>Homer: the Odyssey</w:t>
      </w:r>
      <w:r w:rsidRPr="00745BDD">
        <w:t xml:space="preserve">, London: Penguin, and; Murray, A. T. (trans.) (1919) </w:t>
      </w:r>
      <w:r w:rsidRPr="00745BDD">
        <w:rPr>
          <w:i/>
        </w:rPr>
        <w:t xml:space="preserve">Homer: The Odyssey </w:t>
      </w:r>
      <w:r w:rsidRPr="00745BDD">
        <w:t>London: William Heinemann</w:t>
      </w:r>
      <w:r w:rsidRPr="00745BDD">
        <w:rPr>
          <w:i/>
        </w:rPr>
        <w:t>.</w:t>
      </w:r>
    </w:p>
  </w:footnote>
  <w:footnote w:id="70">
    <w:p w14:paraId="30113C4A" w14:textId="77777777" w:rsidR="005B3668" w:rsidRDefault="005B3668" w:rsidP="006F4BCE">
      <w:pPr>
        <w:pStyle w:val="FootnoteText"/>
      </w:pPr>
      <w:r w:rsidRPr="00745BDD">
        <w:rPr>
          <w:rStyle w:val="FootnoteReference"/>
        </w:rPr>
        <w:footnoteRef/>
      </w:r>
      <w:r w:rsidRPr="00745BDD">
        <w:t xml:space="preserve"> Key texts include; Dalley, S. (trans.) (2000) </w:t>
      </w:r>
      <w:r w:rsidRPr="00745BDD">
        <w:rPr>
          <w:i/>
        </w:rPr>
        <w:t xml:space="preserve">Myths from Mesopotamia: Creation, The Flood, Gilgamesh and Others </w:t>
      </w:r>
      <w:r w:rsidRPr="00745BDD">
        <w:t xml:space="preserve">[Revised Edition], Oxford: Oxford University Press [1989]; George, A. (trans.) (1999) </w:t>
      </w:r>
      <w:r w:rsidRPr="00745BDD">
        <w:rPr>
          <w:i/>
        </w:rPr>
        <w:t>The Epic of Gilgamesh: The Babylonian Epic Poem and other texts in Akkadian and Sumerian</w:t>
      </w:r>
      <w:r w:rsidRPr="00745BDD">
        <w:t xml:space="preserve"> London: Penguin; Mitchell, S. (trans.) (2005) </w:t>
      </w:r>
      <w:r w:rsidRPr="00745BDD">
        <w:rPr>
          <w:i/>
        </w:rPr>
        <w:t>Gilgamesh: A New English Version</w:t>
      </w:r>
      <w:r w:rsidRPr="00745BDD">
        <w:t xml:space="preserve"> London: Profile Books; Pritchard, J. P (1969) (ed.) </w:t>
      </w:r>
      <w:r w:rsidRPr="00745BDD">
        <w:rPr>
          <w:i/>
        </w:rPr>
        <w:t>Ancient Near Eastern Texts Relating to the Old Testament</w:t>
      </w:r>
      <w:r w:rsidRPr="00745BDD">
        <w:t xml:space="preserve"> Princeton: Princeton University Press (hereafter </w:t>
      </w:r>
      <w:r w:rsidRPr="00745BDD">
        <w:rPr>
          <w:i/>
        </w:rPr>
        <w:t>ANET</w:t>
      </w:r>
      <w:r w:rsidRPr="00745BDD">
        <w:t xml:space="preserve">); Hunger, H. and Pingree, D. (1989) </w:t>
      </w:r>
      <w:r w:rsidRPr="00745BDD">
        <w:rPr>
          <w:i/>
        </w:rPr>
        <w:t>MUL.APIN: As Astronomical Compendium in Cuneiform</w:t>
      </w:r>
      <w:r w:rsidRPr="00745BDD">
        <w:t xml:space="preserve"> Horn, Austria: Ferdinand Berger &amp;SonneGesellenschaft – other sources indicated where used.</w:t>
      </w:r>
    </w:p>
  </w:footnote>
  <w:footnote w:id="71">
    <w:p w14:paraId="2042A233" w14:textId="77777777" w:rsidR="005B3668" w:rsidRDefault="005B3668" w:rsidP="00F970D0">
      <w:pPr>
        <w:pStyle w:val="FootnoteText"/>
      </w:pPr>
      <w:r w:rsidRPr="00745BDD">
        <w:rPr>
          <w:rStyle w:val="FootnoteReference"/>
        </w:rPr>
        <w:footnoteRef/>
      </w:r>
      <w:r w:rsidRPr="00745BDD">
        <w:rPr>
          <w:i/>
        </w:rPr>
        <w:t xml:space="preserve">Gilgamesh: </w:t>
      </w:r>
      <w:r w:rsidRPr="00745BDD">
        <w:t xml:space="preserve">Tablet I (authors </w:t>
      </w:r>
      <w:ins w:id="121" w:author="Dorian" w:date="2015-11-20T20:34:00Z">
        <w:r>
          <w:t xml:space="preserve">[author’s] </w:t>
        </w:r>
      </w:ins>
      <w:r w:rsidRPr="00745BDD">
        <w:t>own translation).</w:t>
      </w:r>
    </w:p>
  </w:footnote>
  <w:footnote w:id="72">
    <w:p w14:paraId="375544A9" w14:textId="77777777" w:rsidR="005B3668" w:rsidRDefault="005B3668" w:rsidP="00F970D0">
      <w:pPr>
        <w:pStyle w:val="FootnoteText"/>
        <w:jc w:val="both"/>
      </w:pPr>
      <w:r w:rsidRPr="00745BDD">
        <w:rPr>
          <w:rStyle w:val="FootnoteReference"/>
        </w:rPr>
        <w:footnoteRef/>
      </w:r>
      <w:r w:rsidRPr="00745BDD">
        <w:t xml:space="preserve">Heidel, A. (1963) </w:t>
      </w:r>
      <w:r w:rsidRPr="00745BDD">
        <w:rPr>
          <w:i/>
        </w:rPr>
        <w:t>The Gilgamesh Epic and Old Testament Parallels</w:t>
      </w:r>
      <w:r w:rsidRPr="00745BDD">
        <w:t xml:space="preserve"> Chicago: Phoenix Books: 1, and: Dhorme, E. (1949) </w:t>
      </w:r>
      <w:r w:rsidRPr="00745BDD">
        <w:rPr>
          <w:i/>
        </w:rPr>
        <w:t>Les religions de Babylonieetd’Assyrie</w:t>
      </w:r>
      <w:r w:rsidRPr="00745BDD">
        <w:t xml:space="preserve"> Paris: Presses Universitaires De France: 315.</w:t>
      </w:r>
    </w:p>
  </w:footnote>
  <w:footnote w:id="73">
    <w:p w14:paraId="5D37E1D5" w14:textId="77777777" w:rsidR="005B3668" w:rsidRDefault="005B3668" w:rsidP="00F970D0">
      <w:pPr>
        <w:pStyle w:val="FootnoteText"/>
      </w:pPr>
      <w:r w:rsidRPr="00745BDD">
        <w:rPr>
          <w:rStyle w:val="FootnoteReference"/>
        </w:rPr>
        <w:footnoteRef/>
      </w:r>
      <w:r w:rsidRPr="00745BDD">
        <w:t xml:space="preserve">Jensen, P. (1902) ‘Das Gilgameš-Epos und Homer’, in, </w:t>
      </w:r>
      <w:r w:rsidRPr="00745BDD">
        <w:rPr>
          <w:i/>
        </w:rPr>
        <w:t xml:space="preserve">ZA </w:t>
      </w:r>
      <w:r w:rsidRPr="00745BDD">
        <w:t xml:space="preserve">16: 125-34; Ungnad;, A. (1923) </w:t>
      </w:r>
      <w:r w:rsidRPr="00745BDD">
        <w:rPr>
          <w:i/>
        </w:rPr>
        <w:t>Gilgamesch-Epos und Odyssee, Kulturfragen</w:t>
      </w:r>
      <w:r w:rsidRPr="00745BDD">
        <w:t xml:space="preserve">4/5Breslau: imSelbstverlag des Herausgebers: </w:t>
      </w:r>
      <w:r w:rsidRPr="00745BDD">
        <w:rPr>
          <w:i/>
        </w:rPr>
        <w:t>passim</w:t>
      </w:r>
      <w:r w:rsidRPr="00745BDD">
        <w:t xml:space="preserve">; Sandars, N. K. (1960) </w:t>
      </w:r>
      <w:r w:rsidRPr="00745BDD">
        <w:rPr>
          <w:i/>
        </w:rPr>
        <w:t>The Epic of Gilgamesh</w:t>
      </w:r>
      <w:r w:rsidRPr="00745BDD">
        <w:t xml:space="preserve"> Baltimore: Penguin: 30; Gresseth, G. K. (1975) ‘The Gilgamesh Epic and Homer’, in, </w:t>
      </w:r>
      <w:r w:rsidRPr="00745BDD">
        <w:rPr>
          <w:i/>
        </w:rPr>
        <w:t xml:space="preserve">The Classical Journal </w:t>
      </w:r>
      <w:r w:rsidRPr="00745BDD">
        <w:t xml:space="preserve">Vol.70, No. 4: 1-18; Burkert, W. (1984) ‘”Or Also a Godly Singer”: Akkadian and Early Greek Literature’, in, Maier, J. R. (ed.)(1997) </w:t>
      </w:r>
      <w:r w:rsidRPr="00745BDD">
        <w:rPr>
          <w:i/>
        </w:rPr>
        <w:t>Gilgamesh: A Reader</w:t>
      </w:r>
      <w:r w:rsidRPr="00745BDD">
        <w:t xml:space="preserve">, Mundelein, IL : Bolchazy-Carducci Publishers: 178-192; Lord, A. B. (1990)’Gilgamesh and Other Epics’, in, Maier, J. R. (ed.) (1997) </w:t>
      </w:r>
      <w:r w:rsidRPr="00745BDD">
        <w:rPr>
          <w:i/>
        </w:rPr>
        <w:t>Gilgamesh: A Reader</w:t>
      </w:r>
      <w:r w:rsidRPr="00745BDD">
        <w:t xml:space="preserve">, Mundelein, IL : Bolchazy-Carducci Publishers: 294-307; Clark, R. J. (1996) ‘Origins: New Light on Eschatology in Gilgamesh’s Mortuary Journey’, in, Maier, J. R. (ed.)(1997) </w:t>
      </w:r>
      <w:r w:rsidRPr="00745BDD">
        <w:rPr>
          <w:i/>
        </w:rPr>
        <w:t>Gilgamesh: A Reader</w:t>
      </w:r>
      <w:r w:rsidRPr="00745BDD">
        <w:t xml:space="preserve">, Mundelein, IL : Bolchazy-Carducci Publishers: 131-148; West, M. L. (1997) </w:t>
      </w:r>
      <w:r w:rsidRPr="00745BDD">
        <w:rPr>
          <w:i/>
        </w:rPr>
        <w:t>The East Face of Helicon: West Asiatic Elements in Greek Poetry and Myth</w:t>
      </w:r>
      <w:r w:rsidRPr="00745BDD">
        <w:t xml:space="preserve"> Oxford: Oxford University Press: 64-7, 172-74, 403, 590-93, 601, 627; Burkert, W. (2004) </w:t>
      </w:r>
      <w:r w:rsidRPr="00745BDD">
        <w:rPr>
          <w:i/>
        </w:rPr>
        <w:t xml:space="preserve">Babylon, Memphis, Persepolis: Eastern Contexts of Greek Culture </w:t>
      </w:r>
      <w:r w:rsidRPr="00745BDD">
        <w:t>Cambridge, MA: Harvard University Press: 40-45, and; Pryke, L. (</w:t>
      </w:r>
      <w:r w:rsidRPr="00745BDD">
        <w:rPr>
          <w:i/>
        </w:rPr>
        <w:t>forthcoming</w:t>
      </w:r>
      <w:r w:rsidRPr="00745BDD">
        <w:t xml:space="preserve">) </w:t>
      </w:r>
      <w:r w:rsidRPr="00745BDD">
        <w:rPr>
          <w:i/>
        </w:rPr>
        <w:t xml:space="preserve">Ishtar: Gods and Heroes of the Ancient World </w:t>
      </w:r>
      <w:r w:rsidRPr="00745BDD">
        <w:t xml:space="preserve">London: Routledge. </w:t>
      </w:r>
    </w:p>
  </w:footnote>
  <w:footnote w:id="74">
    <w:p w14:paraId="43DF8B6F" w14:textId="77777777" w:rsidR="005B3668" w:rsidRDefault="005B3668" w:rsidP="00F970D0">
      <w:pPr>
        <w:pStyle w:val="FootnoteText"/>
      </w:pPr>
      <w:r w:rsidRPr="00745BDD">
        <w:rPr>
          <w:rStyle w:val="FootnoteReference"/>
        </w:rPr>
        <w:footnoteRef/>
      </w:r>
      <w:r w:rsidRPr="00745BDD">
        <w:t xml:space="preserve"> Cooley, J. L. (2013) </w:t>
      </w:r>
      <w:r w:rsidRPr="00745BDD">
        <w:rPr>
          <w:i/>
        </w:rPr>
        <w:t>Poetic Astronomy in the Ancient Near East: The Reflexes of Celestial Science in Ancient Mesopotamian, Ugaritic, and Israelite Narrative</w:t>
      </w:r>
      <w:r w:rsidRPr="00745BDD">
        <w:t xml:space="preserve"> Winona Lake, IN: Eisenbrauns: </w:t>
      </w:r>
      <w:r w:rsidRPr="00745BDD">
        <w:rPr>
          <w:i/>
        </w:rPr>
        <w:t>passim</w:t>
      </w:r>
      <w:r w:rsidRPr="00745BDD">
        <w:t xml:space="preserve">, see also: Rochberg, F. (2007) </w:t>
      </w:r>
      <w:r w:rsidRPr="00745BDD">
        <w:rPr>
          <w:i/>
        </w:rPr>
        <w:t>The Heavenly Writing: Divination, Horoscopy, and Astronomy in Mesopotamian Culture</w:t>
      </w:r>
      <w:r w:rsidRPr="00745BDD">
        <w:t>, Cambridge: Cambridge University Press: 82, 183, and; Pryke, L. (</w:t>
      </w:r>
      <w:r w:rsidRPr="00745BDD">
        <w:rPr>
          <w:i/>
        </w:rPr>
        <w:t>forthcoming</w:t>
      </w:r>
      <w:r w:rsidRPr="00745BDD">
        <w:t xml:space="preserve">) </w:t>
      </w:r>
      <w:r w:rsidRPr="00745BDD">
        <w:rPr>
          <w:i/>
        </w:rPr>
        <w:t xml:space="preserve">Ishtar: Gods and Heroes of the Ancient World </w:t>
      </w:r>
      <w:r w:rsidRPr="00745BDD">
        <w:t>London: Routledge.</w:t>
      </w:r>
    </w:p>
  </w:footnote>
  <w:footnote w:id="75">
    <w:p w14:paraId="71F5001B" w14:textId="77777777" w:rsidR="005B3668" w:rsidRDefault="005B3668" w:rsidP="00F970D0">
      <w:pPr>
        <w:pStyle w:val="FootnoteText"/>
      </w:pPr>
      <w:r w:rsidRPr="00745BDD">
        <w:rPr>
          <w:rStyle w:val="FootnoteReference"/>
        </w:rPr>
        <w:footnoteRef/>
      </w:r>
      <w:r w:rsidRPr="00745BDD">
        <w:rPr>
          <w:i/>
        </w:rPr>
        <w:t>Gilgamesh</w:t>
      </w:r>
      <w:r w:rsidRPr="00745BDD">
        <w:t>: Tablet VI.94-114 (George trans.).</w:t>
      </w:r>
    </w:p>
  </w:footnote>
  <w:footnote w:id="76">
    <w:p w14:paraId="5F120364" w14:textId="77777777" w:rsidR="005B3668" w:rsidRDefault="005B3668" w:rsidP="00F970D0">
      <w:pPr>
        <w:pStyle w:val="FootnoteText"/>
      </w:pPr>
      <w:r w:rsidRPr="00745BDD">
        <w:rPr>
          <w:rStyle w:val="FootnoteReference"/>
        </w:rPr>
        <w:footnoteRef/>
      </w:r>
      <w:r w:rsidRPr="00745BDD">
        <w:rPr>
          <w:i/>
        </w:rPr>
        <w:t>Gilgamesh</w:t>
      </w:r>
      <w:r w:rsidRPr="00745BDD">
        <w:t xml:space="preserve">: Tablet VI.156 (George trans.). </w:t>
      </w:r>
    </w:p>
  </w:footnote>
  <w:footnote w:id="77">
    <w:p w14:paraId="51190FA2" w14:textId="77777777" w:rsidR="005B3668" w:rsidRDefault="005B3668" w:rsidP="00F970D0">
      <w:pPr>
        <w:pStyle w:val="FootnoteText"/>
      </w:pPr>
      <w:r w:rsidRPr="00745BDD">
        <w:rPr>
          <w:rStyle w:val="FootnoteReference"/>
        </w:rPr>
        <w:footnoteRef/>
      </w:r>
      <w:r w:rsidRPr="00745BDD">
        <w:t xml:space="preserve"> Hunger, H. &amp;Pingree, P. (1989) </w:t>
      </w:r>
      <w:r w:rsidRPr="00745BDD">
        <w:rPr>
          <w:i/>
        </w:rPr>
        <w:t>A transliteration and English translation of the first two tablets is presented in "Mul.Apin, An Astronomical Compendium in Cuneiform"</w:t>
      </w:r>
      <w:r w:rsidRPr="00745BDD">
        <w:t xml:space="preserve"> Austria: Verlag Ferdinand Berger &amp;Sohne.</w:t>
      </w:r>
    </w:p>
  </w:footnote>
  <w:footnote w:id="78">
    <w:p w14:paraId="4979A0CE" w14:textId="77777777" w:rsidR="005B3668" w:rsidRDefault="005B3668" w:rsidP="00F970D0">
      <w:pPr>
        <w:pStyle w:val="FootnoteText"/>
      </w:pPr>
      <w:r w:rsidRPr="00745BDD">
        <w:rPr>
          <w:rStyle w:val="FootnoteReference"/>
        </w:rPr>
        <w:footnoteRef/>
      </w:r>
      <w:r w:rsidRPr="00745BDD">
        <w:rPr>
          <w:i/>
        </w:rPr>
        <w:t>MUL.APIN</w:t>
      </w:r>
      <w:r w:rsidRPr="00745BDD">
        <w:t xml:space="preserve"> column II.1 (</w:t>
      </w:r>
      <w:r w:rsidRPr="00745BDD">
        <w:rPr>
          <w:bCs/>
        </w:rPr>
        <w:t xml:space="preserve">Lines are given in sequence according to Cuneiform Tablet Nr. 86378, British Museum.) </w:t>
      </w:r>
      <w:r w:rsidRPr="00745BDD">
        <w:t>Sumerian and [</w:t>
      </w:r>
      <w:r w:rsidRPr="00745BDD">
        <w:rPr>
          <w:i/>
        </w:rPr>
        <w:t>Akkadian</w:t>
      </w:r>
      <w:r w:rsidRPr="00745BDD">
        <w:t xml:space="preserve">] names cited according to: Black, J. A., George, A. and Postgate, J. N. (2000) </w:t>
      </w:r>
      <w:r w:rsidRPr="00745BDD">
        <w:rPr>
          <w:i/>
        </w:rPr>
        <w:t>A Concise Dictionary of Akkadian</w:t>
      </w:r>
      <w:r w:rsidRPr="00745BDD">
        <w:t>Weisbarden</w:t>
      </w:r>
      <w:r>
        <w:t xml:space="preserve"> </w:t>
      </w:r>
      <w:ins w:id="125" w:author="Dorian" w:date="2015-11-22T21:52:00Z">
        <w:r>
          <w:t>[Wiesbaden?]</w:t>
        </w:r>
      </w:ins>
      <w:r w:rsidRPr="00745BDD">
        <w:t xml:space="preserve">: Otto Harrassowitz. </w:t>
      </w:r>
    </w:p>
  </w:footnote>
  <w:footnote w:id="79">
    <w:p w14:paraId="5A1AC857" w14:textId="77777777" w:rsidR="005B3668" w:rsidRDefault="005B3668" w:rsidP="00F970D0">
      <w:pPr>
        <w:pStyle w:val="FootnoteText"/>
      </w:pPr>
      <w:r w:rsidRPr="00745BDD">
        <w:rPr>
          <w:rStyle w:val="FootnoteReference"/>
        </w:rPr>
        <w:footnoteRef/>
      </w:r>
      <w:r w:rsidRPr="00745BDD">
        <w:t>Ebeling, E. (1932) ‘An-Anum’, in, </w:t>
      </w:r>
      <w:r w:rsidRPr="00745BDD">
        <w:rPr>
          <w:i/>
          <w:iCs/>
        </w:rPr>
        <w:t>Reallexikon der Assyriologie und VorderasiatischenArchäologie</w:t>
      </w:r>
      <w:r w:rsidRPr="00745BDD">
        <w:t> </w:t>
      </w:r>
      <w:r w:rsidRPr="00745BDD">
        <w:rPr>
          <w:bCs/>
        </w:rPr>
        <w:t>1</w:t>
      </w:r>
      <w:r w:rsidRPr="00745BDD">
        <w:t>: 115-117, and: Horowitz, W. (2001) </w:t>
      </w:r>
      <w:r w:rsidRPr="00745BDD">
        <w:rPr>
          <w:i/>
          <w:iCs/>
        </w:rPr>
        <w:t>Mesopotamian Cosmic Geography</w:t>
      </w:r>
      <w:r w:rsidRPr="00745BDD">
        <w:t xml:space="preserve"> Winona Lake, Indiana: Eisenbrauns: 250</w:t>
      </w:r>
      <w:r w:rsidRPr="00745BDD">
        <w:rPr>
          <w:i/>
        </w:rPr>
        <w:t>f.</w:t>
      </w:r>
    </w:p>
  </w:footnote>
  <w:footnote w:id="80">
    <w:p w14:paraId="508492B6" w14:textId="77777777" w:rsidR="005B3668" w:rsidRDefault="005B3668" w:rsidP="00F970D0">
      <w:pPr>
        <w:pStyle w:val="FootnoteText"/>
      </w:pPr>
      <w:r w:rsidRPr="00745BDD">
        <w:rPr>
          <w:rStyle w:val="FootnoteReference"/>
        </w:rPr>
        <w:footnoteRef/>
      </w:r>
      <w:r w:rsidRPr="00745BDD">
        <w:t xml:space="preserve"> ‘Dr Pryke considers Taurus and the Bull of Heaven in Mesopotamian Myth and Astronomy’ &lt;accessed: 04/06/2015&gt;: </w:t>
      </w:r>
      <w:hyperlink r:id="rId1" w:history="1">
        <w:r w:rsidRPr="00745BDD">
          <w:rPr>
            <w:rStyle w:val="Hyperlink"/>
          </w:rPr>
          <w:t>http://www.sydneyobservatory.com.au/2014/dr-pryke-considers-taurus-and-the-bull-of-heaven-in-mesopotamian-myth-and-astronomy/</w:t>
        </w:r>
      </w:hyperlink>
      <w:r w:rsidRPr="00745BDD">
        <w:t xml:space="preserve"> See forthcoming book; Pryke, L. (</w:t>
      </w:r>
      <w:r w:rsidRPr="00745BDD">
        <w:rPr>
          <w:i/>
        </w:rPr>
        <w:t>forthcoming</w:t>
      </w:r>
      <w:r w:rsidRPr="00745BDD">
        <w:t xml:space="preserve">) </w:t>
      </w:r>
      <w:r w:rsidRPr="00745BDD">
        <w:rPr>
          <w:i/>
        </w:rPr>
        <w:t xml:space="preserve">Ishtar: Gods and Heroes of the Ancient World </w:t>
      </w:r>
      <w:r w:rsidRPr="00745BDD">
        <w:t xml:space="preserve">London: Routledge. </w:t>
      </w:r>
    </w:p>
  </w:footnote>
  <w:footnote w:id="81">
    <w:p w14:paraId="08FD398C" w14:textId="77777777" w:rsidR="005B3668" w:rsidRDefault="005B3668" w:rsidP="00F970D0">
      <w:pPr>
        <w:pStyle w:val="FootnoteText"/>
      </w:pPr>
      <w:r w:rsidRPr="00745BDD">
        <w:rPr>
          <w:rStyle w:val="FootnoteReference"/>
        </w:rPr>
        <w:footnoteRef/>
      </w:r>
      <w:r w:rsidRPr="00745BDD">
        <w:t xml:space="preserve"> Homer</w:t>
      </w:r>
      <w:r w:rsidRPr="00745BDD">
        <w:rPr>
          <w:i/>
        </w:rPr>
        <w:t xml:space="preserve"> Iliad</w:t>
      </w:r>
      <w:r w:rsidRPr="00745BDD">
        <w:t xml:space="preserve">: V.311-430; Burkert, W. (1992) </w:t>
      </w:r>
      <w:r w:rsidRPr="00745BDD">
        <w:rPr>
          <w:i/>
        </w:rPr>
        <w:t xml:space="preserve">The Orientalising Revolution: Near Eastern Influence on Greek Culture in the Early Archaic Age </w:t>
      </w:r>
      <w:r w:rsidRPr="00745BDD">
        <w:t xml:space="preserve">Harvard: Harvard University Press: 96-100; Burkert, W. (2004) </w:t>
      </w:r>
      <w:r w:rsidRPr="00745BDD">
        <w:rPr>
          <w:i/>
        </w:rPr>
        <w:t xml:space="preserve">Babylon, Memphis, Persepolis: Eastern Contexts of Greek Culture </w:t>
      </w:r>
      <w:r w:rsidRPr="00745BDD">
        <w:t xml:space="preserve">Cambridge, MA: Harvard University Press: 41-43, and; West, M. L. (1997) </w:t>
      </w:r>
      <w:r w:rsidRPr="00745BDD">
        <w:rPr>
          <w:i/>
        </w:rPr>
        <w:t>The East Face of Helicon: West Asiatic Elements in Greek Poetry and Myth</w:t>
      </w:r>
      <w:r w:rsidRPr="00745BDD">
        <w:t xml:space="preserve"> Oxford: Oxford University Press: 56.</w:t>
      </w:r>
    </w:p>
  </w:footnote>
  <w:footnote w:id="82">
    <w:p w14:paraId="759552C6" w14:textId="77777777" w:rsidR="005B3668" w:rsidRDefault="005B3668" w:rsidP="00F970D0">
      <w:pPr>
        <w:pStyle w:val="FootnoteText"/>
      </w:pPr>
      <w:r w:rsidRPr="00745BDD">
        <w:rPr>
          <w:rStyle w:val="FootnoteReference"/>
        </w:rPr>
        <w:footnoteRef/>
      </w:r>
      <w:r w:rsidRPr="00745BDD">
        <w:t xml:space="preserve"> White, G. (2008) </w:t>
      </w:r>
      <w:r w:rsidRPr="00745BDD">
        <w:rPr>
          <w:i/>
        </w:rPr>
        <w:t>Babylonian Star-Lore: An Illustrated Guide to the Star-Lore and Constellations of Ancient Babylonia</w:t>
      </w:r>
      <w:r w:rsidRPr="00745BDD">
        <w:t xml:space="preserve"> London: Solaria Publications: 107-108.</w:t>
      </w:r>
    </w:p>
  </w:footnote>
  <w:footnote w:id="83">
    <w:p w14:paraId="7C95687E" w14:textId="77777777" w:rsidR="005B3668" w:rsidRDefault="005B3668" w:rsidP="00F970D0">
      <w:pPr>
        <w:pStyle w:val="FootnoteText"/>
      </w:pPr>
      <w:r w:rsidRPr="00745BDD">
        <w:rPr>
          <w:rStyle w:val="FootnoteReference"/>
        </w:rPr>
        <w:footnoteRef/>
      </w:r>
      <w:r w:rsidRPr="00745BDD">
        <w:t xml:space="preserve"> Homer </w:t>
      </w:r>
      <w:r w:rsidRPr="00745BDD">
        <w:rPr>
          <w:i/>
        </w:rPr>
        <w:t>Odyssey</w:t>
      </w:r>
      <w:r w:rsidRPr="00745BDD">
        <w:t>: IX.412, 519, 529.</w:t>
      </w:r>
    </w:p>
  </w:footnote>
  <w:footnote w:id="84">
    <w:p w14:paraId="0AD69FA4" w14:textId="77777777" w:rsidR="005B3668" w:rsidRDefault="005B3668" w:rsidP="00F970D0">
      <w:pPr>
        <w:pStyle w:val="EndnoteText"/>
      </w:pPr>
      <w:r w:rsidRPr="00745BDD">
        <w:rPr>
          <w:rStyle w:val="FootnoteReference"/>
        </w:rPr>
        <w:footnoteRef/>
      </w:r>
      <w:r w:rsidRPr="00745BDD">
        <w:t xml:space="preserve"> Homer </w:t>
      </w:r>
      <w:r w:rsidRPr="00745BDD">
        <w:rPr>
          <w:i/>
        </w:rPr>
        <w:t>Odyssey</w:t>
      </w:r>
      <w:r w:rsidRPr="00745BDD">
        <w:t>: IX.187; Manilius</w:t>
      </w:r>
      <w:r w:rsidRPr="00745BDD">
        <w:rPr>
          <w:i/>
        </w:rPr>
        <w:t>Astronomica</w:t>
      </w:r>
      <w:r w:rsidRPr="00745BDD">
        <w:t>: II.223-226.</w:t>
      </w:r>
    </w:p>
  </w:footnote>
  <w:footnote w:id="85">
    <w:p w14:paraId="66B6FF69" w14:textId="77777777" w:rsidR="005B3668" w:rsidRDefault="005B3668" w:rsidP="00F970D0">
      <w:pPr>
        <w:pStyle w:val="EndnoteText"/>
      </w:pPr>
      <w:r w:rsidRPr="00745BDD">
        <w:rPr>
          <w:rStyle w:val="FootnoteReference"/>
        </w:rPr>
        <w:footnoteRef/>
      </w:r>
      <w:r w:rsidRPr="00745BDD">
        <w:t xml:space="preserve"> Homer </w:t>
      </w:r>
      <w:r w:rsidRPr="00745BDD">
        <w:rPr>
          <w:i/>
        </w:rPr>
        <w:t>Odyssey</w:t>
      </w:r>
      <w:r w:rsidRPr="00745BDD">
        <w:t>: IX.</w:t>
      </w:r>
      <w:r w:rsidRPr="00745BDD">
        <w:rPr>
          <w:rFonts w:cs="Urdu Typesetting"/>
        </w:rPr>
        <w:t xml:space="preserve"> 337-340; </w:t>
      </w:r>
      <w:r w:rsidRPr="00745BDD">
        <w:t xml:space="preserve">Allen, R. H. (1899) </w:t>
      </w:r>
      <w:r w:rsidRPr="00745BDD">
        <w:rPr>
          <w:i/>
        </w:rPr>
        <w:t>Star Names and Their Meanings</w:t>
      </w:r>
      <w:r w:rsidRPr="00745BDD">
        <w:t xml:space="preserve"> Glastonbury: The Lost Library [reprint]: 398. The Hyades are also among the few stellar objects directly mentioned by Homer. </w:t>
      </w:r>
    </w:p>
  </w:footnote>
  <w:footnote w:id="86">
    <w:p w14:paraId="15715F20" w14:textId="77777777" w:rsidR="005B3668" w:rsidRDefault="005B3668" w:rsidP="00F970D0">
      <w:pPr>
        <w:pStyle w:val="FootnoteText"/>
      </w:pPr>
      <w:r w:rsidRPr="00745BDD">
        <w:rPr>
          <w:rStyle w:val="FootnoteReference"/>
        </w:rPr>
        <w:footnoteRef/>
      </w:r>
      <w:r w:rsidRPr="00745BDD">
        <w:t xml:space="preserve"> Wood, F. and Wood, K. (2011) </w:t>
      </w:r>
      <w:r w:rsidRPr="00745BDD">
        <w:rPr>
          <w:i/>
        </w:rPr>
        <w:t>Homer’s Secret Odyssey</w:t>
      </w:r>
      <w:r w:rsidRPr="00745BDD">
        <w:t xml:space="preserve"> Stroud: The History Press: 117-118; Grey, S. (2013) ‘Astronomical Knowledge in Homer’s </w:t>
      </w:r>
      <w:r w:rsidRPr="00745BDD">
        <w:rPr>
          <w:i/>
        </w:rPr>
        <w:t>Odyssey</w:t>
      </w:r>
      <w:r w:rsidRPr="00745BDD">
        <w:t xml:space="preserve">: Book IX Case Study’, in, </w:t>
      </w:r>
      <w:r w:rsidRPr="00745BDD">
        <w:rPr>
          <w:i/>
        </w:rPr>
        <w:t xml:space="preserve">Proceedings of the Annual Meeting of Postgraduates in Ancient LiteratureOpen Access Journal </w:t>
      </w:r>
      <w:r w:rsidRPr="00745BDD">
        <w:t>St. Andrews: University of St. Andrews. &lt;accessed: 04/06/2015&gt;</w:t>
      </w:r>
      <w:hyperlink r:id="rId2" w:history="1">
        <w:r w:rsidRPr="00745BDD">
          <w:rPr>
            <w:rStyle w:val="Hyperlink"/>
          </w:rPr>
          <w:t>http://ojs.st-andrews.ac.uk/index.php/ampal/article/view/918</w:t>
        </w:r>
      </w:hyperlink>
    </w:p>
  </w:footnote>
  <w:footnote w:id="87">
    <w:p w14:paraId="395B0B65" w14:textId="77777777" w:rsidR="005B3668" w:rsidRDefault="005B3668" w:rsidP="00F970D0">
      <w:pPr>
        <w:pStyle w:val="FootnoteText"/>
      </w:pPr>
      <w:r w:rsidRPr="00745BDD">
        <w:rPr>
          <w:rStyle w:val="FootnoteReference"/>
        </w:rPr>
        <w:footnoteRef/>
      </w:r>
      <w:r w:rsidRPr="00745BDD">
        <w:t xml:space="preserve"> Kirk, G.S. (1965) </w:t>
      </w:r>
      <w:r w:rsidRPr="00745BDD">
        <w:rPr>
          <w:i/>
          <w:iCs/>
        </w:rPr>
        <w:t>Homer and the Epic: A Shortened Version of the Songs of Homer</w:t>
      </w:r>
      <w:r w:rsidRPr="00745BDD">
        <w:t xml:space="preserve"> London: Cambridge University Press: 190.</w:t>
      </w:r>
    </w:p>
  </w:footnote>
  <w:footnote w:id="88">
    <w:p w14:paraId="74D0E114" w14:textId="77777777" w:rsidR="005B3668" w:rsidRDefault="005B3668" w:rsidP="00F970D0">
      <w:pPr>
        <w:pStyle w:val="FootnoteText"/>
      </w:pPr>
      <w:r w:rsidRPr="00745BDD">
        <w:rPr>
          <w:rStyle w:val="FootnoteReference"/>
        </w:rPr>
        <w:footnoteRef/>
      </w:r>
      <w:r w:rsidRPr="00745BDD">
        <w:t xml:space="preserve"> Times are approximate. This phenomenon can be observed on any planetarium software, the author uses Stellarium version 0.12.1. For the Homeric Question; Jensen, M. S. (1980) </w:t>
      </w:r>
      <w:r w:rsidRPr="00745BDD">
        <w:rPr>
          <w:i/>
          <w:iCs/>
        </w:rPr>
        <w:t>The Homeric Question and the Oral-Formulaic Theory</w:t>
      </w:r>
      <w:r w:rsidRPr="00745BDD">
        <w:t xml:space="preserve"> Copenhagen: Museum Tusculanum Press: </w:t>
      </w:r>
      <w:r w:rsidRPr="00745BDD">
        <w:rPr>
          <w:i/>
        </w:rPr>
        <w:t>passim</w:t>
      </w:r>
      <w:r w:rsidRPr="00745BDD">
        <w:t>; Kirk, G. S. (1962) </w:t>
      </w:r>
      <w:r w:rsidRPr="00745BDD">
        <w:rPr>
          <w:i/>
          <w:iCs/>
        </w:rPr>
        <w:t>The Songs of Homer</w:t>
      </w:r>
      <w:r w:rsidRPr="00745BDD">
        <w:t xml:space="preserve"> Cambridge: Cambridge University Press: 88-91; Foley, J. M. (1985) </w:t>
      </w:r>
      <w:r w:rsidRPr="00745BDD">
        <w:rPr>
          <w:i/>
          <w:iCs/>
        </w:rPr>
        <w:t xml:space="preserve">Oral-Formulaic Theory and Research: An Introduction and Annotated Bibliography </w:t>
      </w:r>
      <w:r w:rsidRPr="00745BDD">
        <w:t xml:space="preserve">: New York: Garland: 35-36, 40, 406, 505; Varsos, G. J. (2002) ‘The Persistence of the Homeric Question’ </w:t>
      </w:r>
      <w:r w:rsidRPr="00745BDD">
        <w:rPr>
          <w:i/>
        </w:rPr>
        <w:t>Ph.D. thesis</w:t>
      </w:r>
      <w:r w:rsidRPr="00745BDD">
        <w:t xml:space="preserve"> University of Geneva: </w:t>
      </w:r>
      <w:r w:rsidRPr="00745BDD">
        <w:rPr>
          <w:i/>
        </w:rPr>
        <w:t>passim</w:t>
      </w:r>
      <w:r w:rsidRPr="00745BDD">
        <w:t>; West, M. L. (2010) </w:t>
      </w:r>
      <w:r w:rsidRPr="00745BDD">
        <w:rPr>
          <w:i/>
          <w:iCs/>
        </w:rPr>
        <w:t>The Making of the Iliad</w:t>
      </w:r>
      <w:r w:rsidRPr="00745BDD">
        <w:t xml:space="preserve"> Oxford:  Oxford University Press: </w:t>
      </w:r>
      <w:r w:rsidRPr="00745BDD">
        <w:rPr>
          <w:i/>
        </w:rPr>
        <w:t>passim</w:t>
      </w:r>
      <w:r w:rsidRPr="00745BDD">
        <w:t>.</w:t>
      </w:r>
    </w:p>
  </w:footnote>
  <w:footnote w:id="89">
    <w:p w14:paraId="0C57AFBC" w14:textId="77777777" w:rsidR="005B3668" w:rsidRDefault="005B3668" w:rsidP="00F970D0">
      <w:pPr>
        <w:pStyle w:val="FootnoteText"/>
      </w:pPr>
      <w:r w:rsidRPr="00745BDD">
        <w:rPr>
          <w:rStyle w:val="FootnoteReference"/>
        </w:rPr>
        <w:footnoteRef/>
      </w:r>
      <w:r w:rsidRPr="00745BDD">
        <w:t xml:space="preserve"> White, N.M. (1979) ‘Lunar occultation of the Hyades and diameters of Alpha Tauri and Theta-1 Tauri’ </w:t>
      </w:r>
      <w:r w:rsidRPr="00745BDD">
        <w:rPr>
          <w:i/>
        </w:rPr>
        <w:t>Astronomical Journal</w:t>
      </w:r>
      <w:r w:rsidRPr="00745BDD">
        <w:t xml:space="preserve"> vol.84: 872-876. </w:t>
      </w:r>
    </w:p>
  </w:footnote>
  <w:footnote w:id="90">
    <w:p w14:paraId="1AFD6F54" w14:textId="77777777" w:rsidR="005B3668" w:rsidRDefault="005B3668" w:rsidP="00F970D0">
      <w:pPr>
        <w:pStyle w:val="FootnoteText"/>
      </w:pPr>
      <w:r w:rsidRPr="00745BDD">
        <w:rPr>
          <w:rStyle w:val="FootnoteReference"/>
        </w:rPr>
        <w:footnoteRef/>
      </w:r>
      <w:r w:rsidRPr="00745BDD">
        <w:t xml:space="preserve"> Homer </w:t>
      </w:r>
      <w:r w:rsidRPr="00745BDD">
        <w:rPr>
          <w:i/>
        </w:rPr>
        <w:t>Odyssey</w:t>
      </w:r>
      <w:r w:rsidRPr="00745BDD">
        <w:t>: IX.507-512.</w:t>
      </w:r>
    </w:p>
  </w:footnote>
  <w:footnote w:id="91">
    <w:p w14:paraId="07A4AD8E" w14:textId="77777777" w:rsidR="005B3668" w:rsidRDefault="005B3668" w:rsidP="00F970D0">
      <w:pPr>
        <w:pStyle w:val="FootnoteText"/>
      </w:pPr>
      <w:r w:rsidRPr="00745BDD">
        <w:rPr>
          <w:rStyle w:val="FootnoteReference"/>
        </w:rPr>
        <w:footnoteRef/>
      </w:r>
      <w:r w:rsidRPr="00745BDD">
        <w:rPr>
          <w:iCs/>
        </w:rPr>
        <w:t>Ovid</w:t>
      </w:r>
      <w:r w:rsidRPr="00745BDD">
        <w:rPr>
          <w:i/>
          <w:iCs/>
        </w:rPr>
        <w:t xml:space="preserve"> Metamorphoses</w:t>
      </w:r>
      <w:r w:rsidRPr="00745BDD">
        <w:rPr>
          <w:iCs/>
        </w:rPr>
        <w:t>:XIII.728</w:t>
      </w:r>
      <w:r w:rsidRPr="00745BDD">
        <w:rPr>
          <w:i/>
          <w:iCs/>
        </w:rPr>
        <w:t>f</w:t>
      </w:r>
      <w:r w:rsidRPr="00745BDD">
        <w:rPr>
          <w:iCs/>
        </w:rPr>
        <w:t>.</w:t>
      </w:r>
      <w:r w:rsidRPr="00745BDD">
        <w:rPr>
          <w:i/>
          <w:iCs/>
        </w:rPr>
        <w:t> </w:t>
      </w:r>
    </w:p>
  </w:footnote>
  <w:footnote w:id="92">
    <w:p w14:paraId="53A2D15D" w14:textId="77777777" w:rsidR="005B3668" w:rsidRDefault="005B3668" w:rsidP="00F970D0">
      <w:pPr>
        <w:pStyle w:val="FootnoteText"/>
      </w:pPr>
      <w:r w:rsidRPr="00745BDD">
        <w:rPr>
          <w:rStyle w:val="FootnoteReference"/>
        </w:rPr>
        <w:footnoteRef/>
      </w:r>
      <w:r w:rsidRPr="00745BDD">
        <w:t xml:space="preserve"> Bailey, A. (1974) </w:t>
      </w:r>
      <w:r w:rsidRPr="00745BDD">
        <w:rPr>
          <w:i/>
        </w:rPr>
        <w:t>The Labours of Hercules: An Astronomical Interpretation</w:t>
      </w:r>
      <w:r w:rsidRPr="00745BDD">
        <w:t xml:space="preserve"> New York: Lucis Publishing Company: 22-31.</w:t>
      </w:r>
    </w:p>
  </w:footnote>
  <w:footnote w:id="93">
    <w:p w14:paraId="2846C024" w14:textId="77777777" w:rsidR="005B3668" w:rsidRDefault="005B3668" w:rsidP="00F970D0">
      <w:pPr>
        <w:pStyle w:val="FootnoteText"/>
      </w:pPr>
      <w:r w:rsidRPr="00745BDD">
        <w:rPr>
          <w:rStyle w:val="FootnoteReference"/>
        </w:rPr>
        <w:footnoteRef/>
      </w:r>
      <w:r w:rsidRPr="00745BDD">
        <w:t xml:space="preserve"> White, G. (2008) </w:t>
      </w:r>
      <w:r w:rsidRPr="00745BDD">
        <w:rPr>
          <w:i/>
        </w:rPr>
        <w:t>Babylonian Star-Lore: An Illustrated Guide to the Star-Lore and Constellations of Ancient Babylonia</w:t>
      </w:r>
      <w:r w:rsidRPr="00745BDD">
        <w:t xml:space="preserve"> London: Solaria Publications: 140-141; Coleman, J.A. (2007) </w:t>
      </w:r>
      <w:r w:rsidRPr="00745BDD">
        <w:rPr>
          <w:i/>
        </w:rPr>
        <w:t>The Dictionary of Classical Mythology – An A-Z of themes, legends and heroes</w:t>
      </w:r>
      <w:r w:rsidRPr="00745BDD">
        <w:t xml:space="preserve">, London: Capella: </w:t>
      </w:r>
      <w:r w:rsidRPr="00745BDD">
        <w:rPr>
          <w:i/>
        </w:rPr>
        <w:t>s.v.</w:t>
      </w:r>
      <w:r w:rsidRPr="00745BDD">
        <w:t xml:space="preserve"> ‘Ishtar’.</w:t>
      </w:r>
    </w:p>
  </w:footnote>
  <w:footnote w:id="94">
    <w:p w14:paraId="3D45F95F" w14:textId="77777777" w:rsidR="005B3668" w:rsidRDefault="005B3668" w:rsidP="00F970D0">
      <w:pPr>
        <w:pStyle w:val="FootnoteText"/>
      </w:pPr>
      <w:r w:rsidRPr="00745BDD">
        <w:rPr>
          <w:rStyle w:val="FootnoteReference"/>
        </w:rPr>
        <w:footnoteRef/>
      </w:r>
      <w:r w:rsidRPr="00745BDD">
        <w:rPr>
          <w:bCs/>
          <w:i/>
        </w:rPr>
        <w:t>Inana and Ebih</w:t>
      </w:r>
      <w:r w:rsidRPr="00745BDD">
        <w:rPr>
          <w:bCs/>
        </w:rPr>
        <w:t>: 7-9.</w:t>
      </w:r>
    </w:p>
  </w:footnote>
  <w:footnote w:id="95">
    <w:p w14:paraId="407C989D" w14:textId="77777777" w:rsidR="005B3668" w:rsidRDefault="005B3668" w:rsidP="00F970D0">
      <w:pPr>
        <w:pStyle w:val="FootnoteText"/>
      </w:pPr>
      <w:r w:rsidRPr="00745BDD">
        <w:rPr>
          <w:rStyle w:val="FootnoteReference"/>
        </w:rPr>
        <w:footnoteRef/>
      </w:r>
      <w:r w:rsidRPr="00745BDD">
        <w:t xml:space="preserve"> See Figures 1-4 in Appendix One, and; White, G. (2008) </w:t>
      </w:r>
      <w:r w:rsidRPr="00745BDD">
        <w:rPr>
          <w:i/>
        </w:rPr>
        <w:t>Babylonian Star-Lore: An Illustrated Guide to the Star-Lore and Constellations of Ancient Babylonia</w:t>
      </w:r>
      <w:r w:rsidRPr="00745BDD">
        <w:t xml:space="preserve"> London: Solaria Publications: 138 fig.82.</w:t>
      </w:r>
    </w:p>
  </w:footnote>
  <w:footnote w:id="96">
    <w:p w14:paraId="06F7967B" w14:textId="77777777" w:rsidR="005B3668" w:rsidRDefault="005B3668" w:rsidP="00F970D0">
      <w:pPr>
        <w:pStyle w:val="FootnoteText"/>
      </w:pPr>
      <w:r w:rsidRPr="00745BDD">
        <w:rPr>
          <w:rStyle w:val="FootnoteReference"/>
        </w:rPr>
        <w:footnoteRef/>
      </w:r>
      <w:r w:rsidRPr="00745BDD">
        <w:t xml:space="preserve"> Homer </w:t>
      </w:r>
      <w:r w:rsidRPr="00745BDD">
        <w:rPr>
          <w:i/>
        </w:rPr>
        <w:t>Odyssey</w:t>
      </w:r>
      <w:r w:rsidRPr="00745BDD">
        <w:t>: X.212-219.</w:t>
      </w:r>
    </w:p>
  </w:footnote>
  <w:footnote w:id="97">
    <w:p w14:paraId="63549F2F" w14:textId="77777777" w:rsidR="005B3668" w:rsidRDefault="005B3668" w:rsidP="00F970D0">
      <w:pPr>
        <w:pStyle w:val="FootnoteText"/>
      </w:pPr>
      <w:r w:rsidRPr="00745BDD">
        <w:rPr>
          <w:rStyle w:val="FootnoteReference"/>
        </w:rPr>
        <w:footnoteRef/>
      </w:r>
      <w:r w:rsidRPr="00745BDD">
        <w:rPr>
          <w:i/>
        </w:rPr>
        <w:t xml:space="preserve">Gilgamesh </w:t>
      </w:r>
      <w:r w:rsidRPr="00745BDD">
        <w:t xml:space="preserve">Tablet VI.44-79 (George trans.); </w:t>
      </w:r>
      <w:r w:rsidRPr="00745BDD">
        <w:rPr>
          <w:i/>
        </w:rPr>
        <w:t>Odyssey</w:t>
      </w:r>
      <w:r w:rsidRPr="00745BDD">
        <w:t xml:space="preserve"> X.213, X.233-243, X.276, X.290, X.388-396.</w:t>
      </w:r>
    </w:p>
  </w:footnote>
  <w:footnote w:id="98">
    <w:p w14:paraId="406BB83F" w14:textId="77777777" w:rsidR="005B3668" w:rsidRDefault="005B3668" w:rsidP="00F970D0">
      <w:pPr>
        <w:pStyle w:val="FootnoteText"/>
      </w:pPr>
      <w:r w:rsidRPr="00745BDD">
        <w:rPr>
          <w:rStyle w:val="FootnoteReference"/>
        </w:rPr>
        <w:footnoteRef/>
      </w:r>
      <w:r w:rsidRPr="00745BDD">
        <w:rPr>
          <w:i/>
        </w:rPr>
        <w:t>The Descent of Ishtar Into the Netherworld</w:t>
      </w:r>
      <w:r w:rsidRPr="00745BDD">
        <w:t xml:space="preserve">; </w:t>
      </w:r>
      <w:r w:rsidRPr="00745BDD">
        <w:rPr>
          <w:i/>
        </w:rPr>
        <w:t xml:space="preserve">Odyssey </w:t>
      </w:r>
      <w:r w:rsidRPr="00745BDD">
        <w:t>X.490-491.</w:t>
      </w:r>
    </w:p>
  </w:footnote>
  <w:footnote w:id="99">
    <w:p w14:paraId="7F88317C" w14:textId="77777777" w:rsidR="005B3668" w:rsidRDefault="005B3668" w:rsidP="00F970D0">
      <w:pPr>
        <w:pStyle w:val="FootnoteText"/>
      </w:pPr>
      <w:r w:rsidRPr="00745BDD">
        <w:rPr>
          <w:rStyle w:val="FootnoteReference"/>
        </w:rPr>
        <w:footnoteRef/>
      </w:r>
      <w:r w:rsidRPr="00745BDD">
        <w:rPr>
          <w:i/>
        </w:rPr>
        <w:t xml:space="preserve">Gilgamesh </w:t>
      </w:r>
      <w:r w:rsidRPr="00745BDD">
        <w:t>Tablet VIII.</w:t>
      </w:r>
      <w:r w:rsidRPr="00745BDD">
        <w:rPr>
          <w:i/>
        </w:rPr>
        <w:t>passim</w:t>
      </w:r>
      <w:r w:rsidRPr="00745BDD">
        <w:t xml:space="preserve">; </w:t>
      </w:r>
      <w:r w:rsidRPr="00745BDD">
        <w:rPr>
          <w:i/>
        </w:rPr>
        <w:t>Odyssey</w:t>
      </w:r>
      <w:r w:rsidRPr="00745BDD">
        <w:t xml:space="preserve"> XI.75-76, XII.11-15.</w:t>
      </w:r>
    </w:p>
  </w:footnote>
  <w:footnote w:id="100">
    <w:p w14:paraId="26DF51C4" w14:textId="77777777" w:rsidR="005B3668" w:rsidRDefault="005B3668" w:rsidP="00F970D0">
      <w:pPr>
        <w:pStyle w:val="FootnoteText"/>
      </w:pPr>
      <w:r w:rsidRPr="00745BDD">
        <w:rPr>
          <w:rStyle w:val="FootnoteReference"/>
        </w:rPr>
        <w:footnoteRef/>
      </w:r>
      <w:r w:rsidRPr="00745BDD">
        <w:t xml:space="preserve"> Homer </w:t>
      </w:r>
      <w:r w:rsidRPr="00745BDD">
        <w:rPr>
          <w:i/>
        </w:rPr>
        <w:t>Odyssey</w:t>
      </w:r>
      <w:r w:rsidRPr="00745BDD">
        <w:t>: X.82-86.</w:t>
      </w:r>
    </w:p>
  </w:footnote>
  <w:footnote w:id="101">
    <w:p w14:paraId="60509F72" w14:textId="77777777" w:rsidR="005B3668" w:rsidRDefault="005B3668" w:rsidP="00F970D0">
      <w:pPr>
        <w:pStyle w:val="FootnoteText"/>
      </w:pPr>
      <w:r w:rsidRPr="00745BDD">
        <w:rPr>
          <w:rStyle w:val="FootnoteReference"/>
        </w:rPr>
        <w:footnoteRef/>
      </w:r>
      <w:r w:rsidRPr="00745BDD">
        <w:t xml:space="preserve">Germain, G. (1960) </w:t>
      </w:r>
      <w:r w:rsidRPr="00745BDD">
        <w:rPr>
          <w:i/>
        </w:rPr>
        <w:t>Gilgamešetsalégende</w:t>
      </w:r>
      <w:r w:rsidRPr="00745BDD">
        <w:t xml:space="preserve">Paris: Imprimerienationale, Librairie C. Klincksieck: 415-417, 421, and; West, M. L. (1997) </w:t>
      </w:r>
      <w:r w:rsidRPr="00745BDD">
        <w:rPr>
          <w:i/>
        </w:rPr>
        <w:t>The East Face of Helicon: West Asiatic Elements in Greek Poetry and Myth</w:t>
      </w:r>
      <w:r w:rsidRPr="00745BDD">
        <w:t xml:space="preserve"> Oxford: Oxford University Press: 405, 407.</w:t>
      </w:r>
    </w:p>
  </w:footnote>
  <w:footnote w:id="102">
    <w:p w14:paraId="1001D10D" w14:textId="77777777" w:rsidR="005B3668" w:rsidRDefault="005B3668" w:rsidP="00F970D0">
      <w:pPr>
        <w:pStyle w:val="FootnoteText"/>
      </w:pPr>
      <w:r w:rsidRPr="00745BDD">
        <w:rPr>
          <w:rStyle w:val="FootnoteReference"/>
        </w:rPr>
        <w:footnoteRef/>
      </w:r>
      <w:r w:rsidRPr="00745BDD">
        <w:rPr>
          <w:i/>
        </w:rPr>
        <w:t>Gilgamesh</w:t>
      </w:r>
      <w:r w:rsidRPr="00745BDD">
        <w:t>:</w:t>
      </w:r>
      <w:r w:rsidRPr="00745BDD">
        <w:rPr>
          <w:rStyle w:val="apple-converted-space"/>
          <w:rFonts w:cs="Arial"/>
          <w:shd w:val="clear" w:color="auto" w:fill="FFFFFF"/>
        </w:rPr>
        <w:t xml:space="preserve"> Tablet </w:t>
      </w:r>
      <w:r w:rsidRPr="00745BDD">
        <w:rPr>
          <w:rFonts w:cs="Arial"/>
          <w:shd w:val="clear" w:color="auto" w:fill="FFFFFF"/>
        </w:rPr>
        <w:t xml:space="preserve">IX.47-81 (George trans.); </w:t>
      </w:r>
      <w:r w:rsidRPr="00745BDD">
        <w:rPr>
          <w:rFonts w:cs="Arial"/>
          <w:i/>
          <w:shd w:val="clear" w:color="auto" w:fill="FFFFFF"/>
        </w:rPr>
        <w:t>Odyssey</w:t>
      </w:r>
      <w:r w:rsidRPr="00745BDD">
        <w:rPr>
          <w:rFonts w:cs="Arial"/>
          <w:shd w:val="clear" w:color="auto" w:fill="FFFFFF"/>
        </w:rPr>
        <w:t>: XII.3</w:t>
      </w:r>
      <w:r w:rsidRPr="00745BDD">
        <w:rPr>
          <w:rFonts w:cs="Arial"/>
          <w:i/>
          <w:shd w:val="clear" w:color="auto" w:fill="FFFFFF"/>
        </w:rPr>
        <w:t>f.</w:t>
      </w:r>
    </w:p>
  </w:footnote>
  <w:footnote w:id="103">
    <w:p w14:paraId="30BDA422" w14:textId="77777777" w:rsidR="005B3668" w:rsidRDefault="005B3668" w:rsidP="00F970D0">
      <w:pPr>
        <w:pStyle w:val="FootnoteText"/>
      </w:pPr>
      <w:r w:rsidRPr="00745BDD">
        <w:rPr>
          <w:rStyle w:val="FootnoteReference"/>
        </w:rPr>
        <w:footnoteRef/>
      </w:r>
      <w:r w:rsidRPr="00745BDD">
        <w:t xml:space="preserve">Mimnermus XI.12a; </w:t>
      </w:r>
      <w:r w:rsidRPr="00745BDD">
        <w:rPr>
          <w:i/>
        </w:rPr>
        <w:t>Odyssey</w:t>
      </w:r>
      <w:r w:rsidRPr="00745BDD">
        <w:t>: X.135-9.</w:t>
      </w:r>
    </w:p>
  </w:footnote>
  <w:footnote w:id="104">
    <w:p w14:paraId="764E7FF8" w14:textId="77777777" w:rsidR="005B3668" w:rsidRDefault="005B3668" w:rsidP="00F970D0">
      <w:pPr>
        <w:pStyle w:val="FootnoteText"/>
      </w:pPr>
      <w:r w:rsidRPr="00745BDD">
        <w:rPr>
          <w:rStyle w:val="FootnoteReference"/>
        </w:rPr>
        <w:footnoteRef/>
      </w:r>
      <w:r w:rsidRPr="00745BDD">
        <w:rPr>
          <w:i/>
        </w:rPr>
        <w:t>Gilgamesh</w:t>
      </w:r>
      <w:r w:rsidRPr="00745BDD">
        <w:t>: III.ii.20; Burkert, W. (1979)</w:t>
      </w:r>
      <w:r w:rsidRPr="00745BDD">
        <w:rPr>
          <w:i/>
        </w:rPr>
        <w:t xml:space="preserve"> Structure and History in Greek Mythology and Ritual</w:t>
      </w:r>
      <w:r w:rsidRPr="00745BDD">
        <w:t xml:space="preserve"> California: University of California Press: 10, and; Tallqvist, K. L. (1938) </w:t>
      </w:r>
      <w:r w:rsidRPr="00745BDD">
        <w:rPr>
          <w:i/>
        </w:rPr>
        <w:t>AkkadischeGötterepitheta</w:t>
      </w:r>
      <w:r w:rsidRPr="00745BDD">
        <w:t>Hildesheim: Olms: 245.</w:t>
      </w:r>
    </w:p>
  </w:footnote>
  <w:footnote w:id="105">
    <w:p w14:paraId="3C904235" w14:textId="77777777" w:rsidR="005B3668" w:rsidRDefault="005B3668" w:rsidP="00F970D0">
      <w:pPr>
        <w:pStyle w:val="FootnoteText"/>
      </w:pPr>
      <w:r w:rsidRPr="00745BDD">
        <w:rPr>
          <w:rStyle w:val="FootnoteReference"/>
        </w:rPr>
        <w:footnoteRef/>
      </w:r>
      <w:r w:rsidRPr="00745BDD">
        <w:t xml:space="preserve">Livingstone, A. (1989) </w:t>
      </w:r>
      <w:r w:rsidRPr="00745BDD">
        <w:rPr>
          <w:i/>
        </w:rPr>
        <w:t>CPLM</w:t>
      </w:r>
      <w:r w:rsidRPr="00745BDD">
        <w:t xml:space="preserve"> no.32 (</w:t>
      </w:r>
      <w:r w:rsidRPr="00745BDD">
        <w:rPr>
          <w:i/>
        </w:rPr>
        <w:t>The Underworld Vision of an Assyrian Prince</w:t>
      </w:r>
      <w:r w:rsidRPr="00745BDD">
        <w:t>) rev.19.</w:t>
      </w:r>
    </w:p>
  </w:footnote>
  <w:footnote w:id="106">
    <w:p w14:paraId="0548C180" w14:textId="77777777" w:rsidR="005B3668" w:rsidRDefault="005B3668" w:rsidP="00F970D0">
      <w:pPr>
        <w:pStyle w:val="FootnoteText"/>
      </w:pPr>
      <w:r w:rsidRPr="00745BDD">
        <w:rPr>
          <w:rStyle w:val="FootnoteReference"/>
        </w:rPr>
        <w:footnoteRef/>
      </w:r>
      <w:r w:rsidRPr="00745BDD">
        <w:t xml:space="preserve"> West, M. L. (1997) </w:t>
      </w:r>
      <w:r w:rsidRPr="00745BDD">
        <w:rPr>
          <w:i/>
        </w:rPr>
        <w:t>The East Face of Helicon: West Asiatic Elements in Greek Poetry and Myth</w:t>
      </w:r>
      <w:r w:rsidRPr="00745BDD">
        <w:t xml:space="preserve"> Oxford: Oxford University Press: 408.</w:t>
      </w:r>
    </w:p>
  </w:footnote>
  <w:footnote w:id="107">
    <w:p w14:paraId="53340199" w14:textId="77777777" w:rsidR="005B3668" w:rsidRDefault="005B3668" w:rsidP="00F970D0">
      <w:pPr>
        <w:pStyle w:val="FootnoteText"/>
      </w:pPr>
      <w:r w:rsidRPr="00745BDD">
        <w:rPr>
          <w:rStyle w:val="FootnoteReference"/>
        </w:rPr>
        <w:footnoteRef/>
      </w:r>
      <w:r w:rsidRPr="00745BDD">
        <w:t xml:space="preserve"> Jensen, P. (1902) ‘Das Gilgameš-Epos und Homer’, in, </w:t>
      </w:r>
      <w:r w:rsidRPr="00745BDD">
        <w:rPr>
          <w:i/>
        </w:rPr>
        <w:t xml:space="preserve">ZA </w:t>
      </w:r>
      <w:r w:rsidRPr="00745BDD">
        <w:t xml:space="preserve">16: 128; Ungnad;, A. (1923) </w:t>
      </w:r>
      <w:r w:rsidRPr="00745BDD">
        <w:rPr>
          <w:i/>
        </w:rPr>
        <w:t>Gilgamesch-Epos und Odyssee, Kulturfragen</w:t>
      </w:r>
      <w:r w:rsidRPr="00745BDD">
        <w:t>4/5Breslau: imSelbstverlag des Herausgebers: 136.</w:t>
      </w:r>
    </w:p>
  </w:footnote>
  <w:footnote w:id="108">
    <w:p w14:paraId="0D2E29F8" w14:textId="77777777" w:rsidR="005B3668" w:rsidRDefault="005B3668" w:rsidP="00F970D0">
      <w:pPr>
        <w:pStyle w:val="FootnoteText"/>
      </w:pPr>
      <w:r w:rsidRPr="00745BDD">
        <w:rPr>
          <w:rStyle w:val="FootnoteReference"/>
        </w:rPr>
        <w:footnoteRef/>
      </w:r>
      <w:r w:rsidRPr="00745BDD">
        <w:rPr>
          <w:i/>
        </w:rPr>
        <w:t>Odyssey</w:t>
      </w:r>
      <w:r w:rsidRPr="00745BDD">
        <w:t xml:space="preserve">: V.63-75, XII.1-5; </w:t>
      </w:r>
      <w:r w:rsidRPr="00745BDD">
        <w:rPr>
          <w:i/>
        </w:rPr>
        <w:t>OBV</w:t>
      </w:r>
      <w:r w:rsidRPr="00745BDD">
        <w:t xml:space="preserve"> Tablet X.i, in Pritchard, J. P. (1989) </w:t>
      </w:r>
      <w:r w:rsidRPr="00745BDD">
        <w:rPr>
          <w:i/>
        </w:rPr>
        <w:t>ANET</w:t>
      </w:r>
      <w:r w:rsidRPr="00745BDD">
        <w:t xml:space="preserve">:89; Ungnad;, A. (1923) </w:t>
      </w:r>
      <w:r w:rsidRPr="00745BDD">
        <w:rPr>
          <w:i/>
        </w:rPr>
        <w:t>Gilgamesch-Epos und Odyssee, Kulturfragen</w:t>
      </w:r>
      <w:r w:rsidRPr="00745BDD">
        <w:t>4/5Breslau: imSelbstverlag des Herausgebers: 136, and; Stella, L. A. (1955)</w:t>
      </w:r>
      <w:r w:rsidRPr="00745BDD">
        <w:rPr>
          <w:i/>
        </w:rPr>
        <w:t xml:space="preserve"> Il poema di Ulisse</w:t>
      </w:r>
      <w:r w:rsidRPr="00745BDD">
        <w:t xml:space="preserve"> Florence: La Nuova Italia: 143.</w:t>
      </w:r>
    </w:p>
  </w:footnote>
  <w:footnote w:id="109">
    <w:p w14:paraId="3F0CCB56" w14:textId="77777777" w:rsidR="005B3668" w:rsidRDefault="005B3668" w:rsidP="00F970D0">
      <w:pPr>
        <w:pStyle w:val="FootnoteText"/>
      </w:pPr>
      <w:r w:rsidRPr="00745BDD">
        <w:rPr>
          <w:rStyle w:val="FootnoteReference"/>
        </w:rPr>
        <w:footnoteRef/>
      </w:r>
      <w:r w:rsidRPr="00745BDD">
        <w:t>Murray, G. (1924) </w:t>
      </w:r>
      <w:r w:rsidRPr="00745BDD">
        <w:rPr>
          <w:i/>
          <w:iCs/>
        </w:rPr>
        <w:t>The Rise of the Greek Epic</w:t>
      </w:r>
      <w:r w:rsidRPr="00745BDD">
        <w:t> [3rd edition] Oxford: Clarendon Press: 211-212.</w:t>
      </w:r>
    </w:p>
  </w:footnote>
  <w:footnote w:id="110">
    <w:p w14:paraId="68E17D94" w14:textId="77777777" w:rsidR="005B3668" w:rsidRDefault="005B3668" w:rsidP="00F970D0">
      <w:pPr>
        <w:pStyle w:val="FootnoteText"/>
      </w:pPr>
      <w:r w:rsidRPr="00745BDD">
        <w:rPr>
          <w:rStyle w:val="FootnoteReference"/>
        </w:rPr>
        <w:footnoteRef/>
      </w:r>
      <w:r w:rsidRPr="00745BDD">
        <w:t xml:space="preserve"> Homer </w:t>
      </w:r>
      <w:r w:rsidRPr="00745BDD">
        <w:rPr>
          <w:i/>
        </w:rPr>
        <w:t>Iliad</w:t>
      </w:r>
      <w:r w:rsidRPr="00745BDD">
        <w:t>: X.252</w:t>
      </w:r>
      <w:r w:rsidRPr="00745BDD">
        <w:rPr>
          <w:i/>
        </w:rPr>
        <w:t>f.</w:t>
      </w:r>
      <w:r w:rsidRPr="00745BDD">
        <w:t>,</w:t>
      </w:r>
      <w:r w:rsidRPr="00745BDD">
        <w:rPr>
          <w:i/>
        </w:rPr>
        <w:t>Odyssey</w:t>
      </w:r>
      <w:r w:rsidRPr="00745BDD">
        <w:t>: XII.312, XIV.483; Stesichorus</w:t>
      </w:r>
      <w:r w:rsidRPr="00745BDD">
        <w:rPr>
          <w:i/>
        </w:rPr>
        <w:t xml:space="preserve">PMGF </w:t>
      </w:r>
      <w:r w:rsidRPr="00745BDD">
        <w:t xml:space="preserve">268; Simonides </w:t>
      </w:r>
      <w:r w:rsidRPr="00745BDD">
        <w:rPr>
          <w:i/>
        </w:rPr>
        <w:t xml:space="preserve">PMG </w:t>
      </w:r>
      <w:r w:rsidRPr="00745BDD">
        <w:t xml:space="preserve">644 (both ap. sch. </w:t>
      </w:r>
      <w:r w:rsidRPr="00745BDD">
        <w:rPr>
          <w:i/>
        </w:rPr>
        <w:t xml:space="preserve">Rhesus </w:t>
      </w:r>
      <w:r w:rsidRPr="00745BDD">
        <w:t xml:space="preserve">5); </w:t>
      </w:r>
      <w:r w:rsidRPr="00745BDD">
        <w:rPr>
          <w:i/>
        </w:rPr>
        <w:t xml:space="preserve">Rhesus </w:t>
      </w:r>
      <w:r w:rsidRPr="00745BDD">
        <w:t xml:space="preserve">5, 527-545; Herodotus </w:t>
      </w:r>
      <w:r w:rsidRPr="00745BDD">
        <w:rPr>
          <w:i/>
        </w:rPr>
        <w:t>Histories</w:t>
      </w:r>
      <w:r w:rsidRPr="00745BDD">
        <w:t xml:space="preserve">: IX.51.3. See also, </w:t>
      </w:r>
      <w:r w:rsidRPr="00745BDD">
        <w:rPr>
          <w:i/>
        </w:rPr>
        <w:t>LSJ</w:t>
      </w:r>
      <w:r w:rsidRPr="00745BDD">
        <w:t xml:space="preserve">: s.v. </w:t>
      </w:r>
      <w:r w:rsidRPr="00745BDD">
        <w:rPr>
          <w:i/>
        </w:rPr>
        <w:t>φυλακ-</w:t>
      </w:r>
      <w:r w:rsidRPr="00745BDD">
        <w:t>.</w:t>
      </w:r>
    </w:p>
  </w:footnote>
  <w:footnote w:id="111">
    <w:p w14:paraId="2D9B80B7" w14:textId="77777777" w:rsidR="005B3668" w:rsidRDefault="005B3668" w:rsidP="00F970D0">
      <w:pPr>
        <w:pStyle w:val="FootnoteText"/>
      </w:pPr>
      <w:r w:rsidRPr="00745BDD">
        <w:rPr>
          <w:rStyle w:val="FootnoteReference"/>
        </w:rPr>
        <w:footnoteRef/>
      </w:r>
      <w:r w:rsidRPr="00745BDD">
        <w:t xml:space="preserve"> See </w:t>
      </w:r>
      <w:r w:rsidRPr="00745BDD">
        <w:rPr>
          <w:i/>
        </w:rPr>
        <w:t>CAD</w:t>
      </w:r>
      <w:r w:rsidRPr="00745BDD">
        <w:t xml:space="preserve">s.v. </w:t>
      </w:r>
      <w:r w:rsidRPr="00745BDD">
        <w:rPr>
          <w:i/>
        </w:rPr>
        <w:t>maṣṣartu</w:t>
      </w:r>
      <w:r w:rsidRPr="00745BDD">
        <w:t>.</w:t>
      </w:r>
    </w:p>
  </w:footnote>
  <w:footnote w:id="112">
    <w:p w14:paraId="41A5C02D" w14:textId="77777777" w:rsidR="005B3668" w:rsidRDefault="005B3668" w:rsidP="00F970D0">
      <w:pPr>
        <w:pStyle w:val="FootnoteText"/>
      </w:pPr>
      <w:r w:rsidRPr="00745BDD">
        <w:rPr>
          <w:rStyle w:val="FootnoteReference"/>
        </w:rPr>
        <w:footnoteRef/>
      </w:r>
      <w:r w:rsidRPr="00745BDD">
        <w:t xml:space="preserve">Englund, R. K. (1988) ‘Administrative Time-Keeping in Ancient Mesopotamia’, in, </w:t>
      </w:r>
      <w:r w:rsidRPr="00745BDD">
        <w:rPr>
          <w:i/>
        </w:rPr>
        <w:t>Journal of the Economic and Social History of the Orient</w:t>
      </w:r>
      <w:r w:rsidRPr="00745BDD">
        <w:t xml:space="preserve"> 31: 167.</w:t>
      </w:r>
      <w:ins w:id="172" w:author="Dorian" w:date="2015-11-23T12:21:00Z">
        <w:r>
          <w:t xml:space="preserve"> This note is copied without attribution from West, p. </w:t>
        </w:r>
      </w:ins>
      <w:ins w:id="173" w:author="Dorian" w:date="2015-11-23T12:22:00Z">
        <w:r>
          <w:t>27, note 111.</w:t>
        </w:r>
      </w:ins>
    </w:p>
  </w:footnote>
  <w:footnote w:id="113">
    <w:p w14:paraId="0ECA5412" w14:textId="77777777" w:rsidR="005B3668" w:rsidRDefault="005B3668" w:rsidP="00F970D0">
      <w:pPr>
        <w:pStyle w:val="FootnoteText"/>
      </w:pPr>
      <w:r w:rsidRPr="00745BDD">
        <w:rPr>
          <w:rStyle w:val="FootnoteReference"/>
        </w:rPr>
        <w:footnoteRef/>
      </w:r>
      <w:r w:rsidRPr="00745BDD">
        <w:t xml:space="preserve"> Homer </w:t>
      </w:r>
      <w:r w:rsidRPr="00745BDD">
        <w:rPr>
          <w:i/>
        </w:rPr>
        <w:t>Odyssey</w:t>
      </w:r>
      <w:r w:rsidRPr="00745BDD">
        <w:t xml:space="preserve">: XII.311-316, see also: XIV.483 and </w:t>
      </w:r>
      <w:r w:rsidRPr="00745BDD">
        <w:rPr>
          <w:i/>
        </w:rPr>
        <w:t>Iliad</w:t>
      </w:r>
      <w:r w:rsidRPr="00745BDD">
        <w:t xml:space="preserve"> X.252.</w:t>
      </w:r>
    </w:p>
  </w:footnote>
  <w:footnote w:id="114">
    <w:p w14:paraId="0307E23A" w14:textId="77777777" w:rsidR="005B3668" w:rsidRDefault="005B3668" w:rsidP="00F970D0">
      <w:pPr>
        <w:pStyle w:val="FootnoteText"/>
      </w:pPr>
      <w:r w:rsidRPr="00745BDD">
        <w:rPr>
          <w:rStyle w:val="FootnoteReference"/>
        </w:rPr>
        <w:footnoteRef/>
      </w:r>
      <w:r w:rsidRPr="00745BDD">
        <w:t xml:space="preserve"> Exodus 14.24, Judges 7.19, 1 Samuel 11.11, and: Güterbock, H. G. (1952) ‘The Song of Ullikummi’, in, </w:t>
      </w:r>
      <w:r w:rsidRPr="00745BDD">
        <w:rPr>
          <w:i/>
        </w:rPr>
        <w:t>JCS</w:t>
      </w:r>
      <w:r w:rsidRPr="00745BDD">
        <w:t>Vol.6 :35.</w:t>
      </w:r>
    </w:p>
  </w:footnote>
  <w:footnote w:id="115">
    <w:p w14:paraId="607E7A93" w14:textId="77777777" w:rsidR="005B3668" w:rsidRDefault="005B3668" w:rsidP="00F970D0">
      <w:pPr>
        <w:pStyle w:val="FootnoteText"/>
      </w:pPr>
      <w:r w:rsidRPr="00745BDD">
        <w:rPr>
          <w:rStyle w:val="FootnoteReference"/>
        </w:rPr>
        <w:footnoteRef/>
      </w:r>
      <w:r w:rsidRPr="00745BDD">
        <w:t xml:space="preserve"> West, M. L. (1997) </w:t>
      </w:r>
      <w:r w:rsidRPr="00745BDD">
        <w:rPr>
          <w:i/>
        </w:rPr>
        <w:t>The East Face of Helicon: West Asiatic Elements in Greek Poetry and Myth</w:t>
      </w:r>
      <w:r w:rsidRPr="00745BDD">
        <w:t xml:space="preserve"> Oxford: Oxford University Press: 28. </w:t>
      </w:r>
    </w:p>
  </w:footnote>
  <w:footnote w:id="116">
    <w:p w14:paraId="6F313963" w14:textId="77777777" w:rsidR="005B3668" w:rsidRDefault="005B3668" w:rsidP="00F970D0">
      <w:pPr>
        <w:pStyle w:val="FootnoteText"/>
        <w:tabs>
          <w:tab w:val="left" w:pos="7641"/>
        </w:tabs>
      </w:pPr>
      <w:r w:rsidRPr="00745BDD">
        <w:rPr>
          <w:rStyle w:val="FootnoteReference"/>
        </w:rPr>
        <w:footnoteRef/>
      </w:r>
      <w:r w:rsidRPr="00745BDD">
        <w:t xml:space="preserve"> Stern, S. (2012) </w:t>
      </w:r>
      <w:r w:rsidRPr="00745BDD">
        <w:rPr>
          <w:rFonts w:cs="Arial"/>
          <w:i/>
          <w:color w:val="000000"/>
          <w:shd w:val="clear" w:color="auto" w:fill="FFFFFF"/>
        </w:rPr>
        <w:t>Calendars in Antiquity: Empires, States, and Societies</w:t>
      </w:r>
      <w:r w:rsidRPr="00745BDD">
        <w:rPr>
          <w:rFonts w:cs="Arial"/>
          <w:color w:val="000000"/>
          <w:shd w:val="clear" w:color="auto" w:fill="FFFFFF"/>
        </w:rPr>
        <w:t xml:space="preserve"> Oxford: Oxford University Press: 25-125.</w:t>
      </w:r>
      <w:r w:rsidRPr="00745BDD">
        <w:rPr>
          <w:rFonts w:cs="Arial"/>
          <w:color w:val="000000"/>
          <w:shd w:val="clear" w:color="auto" w:fill="FFFFFF"/>
        </w:rPr>
        <w:tab/>
      </w:r>
    </w:p>
  </w:footnote>
  <w:footnote w:id="117">
    <w:p w14:paraId="4E736F98" w14:textId="77777777" w:rsidR="005B3668" w:rsidRDefault="005B3668" w:rsidP="00F970D0">
      <w:pPr>
        <w:pStyle w:val="FootnoteText"/>
      </w:pPr>
      <w:r w:rsidRPr="00745BDD">
        <w:rPr>
          <w:rStyle w:val="FootnoteReference"/>
        </w:rPr>
        <w:footnoteRef/>
      </w:r>
      <w:r w:rsidRPr="00745BDD">
        <w:t xml:space="preserve"> For further reading see; van der Waerden, B. L. (1974) </w:t>
      </w:r>
      <w:r w:rsidRPr="00745BDD">
        <w:rPr>
          <w:i/>
        </w:rPr>
        <w:t xml:space="preserve">Science Awakening </w:t>
      </w:r>
      <w:r w:rsidRPr="00745BDD">
        <w:t xml:space="preserve">ii, Leiden: 86-8, 285, and: West, M. L. (1997) </w:t>
      </w:r>
      <w:r w:rsidRPr="00745BDD">
        <w:rPr>
          <w:i/>
        </w:rPr>
        <w:t>The East Face of Helicon: West Asiatic Elements in Greek Poetry and Myth</w:t>
      </w:r>
      <w:r w:rsidRPr="00745BDD">
        <w:t xml:space="preserve"> Oxford: Oxford University Press: 28, 324-328.</w:t>
      </w:r>
    </w:p>
  </w:footnote>
  <w:footnote w:id="118">
    <w:p w14:paraId="3D8CF1F6" w14:textId="77777777" w:rsidR="005B3668" w:rsidRDefault="005B3668" w:rsidP="00F970D0">
      <w:pPr>
        <w:pStyle w:val="FootnoteText"/>
      </w:pPr>
      <w:r w:rsidRPr="00745BDD">
        <w:rPr>
          <w:rStyle w:val="FootnoteReference"/>
        </w:rPr>
        <w:footnoteRef/>
      </w:r>
      <w:r w:rsidRPr="00745BDD">
        <w:t xml:space="preserve"> References to ‘rosy-fingered’ see Homer </w:t>
      </w:r>
      <w:r w:rsidRPr="00745BDD">
        <w:rPr>
          <w:i/>
        </w:rPr>
        <w:t xml:space="preserve">Odyssey </w:t>
      </w:r>
      <w:r w:rsidRPr="00745BDD">
        <w:t xml:space="preserve">(Nagy trans.): II.1, III.404, III.491, IV.306, IV.431, V.121, V.229, VIII.1, IX.152-153, IX.171, IX.307-308, IX.437, IX.561, X.187, XII.8, XII.316, XIII.18, XV.189, XVII.1, XIX.429, XXIII.241. References to ‘gold-throned’ see Homer </w:t>
      </w:r>
      <w:r w:rsidRPr="00745BDD">
        <w:rPr>
          <w:i/>
        </w:rPr>
        <w:t xml:space="preserve">Odyssey </w:t>
      </w:r>
      <w:r w:rsidRPr="00745BDD">
        <w:t xml:space="preserve">(Nagy trans.); VI.48, X.542, XII.143, XIV.502, XV.251, XV.495, XVII.498, XVIII.318, XIX.319, XIX.343, XX.91, XXII.196, XXIII.244, XXIII.248. References to day-time activities see Homer </w:t>
      </w:r>
      <w:r w:rsidRPr="00745BDD">
        <w:rPr>
          <w:i/>
        </w:rPr>
        <w:t xml:space="preserve">Odyssey </w:t>
      </w:r>
      <w:r w:rsidRPr="00745BDD">
        <w:t>(Nagy trans.); IV.431, IV.576, V.390, IX.152-153, IX.307-308, IX.437, XII.8, XVI.2, XVII.1, XIX.429, XXIII.248.</w:t>
      </w:r>
    </w:p>
  </w:footnote>
  <w:footnote w:id="119">
    <w:p w14:paraId="632B38BE" w14:textId="77777777" w:rsidR="005B3668" w:rsidRDefault="005B3668" w:rsidP="00F970D0">
      <w:pPr>
        <w:pStyle w:val="FootnoteText"/>
      </w:pPr>
      <w:r w:rsidRPr="00745BDD">
        <w:rPr>
          <w:rStyle w:val="FootnoteReference"/>
        </w:rPr>
        <w:footnoteRef/>
      </w:r>
      <w:r w:rsidRPr="00745BDD">
        <w:rPr>
          <w:i/>
        </w:rPr>
        <w:t xml:space="preserve">Gilgamesh, Enkidu and the Netherworld </w:t>
      </w:r>
      <w:r w:rsidRPr="00745BDD">
        <w:t xml:space="preserve">47-9 (trans. Shaffer, A. (1963) </w:t>
      </w:r>
      <w:r w:rsidRPr="00745BDD">
        <w:rPr>
          <w:i/>
        </w:rPr>
        <w:t xml:space="preserve">Sumerian Sources of Tablet XII of the Epic of Gilgameš, </w:t>
      </w:r>
      <w:r w:rsidRPr="00745BDD">
        <w:t xml:space="preserve">Philadelphia: University of Pennsylvania), and: </w:t>
      </w:r>
      <w:r w:rsidRPr="00745BDD">
        <w:rPr>
          <w:i/>
        </w:rPr>
        <w:t>Gilgamesh</w:t>
      </w:r>
      <w:r w:rsidRPr="00745BDD">
        <w:t xml:space="preserve"> VII.78, VIII.i.1, ii.24, iii.8, v.45, XI.48, XI.96 (trans. West).</w:t>
      </w:r>
    </w:p>
  </w:footnote>
  <w:footnote w:id="120">
    <w:p w14:paraId="0C2CAAB7" w14:textId="77777777" w:rsidR="005B3668" w:rsidRDefault="005B3668" w:rsidP="00F970D0">
      <w:pPr>
        <w:pStyle w:val="FootnoteText"/>
      </w:pPr>
      <w:r w:rsidRPr="00745BDD">
        <w:rPr>
          <w:rStyle w:val="FootnoteReference"/>
        </w:rPr>
        <w:footnoteRef/>
      </w:r>
      <w:r w:rsidRPr="00745BDD">
        <w:t xml:space="preserve"> West, M. L. (1997) </w:t>
      </w:r>
      <w:r w:rsidRPr="00745BDD">
        <w:rPr>
          <w:i/>
        </w:rPr>
        <w:t>The East Face of Helicon: West Asiatic Elements in Greek Poetry and Myth</w:t>
      </w:r>
      <w:r w:rsidRPr="00745BDD">
        <w:t xml:space="preserve"> Oxford: Oxford University Press: 175-176.</w:t>
      </w:r>
    </w:p>
  </w:footnote>
  <w:footnote w:id="121">
    <w:p w14:paraId="289DF238" w14:textId="77777777" w:rsidR="005B3668" w:rsidRDefault="005B3668" w:rsidP="00F970D0">
      <w:pPr>
        <w:pStyle w:val="FootnoteText"/>
      </w:pPr>
      <w:r w:rsidRPr="00745BDD">
        <w:rPr>
          <w:rStyle w:val="FootnoteReference"/>
        </w:rPr>
        <w:footnoteRef/>
      </w:r>
      <w:r w:rsidRPr="00745BDD">
        <w:t xml:space="preserve"> Homer </w:t>
      </w:r>
      <w:r w:rsidRPr="00745BDD">
        <w:rPr>
          <w:i/>
        </w:rPr>
        <w:t>Odyssey</w:t>
      </w:r>
      <w:r w:rsidRPr="00745BDD">
        <w:t>: X.80, XII.397, XIV.249, XV.476.</w:t>
      </w:r>
    </w:p>
  </w:footnote>
  <w:footnote w:id="122">
    <w:p w14:paraId="4E62099D" w14:textId="77777777" w:rsidR="005B3668" w:rsidRDefault="005B3668" w:rsidP="00F970D0">
      <w:pPr>
        <w:pStyle w:val="FootnoteText"/>
      </w:pPr>
      <w:r w:rsidRPr="00745BDD">
        <w:rPr>
          <w:rStyle w:val="FootnoteReference"/>
        </w:rPr>
        <w:footnoteRef/>
      </w:r>
      <w:r w:rsidRPr="00745BDD">
        <w:rPr>
          <w:i/>
        </w:rPr>
        <w:t>Nergal and Ereshkigal</w:t>
      </w:r>
      <w:r w:rsidRPr="00745BDD">
        <w:t xml:space="preserve">(SBV) iv.9-14, vi.36-42, and: </w:t>
      </w:r>
      <w:r w:rsidRPr="00745BDD">
        <w:rPr>
          <w:i/>
        </w:rPr>
        <w:t>Gilgamesh</w:t>
      </w:r>
      <w:r w:rsidRPr="00745BDD">
        <w:t xml:space="preserve"> 1.iv.21, XI.127, XI.142</w:t>
      </w:r>
      <w:r w:rsidRPr="00745BDD">
        <w:rPr>
          <w:i/>
        </w:rPr>
        <w:t>ff</w:t>
      </w:r>
      <w:r w:rsidRPr="00745BDD">
        <w:t>., XI.199.</w:t>
      </w:r>
    </w:p>
  </w:footnote>
  <w:footnote w:id="123">
    <w:p w14:paraId="22179983" w14:textId="77777777" w:rsidR="005B3668" w:rsidRDefault="005B3668" w:rsidP="00F970D0">
      <w:pPr>
        <w:pStyle w:val="FootnoteText"/>
      </w:pPr>
      <w:r w:rsidRPr="00745BDD">
        <w:rPr>
          <w:rStyle w:val="FootnoteReference"/>
        </w:rPr>
        <w:footnoteRef/>
      </w:r>
      <w:r w:rsidRPr="00745BDD">
        <w:t xml:space="preserve"> Exodus 24.16, 31.17; Joshua 6.1-20; see: Loewenstamm, S. E. (1980) </w:t>
      </w:r>
      <w:r w:rsidRPr="00745BDD">
        <w:rPr>
          <w:i/>
        </w:rPr>
        <w:t>Comparative Studies in Biblical and Ancient Oriental Literatures</w:t>
      </w:r>
      <w:r w:rsidRPr="00745BDD">
        <w:t xml:space="preserve"> (AOAT 204), Neukirchen-Vluyn: 192-209.</w:t>
      </w:r>
    </w:p>
  </w:footnote>
  <w:footnote w:id="124">
    <w:p w14:paraId="7E690962" w14:textId="77777777" w:rsidR="005B3668" w:rsidRDefault="005B3668" w:rsidP="00F970D0">
      <w:pPr>
        <w:pStyle w:val="FootnoteText"/>
      </w:pPr>
      <w:r w:rsidRPr="00745BDD">
        <w:rPr>
          <w:rStyle w:val="FootnoteReference"/>
        </w:rPr>
        <w:footnoteRef/>
      </w:r>
      <w:r w:rsidRPr="00745BDD">
        <w:t xml:space="preserve"> Homer </w:t>
      </w:r>
      <w:r w:rsidRPr="00745BDD">
        <w:rPr>
          <w:i/>
        </w:rPr>
        <w:t>Iliad</w:t>
      </w:r>
      <w:r w:rsidRPr="00745BDD">
        <w:t xml:space="preserve">: I.425, I.493, XXIV.31, XXIV.664-7, </w:t>
      </w:r>
      <w:r w:rsidRPr="00745BDD">
        <w:rPr>
          <w:i/>
        </w:rPr>
        <w:t>Odyssey</w:t>
      </w:r>
      <w:r w:rsidRPr="00745BDD">
        <w:t xml:space="preserve">: II.374, IV.588; </w:t>
      </w:r>
      <w:r w:rsidRPr="00745BDD">
        <w:rPr>
          <w:i/>
        </w:rPr>
        <w:t>Gilgamesh</w:t>
      </w:r>
      <w:r w:rsidRPr="00745BDD">
        <w:t xml:space="preserve"> VII.vi.</w:t>
      </w:r>
    </w:p>
  </w:footnote>
  <w:footnote w:id="125">
    <w:p w14:paraId="1E99E9CB" w14:textId="77777777" w:rsidR="005B3668" w:rsidRDefault="005B3668" w:rsidP="00F970D0">
      <w:pPr>
        <w:pStyle w:val="FootnoteText"/>
      </w:pPr>
      <w:r w:rsidRPr="00745BDD">
        <w:rPr>
          <w:rStyle w:val="FootnoteReference"/>
        </w:rPr>
        <w:footnoteRef/>
      </w:r>
      <w:r w:rsidRPr="00745BDD">
        <w:t>Murray, G. (1924) </w:t>
      </w:r>
      <w:r w:rsidRPr="00745BDD">
        <w:rPr>
          <w:i/>
          <w:iCs/>
        </w:rPr>
        <w:t>The Rise of the Greek Epic</w:t>
      </w:r>
      <w:r w:rsidRPr="00745BDD">
        <w:t> [3rd edition] Oxford: Clarendon Press: 211-212.</w:t>
      </w:r>
    </w:p>
  </w:footnote>
  <w:footnote w:id="126">
    <w:p w14:paraId="11AAC786" w14:textId="77777777" w:rsidR="005B3668" w:rsidRDefault="005B3668" w:rsidP="00F970D0">
      <w:pPr>
        <w:pStyle w:val="FootnoteText"/>
      </w:pPr>
      <w:r w:rsidRPr="00745BDD">
        <w:rPr>
          <w:rStyle w:val="FootnoteReference"/>
        </w:rPr>
        <w:footnoteRef/>
      </w:r>
      <w:r w:rsidRPr="00745BDD">
        <w:t xml:space="preserve"> Homer </w:t>
      </w:r>
      <w:r w:rsidRPr="00745BDD">
        <w:rPr>
          <w:i/>
        </w:rPr>
        <w:t>Iliad</w:t>
      </w:r>
      <w:r w:rsidRPr="00745BDD">
        <w:t>: XXIV.765.</w:t>
      </w:r>
    </w:p>
  </w:footnote>
  <w:footnote w:id="127">
    <w:p w14:paraId="5FB50AB0" w14:textId="77777777" w:rsidR="005B3668" w:rsidRDefault="005B3668" w:rsidP="00F970D0">
      <w:pPr>
        <w:pStyle w:val="FootnoteText"/>
      </w:pPr>
      <w:r w:rsidRPr="00745BDD">
        <w:rPr>
          <w:rStyle w:val="FootnoteReference"/>
        </w:rPr>
        <w:footnoteRef/>
      </w:r>
      <w:r w:rsidRPr="00745BDD">
        <w:t xml:space="preserve"> Homer </w:t>
      </w:r>
      <w:r w:rsidRPr="00745BDD">
        <w:rPr>
          <w:i/>
        </w:rPr>
        <w:t>Iliad</w:t>
      </w:r>
      <w:r w:rsidRPr="00745BDD">
        <w:t xml:space="preserve">: XVIII.239, </w:t>
      </w:r>
      <w:r w:rsidRPr="00745BDD">
        <w:rPr>
          <w:i/>
        </w:rPr>
        <w:t>Odyssey</w:t>
      </w:r>
      <w:r w:rsidRPr="00745BDD">
        <w:t xml:space="preserve">: XXIII.240-250. See, Wood, F. and Wood, K. (2011) </w:t>
      </w:r>
      <w:r w:rsidRPr="00745BDD">
        <w:rPr>
          <w:i/>
        </w:rPr>
        <w:t>Homer’s Secret Odyssey</w:t>
      </w:r>
      <w:r w:rsidRPr="00745BDD">
        <w:t xml:space="preserve"> Stroud: The History Press: 185-186.</w:t>
      </w:r>
    </w:p>
  </w:footnote>
  <w:footnote w:id="128">
    <w:p w14:paraId="3F67E5D1" w14:textId="77777777" w:rsidR="005B3668" w:rsidRDefault="005B3668" w:rsidP="00F970D0">
      <w:pPr>
        <w:pStyle w:val="FootnoteText"/>
      </w:pPr>
      <w:r w:rsidRPr="00745BDD">
        <w:rPr>
          <w:rStyle w:val="FootnoteReference"/>
        </w:rPr>
        <w:footnoteRef/>
      </w:r>
      <w:r w:rsidRPr="00745BDD">
        <w:t xml:space="preserve">vonWilamowitz- Moellendorff, U. (1927) </w:t>
      </w:r>
      <w:r w:rsidRPr="00745BDD">
        <w:rPr>
          <w:bCs/>
          <w:i/>
        </w:rPr>
        <w:t>Die Heimkehr Des Odysseus. NeueHomerischeUntersuchungen</w:t>
      </w:r>
      <w:r w:rsidRPr="00745BDD">
        <w:t xml:space="preserve"> Frankfurt: WeidmannscheBuchhandlung: 43; Shewan, A. (1928) ‘Two Ancient Eclipses’, in </w:t>
      </w:r>
      <w:r w:rsidRPr="00745BDD">
        <w:rPr>
          <w:i/>
        </w:rPr>
        <w:t xml:space="preserve">CW </w:t>
      </w:r>
      <w:r w:rsidRPr="00745BDD">
        <w:t>Vol.21: 196-198.</w:t>
      </w:r>
    </w:p>
  </w:footnote>
  <w:footnote w:id="129">
    <w:p w14:paraId="0FE861A3" w14:textId="77777777" w:rsidR="005B3668" w:rsidRDefault="005B3668" w:rsidP="00F970D0">
      <w:pPr>
        <w:pStyle w:val="FootnoteText"/>
      </w:pPr>
      <w:r w:rsidRPr="00745BDD">
        <w:rPr>
          <w:rStyle w:val="FootnoteReference"/>
        </w:rPr>
        <w:footnoteRef/>
      </w:r>
      <w:r w:rsidRPr="00745BDD">
        <w:t xml:space="preserve"> Homer </w:t>
      </w:r>
      <w:r w:rsidRPr="00745BDD">
        <w:rPr>
          <w:i/>
        </w:rPr>
        <w:t>Odyssey</w:t>
      </w:r>
      <w:r w:rsidRPr="00745BDD">
        <w:t>: XIX.306-307, and XXIII.240-250.</w:t>
      </w:r>
    </w:p>
  </w:footnote>
  <w:footnote w:id="130">
    <w:p w14:paraId="60F67478" w14:textId="77777777" w:rsidR="005B3668" w:rsidRDefault="005B3668" w:rsidP="00F970D0">
      <w:pPr>
        <w:pStyle w:val="FootnoteText"/>
      </w:pPr>
      <w:r w:rsidRPr="00745BDD">
        <w:rPr>
          <w:rStyle w:val="FootnoteReference"/>
        </w:rPr>
        <w:footnoteRef/>
      </w:r>
      <w:r w:rsidRPr="00745BDD">
        <w:t xml:space="preserve"> Austin, N. (1975) </w:t>
      </w:r>
      <w:r w:rsidRPr="00745BDD">
        <w:rPr>
          <w:i/>
        </w:rPr>
        <w:t>Archery at the Dark of the Moon: Poetic Problems in Homer’s Odyssey</w:t>
      </w:r>
      <w:r w:rsidRPr="00745BDD">
        <w:t xml:space="preserve"> California: University of California Press: 246. </w:t>
      </w:r>
    </w:p>
  </w:footnote>
  <w:footnote w:id="131">
    <w:p w14:paraId="69DEF9A8" w14:textId="77777777" w:rsidR="005B3668" w:rsidRDefault="005B3668" w:rsidP="00F970D0">
      <w:pPr>
        <w:pStyle w:val="FootnoteText"/>
      </w:pPr>
      <w:r w:rsidRPr="00745BDD">
        <w:rPr>
          <w:rStyle w:val="FootnoteReference"/>
        </w:rPr>
        <w:footnoteRef/>
      </w:r>
      <w:r w:rsidRPr="00745BDD">
        <w:t xml:space="preserve"> Doherty, L. E. (1995) </w:t>
      </w:r>
      <w:r w:rsidRPr="00745BDD">
        <w:rPr>
          <w:i/>
        </w:rPr>
        <w:t>Siren Songs: Gender, Audiences, and Narrators in the Odyssey</w:t>
      </w:r>
      <w:r w:rsidRPr="00745BDD">
        <w:t xml:space="preserve"> Michigan: University of Michigan Press: 39, and; Austin, N. (1975) </w:t>
      </w:r>
      <w:r w:rsidRPr="00745BDD">
        <w:rPr>
          <w:i/>
        </w:rPr>
        <w:t>Archery at the Dark of the Moon: Poetic Problems in Homer’s Odyssey</w:t>
      </w:r>
      <w:r w:rsidRPr="00745BDD">
        <w:t xml:space="preserve"> California: University of California Press: 252-253.</w:t>
      </w:r>
    </w:p>
  </w:footnote>
  <w:footnote w:id="132">
    <w:p w14:paraId="2A1C889C" w14:textId="77777777" w:rsidR="005B3668" w:rsidRDefault="005B3668" w:rsidP="0080170B">
      <w:pPr>
        <w:pStyle w:val="FootnoteText"/>
      </w:pPr>
      <w:r w:rsidRPr="00745BDD">
        <w:rPr>
          <w:rStyle w:val="FootnoteReference"/>
        </w:rPr>
        <w:footnoteRef/>
      </w:r>
      <w:r w:rsidRPr="00745BDD">
        <w:rPr>
          <w:i/>
        </w:rPr>
        <w:t xml:space="preserve">Sing Urania </w:t>
      </w:r>
      <w:r w:rsidRPr="00745BDD">
        <w:t xml:space="preserve">– a poetic translation of Homer’s </w:t>
      </w:r>
      <w:r w:rsidRPr="00745BDD">
        <w:rPr>
          <w:i/>
        </w:rPr>
        <w:t>Odyssey</w:t>
      </w:r>
      <w:r w:rsidRPr="00745BDD">
        <w:t xml:space="preserve"> Proem lines 1-2, 15-16 (author’s own).</w:t>
      </w:r>
    </w:p>
  </w:footnote>
  <w:footnote w:id="133">
    <w:p w14:paraId="23B195B3" w14:textId="77777777" w:rsidR="005B3668" w:rsidRDefault="005B3668" w:rsidP="00954335">
      <w:pPr>
        <w:pStyle w:val="FootnoteText"/>
      </w:pPr>
      <w:r w:rsidRPr="00745BDD">
        <w:rPr>
          <w:rStyle w:val="FootnoteReference"/>
        </w:rPr>
        <w:footnoteRef/>
      </w:r>
      <w:r w:rsidRPr="00745BDD">
        <w:t xml:space="preserve"> Homer </w:t>
      </w:r>
      <w:r w:rsidRPr="00745BDD">
        <w:rPr>
          <w:i/>
          <w:iCs/>
        </w:rPr>
        <w:t>Iliad</w:t>
      </w:r>
      <w:r w:rsidRPr="00745BDD">
        <w:t>: XIV.153-353.</w:t>
      </w:r>
    </w:p>
  </w:footnote>
  <w:footnote w:id="134">
    <w:p w14:paraId="6EC8C360" w14:textId="77777777" w:rsidR="005B3668" w:rsidRDefault="005B3668" w:rsidP="00954335">
      <w:pPr>
        <w:pStyle w:val="FootnoteText"/>
      </w:pPr>
      <w:r w:rsidRPr="00745BDD">
        <w:rPr>
          <w:rStyle w:val="FootnoteReference"/>
        </w:rPr>
        <w:footnoteRef/>
      </w:r>
      <w:r w:rsidRPr="00745BDD">
        <w:t xml:space="preserve"> Plato </w:t>
      </w:r>
      <w:r w:rsidRPr="00745BDD">
        <w:rPr>
          <w:i/>
          <w:iCs/>
        </w:rPr>
        <w:t>Republic</w:t>
      </w:r>
      <w:r w:rsidRPr="00745BDD">
        <w:t>: 390c.</w:t>
      </w:r>
    </w:p>
  </w:footnote>
  <w:footnote w:id="135">
    <w:p w14:paraId="26FC216E" w14:textId="77777777" w:rsidR="005B3668" w:rsidRDefault="005B3668" w:rsidP="00954335">
      <w:pPr>
        <w:pStyle w:val="FootnoteText"/>
      </w:pPr>
      <w:r w:rsidRPr="00745BDD">
        <w:rPr>
          <w:rStyle w:val="FootnoteReference"/>
        </w:rPr>
        <w:footnoteRef/>
      </w:r>
      <w:r w:rsidRPr="00745BDD">
        <w:t xml:space="preserve">Dihle, A. (1970) </w:t>
      </w:r>
      <w:r w:rsidRPr="00745BDD">
        <w:rPr>
          <w:i/>
        </w:rPr>
        <w:t>Homer-Probleme</w:t>
      </w:r>
      <w:r w:rsidRPr="00745BDD">
        <w:t>Opladen: WestdeutscherVerlag: 83-92, see also: Janko, R. (1994) </w:t>
      </w:r>
      <w:r w:rsidRPr="00745BDD">
        <w:rPr>
          <w:i/>
          <w:iCs/>
        </w:rPr>
        <w:t>The Iliad: A Commentary. Vol. 4: Books 13-16</w:t>
      </w:r>
      <w:r w:rsidRPr="00745BDD">
        <w:t xml:space="preserve"> Cambridge: Cambridge University Press: 168.</w:t>
      </w:r>
    </w:p>
  </w:footnote>
  <w:footnote w:id="136">
    <w:p w14:paraId="319B2DA3" w14:textId="77777777" w:rsidR="005B3668" w:rsidRDefault="005B3668" w:rsidP="00954335">
      <w:pPr>
        <w:pStyle w:val="FootnoteText"/>
      </w:pPr>
      <w:r w:rsidRPr="00745BDD">
        <w:rPr>
          <w:rStyle w:val="FootnoteReference"/>
        </w:rPr>
        <w:footnoteRef/>
      </w:r>
      <w:r w:rsidRPr="00745BDD">
        <w:t xml:space="preserve">Burkert, W. (2004) </w:t>
      </w:r>
      <w:r w:rsidRPr="00745BDD">
        <w:rPr>
          <w:i/>
        </w:rPr>
        <w:t xml:space="preserve">Babylon, Memphis, Persepolis: Eastern Contexts of Greek Culture </w:t>
      </w:r>
      <w:r w:rsidRPr="00745BDD">
        <w:t>Cambridge, MA: Harvard University Press: 29.</w:t>
      </w:r>
    </w:p>
  </w:footnote>
  <w:footnote w:id="137">
    <w:p w14:paraId="2932944B" w14:textId="77777777" w:rsidR="005B3668" w:rsidRDefault="005B3668" w:rsidP="00954335">
      <w:pPr>
        <w:pStyle w:val="FootnoteText"/>
      </w:pPr>
      <w:r w:rsidRPr="00745BDD">
        <w:rPr>
          <w:rStyle w:val="FootnoteReference"/>
        </w:rPr>
        <w:footnoteRef/>
      </w:r>
      <w:r w:rsidRPr="00745BDD">
        <w:t xml:space="preserve"> Aristotle </w:t>
      </w:r>
      <w:r w:rsidRPr="00745BDD">
        <w:rPr>
          <w:i/>
        </w:rPr>
        <w:t>Metaphysics</w:t>
      </w:r>
      <w:r w:rsidRPr="00745BDD">
        <w:t xml:space="preserve">: 987b27; Plato </w:t>
      </w:r>
      <w:r w:rsidRPr="00745BDD">
        <w:rPr>
          <w:i/>
        </w:rPr>
        <w:t>Cratylos</w:t>
      </w:r>
      <w:r w:rsidRPr="00745BDD">
        <w:t xml:space="preserve">: 402b, </w:t>
      </w:r>
      <w:r w:rsidRPr="00745BDD">
        <w:rPr>
          <w:i/>
        </w:rPr>
        <w:t>Theaetetus</w:t>
      </w:r>
      <w:r w:rsidRPr="00745BDD">
        <w:t xml:space="preserve"> 152e.</w:t>
      </w:r>
    </w:p>
  </w:footnote>
  <w:footnote w:id="138">
    <w:p w14:paraId="146FBF11" w14:textId="77777777" w:rsidR="005B3668" w:rsidRDefault="005B3668" w:rsidP="00954335">
      <w:pPr>
        <w:pStyle w:val="FootnoteText"/>
      </w:pPr>
      <w:r w:rsidRPr="00745BDD">
        <w:rPr>
          <w:rStyle w:val="FootnoteReference"/>
        </w:rPr>
        <w:footnoteRef/>
      </w:r>
      <w:r w:rsidRPr="00745BDD">
        <w:t xml:space="preserve"> Gladstone, W. E. (1890) </w:t>
      </w:r>
      <w:r w:rsidRPr="00745BDD">
        <w:rPr>
          <w:i/>
        </w:rPr>
        <w:t>Landmarks of Homeric Studies</w:t>
      </w:r>
      <w:r w:rsidRPr="00745BDD">
        <w:t xml:space="preserve"> Charleston, SC: Nabu Press [Reprint 2012]: Appendix; Burkert, W. (2004) </w:t>
      </w:r>
      <w:r w:rsidRPr="00745BDD">
        <w:rPr>
          <w:i/>
        </w:rPr>
        <w:t xml:space="preserve">Babylon, Memphis, Persepolis: Eastern Contexts of Greek Culture </w:t>
      </w:r>
      <w:r w:rsidRPr="00745BDD">
        <w:t>Cambridge, MA: Harvard University Press: 31;</w:t>
      </w:r>
      <w:r w:rsidRPr="00745BDD">
        <w:rPr>
          <w:i/>
        </w:rPr>
        <w:t>EnumaElish</w:t>
      </w:r>
      <w:r w:rsidRPr="00745BDD">
        <w:t>: I.1-5.</w:t>
      </w:r>
    </w:p>
  </w:footnote>
  <w:footnote w:id="139">
    <w:p w14:paraId="1E019D09" w14:textId="77777777" w:rsidR="005B3668" w:rsidRDefault="005B3668" w:rsidP="00954335">
      <w:pPr>
        <w:pStyle w:val="FootnoteText"/>
      </w:pPr>
      <w:r w:rsidRPr="00745BDD">
        <w:rPr>
          <w:rStyle w:val="FootnoteReference"/>
        </w:rPr>
        <w:footnoteRef/>
      </w:r>
      <w:r w:rsidRPr="00745BDD">
        <w:t xml:space="preserve">Burkert, W. (2004) </w:t>
      </w:r>
      <w:r w:rsidRPr="00745BDD">
        <w:rPr>
          <w:i/>
        </w:rPr>
        <w:t xml:space="preserve">Babylon, Memphis, Persepolis: Eastern Contexts of Greek Culture </w:t>
      </w:r>
      <w:r w:rsidRPr="00745BDD">
        <w:t>Cambridge, MA: Harvard University Press: 31.</w:t>
      </w:r>
    </w:p>
  </w:footnote>
  <w:footnote w:id="140">
    <w:p w14:paraId="3EF21C0A" w14:textId="77777777" w:rsidR="005B3668" w:rsidRDefault="005B3668" w:rsidP="00954335">
      <w:pPr>
        <w:pStyle w:val="FootnoteText"/>
      </w:pPr>
      <w:r w:rsidRPr="00745BDD">
        <w:rPr>
          <w:rStyle w:val="FootnoteReference"/>
        </w:rPr>
        <w:footnoteRef/>
      </w:r>
      <w:r w:rsidRPr="00745BDD">
        <w:t xml:space="preserve">Burkert, W. (2004) </w:t>
      </w:r>
      <w:r w:rsidRPr="00745BDD">
        <w:rPr>
          <w:i/>
        </w:rPr>
        <w:t xml:space="preserve">Babylon, Memphis, Persepolis: Eastern Contexts of Greek Culture </w:t>
      </w:r>
      <w:r w:rsidRPr="00745BDD">
        <w:t>Cambridge, MA: Harvard University Press: 32-33.</w:t>
      </w:r>
    </w:p>
  </w:footnote>
  <w:footnote w:id="141">
    <w:p w14:paraId="692A8731" w14:textId="77777777" w:rsidR="005B3668" w:rsidRDefault="005B3668" w:rsidP="00954335">
      <w:pPr>
        <w:pStyle w:val="FootnoteText"/>
      </w:pPr>
      <w:r w:rsidRPr="00745BDD">
        <w:rPr>
          <w:rStyle w:val="FootnoteReference"/>
        </w:rPr>
        <w:footnoteRef/>
      </w:r>
      <w:r w:rsidRPr="00745BDD">
        <w:t xml:space="preserve"> Homer </w:t>
      </w:r>
      <w:r w:rsidRPr="00745BDD">
        <w:rPr>
          <w:i/>
        </w:rPr>
        <w:t>Iliad</w:t>
      </w:r>
      <w:r w:rsidRPr="00745BDD">
        <w:t xml:space="preserve">: XV.189-93 (Nagy trans.), see also: Hesiod </w:t>
      </w:r>
      <w:r w:rsidRPr="00745BDD">
        <w:rPr>
          <w:i/>
        </w:rPr>
        <w:t>Theogony</w:t>
      </w:r>
      <w:r w:rsidRPr="00745BDD">
        <w:t>: 678 – 852.</w:t>
      </w:r>
    </w:p>
  </w:footnote>
  <w:footnote w:id="142">
    <w:p w14:paraId="1F9161A8" w14:textId="77777777" w:rsidR="005B3668" w:rsidRDefault="005B3668" w:rsidP="00954335">
      <w:pPr>
        <w:pStyle w:val="FootnoteText"/>
      </w:pPr>
      <w:r w:rsidRPr="00745BDD">
        <w:rPr>
          <w:rStyle w:val="FootnoteReference"/>
        </w:rPr>
        <w:footnoteRef/>
      </w:r>
      <w:r w:rsidRPr="00745BDD">
        <w:rPr>
          <w:i/>
        </w:rPr>
        <w:t>Atrahasis</w:t>
      </w:r>
      <w:r w:rsidRPr="00745BDD">
        <w:t>: I.11-16.</w:t>
      </w:r>
    </w:p>
  </w:footnote>
  <w:footnote w:id="143">
    <w:p w14:paraId="275C315D" w14:textId="77777777" w:rsidR="005B3668" w:rsidRDefault="005B3668" w:rsidP="00954335">
      <w:pPr>
        <w:pStyle w:val="FootnoteText"/>
      </w:pPr>
      <w:r w:rsidRPr="00745BDD">
        <w:rPr>
          <w:rStyle w:val="FootnoteReference"/>
        </w:rPr>
        <w:footnoteRef/>
      </w:r>
      <w:r w:rsidRPr="00745BDD">
        <w:t xml:space="preserve">Burkert, W. (2004) </w:t>
      </w:r>
      <w:r w:rsidRPr="00745BDD">
        <w:rPr>
          <w:i/>
        </w:rPr>
        <w:t xml:space="preserve">Babylon, Memphis, Persepolis: Eastern Contexts of Greek Culture </w:t>
      </w:r>
      <w:r w:rsidRPr="00745BDD">
        <w:t>Cambridge, MA: Harvard University Press: 39.</w:t>
      </w:r>
    </w:p>
  </w:footnote>
  <w:footnote w:id="144">
    <w:p w14:paraId="16DE93A1" w14:textId="77777777" w:rsidR="005B3668" w:rsidRDefault="005B3668" w:rsidP="00954335">
      <w:pPr>
        <w:pStyle w:val="FootnoteText"/>
      </w:pPr>
      <w:r w:rsidRPr="00745BDD">
        <w:rPr>
          <w:rStyle w:val="FootnoteReference"/>
        </w:rPr>
        <w:footnoteRef/>
      </w:r>
      <w:r w:rsidRPr="00745BDD">
        <w:t xml:space="preserve"> Hesiod </w:t>
      </w:r>
      <w:r w:rsidRPr="00745BDD">
        <w:rPr>
          <w:i/>
        </w:rPr>
        <w:t>Theogony</w:t>
      </w:r>
      <w:r w:rsidRPr="00745BDD">
        <w:t>: 736-9.</w:t>
      </w:r>
    </w:p>
  </w:footnote>
  <w:footnote w:id="145">
    <w:p w14:paraId="73D24EF8" w14:textId="77777777" w:rsidR="005B3668" w:rsidRDefault="005B3668" w:rsidP="00954335">
      <w:pPr>
        <w:pStyle w:val="FootnoteText"/>
      </w:pPr>
      <w:r w:rsidRPr="00745BDD">
        <w:rPr>
          <w:rStyle w:val="FootnoteReference"/>
        </w:rPr>
        <w:footnoteRef/>
      </w:r>
      <w:r w:rsidRPr="00745BDD">
        <w:t xml:space="preserve"> Hesiod </w:t>
      </w:r>
      <w:r w:rsidRPr="00745BDD">
        <w:rPr>
          <w:i/>
        </w:rPr>
        <w:t>Theogony</w:t>
      </w:r>
      <w:r w:rsidRPr="00745BDD">
        <w:t xml:space="preserve">: 413, 427; Homer </w:t>
      </w:r>
      <w:r w:rsidRPr="00745BDD">
        <w:rPr>
          <w:i/>
        </w:rPr>
        <w:t>Iliad</w:t>
      </w:r>
      <w:r w:rsidRPr="00745BDD">
        <w:t xml:space="preserve">: XVIII.483; </w:t>
      </w:r>
      <w:r w:rsidRPr="00745BDD">
        <w:rPr>
          <w:i/>
        </w:rPr>
        <w:t>Hymn to Demeter</w:t>
      </w:r>
      <w:r w:rsidRPr="00745BDD">
        <w:t xml:space="preserve"> 33.</w:t>
      </w:r>
    </w:p>
  </w:footnote>
  <w:footnote w:id="146">
    <w:p w14:paraId="662C64DF" w14:textId="77777777" w:rsidR="005B3668" w:rsidRDefault="005B3668" w:rsidP="00954335">
      <w:pPr>
        <w:pStyle w:val="FootnoteText"/>
      </w:pPr>
      <w:r w:rsidRPr="00745BDD">
        <w:rPr>
          <w:rStyle w:val="FootnoteReference"/>
        </w:rPr>
        <w:footnoteRef/>
      </w:r>
      <w:r w:rsidRPr="00745BDD">
        <w:t xml:space="preserve"> Exodus: 20:11; Psalms 69:35, 89:9-12, 96:11.</w:t>
      </w:r>
    </w:p>
  </w:footnote>
  <w:footnote w:id="147">
    <w:p w14:paraId="5026A4B0" w14:textId="77777777" w:rsidR="005B3668" w:rsidRDefault="005B3668" w:rsidP="00954335">
      <w:pPr>
        <w:pStyle w:val="FootnoteText"/>
      </w:pPr>
      <w:r w:rsidRPr="00745BDD">
        <w:rPr>
          <w:rStyle w:val="FootnoteReference"/>
        </w:rPr>
        <w:footnoteRef/>
      </w:r>
      <w:r w:rsidRPr="00745BDD">
        <w:t xml:space="preserve"> West, M. L. (1997) </w:t>
      </w:r>
      <w:r w:rsidRPr="00745BDD">
        <w:rPr>
          <w:i/>
        </w:rPr>
        <w:t>The East Face of Helicon: West Asiatic Elements in Greek Poetry and Myth</w:t>
      </w:r>
      <w:r w:rsidRPr="00745BDD">
        <w:t xml:space="preserve"> Oxford: Oxford University Press: 138.</w:t>
      </w:r>
    </w:p>
  </w:footnote>
  <w:footnote w:id="148">
    <w:p w14:paraId="7588E06E" w14:textId="77777777" w:rsidR="005B3668" w:rsidRDefault="005B3668" w:rsidP="00954335">
      <w:pPr>
        <w:pStyle w:val="FootnoteText"/>
      </w:pPr>
      <w:r w:rsidRPr="00745BDD">
        <w:rPr>
          <w:rStyle w:val="FootnoteReference"/>
        </w:rPr>
        <w:footnoteRef/>
      </w:r>
      <w:r w:rsidRPr="00745BDD">
        <w:rPr>
          <w:i/>
        </w:rPr>
        <w:t>Gilgamesh, Enkidu, and the Netherworld</w:t>
      </w:r>
      <w:r w:rsidRPr="00745BDD">
        <w:t xml:space="preserve">: 11-13, trans. Shaffer: ‘When An had taken the heavens for himself, / When Enlil had taken the Earth for himself / And had given it to Erishkigal in the Underworld as a (wedding) gift’. </w:t>
      </w:r>
    </w:p>
  </w:footnote>
  <w:footnote w:id="149">
    <w:p w14:paraId="1F16DCC4" w14:textId="77777777" w:rsidR="005B3668" w:rsidRDefault="005B3668" w:rsidP="00954335">
      <w:pPr>
        <w:pStyle w:val="FootnoteText"/>
      </w:pPr>
      <w:r w:rsidRPr="00745BDD">
        <w:rPr>
          <w:rStyle w:val="FootnoteReference"/>
        </w:rPr>
        <w:footnoteRef/>
      </w:r>
      <w:r w:rsidRPr="00745BDD">
        <w:t xml:space="preserve"> Descriptions of Oceanus, </w:t>
      </w:r>
      <w:r w:rsidRPr="00745BDD">
        <w:rPr>
          <w:iCs/>
        </w:rPr>
        <w:t>Homer</w:t>
      </w:r>
      <w:r w:rsidRPr="00745BDD">
        <w:rPr>
          <w:i/>
          <w:iCs/>
        </w:rPr>
        <w:t xml:space="preserve"> Iliad</w:t>
      </w:r>
      <w:r w:rsidRPr="00745BDD">
        <w:rPr>
          <w:iCs/>
        </w:rPr>
        <w:t>:</w:t>
      </w:r>
      <w:r w:rsidRPr="00745BDD">
        <w:rPr>
          <w:iCs/>
          <w:shd w:val="clear" w:color="auto" w:fill="FFFDF9"/>
        </w:rPr>
        <w:t xml:space="preserve">V.10, VII.422, VIII.485, </w:t>
      </w:r>
      <w:r w:rsidRPr="00745BDD">
        <w:rPr>
          <w:iCs/>
        </w:rPr>
        <w:t xml:space="preserve">XIV.200-244, XVI.150, XVIII.43, 399-402, </w:t>
      </w:r>
      <w:r w:rsidRPr="00745BDD">
        <w:rPr>
          <w:iCs/>
          <w:shd w:val="clear" w:color="auto" w:fill="FFFDF9"/>
        </w:rPr>
        <w:t>XIX.1 and, XXI.194;</w:t>
      </w:r>
      <w:r w:rsidRPr="00745BDD">
        <w:rPr>
          <w:i/>
          <w:iCs/>
          <w:shd w:val="clear" w:color="auto" w:fill="FFFDF9"/>
        </w:rPr>
        <w:t xml:space="preserve"> Odyssey</w:t>
      </w:r>
      <w:r w:rsidRPr="00745BDD">
        <w:rPr>
          <w:iCs/>
          <w:shd w:val="clear" w:color="auto" w:fill="FFFDF9"/>
        </w:rPr>
        <w:t>: III.1, IV.565, X.139,508, XI:2, 158, 638, XII.1, XX.6, XXII.195, XXIII.244 and, XXIV.12;Hesiod</w:t>
      </w:r>
      <w:r w:rsidRPr="00745BDD">
        <w:rPr>
          <w:i/>
          <w:iCs/>
          <w:shd w:val="clear" w:color="auto" w:fill="FFFDF9"/>
        </w:rPr>
        <w:t xml:space="preserve"> Theogony</w:t>
      </w:r>
      <w:r w:rsidRPr="00745BDD">
        <w:rPr>
          <w:iCs/>
          <w:shd w:val="clear" w:color="auto" w:fill="FFFDF9"/>
        </w:rPr>
        <w:t>: 216, 265, 241, 270, 274, 281, 287, 333, 337, 517, 787;</w:t>
      </w:r>
      <w:r w:rsidRPr="00745BDD">
        <w:rPr>
          <w:i/>
          <w:iCs/>
          <w:shd w:val="clear" w:color="auto" w:fill="FFFDF9"/>
        </w:rPr>
        <w:t xml:space="preserve"> Works and Days</w:t>
      </w:r>
      <w:r w:rsidRPr="00745BDD">
        <w:rPr>
          <w:iCs/>
          <w:shd w:val="clear" w:color="auto" w:fill="FFFDF9"/>
        </w:rPr>
        <w:t>: 165</w:t>
      </w:r>
      <w:r w:rsidRPr="00745BDD">
        <w:rPr>
          <w:iCs/>
        </w:rPr>
        <w:t>;</w:t>
      </w:r>
      <w:r w:rsidRPr="00745BDD">
        <w:rPr>
          <w:i/>
          <w:iCs/>
          <w:shd w:val="clear" w:color="auto" w:fill="FFFDF9"/>
        </w:rPr>
        <w:t>Shield of Heracles</w:t>
      </w:r>
      <w:r w:rsidRPr="00745BDD">
        <w:rPr>
          <w:iCs/>
          <w:shd w:val="clear" w:color="auto" w:fill="FFFDF9"/>
        </w:rPr>
        <w:t xml:space="preserve"> 314;</w:t>
      </w:r>
      <w:r w:rsidRPr="00745BDD">
        <w:rPr>
          <w:i/>
          <w:iCs/>
          <w:shd w:val="clear" w:color="auto" w:fill="FFFDF9"/>
        </w:rPr>
        <w:t xml:space="preserve"> Catalogues of Women </w:t>
      </w:r>
      <w:r w:rsidRPr="00745BDD">
        <w:rPr>
          <w:iCs/>
          <w:shd w:val="clear" w:color="auto" w:fill="FFFDF9"/>
        </w:rPr>
        <w:t>Fragment 45, 46;</w:t>
      </w:r>
      <w:r w:rsidRPr="00745BDD">
        <w:rPr>
          <w:i/>
          <w:iCs/>
          <w:shd w:val="clear" w:color="auto" w:fill="FFFDF9"/>
        </w:rPr>
        <w:t xml:space="preserve">Homeric Hymn 31 </w:t>
      </w:r>
      <w:r w:rsidRPr="00745BDD">
        <w:rPr>
          <w:iCs/>
          <w:shd w:val="clear" w:color="auto" w:fill="FFFDF9"/>
        </w:rPr>
        <w:t>to Helios</w:t>
      </w:r>
      <w:r w:rsidRPr="00745BDD">
        <w:rPr>
          <w:i/>
          <w:iCs/>
          <w:shd w:val="clear" w:color="auto" w:fill="FFFDF9"/>
        </w:rPr>
        <w:t xml:space="preserve">, Homeric Hymn 32 </w:t>
      </w:r>
      <w:r w:rsidRPr="00745BDD">
        <w:rPr>
          <w:iCs/>
          <w:shd w:val="clear" w:color="auto" w:fill="FFFDF9"/>
        </w:rPr>
        <w:t>to Selene</w:t>
      </w:r>
      <w:r w:rsidRPr="00745BDD">
        <w:rPr>
          <w:rStyle w:val="apple-converted-space"/>
          <w:i/>
          <w:iCs/>
          <w:shd w:val="clear" w:color="auto" w:fill="FFFDF9"/>
        </w:rPr>
        <w:t xml:space="preserve"> , </w:t>
      </w:r>
      <w:r w:rsidRPr="00745BDD">
        <w:rPr>
          <w:i/>
          <w:iCs/>
          <w:shd w:val="clear" w:color="auto" w:fill="FFFDF9"/>
        </w:rPr>
        <w:t xml:space="preserve">Homeric Hymn 4 </w:t>
      </w:r>
      <w:r w:rsidRPr="00745BDD">
        <w:rPr>
          <w:iCs/>
          <w:shd w:val="clear" w:color="auto" w:fill="FFFDF9"/>
        </w:rPr>
        <w:t>to Hermes;</w:t>
      </w:r>
      <w:r w:rsidRPr="00745BDD">
        <w:rPr>
          <w:i/>
          <w:iCs/>
          <w:shd w:val="clear" w:color="auto" w:fill="FFFDF9"/>
        </w:rPr>
        <w:t>Mimnermus</w:t>
      </w:r>
      <w:r w:rsidRPr="00745BDD">
        <w:rPr>
          <w:iCs/>
          <w:shd w:val="clear" w:color="auto" w:fill="FFFDF9"/>
        </w:rPr>
        <w:t>:Fragment 11, Fragment 12.</w:t>
      </w:r>
    </w:p>
  </w:footnote>
  <w:footnote w:id="150">
    <w:p w14:paraId="4B2007F8" w14:textId="77777777" w:rsidR="005B3668" w:rsidRDefault="005B3668" w:rsidP="00954335">
      <w:pPr>
        <w:pStyle w:val="FootnoteText"/>
      </w:pPr>
      <w:r w:rsidRPr="00745BDD">
        <w:rPr>
          <w:rStyle w:val="FootnoteReference"/>
        </w:rPr>
        <w:footnoteRef/>
      </w:r>
      <w:r w:rsidRPr="00745BDD">
        <w:t xml:space="preserve"> Hesiod </w:t>
      </w:r>
      <w:r w:rsidRPr="00745BDD">
        <w:rPr>
          <w:i/>
        </w:rPr>
        <w:t>Theogony</w:t>
      </w:r>
      <w:r w:rsidRPr="00745BDD">
        <w:t>:787.</w:t>
      </w:r>
    </w:p>
  </w:footnote>
  <w:footnote w:id="151">
    <w:p w14:paraId="26DE9AD9" w14:textId="77777777" w:rsidR="005B3668" w:rsidRDefault="005B3668" w:rsidP="00954335">
      <w:pPr>
        <w:pStyle w:val="FootnoteText"/>
      </w:pPr>
      <w:r w:rsidRPr="00745BDD">
        <w:rPr>
          <w:rStyle w:val="FootnoteReference"/>
        </w:rPr>
        <w:footnoteRef/>
      </w:r>
      <w:r w:rsidRPr="00745BDD">
        <w:t xml:space="preserve"> For Pillars of Heaven: Homer </w:t>
      </w:r>
      <w:r w:rsidRPr="00745BDD">
        <w:rPr>
          <w:i/>
          <w:iCs/>
          <w:shd w:val="clear" w:color="auto" w:fill="FFFDF9"/>
        </w:rPr>
        <w:t>Odyssey</w:t>
      </w:r>
      <w:r w:rsidRPr="00745BDD">
        <w:rPr>
          <w:iCs/>
          <w:shd w:val="clear" w:color="auto" w:fill="FFFDF9"/>
        </w:rPr>
        <w:t xml:space="preserve">:I.52. </w:t>
      </w:r>
      <w:r w:rsidRPr="00745BDD">
        <w:t xml:space="preserve">For Atlas: Homer </w:t>
      </w:r>
      <w:r w:rsidRPr="00745BDD">
        <w:rPr>
          <w:i/>
          <w:iCs/>
          <w:shd w:val="clear" w:color="auto" w:fill="FFFDF9"/>
        </w:rPr>
        <w:t>Odyssey</w:t>
      </w:r>
      <w:r w:rsidRPr="00745BDD">
        <w:rPr>
          <w:iCs/>
          <w:shd w:val="clear" w:color="auto" w:fill="FFFDF9"/>
        </w:rPr>
        <w:t>:I.52</w:t>
      </w:r>
      <w:r w:rsidRPr="00745BDD">
        <w:rPr>
          <w:i/>
          <w:iCs/>
          <w:shd w:val="clear" w:color="auto" w:fill="FFFDF9"/>
        </w:rPr>
        <w:t xml:space="preserve">, </w:t>
      </w:r>
      <w:r w:rsidRPr="00745BDD">
        <w:rPr>
          <w:iCs/>
          <w:shd w:val="clear" w:color="auto" w:fill="FFFDF9"/>
        </w:rPr>
        <w:t>Hesiod</w:t>
      </w:r>
      <w:r w:rsidRPr="00745BDD">
        <w:rPr>
          <w:i/>
          <w:iCs/>
          <w:shd w:val="clear" w:color="auto" w:fill="FFFDF9"/>
        </w:rPr>
        <w:t xml:space="preserve"> Theogony</w:t>
      </w:r>
      <w:r w:rsidRPr="00745BDD">
        <w:rPr>
          <w:iCs/>
          <w:shd w:val="clear" w:color="auto" w:fill="FFFDF9"/>
        </w:rPr>
        <w:t>:507, 744.</w:t>
      </w:r>
      <w:r w:rsidRPr="00745BDD">
        <w:rPr>
          <w:rStyle w:val="apple-converted-space"/>
          <w:i/>
          <w:iCs/>
          <w:shd w:val="clear" w:color="auto" w:fill="FFFDF9"/>
        </w:rPr>
        <w:t> </w:t>
      </w:r>
    </w:p>
  </w:footnote>
  <w:footnote w:id="152">
    <w:p w14:paraId="44E743EF" w14:textId="77777777" w:rsidR="005B3668" w:rsidRDefault="005B3668" w:rsidP="00954335">
      <w:pPr>
        <w:pStyle w:val="FootnoteText"/>
      </w:pPr>
      <w:r w:rsidRPr="00745BDD">
        <w:rPr>
          <w:rStyle w:val="FootnoteReference"/>
        </w:rPr>
        <w:footnoteRef/>
      </w:r>
      <w:r w:rsidRPr="00745BDD">
        <w:rPr>
          <w:i/>
        </w:rPr>
        <w:t>Gilgamesh</w:t>
      </w:r>
      <w:r w:rsidRPr="00745BDD">
        <w:t>:</w:t>
      </w:r>
      <w:r w:rsidRPr="00745BDD">
        <w:rPr>
          <w:rStyle w:val="apple-converted-space"/>
          <w:rFonts w:cs="Arial"/>
          <w:shd w:val="clear" w:color="auto" w:fill="FFFFFF"/>
        </w:rPr>
        <w:t xml:space="preserve"> Tablet </w:t>
      </w:r>
      <w:r w:rsidRPr="00745BDD">
        <w:rPr>
          <w:rFonts w:cs="Arial"/>
          <w:shd w:val="clear" w:color="auto" w:fill="FFFFFF"/>
        </w:rPr>
        <w:t>IX.47-81 (George trans.).</w:t>
      </w:r>
    </w:p>
  </w:footnote>
  <w:footnote w:id="153">
    <w:p w14:paraId="7725FE23" w14:textId="77777777" w:rsidR="005B3668" w:rsidRDefault="005B3668" w:rsidP="00954335">
      <w:pPr>
        <w:pStyle w:val="FootnoteText"/>
      </w:pPr>
      <w:r w:rsidRPr="00745BDD">
        <w:rPr>
          <w:rStyle w:val="FootnoteReference"/>
        </w:rPr>
        <w:footnoteRef/>
      </w:r>
      <w:r w:rsidRPr="00745BDD">
        <w:t xml:space="preserve"> Gottschalk, H. B. (1980) </w:t>
      </w:r>
      <w:r w:rsidRPr="00745BDD">
        <w:rPr>
          <w:i/>
        </w:rPr>
        <w:t>Heraclides of Pontus</w:t>
      </w:r>
      <w:r w:rsidRPr="00745BDD">
        <w:t xml:space="preserve"> Oxford: Clarendon Press.</w:t>
      </w:r>
    </w:p>
  </w:footnote>
  <w:footnote w:id="154">
    <w:p w14:paraId="07938E83" w14:textId="77777777" w:rsidR="005B3668" w:rsidRDefault="005B3668" w:rsidP="00954335">
      <w:pPr>
        <w:pStyle w:val="FootnoteText"/>
      </w:pPr>
      <w:r w:rsidRPr="00745BDD">
        <w:rPr>
          <w:rStyle w:val="FootnoteReference"/>
        </w:rPr>
        <w:footnoteRef/>
      </w:r>
      <w:r w:rsidRPr="00745BDD">
        <w:t xml:space="preserve"> Sumerian and Akkadian names cited according to:  Black, J. A., George, A. and, Postgate, J. N. (2000) </w:t>
      </w:r>
      <w:r w:rsidRPr="00745BDD">
        <w:rPr>
          <w:i/>
          <w:iCs/>
        </w:rPr>
        <w:t>A Concise Dictionary of Akkadian</w:t>
      </w:r>
      <w:r w:rsidRPr="00745BDD">
        <w:t>, Otto Harrassowitz: Weisbaden.</w:t>
      </w:r>
    </w:p>
  </w:footnote>
  <w:footnote w:id="155">
    <w:p w14:paraId="42CEEC90" w14:textId="77777777" w:rsidR="005B3668" w:rsidRDefault="005B3668" w:rsidP="00954335">
      <w:pPr>
        <w:pStyle w:val="FootnoteText"/>
      </w:pPr>
      <w:r w:rsidRPr="00745BDD">
        <w:rPr>
          <w:rStyle w:val="FootnoteReference"/>
        </w:rPr>
        <w:footnoteRef/>
      </w:r>
      <w:r w:rsidRPr="00745BDD">
        <w:t xml:space="preserve">Collon, D. (1987) </w:t>
      </w:r>
      <w:r w:rsidRPr="00745BDD">
        <w:rPr>
          <w:i/>
        </w:rPr>
        <w:t>First Impressions: Cylinder Seals in the Ancient Near East</w:t>
      </w:r>
      <w:r w:rsidRPr="00745BDD">
        <w:t> London, British Museum Press: 343, 355, 464, 765.</w:t>
      </w:r>
    </w:p>
  </w:footnote>
  <w:footnote w:id="156">
    <w:p w14:paraId="17563A44" w14:textId="77777777" w:rsidR="005B3668" w:rsidRDefault="005B3668" w:rsidP="00954335">
      <w:pPr>
        <w:pStyle w:val="FootnoteText"/>
      </w:pPr>
      <w:r w:rsidRPr="00745BDD">
        <w:rPr>
          <w:rStyle w:val="FootnoteReference"/>
        </w:rPr>
        <w:footnoteRef/>
      </w:r>
      <w:r w:rsidRPr="00745BDD">
        <w:t xml:space="preserve">Latura, G. B. (2014) ‘Astronomy, Myth, and Gilgamesh’ (abstract accepted for oral presentation) at </w:t>
      </w:r>
      <w:r w:rsidRPr="00745BDD">
        <w:rPr>
          <w:i/>
        </w:rPr>
        <w:t>ISAAC 2014 Conference</w:t>
      </w:r>
      <w:r w:rsidRPr="00745BDD">
        <w:t xml:space="preserve"> Cape Town: South Africa.</w:t>
      </w:r>
    </w:p>
  </w:footnote>
  <w:footnote w:id="157">
    <w:p w14:paraId="6205F008" w14:textId="77777777" w:rsidR="005B3668" w:rsidRDefault="005B3668" w:rsidP="00954335">
      <w:pPr>
        <w:pStyle w:val="FootnoteText"/>
      </w:pPr>
      <w:r w:rsidRPr="00745BDD">
        <w:rPr>
          <w:rStyle w:val="FootnoteReference"/>
        </w:rPr>
        <w:footnoteRef/>
      </w:r>
      <w:r w:rsidRPr="00745BDD">
        <w:rPr>
          <w:i/>
        </w:rPr>
        <w:t>Gilgamesh</w:t>
      </w:r>
      <w:r w:rsidRPr="00745BDD">
        <w:t xml:space="preserve"> VII.1-37 (George trans.:54).</w:t>
      </w:r>
    </w:p>
  </w:footnote>
  <w:footnote w:id="158">
    <w:p w14:paraId="18D65EFD" w14:textId="77777777" w:rsidR="005B3668" w:rsidRDefault="005B3668" w:rsidP="00954335">
      <w:pPr>
        <w:pStyle w:val="FootnoteText"/>
      </w:pPr>
      <w:r w:rsidRPr="00745BDD">
        <w:rPr>
          <w:rStyle w:val="FootnoteReference"/>
        </w:rPr>
        <w:footnoteRef/>
      </w:r>
      <w:r w:rsidRPr="00745BDD">
        <w:rPr>
          <w:i/>
        </w:rPr>
        <w:t>Gilgamesh</w:t>
      </w:r>
      <w:r w:rsidRPr="00745BDD">
        <w:t xml:space="preserve"> IX.45 (George trans.); For Gilgamesh’s encounter with Shamash in the jewelled garden: </w:t>
      </w:r>
      <w:r w:rsidRPr="00745BDD">
        <w:rPr>
          <w:i/>
        </w:rPr>
        <w:t>OBV</w:t>
      </w:r>
      <w:r w:rsidRPr="00745BDD">
        <w:t xml:space="preserve"> Tablet X.i, in Pritchard, J. P. (1989) </w:t>
      </w:r>
      <w:r w:rsidRPr="00745BDD">
        <w:rPr>
          <w:i/>
        </w:rPr>
        <w:t>ANET</w:t>
      </w:r>
      <w:r w:rsidRPr="00745BDD">
        <w:t>:89.</w:t>
      </w:r>
    </w:p>
  </w:footnote>
  <w:footnote w:id="159">
    <w:p w14:paraId="7306E1F4" w14:textId="77777777" w:rsidR="005B3668" w:rsidRDefault="005B3668" w:rsidP="00954335">
      <w:pPr>
        <w:pStyle w:val="FootnoteText"/>
      </w:pPr>
      <w:r w:rsidRPr="00745BDD">
        <w:rPr>
          <w:rStyle w:val="FootnoteReference"/>
        </w:rPr>
        <w:footnoteRef/>
      </w:r>
      <w:r w:rsidRPr="00745BDD">
        <w:t xml:space="preserve"> Clark, R. J. (1997) ‘Origins: New Light on Eschatology in Gilgamesh’s Mortuary Journey’, in, Maier, J. R. (ed.) </w:t>
      </w:r>
      <w:r w:rsidRPr="00745BDD">
        <w:rPr>
          <w:i/>
        </w:rPr>
        <w:t>Gilgamesh: A Reader</w:t>
      </w:r>
      <w:r w:rsidRPr="00745BDD">
        <w:t>, Mundelein, IL :Bolchazy-Carducci Publishers: 135.</w:t>
      </w:r>
    </w:p>
  </w:footnote>
  <w:footnote w:id="160">
    <w:p w14:paraId="6A1749DF" w14:textId="77777777" w:rsidR="005B3668" w:rsidRDefault="005B3668" w:rsidP="00954335">
      <w:pPr>
        <w:pStyle w:val="FootnoteText"/>
      </w:pPr>
      <w:r w:rsidRPr="00745BDD">
        <w:rPr>
          <w:rStyle w:val="FootnoteReference"/>
        </w:rPr>
        <w:footnoteRef/>
      </w:r>
      <w:r w:rsidRPr="00745BDD">
        <w:t xml:space="preserve"> Homer </w:t>
      </w:r>
      <w:r w:rsidRPr="00745BDD">
        <w:rPr>
          <w:i/>
        </w:rPr>
        <w:t>Odyssey</w:t>
      </w:r>
      <w:r w:rsidRPr="00745BDD">
        <w:t>: XII.1-35.</w:t>
      </w:r>
    </w:p>
  </w:footnote>
  <w:footnote w:id="161">
    <w:p w14:paraId="1A79D026" w14:textId="77777777" w:rsidR="005B3668" w:rsidRDefault="005B3668" w:rsidP="00954335">
      <w:pPr>
        <w:pStyle w:val="FootnoteText"/>
      </w:pPr>
      <w:r w:rsidRPr="00745BDD">
        <w:rPr>
          <w:rStyle w:val="FootnoteReference"/>
        </w:rPr>
        <w:footnoteRef/>
      </w:r>
      <w:r w:rsidRPr="00745BDD">
        <w:t xml:space="preserve"> Nagy, G. (2013) </w:t>
      </w:r>
      <w:r w:rsidRPr="00745BDD">
        <w:rPr>
          <w:bCs/>
          <w:i/>
        </w:rPr>
        <w:t>The Ancient Greek Hero in 24 Hours</w:t>
      </w:r>
      <w:r w:rsidRPr="00745BDD">
        <w:rPr>
          <w:bCs/>
        </w:rPr>
        <w:t xml:space="preserve"> Harvard: Harvard University Press: 307.</w:t>
      </w:r>
    </w:p>
  </w:footnote>
  <w:footnote w:id="162">
    <w:p w14:paraId="4E32F701" w14:textId="77777777" w:rsidR="005B3668" w:rsidRDefault="005B3668" w:rsidP="00954335">
      <w:pPr>
        <w:pStyle w:val="FootnoteText"/>
      </w:pPr>
      <w:r w:rsidRPr="00745BDD">
        <w:rPr>
          <w:rStyle w:val="FootnoteReference"/>
        </w:rPr>
        <w:footnoteRef/>
      </w:r>
      <w:r w:rsidRPr="00745BDD">
        <w:t xml:space="preserve"> Lewis, T. J. (1989) ‘Cults of the Dead in Ancient Israel and Ugarit’, in,</w:t>
      </w:r>
      <w:r w:rsidRPr="00745BDD">
        <w:rPr>
          <w:i/>
        </w:rPr>
        <w:t xml:space="preserve"> Harvard Semitic Monographs</w:t>
      </w:r>
      <w:r w:rsidRPr="00745BDD">
        <w:t xml:space="preserve"> Vol.39: 37. </w:t>
      </w:r>
    </w:p>
  </w:footnote>
  <w:footnote w:id="163">
    <w:p w14:paraId="143AB9DB" w14:textId="77777777" w:rsidR="005B3668" w:rsidRDefault="005B3668" w:rsidP="00954335">
      <w:pPr>
        <w:pStyle w:val="FootnoteText"/>
      </w:pPr>
      <w:r w:rsidRPr="00745BDD">
        <w:rPr>
          <w:rStyle w:val="FootnoteReference"/>
        </w:rPr>
        <w:footnoteRef/>
      </w:r>
      <w:r w:rsidRPr="00745BDD">
        <w:t xml:space="preserve"> Homer </w:t>
      </w:r>
      <w:r w:rsidRPr="00745BDD">
        <w:rPr>
          <w:i/>
        </w:rPr>
        <w:t>Odyssey</w:t>
      </w:r>
      <w:r w:rsidRPr="00745BDD">
        <w:t>: XXIV.1-15 (trans. Authors own); see also Penelope’s description of death at XX.61-65.</w:t>
      </w:r>
    </w:p>
  </w:footnote>
  <w:footnote w:id="164">
    <w:p w14:paraId="2BF8CDE4" w14:textId="77777777" w:rsidR="005B3668" w:rsidRDefault="005B3668" w:rsidP="00954335">
      <w:pPr>
        <w:pStyle w:val="FootnoteText"/>
      </w:pPr>
      <w:r w:rsidRPr="00745BDD">
        <w:rPr>
          <w:rStyle w:val="FootnoteReference"/>
        </w:rPr>
        <w:footnoteRef/>
      </w:r>
      <w:r w:rsidRPr="00745BDD">
        <w:t xml:space="preserve">Creuzer, G. (1812) </w:t>
      </w:r>
      <w:r w:rsidRPr="00745BDD">
        <w:rPr>
          <w:i/>
          <w:iCs/>
        </w:rPr>
        <w:t>Symbolik und Mythologie der altenVölker, besonders der Griechen</w:t>
      </w:r>
      <w:r w:rsidRPr="00745BDD">
        <w:rPr>
          <w:iCs/>
        </w:rPr>
        <w:t>Vol. III, Leipzig: Heyer und Leske: 173.</w:t>
      </w:r>
    </w:p>
  </w:footnote>
  <w:footnote w:id="165">
    <w:p w14:paraId="02FF7AAD" w14:textId="77777777" w:rsidR="005B3668" w:rsidRDefault="005B3668" w:rsidP="00954335">
      <w:pPr>
        <w:pStyle w:val="FootnoteText"/>
      </w:pPr>
      <w:r w:rsidRPr="00745BDD">
        <w:rPr>
          <w:rStyle w:val="FootnoteReference"/>
        </w:rPr>
        <w:footnoteRef/>
      </w:r>
      <w:r w:rsidRPr="00745BDD">
        <w:t xml:space="preserve"> Murray, G. (1924) </w:t>
      </w:r>
      <w:r w:rsidRPr="00745BDD">
        <w:rPr>
          <w:i/>
        </w:rPr>
        <w:t xml:space="preserve">The Rise of the Greek Epic: Being a Course of Lectures Delivered at Harvard University </w:t>
      </w:r>
      <w:r w:rsidRPr="00745BDD">
        <w:t>Third Edition, Oxford: Clarendon Press: 212.</w:t>
      </w:r>
    </w:p>
  </w:footnote>
  <w:footnote w:id="166">
    <w:p w14:paraId="1E11DFF8" w14:textId="77777777" w:rsidR="005B3668" w:rsidRDefault="005B3668" w:rsidP="00954335">
      <w:pPr>
        <w:pStyle w:val="FootnoteText"/>
      </w:pPr>
      <w:r w:rsidRPr="00745BDD">
        <w:rPr>
          <w:rStyle w:val="FootnoteReference"/>
        </w:rPr>
        <w:footnoteRef/>
      </w:r>
      <w:r w:rsidRPr="00745BDD">
        <w:t xml:space="preserve"> Nagy, G. ‘Hour 9: Text A: The Meaning of </w:t>
      </w:r>
      <w:r w:rsidRPr="00745BDD">
        <w:rPr>
          <w:i/>
        </w:rPr>
        <w:t>nostos</w:t>
      </w:r>
      <w:r w:rsidRPr="00745BDD">
        <w:t xml:space="preserve">’, from, </w:t>
      </w:r>
      <w:r w:rsidRPr="00745BDD">
        <w:rPr>
          <w:i/>
        </w:rPr>
        <w:t>The Ancient Greek Hero in 24 Hours</w:t>
      </w:r>
      <w:r w:rsidRPr="00745BDD">
        <w:t xml:space="preserve"> MOOC: Harvard University [accessed: 17-09-2014]. </w:t>
      </w:r>
    </w:p>
  </w:footnote>
  <w:footnote w:id="167">
    <w:p w14:paraId="2EC9EB83" w14:textId="77777777" w:rsidR="005B3668" w:rsidRDefault="005B3668" w:rsidP="00954335">
      <w:pPr>
        <w:pStyle w:val="FootnoteText"/>
      </w:pPr>
      <w:r w:rsidRPr="00745BDD">
        <w:rPr>
          <w:rStyle w:val="FootnoteReference"/>
        </w:rPr>
        <w:footnoteRef/>
      </w:r>
      <w:r w:rsidRPr="00745BDD">
        <w:t>Murray, A. T.; Rieu, E. V.; and Lattimore, R. respectively.  Odysseus is only described this way twice, in the proem and when Circe greets him in X.330.</w:t>
      </w:r>
    </w:p>
  </w:footnote>
  <w:footnote w:id="168">
    <w:p w14:paraId="135CD6D6" w14:textId="77777777" w:rsidR="005B3668" w:rsidRDefault="005B3668" w:rsidP="00954335">
      <w:pPr>
        <w:pStyle w:val="FootnoteText"/>
      </w:pPr>
      <w:r w:rsidRPr="00745BDD">
        <w:rPr>
          <w:rStyle w:val="FootnoteReference"/>
        </w:rPr>
        <w:footnoteRef/>
      </w:r>
      <w:r w:rsidRPr="00745BDD">
        <w:t xml:space="preserve"> Homer </w:t>
      </w:r>
      <w:r w:rsidRPr="00745BDD">
        <w:rPr>
          <w:i/>
        </w:rPr>
        <w:t>Odyssey</w:t>
      </w:r>
      <w:r w:rsidRPr="00745BDD">
        <w:t xml:space="preserve">: XV.404; Hesiod </w:t>
      </w:r>
      <w:r w:rsidRPr="00745BDD">
        <w:rPr>
          <w:i/>
        </w:rPr>
        <w:t>Works and Days</w:t>
      </w:r>
      <w:r w:rsidRPr="00745BDD">
        <w:t xml:space="preserve">: 479; </w:t>
      </w:r>
      <w:r w:rsidRPr="00745BDD">
        <w:rPr>
          <w:i/>
        </w:rPr>
        <w:t>LSJ</w:t>
      </w:r>
      <w:r w:rsidRPr="00745BDD">
        <w:t xml:space="preserve">: s.v. </w:t>
      </w:r>
      <w:r w:rsidRPr="00745BDD">
        <w:rPr>
          <w:i/>
        </w:rPr>
        <w:t>τροπ-η</w:t>
      </w:r>
      <w:r w:rsidRPr="00745BDD">
        <w:t>.</w:t>
      </w:r>
    </w:p>
  </w:footnote>
  <w:footnote w:id="169">
    <w:p w14:paraId="6BAA85D7" w14:textId="77777777" w:rsidR="005B3668" w:rsidRDefault="005B3668" w:rsidP="00954335">
      <w:pPr>
        <w:pStyle w:val="FootnoteText"/>
      </w:pPr>
      <w:r w:rsidRPr="00745BDD">
        <w:rPr>
          <w:rStyle w:val="FootnoteReference"/>
        </w:rPr>
        <w:footnoteRef/>
      </w:r>
      <w:r w:rsidRPr="00745BDD">
        <w:rPr>
          <w:i/>
        </w:rPr>
        <w:t>Gilgamesh</w:t>
      </w:r>
      <w:r w:rsidRPr="00745BDD">
        <w:t xml:space="preserve"> I.i.38. See also; Clark, R. J. (1997) ‘Origins: New Light on Eschatology in Gilgamesh’s Mortuary Journey’, in, Maier, J. R. (ed.) </w:t>
      </w:r>
      <w:r w:rsidRPr="00745BDD">
        <w:rPr>
          <w:i/>
        </w:rPr>
        <w:t>Gilgamesh: A Reader</w:t>
      </w:r>
      <w:r w:rsidRPr="00745BDD">
        <w:t>, Mundelein, IL :Bolchazy-Carducci Publishers: 137.</w:t>
      </w:r>
    </w:p>
  </w:footnote>
  <w:footnote w:id="170">
    <w:p w14:paraId="07DD687E" w14:textId="77777777" w:rsidR="005B3668" w:rsidRDefault="005B3668" w:rsidP="00954335">
      <w:pPr>
        <w:pStyle w:val="FootnoteText"/>
      </w:pPr>
      <w:r w:rsidRPr="00745BDD">
        <w:rPr>
          <w:rStyle w:val="FootnoteReference"/>
        </w:rPr>
        <w:footnoteRef/>
      </w:r>
      <w:r w:rsidRPr="00745BDD">
        <w:t xml:space="preserve"> Homer </w:t>
      </w:r>
      <w:r w:rsidRPr="00745BDD">
        <w:rPr>
          <w:i/>
        </w:rPr>
        <w:t>Odyssey</w:t>
      </w:r>
      <w:r w:rsidRPr="00745BDD">
        <w:t>: XII.173-176 (trans. Lattimore).</w:t>
      </w:r>
    </w:p>
  </w:footnote>
  <w:footnote w:id="171">
    <w:p w14:paraId="53FE6617" w14:textId="77777777" w:rsidR="005B3668" w:rsidRDefault="005B3668" w:rsidP="00954335">
      <w:pPr>
        <w:pStyle w:val="FootnoteText"/>
      </w:pPr>
      <w:r w:rsidRPr="00745BDD">
        <w:rPr>
          <w:rStyle w:val="FootnoteReference"/>
        </w:rPr>
        <w:footnoteRef/>
      </w:r>
      <w:r w:rsidRPr="00745BDD">
        <w:t xml:space="preserve"> Homer </w:t>
      </w:r>
      <w:r w:rsidRPr="00745BDD">
        <w:rPr>
          <w:i/>
        </w:rPr>
        <w:t>Odyssey</w:t>
      </w:r>
      <w:r w:rsidRPr="00745BDD">
        <w:t xml:space="preserve">: XX.350-357 (trans. Lattimore); that it is an eclipse see: Stanford, W. B. (1962) </w:t>
      </w:r>
      <w:r w:rsidRPr="00745BDD">
        <w:rPr>
          <w:i/>
        </w:rPr>
        <w:t xml:space="preserve">The Odyssey of Homer </w:t>
      </w:r>
      <w:r w:rsidRPr="00745BDD">
        <w:t>Vol. II London: St. Martin’s Press: 355.</w:t>
      </w:r>
    </w:p>
  </w:footnote>
  <w:footnote w:id="172">
    <w:p w14:paraId="619F62A9" w14:textId="77777777" w:rsidR="005B3668" w:rsidRDefault="005B3668" w:rsidP="00954335">
      <w:pPr>
        <w:pStyle w:val="FootnoteText"/>
      </w:pPr>
      <w:r w:rsidRPr="00745BDD">
        <w:rPr>
          <w:rStyle w:val="FootnoteReference"/>
        </w:rPr>
        <w:footnoteRef/>
      </w:r>
      <w:r w:rsidRPr="00745BDD">
        <w:t xml:space="preserve"> Homer </w:t>
      </w:r>
      <w:r w:rsidRPr="00745BDD">
        <w:rPr>
          <w:i/>
        </w:rPr>
        <w:t>Odyssey</w:t>
      </w:r>
      <w:r w:rsidRPr="00745BDD">
        <w:t xml:space="preserve">: XII.394-6; Stanford, W. B. (1962) </w:t>
      </w:r>
      <w:r w:rsidRPr="00745BDD">
        <w:rPr>
          <w:i/>
        </w:rPr>
        <w:t xml:space="preserve">The Odyssey of Homer </w:t>
      </w:r>
      <w:r w:rsidRPr="00745BDD">
        <w:t xml:space="preserve">Vol. II London: St. Martin’s Press: 354; de Jong, I. J. F. (2001) </w:t>
      </w:r>
      <w:r w:rsidRPr="00745BDD">
        <w:rPr>
          <w:i/>
        </w:rPr>
        <w:t>A Narratological Commentary on the Odyssey</w:t>
      </w:r>
      <w:r w:rsidRPr="00745BDD">
        <w:t xml:space="preserve"> Cambridge: Cambridge University Press: 501.</w:t>
      </w:r>
    </w:p>
  </w:footnote>
  <w:footnote w:id="173">
    <w:p w14:paraId="3A98D339" w14:textId="77777777" w:rsidR="005B3668" w:rsidRDefault="005B3668" w:rsidP="00954335">
      <w:pPr>
        <w:pStyle w:val="FootnoteText"/>
      </w:pPr>
      <w:r w:rsidRPr="00745BDD">
        <w:rPr>
          <w:rStyle w:val="FootnoteReference"/>
        </w:rPr>
        <w:footnoteRef/>
      </w:r>
      <w:r w:rsidRPr="00745BDD">
        <w:t xml:space="preserve"> Homer </w:t>
      </w:r>
      <w:r w:rsidRPr="00745BDD">
        <w:rPr>
          <w:i/>
        </w:rPr>
        <w:t>Odyssey</w:t>
      </w:r>
      <w:r w:rsidRPr="00745BDD">
        <w:t>: XXII.1-125.</w:t>
      </w:r>
    </w:p>
  </w:footnote>
  <w:footnote w:id="174">
    <w:p w14:paraId="13EC05C8" w14:textId="77777777" w:rsidR="005B3668" w:rsidRDefault="005B3668" w:rsidP="00954335">
      <w:pPr>
        <w:pStyle w:val="FootnoteText"/>
      </w:pPr>
      <w:r w:rsidRPr="00745BDD">
        <w:rPr>
          <w:rStyle w:val="FootnoteReference"/>
        </w:rPr>
        <w:footnoteRef/>
      </w:r>
      <w:r w:rsidRPr="00745BDD">
        <w:t xml:space="preserve"> Scott, J. A. (1917) ‘Odysseus as a Sun-God’, in, </w:t>
      </w:r>
      <w:r w:rsidRPr="00745BDD">
        <w:rPr>
          <w:i/>
        </w:rPr>
        <w:t xml:space="preserve">Classical Philology </w:t>
      </w:r>
      <w:r w:rsidRPr="00745BDD">
        <w:t xml:space="preserve">Vol.12, No.3.: 250-251. </w:t>
      </w:r>
    </w:p>
  </w:footnote>
  <w:footnote w:id="175">
    <w:p w14:paraId="60A6757D" w14:textId="77777777" w:rsidR="005B3668" w:rsidRDefault="005B3668" w:rsidP="00954335">
      <w:pPr>
        <w:pStyle w:val="FootnoteText"/>
      </w:pPr>
      <w:r w:rsidRPr="00745BDD">
        <w:rPr>
          <w:rStyle w:val="FootnoteReference"/>
        </w:rPr>
        <w:footnoteRef/>
      </w:r>
      <w:r w:rsidRPr="00745BDD">
        <w:t xml:space="preserve"> Nagy, G. ‘Hour 10: The mind of Odysseus in the Homeric </w:t>
      </w:r>
      <w:r w:rsidRPr="00745BDD">
        <w:rPr>
          <w:i/>
        </w:rPr>
        <w:t>Odyssey</w:t>
      </w:r>
      <w:r w:rsidRPr="00745BDD">
        <w:t xml:space="preserve">’, from, </w:t>
      </w:r>
      <w:r w:rsidRPr="00745BDD">
        <w:rPr>
          <w:i/>
        </w:rPr>
        <w:t>The Ancient Greek Hero in 24 Hours</w:t>
      </w:r>
      <w:r w:rsidRPr="00745BDD">
        <w:t xml:space="preserve"> MOOC: Harvard University [accessed: 17-09-2014].</w:t>
      </w:r>
    </w:p>
  </w:footnote>
  <w:footnote w:id="176">
    <w:p w14:paraId="6CF62036" w14:textId="77777777" w:rsidR="005B3668" w:rsidRDefault="005B3668" w:rsidP="00954335">
      <w:pPr>
        <w:pStyle w:val="FootnoteText"/>
      </w:pPr>
      <w:r w:rsidRPr="00745BDD">
        <w:rPr>
          <w:rStyle w:val="FootnoteReference"/>
        </w:rPr>
        <w:footnoteRef/>
      </w:r>
      <w:r w:rsidRPr="00745BDD">
        <w:t xml:space="preserve">The root of both words, *nes- can be understood as: ‘a return to light and life’; Nagy, G. ‘Hour 10: The mind of Odysseus in the Homeric </w:t>
      </w:r>
      <w:r w:rsidRPr="00745BDD">
        <w:rPr>
          <w:i/>
        </w:rPr>
        <w:t>Odyssey</w:t>
      </w:r>
      <w:r w:rsidRPr="00745BDD">
        <w:t xml:space="preserve">’, from, </w:t>
      </w:r>
      <w:r w:rsidRPr="00745BDD">
        <w:rPr>
          <w:i/>
        </w:rPr>
        <w:t>The Ancient Greek Hero in 24 Hours</w:t>
      </w:r>
      <w:r w:rsidRPr="00745BDD">
        <w:t xml:space="preserve"> MOOC: Harvard University [accessed: 17-09-2014]. (For more on the solar path of the dead see the following section 3.a.v). </w:t>
      </w:r>
    </w:p>
  </w:footnote>
  <w:footnote w:id="177">
    <w:p w14:paraId="393EB5B9" w14:textId="77777777" w:rsidR="005B3668" w:rsidRDefault="005B3668" w:rsidP="00954335">
      <w:pPr>
        <w:pStyle w:val="FootnoteText"/>
      </w:pPr>
      <w:r w:rsidRPr="00745BDD">
        <w:rPr>
          <w:rStyle w:val="FootnoteReference"/>
        </w:rPr>
        <w:footnoteRef/>
      </w:r>
      <w:r w:rsidRPr="00745BDD">
        <w:t xml:space="preserve"> Homer </w:t>
      </w:r>
      <w:r w:rsidRPr="00745BDD">
        <w:rPr>
          <w:i/>
        </w:rPr>
        <w:t>Odyssey</w:t>
      </w:r>
      <w:r w:rsidRPr="00745BDD">
        <w:t>: XIII.93-95.</w:t>
      </w:r>
    </w:p>
  </w:footnote>
  <w:footnote w:id="178">
    <w:p w14:paraId="35CE48A8" w14:textId="77777777" w:rsidR="005B3668" w:rsidRDefault="005B3668" w:rsidP="00954335">
      <w:pPr>
        <w:pStyle w:val="FootnoteText"/>
      </w:pPr>
      <w:r w:rsidRPr="00745BDD">
        <w:rPr>
          <w:rStyle w:val="FootnoteReference"/>
        </w:rPr>
        <w:footnoteRef/>
      </w:r>
      <w:r w:rsidRPr="00745BDD">
        <w:t xml:space="preserve"> Homer </w:t>
      </w:r>
      <w:r w:rsidRPr="00745BDD">
        <w:rPr>
          <w:i/>
        </w:rPr>
        <w:t>Odyssey</w:t>
      </w:r>
      <w:r w:rsidRPr="00745BDD">
        <w:t>:XIII.79-81.</w:t>
      </w:r>
    </w:p>
  </w:footnote>
  <w:footnote w:id="179">
    <w:p w14:paraId="45C635B0" w14:textId="77777777" w:rsidR="005B3668" w:rsidRDefault="005B3668" w:rsidP="00954335">
      <w:pPr>
        <w:pStyle w:val="FootnoteText"/>
      </w:pPr>
      <w:r w:rsidRPr="00745BDD">
        <w:rPr>
          <w:rStyle w:val="FootnoteReference"/>
        </w:rPr>
        <w:footnoteRef/>
      </w:r>
      <w:r w:rsidRPr="00745BDD">
        <w:t xml:space="preserve"> For more on the solar path of the dead see the following section 3.a.v.</w:t>
      </w:r>
    </w:p>
  </w:footnote>
  <w:footnote w:id="180">
    <w:p w14:paraId="600686EA" w14:textId="77777777" w:rsidR="005B3668" w:rsidRDefault="005B3668" w:rsidP="00954335">
      <w:pPr>
        <w:pStyle w:val="FootnoteText"/>
      </w:pPr>
      <w:r w:rsidRPr="00745BDD">
        <w:rPr>
          <w:rStyle w:val="FootnoteReference"/>
        </w:rPr>
        <w:footnoteRef/>
      </w:r>
      <w:r w:rsidRPr="00745BDD">
        <w:t xml:space="preserve"> A spiritual interpretation of the </w:t>
      </w:r>
      <w:r w:rsidRPr="00745BDD">
        <w:rPr>
          <w:i/>
        </w:rPr>
        <w:t>Odyssey</w:t>
      </w:r>
      <w:r w:rsidRPr="00745BDD">
        <w:t xml:space="preserve"> was also undertaken by later Neoplatonists, see for example: Edwards, M. J. (1988) ‘Scenes from the later wanderings of Odysseus’, in, </w:t>
      </w:r>
      <w:r w:rsidRPr="00745BDD">
        <w:rPr>
          <w:i/>
        </w:rPr>
        <w:t>Classical Quarterly</w:t>
      </w:r>
      <w:r w:rsidRPr="00745BDD">
        <w:t xml:space="preserve"> Vol.38 No.2: 509-581, and; Addey, C. (2014) </w:t>
      </w:r>
      <w:r w:rsidRPr="00745BDD">
        <w:rPr>
          <w:bCs/>
          <w:i/>
        </w:rPr>
        <w:t>Divination and Theurgy in Neoplatonism: </w:t>
      </w:r>
      <w:r w:rsidRPr="00745BDD">
        <w:rPr>
          <w:i/>
        </w:rPr>
        <w:t>Oracles of the Gods</w:t>
      </w:r>
      <w:r w:rsidRPr="00745BDD">
        <w:t xml:space="preserve"> London: Ashgate Publishing: 36.</w:t>
      </w:r>
    </w:p>
  </w:footnote>
  <w:footnote w:id="181">
    <w:p w14:paraId="7572A103" w14:textId="77777777" w:rsidR="005B3668" w:rsidRDefault="005B3668">
      <w:pPr>
        <w:pStyle w:val="FootnoteText"/>
      </w:pPr>
      <w:r w:rsidRPr="00DF697F">
        <w:rPr>
          <w:rStyle w:val="FootnoteReference"/>
        </w:rPr>
        <w:footnoteRef/>
      </w:r>
      <w:r w:rsidRPr="00DF697F">
        <w:t xml:space="preserve"> Cooley, J. L. (2013) </w:t>
      </w:r>
      <w:r w:rsidRPr="00DF697F">
        <w:rPr>
          <w:i/>
        </w:rPr>
        <w:t>Poetic Astronomy in the Ancient Near East: The Reflexes of Celestial Science in Ancient Mesopotamian, Ugaritic, and Israelite Narrative</w:t>
      </w:r>
      <w:r w:rsidRPr="00DF697F">
        <w:t xml:space="preserve"> Winona Lake, IN: Eisenbrauns: 328.</w:t>
      </w:r>
    </w:p>
  </w:footnote>
  <w:footnote w:id="182">
    <w:p w14:paraId="4997E068" w14:textId="77777777" w:rsidR="005B3668" w:rsidRDefault="005B3668" w:rsidP="00BC7EC6">
      <w:pPr>
        <w:pStyle w:val="FootnoteText"/>
      </w:pPr>
      <w:r w:rsidRPr="00745BDD">
        <w:rPr>
          <w:rStyle w:val="FootnoteReference"/>
        </w:rPr>
        <w:footnoteRef/>
      </w:r>
      <w:r w:rsidRPr="00745BDD">
        <w:t>Line numbers are approximate.</w:t>
      </w:r>
    </w:p>
  </w:footnote>
  <w:footnote w:id="183">
    <w:p w14:paraId="6288DA68" w14:textId="77777777" w:rsidR="005B3668" w:rsidRDefault="005B3668" w:rsidP="00BC7EC6">
      <w:pPr>
        <w:pStyle w:val="FootnoteText"/>
      </w:pPr>
      <w:r w:rsidRPr="00745BDD">
        <w:rPr>
          <w:rStyle w:val="FootnoteReference"/>
        </w:rPr>
        <w:footnoteRef/>
      </w:r>
      <w:r w:rsidRPr="00745BDD">
        <w:t xml:space="preserve"> This line represents the belief that rain falls from a vast celestial body of water.</w:t>
      </w:r>
    </w:p>
  </w:footnote>
  <w:footnote w:id="184">
    <w:p w14:paraId="372FC5D0" w14:textId="77777777" w:rsidR="005B3668" w:rsidRDefault="005B3668" w:rsidP="00BC7EC6">
      <w:pPr>
        <w:pStyle w:val="FootnoteText"/>
      </w:pPr>
      <w:r w:rsidRPr="00745BDD">
        <w:rPr>
          <w:rStyle w:val="FootnoteReference"/>
        </w:rPr>
        <w:footnoteRef/>
      </w:r>
      <w:r w:rsidRPr="00745BDD">
        <w:t xml:space="preserve"> See also MUL.APIN I.I.36-37 ‘the constellations that pass through the northernmost gates belong to the path of Enlil, those that pass through the central gates belong to the path of Anu, and those that pass through the southernmost gates belong to the path of Ea’. Hunger, H. and Pingree, D. (1989) </w:t>
      </w:r>
      <w:r w:rsidRPr="00745BDD">
        <w:rPr>
          <w:i/>
        </w:rPr>
        <w:t>MUL.APIN: As Astronomical Compendium in Cuneiform</w:t>
      </w:r>
      <w:r w:rsidRPr="00745BDD">
        <w:t xml:space="preserve"> Horn, Austria: Ferdinand Berger &amp;SonneGesellenschaft: 139. </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E5DD7F" w14:textId="729A9DD1" w:rsidR="005B3668" w:rsidRDefault="005B3668">
    <w:pPr>
      <w:pStyle w:val="Header"/>
      <w:jc w:val="right"/>
    </w:pPr>
    <w:r>
      <w:fldChar w:fldCharType="begin"/>
    </w:r>
    <w:r>
      <w:instrText xml:space="preserve"> PAGE   \* MERGEFORMAT </w:instrText>
    </w:r>
    <w:r>
      <w:fldChar w:fldCharType="separate"/>
    </w:r>
    <w:r w:rsidR="00367539">
      <w:rPr>
        <w:noProof/>
      </w:rPr>
      <w:t>48</w:t>
    </w:r>
    <w:r>
      <w:rPr>
        <w:noProof/>
      </w:rPr>
      <w:fldChar w:fldCharType="end"/>
    </w:r>
  </w:p>
  <w:p w14:paraId="5D6F0A9B" w14:textId="77777777" w:rsidR="005B3668" w:rsidRDefault="005B36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072E1"/>
    <w:multiLevelType w:val="hybridMultilevel"/>
    <w:tmpl w:val="DA22C87C"/>
    <w:lvl w:ilvl="0" w:tplc="4B0438B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603C15"/>
    <w:multiLevelType w:val="hybridMultilevel"/>
    <w:tmpl w:val="B10A4350"/>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09093D80"/>
    <w:multiLevelType w:val="hybridMultilevel"/>
    <w:tmpl w:val="E2FC5ED8"/>
    <w:lvl w:ilvl="0" w:tplc="08090017">
      <w:start w:val="1"/>
      <w:numFmt w:val="lowerLetter"/>
      <w:lvlText w:val="%1)"/>
      <w:lvlJc w:val="left"/>
      <w:pPr>
        <w:ind w:left="1080" w:hanging="360"/>
      </w:pPr>
      <w:rPr>
        <w:rFonts w:cs="Times New Roman"/>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3" w15:restartNumberingAfterBreak="0">
    <w:nsid w:val="090C4365"/>
    <w:multiLevelType w:val="hybridMultilevel"/>
    <w:tmpl w:val="76029656"/>
    <w:lvl w:ilvl="0" w:tplc="08090019">
      <w:start w:val="1"/>
      <w:numFmt w:val="lowerLetter"/>
      <w:lvlText w:val="%1."/>
      <w:lvlJc w:val="left"/>
      <w:pPr>
        <w:ind w:left="644" w:hanging="360"/>
      </w:pPr>
      <w:rPr>
        <w:rFonts w:cs="Times New Roman"/>
      </w:rPr>
    </w:lvl>
    <w:lvl w:ilvl="1" w:tplc="C6E0FE7A">
      <w:start w:val="1"/>
      <w:numFmt w:val="lowerLetter"/>
      <w:lvlText w:val="%2."/>
      <w:lvlJc w:val="right"/>
      <w:pPr>
        <w:ind w:left="1364" w:hanging="360"/>
      </w:pPr>
      <w:rPr>
        <w:rFonts w:ascii="Arial" w:eastAsia="Times New Roman" w:hAnsi="Arial" w:cs="Arial"/>
      </w:rPr>
    </w:lvl>
    <w:lvl w:ilvl="2" w:tplc="0809001B" w:tentative="1">
      <w:start w:val="1"/>
      <w:numFmt w:val="lowerRoman"/>
      <w:lvlText w:val="%3."/>
      <w:lvlJc w:val="right"/>
      <w:pPr>
        <w:ind w:left="2084" w:hanging="180"/>
      </w:pPr>
      <w:rPr>
        <w:rFonts w:cs="Times New Roman"/>
      </w:rPr>
    </w:lvl>
    <w:lvl w:ilvl="3" w:tplc="0809000F" w:tentative="1">
      <w:start w:val="1"/>
      <w:numFmt w:val="decimal"/>
      <w:lvlText w:val="%4."/>
      <w:lvlJc w:val="left"/>
      <w:pPr>
        <w:ind w:left="2804" w:hanging="360"/>
      </w:pPr>
      <w:rPr>
        <w:rFonts w:cs="Times New Roman"/>
      </w:rPr>
    </w:lvl>
    <w:lvl w:ilvl="4" w:tplc="08090019" w:tentative="1">
      <w:start w:val="1"/>
      <w:numFmt w:val="lowerLetter"/>
      <w:lvlText w:val="%5."/>
      <w:lvlJc w:val="left"/>
      <w:pPr>
        <w:ind w:left="3524" w:hanging="360"/>
      </w:pPr>
      <w:rPr>
        <w:rFonts w:cs="Times New Roman"/>
      </w:rPr>
    </w:lvl>
    <w:lvl w:ilvl="5" w:tplc="0809001B" w:tentative="1">
      <w:start w:val="1"/>
      <w:numFmt w:val="lowerRoman"/>
      <w:lvlText w:val="%6."/>
      <w:lvlJc w:val="right"/>
      <w:pPr>
        <w:ind w:left="4244" w:hanging="180"/>
      </w:pPr>
      <w:rPr>
        <w:rFonts w:cs="Times New Roman"/>
      </w:rPr>
    </w:lvl>
    <w:lvl w:ilvl="6" w:tplc="0809000F" w:tentative="1">
      <w:start w:val="1"/>
      <w:numFmt w:val="decimal"/>
      <w:lvlText w:val="%7."/>
      <w:lvlJc w:val="left"/>
      <w:pPr>
        <w:ind w:left="4964" w:hanging="360"/>
      </w:pPr>
      <w:rPr>
        <w:rFonts w:cs="Times New Roman"/>
      </w:rPr>
    </w:lvl>
    <w:lvl w:ilvl="7" w:tplc="08090019" w:tentative="1">
      <w:start w:val="1"/>
      <w:numFmt w:val="lowerLetter"/>
      <w:lvlText w:val="%8."/>
      <w:lvlJc w:val="left"/>
      <w:pPr>
        <w:ind w:left="5684" w:hanging="360"/>
      </w:pPr>
      <w:rPr>
        <w:rFonts w:cs="Times New Roman"/>
      </w:rPr>
    </w:lvl>
    <w:lvl w:ilvl="8" w:tplc="0809001B" w:tentative="1">
      <w:start w:val="1"/>
      <w:numFmt w:val="lowerRoman"/>
      <w:lvlText w:val="%9."/>
      <w:lvlJc w:val="right"/>
      <w:pPr>
        <w:ind w:left="6404" w:hanging="180"/>
      </w:pPr>
      <w:rPr>
        <w:rFonts w:cs="Times New Roman"/>
      </w:rPr>
    </w:lvl>
  </w:abstractNum>
  <w:abstractNum w:abstractNumId="4" w15:restartNumberingAfterBreak="0">
    <w:nsid w:val="092217FC"/>
    <w:multiLevelType w:val="hybridMultilevel"/>
    <w:tmpl w:val="FFA627A8"/>
    <w:lvl w:ilvl="0" w:tplc="08090019">
      <w:start w:val="1"/>
      <w:numFmt w:val="lowerLetter"/>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0F2A623E"/>
    <w:multiLevelType w:val="hybridMultilevel"/>
    <w:tmpl w:val="6F2C6CF4"/>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15:restartNumberingAfterBreak="0">
    <w:nsid w:val="10554EAB"/>
    <w:multiLevelType w:val="hybridMultilevel"/>
    <w:tmpl w:val="6BEEFA02"/>
    <w:lvl w:ilvl="0" w:tplc="8E0E30F0">
      <w:start w:val="3"/>
      <w:numFmt w:val="bullet"/>
      <w:lvlText w:val="-"/>
      <w:lvlJc w:val="left"/>
      <w:pPr>
        <w:ind w:left="420" w:hanging="360"/>
      </w:pPr>
      <w:rPr>
        <w:rFonts w:ascii="Century Schoolbook" w:eastAsia="Times New Roman" w:hAnsi="Century Schoolbook"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C6201E"/>
    <w:multiLevelType w:val="hybridMultilevel"/>
    <w:tmpl w:val="4EFEC45E"/>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119C474D"/>
    <w:multiLevelType w:val="hybridMultilevel"/>
    <w:tmpl w:val="F3801B30"/>
    <w:lvl w:ilvl="0" w:tplc="CD32A718">
      <w:start w:val="3"/>
      <w:numFmt w:val="bullet"/>
      <w:lvlText w:val="—"/>
      <w:lvlJc w:val="left"/>
      <w:pPr>
        <w:ind w:left="720" w:hanging="360"/>
      </w:pPr>
      <w:rPr>
        <w:rFonts w:ascii="Century Schoolbook" w:eastAsia="Times New Roman" w:hAnsi="Century Schoolbook"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553EBF"/>
    <w:multiLevelType w:val="hybridMultilevel"/>
    <w:tmpl w:val="5F083E24"/>
    <w:lvl w:ilvl="0" w:tplc="08090019">
      <w:start w:val="1"/>
      <w:numFmt w:val="lowerLetter"/>
      <w:lvlText w:val="%1."/>
      <w:lvlJc w:val="left"/>
      <w:pPr>
        <w:ind w:left="644" w:hanging="360"/>
      </w:pPr>
      <w:rPr>
        <w:rFonts w:cs="Times New Roman"/>
      </w:rPr>
    </w:lvl>
    <w:lvl w:ilvl="1" w:tplc="0809001B">
      <w:start w:val="1"/>
      <w:numFmt w:val="lowerRoman"/>
      <w:lvlText w:val="%2."/>
      <w:lvlJc w:val="right"/>
      <w:pPr>
        <w:ind w:left="1364" w:hanging="360"/>
      </w:pPr>
      <w:rPr>
        <w:rFonts w:cs="Times New Roman"/>
      </w:rPr>
    </w:lvl>
    <w:lvl w:ilvl="2" w:tplc="0809001B" w:tentative="1">
      <w:start w:val="1"/>
      <w:numFmt w:val="lowerRoman"/>
      <w:lvlText w:val="%3."/>
      <w:lvlJc w:val="right"/>
      <w:pPr>
        <w:ind w:left="2084" w:hanging="180"/>
      </w:pPr>
      <w:rPr>
        <w:rFonts w:cs="Times New Roman"/>
      </w:rPr>
    </w:lvl>
    <w:lvl w:ilvl="3" w:tplc="0809000F" w:tentative="1">
      <w:start w:val="1"/>
      <w:numFmt w:val="decimal"/>
      <w:lvlText w:val="%4."/>
      <w:lvlJc w:val="left"/>
      <w:pPr>
        <w:ind w:left="2804" w:hanging="360"/>
      </w:pPr>
      <w:rPr>
        <w:rFonts w:cs="Times New Roman"/>
      </w:rPr>
    </w:lvl>
    <w:lvl w:ilvl="4" w:tplc="08090019" w:tentative="1">
      <w:start w:val="1"/>
      <w:numFmt w:val="lowerLetter"/>
      <w:lvlText w:val="%5."/>
      <w:lvlJc w:val="left"/>
      <w:pPr>
        <w:ind w:left="3524" w:hanging="360"/>
      </w:pPr>
      <w:rPr>
        <w:rFonts w:cs="Times New Roman"/>
      </w:rPr>
    </w:lvl>
    <w:lvl w:ilvl="5" w:tplc="0809001B" w:tentative="1">
      <w:start w:val="1"/>
      <w:numFmt w:val="lowerRoman"/>
      <w:lvlText w:val="%6."/>
      <w:lvlJc w:val="right"/>
      <w:pPr>
        <w:ind w:left="4244" w:hanging="180"/>
      </w:pPr>
      <w:rPr>
        <w:rFonts w:cs="Times New Roman"/>
      </w:rPr>
    </w:lvl>
    <w:lvl w:ilvl="6" w:tplc="0809000F" w:tentative="1">
      <w:start w:val="1"/>
      <w:numFmt w:val="decimal"/>
      <w:lvlText w:val="%7."/>
      <w:lvlJc w:val="left"/>
      <w:pPr>
        <w:ind w:left="4964" w:hanging="360"/>
      </w:pPr>
      <w:rPr>
        <w:rFonts w:cs="Times New Roman"/>
      </w:rPr>
    </w:lvl>
    <w:lvl w:ilvl="7" w:tplc="08090019" w:tentative="1">
      <w:start w:val="1"/>
      <w:numFmt w:val="lowerLetter"/>
      <w:lvlText w:val="%8."/>
      <w:lvlJc w:val="left"/>
      <w:pPr>
        <w:ind w:left="5684" w:hanging="360"/>
      </w:pPr>
      <w:rPr>
        <w:rFonts w:cs="Times New Roman"/>
      </w:rPr>
    </w:lvl>
    <w:lvl w:ilvl="8" w:tplc="0809001B" w:tentative="1">
      <w:start w:val="1"/>
      <w:numFmt w:val="lowerRoman"/>
      <w:lvlText w:val="%9."/>
      <w:lvlJc w:val="right"/>
      <w:pPr>
        <w:ind w:left="6404" w:hanging="180"/>
      </w:pPr>
      <w:rPr>
        <w:rFonts w:cs="Times New Roman"/>
      </w:rPr>
    </w:lvl>
  </w:abstractNum>
  <w:abstractNum w:abstractNumId="10" w15:restartNumberingAfterBreak="0">
    <w:nsid w:val="14A709D3"/>
    <w:multiLevelType w:val="hybridMultilevel"/>
    <w:tmpl w:val="7F927228"/>
    <w:lvl w:ilvl="0" w:tplc="08090019">
      <w:start w:val="1"/>
      <w:numFmt w:val="lowerLetter"/>
      <w:lvlText w:val="%1."/>
      <w:lvlJc w:val="left"/>
      <w:pPr>
        <w:ind w:left="644" w:hanging="360"/>
      </w:pPr>
      <w:rPr>
        <w:rFonts w:cs="Times New Roman" w:hint="default"/>
      </w:rPr>
    </w:lvl>
    <w:lvl w:ilvl="1" w:tplc="08090019">
      <w:start w:val="1"/>
      <w:numFmt w:val="lowerLetter"/>
      <w:lvlText w:val="%2."/>
      <w:lvlJc w:val="left"/>
      <w:pPr>
        <w:ind w:left="1364" w:hanging="360"/>
      </w:pPr>
      <w:rPr>
        <w:rFonts w:cs="Times New Roman"/>
      </w:rPr>
    </w:lvl>
    <w:lvl w:ilvl="2" w:tplc="0809001B">
      <w:start w:val="1"/>
      <w:numFmt w:val="lowerRoman"/>
      <w:lvlText w:val="%3."/>
      <w:lvlJc w:val="right"/>
      <w:pPr>
        <w:ind w:left="2084" w:hanging="180"/>
      </w:pPr>
      <w:rPr>
        <w:rFonts w:cs="Times New Roman"/>
      </w:rPr>
    </w:lvl>
    <w:lvl w:ilvl="3" w:tplc="0809000F" w:tentative="1">
      <w:start w:val="1"/>
      <w:numFmt w:val="decimal"/>
      <w:lvlText w:val="%4."/>
      <w:lvlJc w:val="left"/>
      <w:pPr>
        <w:ind w:left="2804" w:hanging="360"/>
      </w:pPr>
      <w:rPr>
        <w:rFonts w:cs="Times New Roman"/>
      </w:rPr>
    </w:lvl>
    <w:lvl w:ilvl="4" w:tplc="08090019" w:tentative="1">
      <w:start w:val="1"/>
      <w:numFmt w:val="lowerLetter"/>
      <w:lvlText w:val="%5."/>
      <w:lvlJc w:val="left"/>
      <w:pPr>
        <w:ind w:left="3524" w:hanging="360"/>
      </w:pPr>
      <w:rPr>
        <w:rFonts w:cs="Times New Roman"/>
      </w:rPr>
    </w:lvl>
    <w:lvl w:ilvl="5" w:tplc="0809001B" w:tentative="1">
      <w:start w:val="1"/>
      <w:numFmt w:val="lowerRoman"/>
      <w:lvlText w:val="%6."/>
      <w:lvlJc w:val="right"/>
      <w:pPr>
        <w:ind w:left="4244" w:hanging="180"/>
      </w:pPr>
      <w:rPr>
        <w:rFonts w:cs="Times New Roman"/>
      </w:rPr>
    </w:lvl>
    <w:lvl w:ilvl="6" w:tplc="0809000F" w:tentative="1">
      <w:start w:val="1"/>
      <w:numFmt w:val="decimal"/>
      <w:lvlText w:val="%7."/>
      <w:lvlJc w:val="left"/>
      <w:pPr>
        <w:ind w:left="4964" w:hanging="360"/>
      </w:pPr>
      <w:rPr>
        <w:rFonts w:cs="Times New Roman"/>
      </w:rPr>
    </w:lvl>
    <w:lvl w:ilvl="7" w:tplc="08090019" w:tentative="1">
      <w:start w:val="1"/>
      <w:numFmt w:val="lowerLetter"/>
      <w:lvlText w:val="%8."/>
      <w:lvlJc w:val="left"/>
      <w:pPr>
        <w:ind w:left="5684" w:hanging="360"/>
      </w:pPr>
      <w:rPr>
        <w:rFonts w:cs="Times New Roman"/>
      </w:rPr>
    </w:lvl>
    <w:lvl w:ilvl="8" w:tplc="0809001B" w:tentative="1">
      <w:start w:val="1"/>
      <w:numFmt w:val="lowerRoman"/>
      <w:lvlText w:val="%9."/>
      <w:lvlJc w:val="right"/>
      <w:pPr>
        <w:ind w:left="6404" w:hanging="180"/>
      </w:pPr>
      <w:rPr>
        <w:rFonts w:cs="Times New Roman"/>
      </w:rPr>
    </w:lvl>
  </w:abstractNum>
  <w:abstractNum w:abstractNumId="11" w15:restartNumberingAfterBreak="0">
    <w:nsid w:val="16A43457"/>
    <w:multiLevelType w:val="hybridMultilevel"/>
    <w:tmpl w:val="C2DE42C2"/>
    <w:lvl w:ilvl="0" w:tplc="8E0E30F0">
      <w:start w:val="3"/>
      <w:numFmt w:val="bullet"/>
      <w:lvlText w:val="-"/>
      <w:lvlJc w:val="left"/>
      <w:pPr>
        <w:ind w:left="420" w:hanging="360"/>
      </w:pPr>
      <w:rPr>
        <w:rFonts w:ascii="Century Schoolbook" w:eastAsia="Times New Roman" w:hAnsi="Century Schoolbook"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18B50CBB"/>
    <w:multiLevelType w:val="hybridMultilevel"/>
    <w:tmpl w:val="C1463C4E"/>
    <w:lvl w:ilvl="0" w:tplc="0809001B">
      <w:start w:val="1"/>
      <w:numFmt w:val="lowerRoman"/>
      <w:lvlText w:val="%1."/>
      <w:lvlJc w:val="right"/>
      <w:pPr>
        <w:ind w:left="1440" w:hanging="72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3" w15:restartNumberingAfterBreak="0">
    <w:nsid w:val="1ADA60B0"/>
    <w:multiLevelType w:val="hybridMultilevel"/>
    <w:tmpl w:val="15D4A3F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4" w15:restartNumberingAfterBreak="0">
    <w:nsid w:val="1C941ACD"/>
    <w:multiLevelType w:val="hybridMultilevel"/>
    <w:tmpl w:val="AC502E96"/>
    <w:lvl w:ilvl="0" w:tplc="BA70D354">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15" w15:restartNumberingAfterBreak="0">
    <w:nsid w:val="1DEF0C0C"/>
    <w:multiLevelType w:val="hybridMultilevel"/>
    <w:tmpl w:val="BA84EDB2"/>
    <w:lvl w:ilvl="0" w:tplc="BA70D35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4279AF"/>
    <w:multiLevelType w:val="hybridMultilevel"/>
    <w:tmpl w:val="053C507E"/>
    <w:lvl w:ilvl="0" w:tplc="30CC603C">
      <w:start w:val="1"/>
      <w:numFmt w:val="decimal"/>
      <w:lvlText w:val="%1."/>
      <w:lvlJc w:val="left"/>
      <w:pPr>
        <w:tabs>
          <w:tab w:val="num" w:pos="720"/>
        </w:tabs>
        <w:ind w:left="720" w:hanging="360"/>
      </w:pPr>
      <w:rPr>
        <w:rFonts w:cs="Times New Roman" w:hint="default"/>
        <w:b w:val="0"/>
        <w:i w:val="0"/>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7" w15:restartNumberingAfterBreak="0">
    <w:nsid w:val="1E501583"/>
    <w:multiLevelType w:val="hybridMultilevel"/>
    <w:tmpl w:val="EABCD446"/>
    <w:lvl w:ilvl="0" w:tplc="08090019">
      <w:start w:val="1"/>
      <w:numFmt w:val="lowerLetter"/>
      <w:lvlText w:val="%1."/>
      <w:lvlJc w:val="left"/>
      <w:pPr>
        <w:ind w:left="1440" w:hanging="360"/>
      </w:pPr>
      <w:rPr>
        <w:rFonts w:cs="Times New Roman"/>
      </w:rPr>
    </w:lvl>
    <w:lvl w:ilvl="1" w:tplc="08090019" w:tentative="1">
      <w:start w:val="1"/>
      <w:numFmt w:val="lowerLetter"/>
      <w:lvlText w:val="%2."/>
      <w:lvlJc w:val="left"/>
      <w:pPr>
        <w:ind w:left="2160" w:hanging="360"/>
      </w:pPr>
      <w:rPr>
        <w:rFonts w:cs="Times New Roman"/>
      </w:rPr>
    </w:lvl>
    <w:lvl w:ilvl="2" w:tplc="0809001B" w:tentative="1">
      <w:start w:val="1"/>
      <w:numFmt w:val="lowerRoman"/>
      <w:lvlText w:val="%3."/>
      <w:lvlJc w:val="right"/>
      <w:pPr>
        <w:ind w:left="2880" w:hanging="180"/>
      </w:pPr>
      <w:rPr>
        <w:rFonts w:cs="Times New Roman"/>
      </w:rPr>
    </w:lvl>
    <w:lvl w:ilvl="3" w:tplc="0809000F" w:tentative="1">
      <w:start w:val="1"/>
      <w:numFmt w:val="decimal"/>
      <w:lvlText w:val="%4."/>
      <w:lvlJc w:val="left"/>
      <w:pPr>
        <w:ind w:left="3600" w:hanging="360"/>
      </w:pPr>
      <w:rPr>
        <w:rFonts w:cs="Times New Roman"/>
      </w:rPr>
    </w:lvl>
    <w:lvl w:ilvl="4" w:tplc="08090019" w:tentative="1">
      <w:start w:val="1"/>
      <w:numFmt w:val="lowerLetter"/>
      <w:lvlText w:val="%5."/>
      <w:lvlJc w:val="left"/>
      <w:pPr>
        <w:ind w:left="4320" w:hanging="360"/>
      </w:pPr>
      <w:rPr>
        <w:rFonts w:cs="Times New Roman"/>
      </w:rPr>
    </w:lvl>
    <w:lvl w:ilvl="5" w:tplc="0809001B" w:tentative="1">
      <w:start w:val="1"/>
      <w:numFmt w:val="lowerRoman"/>
      <w:lvlText w:val="%6."/>
      <w:lvlJc w:val="right"/>
      <w:pPr>
        <w:ind w:left="5040" w:hanging="180"/>
      </w:pPr>
      <w:rPr>
        <w:rFonts w:cs="Times New Roman"/>
      </w:rPr>
    </w:lvl>
    <w:lvl w:ilvl="6" w:tplc="0809000F" w:tentative="1">
      <w:start w:val="1"/>
      <w:numFmt w:val="decimal"/>
      <w:lvlText w:val="%7."/>
      <w:lvlJc w:val="left"/>
      <w:pPr>
        <w:ind w:left="5760" w:hanging="360"/>
      </w:pPr>
      <w:rPr>
        <w:rFonts w:cs="Times New Roman"/>
      </w:rPr>
    </w:lvl>
    <w:lvl w:ilvl="7" w:tplc="08090019" w:tentative="1">
      <w:start w:val="1"/>
      <w:numFmt w:val="lowerLetter"/>
      <w:lvlText w:val="%8."/>
      <w:lvlJc w:val="left"/>
      <w:pPr>
        <w:ind w:left="6480" w:hanging="360"/>
      </w:pPr>
      <w:rPr>
        <w:rFonts w:cs="Times New Roman"/>
      </w:rPr>
    </w:lvl>
    <w:lvl w:ilvl="8" w:tplc="0809001B" w:tentative="1">
      <w:start w:val="1"/>
      <w:numFmt w:val="lowerRoman"/>
      <w:lvlText w:val="%9."/>
      <w:lvlJc w:val="right"/>
      <w:pPr>
        <w:ind w:left="7200" w:hanging="180"/>
      </w:pPr>
      <w:rPr>
        <w:rFonts w:cs="Times New Roman"/>
      </w:rPr>
    </w:lvl>
  </w:abstractNum>
  <w:abstractNum w:abstractNumId="18" w15:restartNumberingAfterBreak="0">
    <w:nsid w:val="1E5A1086"/>
    <w:multiLevelType w:val="hybridMultilevel"/>
    <w:tmpl w:val="30FEDDD0"/>
    <w:lvl w:ilvl="0" w:tplc="BA70D354">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19" w15:restartNumberingAfterBreak="0">
    <w:nsid w:val="21E20122"/>
    <w:multiLevelType w:val="hybridMultilevel"/>
    <w:tmpl w:val="44083D10"/>
    <w:lvl w:ilvl="0" w:tplc="08090019">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0" w15:restartNumberingAfterBreak="0">
    <w:nsid w:val="274D694E"/>
    <w:multiLevelType w:val="hybridMultilevel"/>
    <w:tmpl w:val="4156D844"/>
    <w:lvl w:ilvl="0" w:tplc="BA70D35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8800319"/>
    <w:multiLevelType w:val="hybridMultilevel"/>
    <w:tmpl w:val="ED30DEBC"/>
    <w:lvl w:ilvl="0" w:tplc="BA70D35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E5236C7"/>
    <w:multiLevelType w:val="hybridMultilevel"/>
    <w:tmpl w:val="53BE0998"/>
    <w:lvl w:ilvl="0" w:tplc="0809000F">
      <w:start w:val="1"/>
      <w:numFmt w:val="decimal"/>
      <w:lvlText w:val="%1."/>
      <w:lvlJc w:val="left"/>
      <w:pPr>
        <w:ind w:left="720" w:hanging="360"/>
      </w:pPr>
      <w:rPr>
        <w:rFonts w:cs="Times New Roman" w:hint="default"/>
      </w:rPr>
    </w:lvl>
    <w:lvl w:ilvl="1" w:tplc="0809001B">
      <w:start w:val="1"/>
      <w:numFmt w:val="lowerRoman"/>
      <w:lvlText w:val="%2."/>
      <w:lvlJc w:val="righ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3" w15:restartNumberingAfterBreak="0">
    <w:nsid w:val="32133077"/>
    <w:multiLevelType w:val="hybridMultilevel"/>
    <w:tmpl w:val="B3EAB816"/>
    <w:lvl w:ilvl="0" w:tplc="C93450D6">
      <w:start w:val="3"/>
      <w:numFmt w:val="bullet"/>
      <w:lvlText w:val="-"/>
      <w:lvlJc w:val="left"/>
      <w:pPr>
        <w:ind w:left="720" w:hanging="360"/>
      </w:pPr>
      <w:rPr>
        <w:rFonts w:ascii="Century Schoolbook" w:eastAsia="Times New Roman" w:hAnsi="Century Schoolbook"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2F5520"/>
    <w:multiLevelType w:val="hybridMultilevel"/>
    <w:tmpl w:val="76029656"/>
    <w:lvl w:ilvl="0" w:tplc="08090019">
      <w:start w:val="1"/>
      <w:numFmt w:val="lowerLetter"/>
      <w:lvlText w:val="%1."/>
      <w:lvlJc w:val="left"/>
      <w:pPr>
        <w:ind w:left="644" w:hanging="360"/>
      </w:pPr>
      <w:rPr>
        <w:rFonts w:cs="Times New Roman"/>
      </w:rPr>
    </w:lvl>
    <w:lvl w:ilvl="1" w:tplc="C6E0FE7A">
      <w:start w:val="1"/>
      <w:numFmt w:val="lowerLetter"/>
      <w:lvlText w:val="%2."/>
      <w:lvlJc w:val="right"/>
      <w:pPr>
        <w:ind w:left="1364" w:hanging="360"/>
      </w:pPr>
      <w:rPr>
        <w:rFonts w:ascii="Arial" w:eastAsia="Times New Roman" w:hAnsi="Arial" w:cs="Arial"/>
      </w:rPr>
    </w:lvl>
    <w:lvl w:ilvl="2" w:tplc="0809001B" w:tentative="1">
      <w:start w:val="1"/>
      <w:numFmt w:val="lowerRoman"/>
      <w:lvlText w:val="%3."/>
      <w:lvlJc w:val="right"/>
      <w:pPr>
        <w:ind w:left="2084" w:hanging="180"/>
      </w:pPr>
      <w:rPr>
        <w:rFonts w:cs="Times New Roman"/>
      </w:rPr>
    </w:lvl>
    <w:lvl w:ilvl="3" w:tplc="0809000F" w:tentative="1">
      <w:start w:val="1"/>
      <w:numFmt w:val="decimal"/>
      <w:lvlText w:val="%4."/>
      <w:lvlJc w:val="left"/>
      <w:pPr>
        <w:ind w:left="2804" w:hanging="360"/>
      </w:pPr>
      <w:rPr>
        <w:rFonts w:cs="Times New Roman"/>
      </w:rPr>
    </w:lvl>
    <w:lvl w:ilvl="4" w:tplc="08090019" w:tentative="1">
      <w:start w:val="1"/>
      <w:numFmt w:val="lowerLetter"/>
      <w:lvlText w:val="%5."/>
      <w:lvlJc w:val="left"/>
      <w:pPr>
        <w:ind w:left="3524" w:hanging="360"/>
      </w:pPr>
      <w:rPr>
        <w:rFonts w:cs="Times New Roman"/>
      </w:rPr>
    </w:lvl>
    <w:lvl w:ilvl="5" w:tplc="0809001B" w:tentative="1">
      <w:start w:val="1"/>
      <w:numFmt w:val="lowerRoman"/>
      <w:lvlText w:val="%6."/>
      <w:lvlJc w:val="right"/>
      <w:pPr>
        <w:ind w:left="4244" w:hanging="180"/>
      </w:pPr>
      <w:rPr>
        <w:rFonts w:cs="Times New Roman"/>
      </w:rPr>
    </w:lvl>
    <w:lvl w:ilvl="6" w:tplc="0809000F" w:tentative="1">
      <w:start w:val="1"/>
      <w:numFmt w:val="decimal"/>
      <w:lvlText w:val="%7."/>
      <w:lvlJc w:val="left"/>
      <w:pPr>
        <w:ind w:left="4964" w:hanging="360"/>
      </w:pPr>
      <w:rPr>
        <w:rFonts w:cs="Times New Roman"/>
      </w:rPr>
    </w:lvl>
    <w:lvl w:ilvl="7" w:tplc="08090019" w:tentative="1">
      <w:start w:val="1"/>
      <w:numFmt w:val="lowerLetter"/>
      <w:lvlText w:val="%8."/>
      <w:lvlJc w:val="left"/>
      <w:pPr>
        <w:ind w:left="5684" w:hanging="360"/>
      </w:pPr>
      <w:rPr>
        <w:rFonts w:cs="Times New Roman"/>
      </w:rPr>
    </w:lvl>
    <w:lvl w:ilvl="8" w:tplc="0809001B" w:tentative="1">
      <w:start w:val="1"/>
      <w:numFmt w:val="lowerRoman"/>
      <w:lvlText w:val="%9."/>
      <w:lvlJc w:val="right"/>
      <w:pPr>
        <w:ind w:left="6404" w:hanging="180"/>
      </w:pPr>
      <w:rPr>
        <w:rFonts w:cs="Times New Roman"/>
      </w:rPr>
    </w:lvl>
  </w:abstractNum>
  <w:abstractNum w:abstractNumId="25" w15:restartNumberingAfterBreak="0">
    <w:nsid w:val="3B57440C"/>
    <w:multiLevelType w:val="hybridMultilevel"/>
    <w:tmpl w:val="76BCAD56"/>
    <w:lvl w:ilvl="0" w:tplc="BA70D35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250A57"/>
    <w:multiLevelType w:val="hybridMultilevel"/>
    <w:tmpl w:val="5B4E5AA0"/>
    <w:lvl w:ilvl="0" w:tplc="C2C46EF0">
      <w:start w:val="3"/>
      <w:numFmt w:val="bullet"/>
      <w:lvlText w:val="-"/>
      <w:lvlJc w:val="left"/>
      <w:pPr>
        <w:ind w:left="420" w:hanging="360"/>
      </w:pPr>
      <w:rPr>
        <w:rFonts w:ascii="Century Schoolbook" w:eastAsia="Times New Roman" w:hAnsi="Century Schoolbook"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7" w15:restartNumberingAfterBreak="0">
    <w:nsid w:val="40D1429B"/>
    <w:multiLevelType w:val="hybridMultilevel"/>
    <w:tmpl w:val="F0E66298"/>
    <w:lvl w:ilvl="0" w:tplc="0932156A">
      <w:start w:val="1"/>
      <w:numFmt w:val="lowerLetter"/>
      <w:lvlText w:val="%1."/>
      <w:lvlJc w:val="left"/>
      <w:pPr>
        <w:ind w:left="644" w:hanging="360"/>
      </w:pPr>
      <w:rPr>
        <w:rFonts w:cs="Times New Roman" w:hint="default"/>
        <w:i w:val="0"/>
        <w:sz w:val="22"/>
      </w:rPr>
    </w:lvl>
    <w:lvl w:ilvl="1" w:tplc="08090019" w:tentative="1">
      <w:start w:val="1"/>
      <w:numFmt w:val="lowerLetter"/>
      <w:lvlText w:val="%2."/>
      <w:lvlJc w:val="left"/>
      <w:pPr>
        <w:ind w:left="1364" w:hanging="360"/>
      </w:pPr>
      <w:rPr>
        <w:rFonts w:cs="Times New Roman"/>
      </w:rPr>
    </w:lvl>
    <w:lvl w:ilvl="2" w:tplc="0809001B" w:tentative="1">
      <w:start w:val="1"/>
      <w:numFmt w:val="lowerRoman"/>
      <w:lvlText w:val="%3."/>
      <w:lvlJc w:val="right"/>
      <w:pPr>
        <w:ind w:left="2084" w:hanging="180"/>
      </w:pPr>
      <w:rPr>
        <w:rFonts w:cs="Times New Roman"/>
      </w:rPr>
    </w:lvl>
    <w:lvl w:ilvl="3" w:tplc="0809000F" w:tentative="1">
      <w:start w:val="1"/>
      <w:numFmt w:val="decimal"/>
      <w:lvlText w:val="%4."/>
      <w:lvlJc w:val="left"/>
      <w:pPr>
        <w:ind w:left="2804" w:hanging="360"/>
      </w:pPr>
      <w:rPr>
        <w:rFonts w:cs="Times New Roman"/>
      </w:rPr>
    </w:lvl>
    <w:lvl w:ilvl="4" w:tplc="08090019" w:tentative="1">
      <w:start w:val="1"/>
      <w:numFmt w:val="lowerLetter"/>
      <w:lvlText w:val="%5."/>
      <w:lvlJc w:val="left"/>
      <w:pPr>
        <w:ind w:left="3524" w:hanging="360"/>
      </w:pPr>
      <w:rPr>
        <w:rFonts w:cs="Times New Roman"/>
      </w:rPr>
    </w:lvl>
    <w:lvl w:ilvl="5" w:tplc="0809001B" w:tentative="1">
      <w:start w:val="1"/>
      <w:numFmt w:val="lowerRoman"/>
      <w:lvlText w:val="%6."/>
      <w:lvlJc w:val="right"/>
      <w:pPr>
        <w:ind w:left="4244" w:hanging="180"/>
      </w:pPr>
      <w:rPr>
        <w:rFonts w:cs="Times New Roman"/>
      </w:rPr>
    </w:lvl>
    <w:lvl w:ilvl="6" w:tplc="0809000F" w:tentative="1">
      <w:start w:val="1"/>
      <w:numFmt w:val="decimal"/>
      <w:lvlText w:val="%7."/>
      <w:lvlJc w:val="left"/>
      <w:pPr>
        <w:ind w:left="4964" w:hanging="360"/>
      </w:pPr>
      <w:rPr>
        <w:rFonts w:cs="Times New Roman"/>
      </w:rPr>
    </w:lvl>
    <w:lvl w:ilvl="7" w:tplc="08090019" w:tentative="1">
      <w:start w:val="1"/>
      <w:numFmt w:val="lowerLetter"/>
      <w:lvlText w:val="%8."/>
      <w:lvlJc w:val="left"/>
      <w:pPr>
        <w:ind w:left="5684" w:hanging="360"/>
      </w:pPr>
      <w:rPr>
        <w:rFonts w:cs="Times New Roman"/>
      </w:rPr>
    </w:lvl>
    <w:lvl w:ilvl="8" w:tplc="0809001B" w:tentative="1">
      <w:start w:val="1"/>
      <w:numFmt w:val="lowerRoman"/>
      <w:lvlText w:val="%9."/>
      <w:lvlJc w:val="right"/>
      <w:pPr>
        <w:ind w:left="6404" w:hanging="180"/>
      </w:pPr>
      <w:rPr>
        <w:rFonts w:cs="Times New Roman"/>
      </w:rPr>
    </w:lvl>
  </w:abstractNum>
  <w:abstractNum w:abstractNumId="28" w15:restartNumberingAfterBreak="0">
    <w:nsid w:val="46A5612E"/>
    <w:multiLevelType w:val="hybridMultilevel"/>
    <w:tmpl w:val="7A8A902C"/>
    <w:lvl w:ilvl="0" w:tplc="FEC0A8F0">
      <w:start w:val="3"/>
      <w:numFmt w:val="bullet"/>
      <w:lvlText w:val="-"/>
      <w:lvlJc w:val="left"/>
      <w:pPr>
        <w:ind w:left="720" w:hanging="360"/>
      </w:pPr>
      <w:rPr>
        <w:rFonts w:ascii="Century Schoolbook" w:eastAsia="Times New Roman" w:hAnsi="Century Schoolbook"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74C79BE"/>
    <w:multiLevelType w:val="hybridMultilevel"/>
    <w:tmpl w:val="CFF44178"/>
    <w:lvl w:ilvl="0" w:tplc="08090019">
      <w:start w:val="1"/>
      <w:numFmt w:val="lowerLetter"/>
      <w:lvlText w:val="%1."/>
      <w:lvlJc w:val="left"/>
      <w:pPr>
        <w:ind w:left="1080" w:hanging="360"/>
      </w:pPr>
      <w:rPr>
        <w:rFonts w:cs="Times New Roman"/>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30" w15:restartNumberingAfterBreak="0">
    <w:nsid w:val="48AC3B93"/>
    <w:multiLevelType w:val="hybridMultilevel"/>
    <w:tmpl w:val="533E0C20"/>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1" w15:restartNumberingAfterBreak="0">
    <w:nsid w:val="4ABB35CA"/>
    <w:multiLevelType w:val="hybridMultilevel"/>
    <w:tmpl w:val="54743A78"/>
    <w:lvl w:ilvl="0" w:tplc="15E09B82">
      <w:start w:val="2"/>
      <w:numFmt w:val="bullet"/>
      <w:lvlText w:val="-"/>
      <w:lvlJc w:val="left"/>
      <w:pPr>
        <w:ind w:left="405" w:hanging="360"/>
      </w:pPr>
      <w:rPr>
        <w:rFonts w:ascii="Calibri" w:eastAsia="Times New Roman" w:hAnsi="Calibri" w:hint="default"/>
      </w:rPr>
    </w:lvl>
    <w:lvl w:ilvl="1" w:tplc="08090003" w:tentative="1">
      <w:start w:val="1"/>
      <w:numFmt w:val="bullet"/>
      <w:lvlText w:val="o"/>
      <w:lvlJc w:val="left"/>
      <w:pPr>
        <w:ind w:left="1125" w:hanging="360"/>
      </w:pPr>
      <w:rPr>
        <w:rFonts w:ascii="Courier New" w:hAnsi="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2" w15:restartNumberingAfterBreak="0">
    <w:nsid w:val="4ED20956"/>
    <w:multiLevelType w:val="hybridMultilevel"/>
    <w:tmpl w:val="3F2CEA30"/>
    <w:lvl w:ilvl="0" w:tplc="7068DC20">
      <w:start w:val="1"/>
      <w:numFmt w:val="lowerLetter"/>
      <w:lvlText w:val="%1."/>
      <w:lvlJc w:val="left"/>
      <w:pPr>
        <w:ind w:left="644" w:hanging="360"/>
      </w:pPr>
      <w:rPr>
        <w:rFonts w:cs="Times New Roman" w:hint="default"/>
      </w:rPr>
    </w:lvl>
    <w:lvl w:ilvl="1" w:tplc="08090019" w:tentative="1">
      <w:start w:val="1"/>
      <w:numFmt w:val="lowerLetter"/>
      <w:lvlText w:val="%2."/>
      <w:lvlJc w:val="left"/>
      <w:pPr>
        <w:ind w:left="1364" w:hanging="360"/>
      </w:pPr>
      <w:rPr>
        <w:rFonts w:cs="Times New Roman"/>
      </w:rPr>
    </w:lvl>
    <w:lvl w:ilvl="2" w:tplc="0809001B" w:tentative="1">
      <w:start w:val="1"/>
      <w:numFmt w:val="lowerRoman"/>
      <w:lvlText w:val="%3."/>
      <w:lvlJc w:val="right"/>
      <w:pPr>
        <w:ind w:left="2084" w:hanging="180"/>
      </w:pPr>
      <w:rPr>
        <w:rFonts w:cs="Times New Roman"/>
      </w:rPr>
    </w:lvl>
    <w:lvl w:ilvl="3" w:tplc="0809000F" w:tentative="1">
      <w:start w:val="1"/>
      <w:numFmt w:val="decimal"/>
      <w:lvlText w:val="%4."/>
      <w:lvlJc w:val="left"/>
      <w:pPr>
        <w:ind w:left="2804" w:hanging="360"/>
      </w:pPr>
      <w:rPr>
        <w:rFonts w:cs="Times New Roman"/>
      </w:rPr>
    </w:lvl>
    <w:lvl w:ilvl="4" w:tplc="08090019" w:tentative="1">
      <w:start w:val="1"/>
      <w:numFmt w:val="lowerLetter"/>
      <w:lvlText w:val="%5."/>
      <w:lvlJc w:val="left"/>
      <w:pPr>
        <w:ind w:left="3524" w:hanging="360"/>
      </w:pPr>
      <w:rPr>
        <w:rFonts w:cs="Times New Roman"/>
      </w:rPr>
    </w:lvl>
    <w:lvl w:ilvl="5" w:tplc="0809001B" w:tentative="1">
      <w:start w:val="1"/>
      <w:numFmt w:val="lowerRoman"/>
      <w:lvlText w:val="%6."/>
      <w:lvlJc w:val="right"/>
      <w:pPr>
        <w:ind w:left="4244" w:hanging="180"/>
      </w:pPr>
      <w:rPr>
        <w:rFonts w:cs="Times New Roman"/>
      </w:rPr>
    </w:lvl>
    <w:lvl w:ilvl="6" w:tplc="0809000F" w:tentative="1">
      <w:start w:val="1"/>
      <w:numFmt w:val="decimal"/>
      <w:lvlText w:val="%7."/>
      <w:lvlJc w:val="left"/>
      <w:pPr>
        <w:ind w:left="4964" w:hanging="360"/>
      </w:pPr>
      <w:rPr>
        <w:rFonts w:cs="Times New Roman"/>
      </w:rPr>
    </w:lvl>
    <w:lvl w:ilvl="7" w:tplc="08090019" w:tentative="1">
      <w:start w:val="1"/>
      <w:numFmt w:val="lowerLetter"/>
      <w:lvlText w:val="%8."/>
      <w:lvlJc w:val="left"/>
      <w:pPr>
        <w:ind w:left="5684" w:hanging="360"/>
      </w:pPr>
      <w:rPr>
        <w:rFonts w:cs="Times New Roman"/>
      </w:rPr>
    </w:lvl>
    <w:lvl w:ilvl="8" w:tplc="0809001B" w:tentative="1">
      <w:start w:val="1"/>
      <w:numFmt w:val="lowerRoman"/>
      <w:lvlText w:val="%9."/>
      <w:lvlJc w:val="right"/>
      <w:pPr>
        <w:ind w:left="6404" w:hanging="180"/>
      </w:pPr>
      <w:rPr>
        <w:rFonts w:cs="Times New Roman"/>
      </w:rPr>
    </w:lvl>
  </w:abstractNum>
  <w:abstractNum w:abstractNumId="33" w15:restartNumberingAfterBreak="0">
    <w:nsid w:val="4F4D0DA7"/>
    <w:multiLevelType w:val="hybridMultilevel"/>
    <w:tmpl w:val="18024BA8"/>
    <w:lvl w:ilvl="0" w:tplc="F4A05C22">
      <w:start w:val="1"/>
      <w:numFmt w:val="lowerLetter"/>
      <w:lvlText w:val="%1."/>
      <w:lvlJc w:val="left"/>
      <w:pPr>
        <w:ind w:left="720" w:hanging="360"/>
      </w:pPr>
      <w:rPr>
        <w:rFonts w:cs="Times New Roman" w:hint="default"/>
        <w:sz w:val="22"/>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4" w15:restartNumberingAfterBreak="0">
    <w:nsid w:val="538D0963"/>
    <w:multiLevelType w:val="hybridMultilevel"/>
    <w:tmpl w:val="AFE43AE4"/>
    <w:lvl w:ilvl="0" w:tplc="0809001B">
      <w:start w:val="1"/>
      <w:numFmt w:val="lowerRoman"/>
      <w:lvlText w:val="%1."/>
      <w:lvlJc w:val="right"/>
      <w:pPr>
        <w:ind w:left="1800" w:hanging="360"/>
      </w:pPr>
      <w:rPr>
        <w:rFonts w:cs="Times New Roman"/>
      </w:rPr>
    </w:lvl>
    <w:lvl w:ilvl="1" w:tplc="08090019" w:tentative="1">
      <w:start w:val="1"/>
      <w:numFmt w:val="lowerLetter"/>
      <w:lvlText w:val="%2."/>
      <w:lvlJc w:val="left"/>
      <w:pPr>
        <w:ind w:left="2520" w:hanging="360"/>
      </w:pPr>
      <w:rPr>
        <w:rFonts w:cs="Times New Roman"/>
      </w:rPr>
    </w:lvl>
    <w:lvl w:ilvl="2" w:tplc="0809001B" w:tentative="1">
      <w:start w:val="1"/>
      <w:numFmt w:val="lowerRoman"/>
      <w:lvlText w:val="%3."/>
      <w:lvlJc w:val="right"/>
      <w:pPr>
        <w:ind w:left="3240" w:hanging="180"/>
      </w:pPr>
      <w:rPr>
        <w:rFonts w:cs="Times New Roman"/>
      </w:rPr>
    </w:lvl>
    <w:lvl w:ilvl="3" w:tplc="0809000F" w:tentative="1">
      <w:start w:val="1"/>
      <w:numFmt w:val="decimal"/>
      <w:lvlText w:val="%4."/>
      <w:lvlJc w:val="left"/>
      <w:pPr>
        <w:ind w:left="3960" w:hanging="360"/>
      </w:pPr>
      <w:rPr>
        <w:rFonts w:cs="Times New Roman"/>
      </w:rPr>
    </w:lvl>
    <w:lvl w:ilvl="4" w:tplc="08090019" w:tentative="1">
      <w:start w:val="1"/>
      <w:numFmt w:val="lowerLetter"/>
      <w:lvlText w:val="%5."/>
      <w:lvlJc w:val="left"/>
      <w:pPr>
        <w:ind w:left="4680" w:hanging="360"/>
      </w:pPr>
      <w:rPr>
        <w:rFonts w:cs="Times New Roman"/>
      </w:rPr>
    </w:lvl>
    <w:lvl w:ilvl="5" w:tplc="0809001B" w:tentative="1">
      <w:start w:val="1"/>
      <w:numFmt w:val="lowerRoman"/>
      <w:lvlText w:val="%6."/>
      <w:lvlJc w:val="right"/>
      <w:pPr>
        <w:ind w:left="5400" w:hanging="180"/>
      </w:pPr>
      <w:rPr>
        <w:rFonts w:cs="Times New Roman"/>
      </w:rPr>
    </w:lvl>
    <w:lvl w:ilvl="6" w:tplc="0809000F" w:tentative="1">
      <w:start w:val="1"/>
      <w:numFmt w:val="decimal"/>
      <w:lvlText w:val="%7."/>
      <w:lvlJc w:val="left"/>
      <w:pPr>
        <w:ind w:left="6120" w:hanging="360"/>
      </w:pPr>
      <w:rPr>
        <w:rFonts w:cs="Times New Roman"/>
      </w:rPr>
    </w:lvl>
    <w:lvl w:ilvl="7" w:tplc="08090019" w:tentative="1">
      <w:start w:val="1"/>
      <w:numFmt w:val="lowerLetter"/>
      <w:lvlText w:val="%8."/>
      <w:lvlJc w:val="left"/>
      <w:pPr>
        <w:ind w:left="6840" w:hanging="360"/>
      </w:pPr>
      <w:rPr>
        <w:rFonts w:cs="Times New Roman"/>
      </w:rPr>
    </w:lvl>
    <w:lvl w:ilvl="8" w:tplc="0809001B" w:tentative="1">
      <w:start w:val="1"/>
      <w:numFmt w:val="lowerRoman"/>
      <w:lvlText w:val="%9."/>
      <w:lvlJc w:val="right"/>
      <w:pPr>
        <w:ind w:left="7560" w:hanging="180"/>
      </w:pPr>
      <w:rPr>
        <w:rFonts w:cs="Times New Roman"/>
      </w:rPr>
    </w:lvl>
  </w:abstractNum>
  <w:abstractNum w:abstractNumId="35" w15:restartNumberingAfterBreak="0">
    <w:nsid w:val="56A25BF1"/>
    <w:multiLevelType w:val="hybridMultilevel"/>
    <w:tmpl w:val="856262DA"/>
    <w:lvl w:ilvl="0" w:tplc="006C9D56">
      <w:start w:val="3"/>
      <w:numFmt w:val="bullet"/>
      <w:lvlText w:val="-"/>
      <w:lvlJc w:val="left"/>
      <w:pPr>
        <w:ind w:left="720" w:hanging="360"/>
      </w:pPr>
      <w:rPr>
        <w:rFonts w:ascii="Century Schoolbook" w:eastAsia="Times New Roman" w:hAnsi="Century Schoolbook"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012AA6"/>
    <w:multiLevelType w:val="hybridMultilevel"/>
    <w:tmpl w:val="478899CA"/>
    <w:lvl w:ilvl="0" w:tplc="08090019">
      <w:start w:val="1"/>
      <w:numFmt w:val="lowerLetter"/>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7" w15:restartNumberingAfterBreak="0">
    <w:nsid w:val="5A3E3868"/>
    <w:multiLevelType w:val="hybridMultilevel"/>
    <w:tmpl w:val="CA1ADF68"/>
    <w:lvl w:ilvl="0" w:tplc="4B0438B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B8D7227"/>
    <w:multiLevelType w:val="hybridMultilevel"/>
    <w:tmpl w:val="F2425E06"/>
    <w:lvl w:ilvl="0" w:tplc="556695F2">
      <w:start w:val="1"/>
      <w:numFmt w:val="lowerLetter"/>
      <w:lvlText w:val="%1."/>
      <w:lvlJc w:val="left"/>
      <w:pPr>
        <w:ind w:left="644" w:hanging="360"/>
      </w:pPr>
      <w:rPr>
        <w:rFonts w:cs="Times New Roman" w:hint="default"/>
      </w:rPr>
    </w:lvl>
    <w:lvl w:ilvl="1" w:tplc="08090019" w:tentative="1">
      <w:start w:val="1"/>
      <w:numFmt w:val="lowerLetter"/>
      <w:lvlText w:val="%2."/>
      <w:lvlJc w:val="left"/>
      <w:pPr>
        <w:ind w:left="1364" w:hanging="360"/>
      </w:pPr>
      <w:rPr>
        <w:rFonts w:cs="Times New Roman"/>
      </w:rPr>
    </w:lvl>
    <w:lvl w:ilvl="2" w:tplc="0809001B" w:tentative="1">
      <w:start w:val="1"/>
      <w:numFmt w:val="lowerRoman"/>
      <w:lvlText w:val="%3."/>
      <w:lvlJc w:val="right"/>
      <w:pPr>
        <w:ind w:left="2084" w:hanging="180"/>
      </w:pPr>
      <w:rPr>
        <w:rFonts w:cs="Times New Roman"/>
      </w:rPr>
    </w:lvl>
    <w:lvl w:ilvl="3" w:tplc="0809000F" w:tentative="1">
      <w:start w:val="1"/>
      <w:numFmt w:val="decimal"/>
      <w:lvlText w:val="%4."/>
      <w:lvlJc w:val="left"/>
      <w:pPr>
        <w:ind w:left="2804" w:hanging="360"/>
      </w:pPr>
      <w:rPr>
        <w:rFonts w:cs="Times New Roman"/>
      </w:rPr>
    </w:lvl>
    <w:lvl w:ilvl="4" w:tplc="08090019" w:tentative="1">
      <w:start w:val="1"/>
      <w:numFmt w:val="lowerLetter"/>
      <w:lvlText w:val="%5."/>
      <w:lvlJc w:val="left"/>
      <w:pPr>
        <w:ind w:left="3524" w:hanging="360"/>
      </w:pPr>
      <w:rPr>
        <w:rFonts w:cs="Times New Roman"/>
      </w:rPr>
    </w:lvl>
    <w:lvl w:ilvl="5" w:tplc="0809001B" w:tentative="1">
      <w:start w:val="1"/>
      <w:numFmt w:val="lowerRoman"/>
      <w:lvlText w:val="%6."/>
      <w:lvlJc w:val="right"/>
      <w:pPr>
        <w:ind w:left="4244" w:hanging="180"/>
      </w:pPr>
      <w:rPr>
        <w:rFonts w:cs="Times New Roman"/>
      </w:rPr>
    </w:lvl>
    <w:lvl w:ilvl="6" w:tplc="0809000F" w:tentative="1">
      <w:start w:val="1"/>
      <w:numFmt w:val="decimal"/>
      <w:lvlText w:val="%7."/>
      <w:lvlJc w:val="left"/>
      <w:pPr>
        <w:ind w:left="4964" w:hanging="360"/>
      </w:pPr>
      <w:rPr>
        <w:rFonts w:cs="Times New Roman"/>
      </w:rPr>
    </w:lvl>
    <w:lvl w:ilvl="7" w:tplc="08090019" w:tentative="1">
      <w:start w:val="1"/>
      <w:numFmt w:val="lowerLetter"/>
      <w:lvlText w:val="%8."/>
      <w:lvlJc w:val="left"/>
      <w:pPr>
        <w:ind w:left="5684" w:hanging="360"/>
      </w:pPr>
      <w:rPr>
        <w:rFonts w:cs="Times New Roman"/>
      </w:rPr>
    </w:lvl>
    <w:lvl w:ilvl="8" w:tplc="0809001B" w:tentative="1">
      <w:start w:val="1"/>
      <w:numFmt w:val="lowerRoman"/>
      <w:lvlText w:val="%9."/>
      <w:lvlJc w:val="right"/>
      <w:pPr>
        <w:ind w:left="6404" w:hanging="180"/>
      </w:pPr>
      <w:rPr>
        <w:rFonts w:cs="Times New Roman"/>
      </w:rPr>
    </w:lvl>
  </w:abstractNum>
  <w:abstractNum w:abstractNumId="39" w15:restartNumberingAfterBreak="0">
    <w:nsid w:val="63613E80"/>
    <w:multiLevelType w:val="multilevel"/>
    <w:tmpl w:val="DC94D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42C3172"/>
    <w:multiLevelType w:val="multilevel"/>
    <w:tmpl w:val="48C65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535C94"/>
    <w:multiLevelType w:val="hybridMultilevel"/>
    <w:tmpl w:val="A836C944"/>
    <w:lvl w:ilvl="0" w:tplc="B3AEC832">
      <w:start w:val="3"/>
      <w:numFmt w:val="bullet"/>
      <w:lvlText w:val="-"/>
      <w:lvlJc w:val="left"/>
      <w:pPr>
        <w:ind w:left="720" w:hanging="360"/>
      </w:pPr>
      <w:rPr>
        <w:rFonts w:ascii="Century Schoolbook" w:eastAsia="Times New Roman" w:hAnsi="Century Schoolbook"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8CC38F7"/>
    <w:multiLevelType w:val="hybridMultilevel"/>
    <w:tmpl w:val="85C6786A"/>
    <w:lvl w:ilvl="0" w:tplc="DC0EAB20">
      <w:start w:val="3"/>
      <w:numFmt w:val="bullet"/>
      <w:lvlText w:val="-"/>
      <w:lvlJc w:val="left"/>
      <w:pPr>
        <w:ind w:left="720" w:hanging="360"/>
      </w:pPr>
      <w:rPr>
        <w:rFonts w:ascii="Century Schoolbook" w:eastAsia="Times New Roman" w:hAnsi="Century Schoolbook"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6F90379"/>
    <w:multiLevelType w:val="hybridMultilevel"/>
    <w:tmpl w:val="8DF0C6E4"/>
    <w:lvl w:ilvl="0" w:tplc="08090019">
      <w:start w:val="1"/>
      <w:numFmt w:val="lowerLetter"/>
      <w:lvlText w:val="%1."/>
      <w:lvlJc w:val="left"/>
      <w:pPr>
        <w:ind w:left="1286" w:hanging="360"/>
      </w:pPr>
      <w:rPr>
        <w:rFonts w:cs="Times New Roman" w:hint="default"/>
      </w:rPr>
    </w:lvl>
    <w:lvl w:ilvl="1" w:tplc="08090019" w:tentative="1">
      <w:start w:val="1"/>
      <w:numFmt w:val="lowerLetter"/>
      <w:lvlText w:val="%2."/>
      <w:lvlJc w:val="left"/>
      <w:pPr>
        <w:ind w:left="2006" w:hanging="360"/>
      </w:pPr>
      <w:rPr>
        <w:rFonts w:cs="Times New Roman"/>
      </w:rPr>
    </w:lvl>
    <w:lvl w:ilvl="2" w:tplc="0809001B" w:tentative="1">
      <w:start w:val="1"/>
      <w:numFmt w:val="lowerRoman"/>
      <w:lvlText w:val="%3."/>
      <w:lvlJc w:val="right"/>
      <w:pPr>
        <w:ind w:left="2726" w:hanging="180"/>
      </w:pPr>
      <w:rPr>
        <w:rFonts w:cs="Times New Roman"/>
      </w:rPr>
    </w:lvl>
    <w:lvl w:ilvl="3" w:tplc="0809000F" w:tentative="1">
      <w:start w:val="1"/>
      <w:numFmt w:val="decimal"/>
      <w:lvlText w:val="%4."/>
      <w:lvlJc w:val="left"/>
      <w:pPr>
        <w:ind w:left="3446" w:hanging="360"/>
      </w:pPr>
      <w:rPr>
        <w:rFonts w:cs="Times New Roman"/>
      </w:rPr>
    </w:lvl>
    <w:lvl w:ilvl="4" w:tplc="08090019" w:tentative="1">
      <w:start w:val="1"/>
      <w:numFmt w:val="lowerLetter"/>
      <w:lvlText w:val="%5."/>
      <w:lvlJc w:val="left"/>
      <w:pPr>
        <w:ind w:left="4166" w:hanging="360"/>
      </w:pPr>
      <w:rPr>
        <w:rFonts w:cs="Times New Roman"/>
      </w:rPr>
    </w:lvl>
    <w:lvl w:ilvl="5" w:tplc="0809001B" w:tentative="1">
      <w:start w:val="1"/>
      <w:numFmt w:val="lowerRoman"/>
      <w:lvlText w:val="%6."/>
      <w:lvlJc w:val="right"/>
      <w:pPr>
        <w:ind w:left="4886" w:hanging="180"/>
      </w:pPr>
      <w:rPr>
        <w:rFonts w:cs="Times New Roman"/>
      </w:rPr>
    </w:lvl>
    <w:lvl w:ilvl="6" w:tplc="0809000F" w:tentative="1">
      <w:start w:val="1"/>
      <w:numFmt w:val="decimal"/>
      <w:lvlText w:val="%7."/>
      <w:lvlJc w:val="left"/>
      <w:pPr>
        <w:ind w:left="5606" w:hanging="360"/>
      </w:pPr>
      <w:rPr>
        <w:rFonts w:cs="Times New Roman"/>
      </w:rPr>
    </w:lvl>
    <w:lvl w:ilvl="7" w:tplc="08090019" w:tentative="1">
      <w:start w:val="1"/>
      <w:numFmt w:val="lowerLetter"/>
      <w:lvlText w:val="%8."/>
      <w:lvlJc w:val="left"/>
      <w:pPr>
        <w:ind w:left="6326" w:hanging="360"/>
      </w:pPr>
      <w:rPr>
        <w:rFonts w:cs="Times New Roman"/>
      </w:rPr>
    </w:lvl>
    <w:lvl w:ilvl="8" w:tplc="0809001B" w:tentative="1">
      <w:start w:val="1"/>
      <w:numFmt w:val="lowerRoman"/>
      <w:lvlText w:val="%9."/>
      <w:lvlJc w:val="right"/>
      <w:pPr>
        <w:ind w:left="7046" w:hanging="180"/>
      </w:pPr>
      <w:rPr>
        <w:rFonts w:cs="Times New Roman"/>
      </w:rPr>
    </w:lvl>
  </w:abstractNum>
  <w:abstractNum w:abstractNumId="44" w15:restartNumberingAfterBreak="0">
    <w:nsid w:val="7FAC4EF8"/>
    <w:multiLevelType w:val="hybridMultilevel"/>
    <w:tmpl w:val="633A03A2"/>
    <w:lvl w:ilvl="0" w:tplc="08090019">
      <w:start w:val="1"/>
      <w:numFmt w:val="lowerLetter"/>
      <w:lvlText w:val="%1."/>
      <w:lvlJc w:val="left"/>
      <w:pPr>
        <w:ind w:left="644" w:hanging="360"/>
      </w:pPr>
      <w:rPr>
        <w:rFonts w:cs="Times New Roman"/>
      </w:rPr>
    </w:lvl>
    <w:lvl w:ilvl="1" w:tplc="0809001B">
      <w:start w:val="1"/>
      <w:numFmt w:val="lowerRoman"/>
      <w:lvlText w:val="%2."/>
      <w:lvlJc w:val="right"/>
      <w:pPr>
        <w:ind w:left="1364" w:hanging="360"/>
      </w:pPr>
      <w:rPr>
        <w:rFonts w:cs="Times New Roman"/>
      </w:rPr>
    </w:lvl>
    <w:lvl w:ilvl="2" w:tplc="0809001B" w:tentative="1">
      <w:start w:val="1"/>
      <w:numFmt w:val="lowerRoman"/>
      <w:lvlText w:val="%3."/>
      <w:lvlJc w:val="right"/>
      <w:pPr>
        <w:ind w:left="2084" w:hanging="180"/>
      </w:pPr>
      <w:rPr>
        <w:rFonts w:cs="Times New Roman"/>
      </w:rPr>
    </w:lvl>
    <w:lvl w:ilvl="3" w:tplc="0809000F" w:tentative="1">
      <w:start w:val="1"/>
      <w:numFmt w:val="decimal"/>
      <w:lvlText w:val="%4."/>
      <w:lvlJc w:val="left"/>
      <w:pPr>
        <w:ind w:left="2804" w:hanging="360"/>
      </w:pPr>
      <w:rPr>
        <w:rFonts w:cs="Times New Roman"/>
      </w:rPr>
    </w:lvl>
    <w:lvl w:ilvl="4" w:tplc="08090019" w:tentative="1">
      <w:start w:val="1"/>
      <w:numFmt w:val="lowerLetter"/>
      <w:lvlText w:val="%5."/>
      <w:lvlJc w:val="left"/>
      <w:pPr>
        <w:ind w:left="3524" w:hanging="360"/>
      </w:pPr>
      <w:rPr>
        <w:rFonts w:cs="Times New Roman"/>
      </w:rPr>
    </w:lvl>
    <w:lvl w:ilvl="5" w:tplc="0809001B" w:tentative="1">
      <w:start w:val="1"/>
      <w:numFmt w:val="lowerRoman"/>
      <w:lvlText w:val="%6."/>
      <w:lvlJc w:val="right"/>
      <w:pPr>
        <w:ind w:left="4244" w:hanging="180"/>
      </w:pPr>
      <w:rPr>
        <w:rFonts w:cs="Times New Roman"/>
      </w:rPr>
    </w:lvl>
    <w:lvl w:ilvl="6" w:tplc="0809000F" w:tentative="1">
      <w:start w:val="1"/>
      <w:numFmt w:val="decimal"/>
      <w:lvlText w:val="%7."/>
      <w:lvlJc w:val="left"/>
      <w:pPr>
        <w:ind w:left="4964" w:hanging="360"/>
      </w:pPr>
      <w:rPr>
        <w:rFonts w:cs="Times New Roman"/>
      </w:rPr>
    </w:lvl>
    <w:lvl w:ilvl="7" w:tplc="08090019" w:tentative="1">
      <w:start w:val="1"/>
      <w:numFmt w:val="lowerLetter"/>
      <w:lvlText w:val="%8."/>
      <w:lvlJc w:val="left"/>
      <w:pPr>
        <w:ind w:left="5684" w:hanging="360"/>
      </w:pPr>
      <w:rPr>
        <w:rFonts w:cs="Times New Roman"/>
      </w:rPr>
    </w:lvl>
    <w:lvl w:ilvl="8" w:tplc="0809001B" w:tentative="1">
      <w:start w:val="1"/>
      <w:numFmt w:val="lowerRoman"/>
      <w:lvlText w:val="%9."/>
      <w:lvlJc w:val="right"/>
      <w:pPr>
        <w:ind w:left="6404" w:hanging="180"/>
      </w:pPr>
      <w:rPr>
        <w:rFonts w:cs="Times New Roman"/>
      </w:rPr>
    </w:lvl>
  </w:abstractNum>
  <w:abstractNum w:abstractNumId="45" w15:restartNumberingAfterBreak="0">
    <w:nsid w:val="7FEF5692"/>
    <w:multiLevelType w:val="hybridMultilevel"/>
    <w:tmpl w:val="34D09EC4"/>
    <w:lvl w:ilvl="0" w:tplc="08090019">
      <w:start w:val="1"/>
      <w:numFmt w:val="lowerLetter"/>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3"/>
  </w:num>
  <w:num w:numId="2">
    <w:abstractNumId w:val="8"/>
  </w:num>
  <w:num w:numId="3">
    <w:abstractNumId w:val="26"/>
  </w:num>
  <w:num w:numId="4">
    <w:abstractNumId w:val="15"/>
  </w:num>
  <w:num w:numId="5">
    <w:abstractNumId w:val="25"/>
  </w:num>
  <w:num w:numId="6">
    <w:abstractNumId w:val="11"/>
  </w:num>
  <w:num w:numId="7">
    <w:abstractNumId w:val="6"/>
  </w:num>
  <w:num w:numId="8">
    <w:abstractNumId w:val="31"/>
  </w:num>
  <w:num w:numId="9">
    <w:abstractNumId w:val="20"/>
  </w:num>
  <w:num w:numId="10">
    <w:abstractNumId w:val="14"/>
  </w:num>
  <w:num w:numId="11">
    <w:abstractNumId w:val="21"/>
  </w:num>
  <w:num w:numId="12">
    <w:abstractNumId w:val="18"/>
  </w:num>
  <w:num w:numId="13">
    <w:abstractNumId w:val="23"/>
  </w:num>
  <w:num w:numId="14">
    <w:abstractNumId w:val="42"/>
  </w:num>
  <w:num w:numId="15">
    <w:abstractNumId w:val="35"/>
  </w:num>
  <w:num w:numId="16">
    <w:abstractNumId w:val="28"/>
  </w:num>
  <w:num w:numId="17">
    <w:abstractNumId w:val="41"/>
  </w:num>
  <w:num w:numId="18">
    <w:abstractNumId w:val="10"/>
  </w:num>
  <w:num w:numId="19">
    <w:abstractNumId w:val="43"/>
  </w:num>
  <w:num w:numId="20">
    <w:abstractNumId w:val="12"/>
  </w:num>
  <w:num w:numId="21">
    <w:abstractNumId w:val="24"/>
  </w:num>
  <w:num w:numId="22">
    <w:abstractNumId w:val="22"/>
  </w:num>
  <w:num w:numId="23">
    <w:abstractNumId w:val="27"/>
  </w:num>
  <w:num w:numId="24">
    <w:abstractNumId w:val="32"/>
  </w:num>
  <w:num w:numId="25">
    <w:abstractNumId w:val="38"/>
  </w:num>
  <w:num w:numId="26">
    <w:abstractNumId w:val="1"/>
  </w:num>
  <w:num w:numId="27">
    <w:abstractNumId w:val="33"/>
  </w:num>
  <w:num w:numId="28">
    <w:abstractNumId w:val="5"/>
  </w:num>
  <w:num w:numId="29">
    <w:abstractNumId w:val="40"/>
  </w:num>
  <w:num w:numId="30">
    <w:abstractNumId w:val="17"/>
  </w:num>
  <w:num w:numId="31">
    <w:abstractNumId w:val="7"/>
  </w:num>
  <w:num w:numId="32">
    <w:abstractNumId w:val="34"/>
  </w:num>
  <w:num w:numId="33">
    <w:abstractNumId w:val="37"/>
  </w:num>
  <w:num w:numId="34">
    <w:abstractNumId w:val="0"/>
  </w:num>
  <w:num w:numId="35">
    <w:abstractNumId w:val="2"/>
  </w:num>
  <w:num w:numId="36">
    <w:abstractNumId w:val="29"/>
  </w:num>
  <w:num w:numId="37">
    <w:abstractNumId w:val="19"/>
  </w:num>
  <w:num w:numId="38">
    <w:abstractNumId w:val="45"/>
  </w:num>
  <w:num w:numId="39">
    <w:abstractNumId w:val="30"/>
  </w:num>
  <w:num w:numId="40">
    <w:abstractNumId w:val="36"/>
  </w:num>
  <w:num w:numId="41">
    <w:abstractNumId w:val="4"/>
  </w:num>
  <w:num w:numId="42">
    <w:abstractNumId w:val="3"/>
  </w:num>
  <w:num w:numId="43">
    <w:abstractNumId w:val="9"/>
  </w:num>
  <w:num w:numId="44">
    <w:abstractNumId w:val="44"/>
  </w:num>
  <w:num w:numId="45">
    <w:abstractNumId w:val="16"/>
  </w:num>
  <w:num w:numId="46">
    <w:abstractNumId w:val="39"/>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uthor">
    <w15:presenceInfo w15:providerId="None" w15:userId="Autho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trackRevisions/>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18062D"/>
    <w:rsid w:val="00001AE6"/>
    <w:rsid w:val="000055C1"/>
    <w:rsid w:val="000070A8"/>
    <w:rsid w:val="00014C14"/>
    <w:rsid w:val="0002280F"/>
    <w:rsid w:val="00023607"/>
    <w:rsid w:val="00033555"/>
    <w:rsid w:val="00035117"/>
    <w:rsid w:val="000374E0"/>
    <w:rsid w:val="00040DA2"/>
    <w:rsid w:val="00065663"/>
    <w:rsid w:val="00075F2A"/>
    <w:rsid w:val="000775B3"/>
    <w:rsid w:val="000800B4"/>
    <w:rsid w:val="000924E5"/>
    <w:rsid w:val="00092967"/>
    <w:rsid w:val="00093BE2"/>
    <w:rsid w:val="00097679"/>
    <w:rsid w:val="000B4F73"/>
    <w:rsid w:val="000B7769"/>
    <w:rsid w:val="000C1E84"/>
    <w:rsid w:val="000C2A56"/>
    <w:rsid w:val="000C4303"/>
    <w:rsid w:val="000C48DB"/>
    <w:rsid w:val="000C6C31"/>
    <w:rsid w:val="000D5B37"/>
    <w:rsid w:val="000E0C32"/>
    <w:rsid w:val="000F30B0"/>
    <w:rsid w:val="000F4126"/>
    <w:rsid w:val="00101F77"/>
    <w:rsid w:val="00106382"/>
    <w:rsid w:val="00107194"/>
    <w:rsid w:val="001312CF"/>
    <w:rsid w:val="00134464"/>
    <w:rsid w:val="001440A1"/>
    <w:rsid w:val="00153B39"/>
    <w:rsid w:val="00153E46"/>
    <w:rsid w:val="00155911"/>
    <w:rsid w:val="00155F62"/>
    <w:rsid w:val="00157EB7"/>
    <w:rsid w:val="00166F48"/>
    <w:rsid w:val="00167C3F"/>
    <w:rsid w:val="001710D0"/>
    <w:rsid w:val="00172E94"/>
    <w:rsid w:val="00174828"/>
    <w:rsid w:val="00174C4B"/>
    <w:rsid w:val="0018062D"/>
    <w:rsid w:val="00185104"/>
    <w:rsid w:val="00186729"/>
    <w:rsid w:val="00186820"/>
    <w:rsid w:val="001969E9"/>
    <w:rsid w:val="0019783D"/>
    <w:rsid w:val="001A168E"/>
    <w:rsid w:val="001A4E4B"/>
    <w:rsid w:val="001A53FC"/>
    <w:rsid w:val="001B4CE1"/>
    <w:rsid w:val="001B5CB8"/>
    <w:rsid w:val="001C750A"/>
    <w:rsid w:val="001D683A"/>
    <w:rsid w:val="001D75E9"/>
    <w:rsid w:val="001E0F34"/>
    <w:rsid w:val="001E3A29"/>
    <w:rsid w:val="001F053E"/>
    <w:rsid w:val="001F06C9"/>
    <w:rsid w:val="0020124D"/>
    <w:rsid w:val="00202CC8"/>
    <w:rsid w:val="00204106"/>
    <w:rsid w:val="00205AF4"/>
    <w:rsid w:val="0022107A"/>
    <w:rsid w:val="00223C97"/>
    <w:rsid w:val="00230AF2"/>
    <w:rsid w:val="002336FF"/>
    <w:rsid w:val="00241C08"/>
    <w:rsid w:val="00251283"/>
    <w:rsid w:val="00257C16"/>
    <w:rsid w:val="00260F96"/>
    <w:rsid w:val="00264AC8"/>
    <w:rsid w:val="00267780"/>
    <w:rsid w:val="00276438"/>
    <w:rsid w:val="0027770E"/>
    <w:rsid w:val="00280A12"/>
    <w:rsid w:val="00282213"/>
    <w:rsid w:val="00287DBB"/>
    <w:rsid w:val="002905E7"/>
    <w:rsid w:val="00290E97"/>
    <w:rsid w:val="002914E5"/>
    <w:rsid w:val="00292675"/>
    <w:rsid w:val="002A23FD"/>
    <w:rsid w:val="002B56F2"/>
    <w:rsid w:val="002B7A7A"/>
    <w:rsid w:val="002C12D5"/>
    <w:rsid w:val="002C4DCB"/>
    <w:rsid w:val="002D027D"/>
    <w:rsid w:val="002D3CD4"/>
    <w:rsid w:val="002D51A3"/>
    <w:rsid w:val="002F3FDD"/>
    <w:rsid w:val="002F5ECD"/>
    <w:rsid w:val="002F6D29"/>
    <w:rsid w:val="002F79F2"/>
    <w:rsid w:val="0031257E"/>
    <w:rsid w:val="003126FF"/>
    <w:rsid w:val="00313F86"/>
    <w:rsid w:val="00317ADC"/>
    <w:rsid w:val="00326B8D"/>
    <w:rsid w:val="00326FD7"/>
    <w:rsid w:val="00331E88"/>
    <w:rsid w:val="00332AD1"/>
    <w:rsid w:val="00333A49"/>
    <w:rsid w:val="003367F1"/>
    <w:rsid w:val="0033749B"/>
    <w:rsid w:val="003414FB"/>
    <w:rsid w:val="003503D4"/>
    <w:rsid w:val="00367539"/>
    <w:rsid w:val="00385BC0"/>
    <w:rsid w:val="003873E9"/>
    <w:rsid w:val="003877B8"/>
    <w:rsid w:val="00390B17"/>
    <w:rsid w:val="00391CFA"/>
    <w:rsid w:val="00392B06"/>
    <w:rsid w:val="003A1CAB"/>
    <w:rsid w:val="003A4AC0"/>
    <w:rsid w:val="003A501D"/>
    <w:rsid w:val="003B165A"/>
    <w:rsid w:val="003B36D7"/>
    <w:rsid w:val="003B4DBF"/>
    <w:rsid w:val="003B7FA5"/>
    <w:rsid w:val="003C05C5"/>
    <w:rsid w:val="003C3360"/>
    <w:rsid w:val="003C5295"/>
    <w:rsid w:val="003D5B86"/>
    <w:rsid w:val="003D7777"/>
    <w:rsid w:val="003E1B9B"/>
    <w:rsid w:val="003F31DA"/>
    <w:rsid w:val="003F5238"/>
    <w:rsid w:val="00403F1B"/>
    <w:rsid w:val="00404688"/>
    <w:rsid w:val="00416200"/>
    <w:rsid w:val="00421FB0"/>
    <w:rsid w:val="0042606F"/>
    <w:rsid w:val="0042686C"/>
    <w:rsid w:val="004278F3"/>
    <w:rsid w:val="00434C27"/>
    <w:rsid w:val="0043613A"/>
    <w:rsid w:val="004361DF"/>
    <w:rsid w:val="00441B2F"/>
    <w:rsid w:val="004479BF"/>
    <w:rsid w:val="00454C6F"/>
    <w:rsid w:val="00455A40"/>
    <w:rsid w:val="00461185"/>
    <w:rsid w:val="00464E79"/>
    <w:rsid w:val="00466DEF"/>
    <w:rsid w:val="0047069C"/>
    <w:rsid w:val="00471AF0"/>
    <w:rsid w:val="004740B1"/>
    <w:rsid w:val="004745F3"/>
    <w:rsid w:val="00477EC8"/>
    <w:rsid w:val="00486F18"/>
    <w:rsid w:val="00487660"/>
    <w:rsid w:val="00494110"/>
    <w:rsid w:val="00497295"/>
    <w:rsid w:val="004A73CE"/>
    <w:rsid w:val="004B1246"/>
    <w:rsid w:val="004B2E81"/>
    <w:rsid w:val="004C287B"/>
    <w:rsid w:val="004C3C68"/>
    <w:rsid w:val="004E0DB9"/>
    <w:rsid w:val="004E20C2"/>
    <w:rsid w:val="004E6CED"/>
    <w:rsid w:val="004F20DD"/>
    <w:rsid w:val="004F486B"/>
    <w:rsid w:val="005020BF"/>
    <w:rsid w:val="0050239C"/>
    <w:rsid w:val="00502E6F"/>
    <w:rsid w:val="00513603"/>
    <w:rsid w:val="00515BDE"/>
    <w:rsid w:val="00517BEC"/>
    <w:rsid w:val="00521D4E"/>
    <w:rsid w:val="00527AC7"/>
    <w:rsid w:val="0053067C"/>
    <w:rsid w:val="005404D2"/>
    <w:rsid w:val="005405B3"/>
    <w:rsid w:val="0054382A"/>
    <w:rsid w:val="00543FAB"/>
    <w:rsid w:val="0054594C"/>
    <w:rsid w:val="00552228"/>
    <w:rsid w:val="00552C18"/>
    <w:rsid w:val="0055577F"/>
    <w:rsid w:val="005606CE"/>
    <w:rsid w:val="00560C9B"/>
    <w:rsid w:val="005728DD"/>
    <w:rsid w:val="00573238"/>
    <w:rsid w:val="00575976"/>
    <w:rsid w:val="0058743F"/>
    <w:rsid w:val="0059026D"/>
    <w:rsid w:val="00595E3D"/>
    <w:rsid w:val="005A786F"/>
    <w:rsid w:val="005B267F"/>
    <w:rsid w:val="005B3668"/>
    <w:rsid w:val="005B3A47"/>
    <w:rsid w:val="005B565C"/>
    <w:rsid w:val="005B6D25"/>
    <w:rsid w:val="005C242A"/>
    <w:rsid w:val="005C34D4"/>
    <w:rsid w:val="005C371B"/>
    <w:rsid w:val="005C7546"/>
    <w:rsid w:val="005E10A6"/>
    <w:rsid w:val="005F1B58"/>
    <w:rsid w:val="00602BE1"/>
    <w:rsid w:val="00602C9D"/>
    <w:rsid w:val="00610B0E"/>
    <w:rsid w:val="00615198"/>
    <w:rsid w:val="00615DB2"/>
    <w:rsid w:val="006169F1"/>
    <w:rsid w:val="006212CA"/>
    <w:rsid w:val="00631F6C"/>
    <w:rsid w:val="006368AE"/>
    <w:rsid w:val="00636F15"/>
    <w:rsid w:val="0063717F"/>
    <w:rsid w:val="0064615C"/>
    <w:rsid w:val="006473D2"/>
    <w:rsid w:val="00654B73"/>
    <w:rsid w:val="00663863"/>
    <w:rsid w:val="006652D8"/>
    <w:rsid w:val="00673DBE"/>
    <w:rsid w:val="00676A2D"/>
    <w:rsid w:val="00680B7F"/>
    <w:rsid w:val="00680D30"/>
    <w:rsid w:val="00681A82"/>
    <w:rsid w:val="0068295A"/>
    <w:rsid w:val="00690046"/>
    <w:rsid w:val="006A15FB"/>
    <w:rsid w:val="006A29C7"/>
    <w:rsid w:val="006B3AB8"/>
    <w:rsid w:val="006B4741"/>
    <w:rsid w:val="006C704E"/>
    <w:rsid w:val="006D07B6"/>
    <w:rsid w:val="006D1544"/>
    <w:rsid w:val="006D1569"/>
    <w:rsid w:val="006D3B28"/>
    <w:rsid w:val="006E09E0"/>
    <w:rsid w:val="006E4883"/>
    <w:rsid w:val="006E4C10"/>
    <w:rsid w:val="006F0922"/>
    <w:rsid w:val="006F4B4E"/>
    <w:rsid w:val="006F4BCE"/>
    <w:rsid w:val="00722869"/>
    <w:rsid w:val="00730365"/>
    <w:rsid w:val="00730E11"/>
    <w:rsid w:val="0073153C"/>
    <w:rsid w:val="00736DD0"/>
    <w:rsid w:val="00737174"/>
    <w:rsid w:val="00743F46"/>
    <w:rsid w:val="00745BDD"/>
    <w:rsid w:val="0075069F"/>
    <w:rsid w:val="007536E1"/>
    <w:rsid w:val="00756995"/>
    <w:rsid w:val="007652AC"/>
    <w:rsid w:val="00765C0A"/>
    <w:rsid w:val="00765D5D"/>
    <w:rsid w:val="00767F61"/>
    <w:rsid w:val="00770264"/>
    <w:rsid w:val="007748A4"/>
    <w:rsid w:val="007772B8"/>
    <w:rsid w:val="00777F82"/>
    <w:rsid w:val="00782776"/>
    <w:rsid w:val="00783360"/>
    <w:rsid w:val="00785C9D"/>
    <w:rsid w:val="00796752"/>
    <w:rsid w:val="007971D3"/>
    <w:rsid w:val="007A2B0E"/>
    <w:rsid w:val="007A4B14"/>
    <w:rsid w:val="007A711F"/>
    <w:rsid w:val="007A7683"/>
    <w:rsid w:val="007B40DA"/>
    <w:rsid w:val="007B6878"/>
    <w:rsid w:val="007E3718"/>
    <w:rsid w:val="007E406B"/>
    <w:rsid w:val="007E57E9"/>
    <w:rsid w:val="007F1CB2"/>
    <w:rsid w:val="007F26B1"/>
    <w:rsid w:val="0080170B"/>
    <w:rsid w:val="0081334C"/>
    <w:rsid w:val="0081390D"/>
    <w:rsid w:val="008268DF"/>
    <w:rsid w:val="00827AC5"/>
    <w:rsid w:val="00831387"/>
    <w:rsid w:val="0083441A"/>
    <w:rsid w:val="00835C36"/>
    <w:rsid w:val="008455C1"/>
    <w:rsid w:val="00845A6D"/>
    <w:rsid w:val="008571B2"/>
    <w:rsid w:val="00861016"/>
    <w:rsid w:val="00863AD2"/>
    <w:rsid w:val="00866A3C"/>
    <w:rsid w:val="008752A3"/>
    <w:rsid w:val="00885A6F"/>
    <w:rsid w:val="008868F6"/>
    <w:rsid w:val="00895264"/>
    <w:rsid w:val="008A10B6"/>
    <w:rsid w:val="008A17A4"/>
    <w:rsid w:val="008B1038"/>
    <w:rsid w:val="008B23A5"/>
    <w:rsid w:val="008B2F5B"/>
    <w:rsid w:val="008B7435"/>
    <w:rsid w:val="008B7BB8"/>
    <w:rsid w:val="008C17F9"/>
    <w:rsid w:val="008C2C2D"/>
    <w:rsid w:val="008C3BBF"/>
    <w:rsid w:val="008D173C"/>
    <w:rsid w:val="008D331B"/>
    <w:rsid w:val="008D3437"/>
    <w:rsid w:val="008D38A0"/>
    <w:rsid w:val="008D5666"/>
    <w:rsid w:val="008F175C"/>
    <w:rsid w:val="00900650"/>
    <w:rsid w:val="009037EB"/>
    <w:rsid w:val="00907FA5"/>
    <w:rsid w:val="00917DCE"/>
    <w:rsid w:val="00920618"/>
    <w:rsid w:val="00926A2C"/>
    <w:rsid w:val="009337CA"/>
    <w:rsid w:val="00933CAD"/>
    <w:rsid w:val="009367F5"/>
    <w:rsid w:val="00940BFD"/>
    <w:rsid w:val="0094131F"/>
    <w:rsid w:val="00943034"/>
    <w:rsid w:val="0094521D"/>
    <w:rsid w:val="00951BBF"/>
    <w:rsid w:val="009529A2"/>
    <w:rsid w:val="00954335"/>
    <w:rsid w:val="00955829"/>
    <w:rsid w:val="009606B3"/>
    <w:rsid w:val="009654D9"/>
    <w:rsid w:val="00967809"/>
    <w:rsid w:val="009709F4"/>
    <w:rsid w:val="00976182"/>
    <w:rsid w:val="00977588"/>
    <w:rsid w:val="00980419"/>
    <w:rsid w:val="00986456"/>
    <w:rsid w:val="009875A1"/>
    <w:rsid w:val="009910D7"/>
    <w:rsid w:val="00995C47"/>
    <w:rsid w:val="00996372"/>
    <w:rsid w:val="009B0607"/>
    <w:rsid w:val="009C2CC3"/>
    <w:rsid w:val="009C5885"/>
    <w:rsid w:val="009C60A1"/>
    <w:rsid w:val="009C651D"/>
    <w:rsid w:val="009D2505"/>
    <w:rsid w:val="009D55CC"/>
    <w:rsid w:val="009E421F"/>
    <w:rsid w:val="009E7A17"/>
    <w:rsid w:val="009F59E5"/>
    <w:rsid w:val="00A00328"/>
    <w:rsid w:val="00A01730"/>
    <w:rsid w:val="00A041BD"/>
    <w:rsid w:val="00A15C88"/>
    <w:rsid w:val="00A17F41"/>
    <w:rsid w:val="00A20256"/>
    <w:rsid w:val="00A226B1"/>
    <w:rsid w:val="00A259B3"/>
    <w:rsid w:val="00A25D42"/>
    <w:rsid w:val="00A25DE7"/>
    <w:rsid w:val="00A375DE"/>
    <w:rsid w:val="00A54BF4"/>
    <w:rsid w:val="00A66FA7"/>
    <w:rsid w:val="00A6714F"/>
    <w:rsid w:val="00A67A60"/>
    <w:rsid w:val="00A70AC7"/>
    <w:rsid w:val="00A73BEF"/>
    <w:rsid w:val="00A81E97"/>
    <w:rsid w:val="00A85E8B"/>
    <w:rsid w:val="00A87CC1"/>
    <w:rsid w:val="00A902B3"/>
    <w:rsid w:val="00A92AD1"/>
    <w:rsid w:val="00A95BFF"/>
    <w:rsid w:val="00A972F6"/>
    <w:rsid w:val="00AA1176"/>
    <w:rsid w:val="00AA1953"/>
    <w:rsid w:val="00AB57F5"/>
    <w:rsid w:val="00AB70DF"/>
    <w:rsid w:val="00AC30AA"/>
    <w:rsid w:val="00AC3597"/>
    <w:rsid w:val="00AC40CA"/>
    <w:rsid w:val="00AD4707"/>
    <w:rsid w:val="00AE4D65"/>
    <w:rsid w:val="00AF139C"/>
    <w:rsid w:val="00B13664"/>
    <w:rsid w:val="00B14C57"/>
    <w:rsid w:val="00B26FFF"/>
    <w:rsid w:val="00B278A6"/>
    <w:rsid w:val="00B32D01"/>
    <w:rsid w:val="00B4379B"/>
    <w:rsid w:val="00B43967"/>
    <w:rsid w:val="00B46E09"/>
    <w:rsid w:val="00B51C77"/>
    <w:rsid w:val="00B614A6"/>
    <w:rsid w:val="00B614A9"/>
    <w:rsid w:val="00B64C53"/>
    <w:rsid w:val="00B718B9"/>
    <w:rsid w:val="00B75DE7"/>
    <w:rsid w:val="00B838A7"/>
    <w:rsid w:val="00B868C4"/>
    <w:rsid w:val="00B86CDE"/>
    <w:rsid w:val="00B90A4C"/>
    <w:rsid w:val="00B97BE5"/>
    <w:rsid w:val="00BA7BB9"/>
    <w:rsid w:val="00BB1A01"/>
    <w:rsid w:val="00BC3891"/>
    <w:rsid w:val="00BC7EC6"/>
    <w:rsid w:val="00BD7602"/>
    <w:rsid w:val="00BE076E"/>
    <w:rsid w:val="00BE0AAD"/>
    <w:rsid w:val="00BE125A"/>
    <w:rsid w:val="00BF3049"/>
    <w:rsid w:val="00BF3C75"/>
    <w:rsid w:val="00BF42BD"/>
    <w:rsid w:val="00BF58BB"/>
    <w:rsid w:val="00BF6542"/>
    <w:rsid w:val="00BF6870"/>
    <w:rsid w:val="00C11162"/>
    <w:rsid w:val="00C112F6"/>
    <w:rsid w:val="00C13970"/>
    <w:rsid w:val="00C2296B"/>
    <w:rsid w:val="00C42BB2"/>
    <w:rsid w:val="00C42FBB"/>
    <w:rsid w:val="00C437D0"/>
    <w:rsid w:val="00C4616E"/>
    <w:rsid w:val="00C51FF2"/>
    <w:rsid w:val="00C52A56"/>
    <w:rsid w:val="00C66F32"/>
    <w:rsid w:val="00C74944"/>
    <w:rsid w:val="00C77E39"/>
    <w:rsid w:val="00C9237A"/>
    <w:rsid w:val="00C93935"/>
    <w:rsid w:val="00C9687F"/>
    <w:rsid w:val="00C976A7"/>
    <w:rsid w:val="00C97BF1"/>
    <w:rsid w:val="00CA2AD1"/>
    <w:rsid w:val="00CB1EE1"/>
    <w:rsid w:val="00CB260C"/>
    <w:rsid w:val="00CB67BF"/>
    <w:rsid w:val="00CB6E1A"/>
    <w:rsid w:val="00CC0253"/>
    <w:rsid w:val="00CC2DE2"/>
    <w:rsid w:val="00CD06E8"/>
    <w:rsid w:val="00CD31E6"/>
    <w:rsid w:val="00CD35AC"/>
    <w:rsid w:val="00CD416D"/>
    <w:rsid w:val="00CD4EA8"/>
    <w:rsid w:val="00CD6757"/>
    <w:rsid w:val="00CE7236"/>
    <w:rsid w:val="00D0240C"/>
    <w:rsid w:val="00D1585D"/>
    <w:rsid w:val="00D22DDA"/>
    <w:rsid w:val="00D23DF1"/>
    <w:rsid w:val="00D27F68"/>
    <w:rsid w:val="00D3240D"/>
    <w:rsid w:val="00D334EF"/>
    <w:rsid w:val="00D33FD1"/>
    <w:rsid w:val="00D362EA"/>
    <w:rsid w:val="00D368D1"/>
    <w:rsid w:val="00D44022"/>
    <w:rsid w:val="00D4403F"/>
    <w:rsid w:val="00D50130"/>
    <w:rsid w:val="00D606C7"/>
    <w:rsid w:val="00D6494B"/>
    <w:rsid w:val="00D66B02"/>
    <w:rsid w:val="00D73143"/>
    <w:rsid w:val="00D7398D"/>
    <w:rsid w:val="00D80A0A"/>
    <w:rsid w:val="00D80CF9"/>
    <w:rsid w:val="00D82582"/>
    <w:rsid w:val="00D84548"/>
    <w:rsid w:val="00D90B8E"/>
    <w:rsid w:val="00D91CDC"/>
    <w:rsid w:val="00D925BA"/>
    <w:rsid w:val="00D96FE4"/>
    <w:rsid w:val="00DA395A"/>
    <w:rsid w:val="00DB12E8"/>
    <w:rsid w:val="00DB398B"/>
    <w:rsid w:val="00DC5D56"/>
    <w:rsid w:val="00DC6552"/>
    <w:rsid w:val="00DD06B5"/>
    <w:rsid w:val="00DE42C5"/>
    <w:rsid w:val="00DF22C3"/>
    <w:rsid w:val="00DF697F"/>
    <w:rsid w:val="00E07F2E"/>
    <w:rsid w:val="00E128DE"/>
    <w:rsid w:val="00E15B6F"/>
    <w:rsid w:val="00E16AEA"/>
    <w:rsid w:val="00E2402F"/>
    <w:rsid w:val="00E26389"/>
    <w:rsid w:val="00E31A18"/>
    <w:rsid w:val="00E40062"/>
    <w:rsid w:val="00E42550"/>
    <w:rsid w:val="00E45847"/>
    <w:rsid w:val="00E543F0"/>
    <w:rsid w:val="00E60E64"/>
    <w:rsid w:val="00E6150E"/>
    <w:rsid w:val="00E65401"/>
    <w:rsid w:val="00E676C4"/>
    <w:rsid w:val="00E710BB"/>
    <w:rsid w:val="00E72401"/>
    <w:rsid w:val="00E7599B"/>
    <w:rsid w:val="00E85D21"/>
    <w:rsid w:val="00EA07C5"/>
    <w:rsid w:val="00EA510F"/>
    <w:rsid w:val="00EB7021"/>
    <w:rsid w:val="00EC2F03"/>
    <w:rsid w:val="00EC2F57"/>
    <w:rsid w:val="00EC7E8F"/>
    <w:rsid w:val="00ED4917"/>
    <w:rsid w:val="00EE482D"/>
    <w:rsid w:val="00EE5EDD"/>
    <w:rsid w:val="00EF5BBB"/>
    <w:rsid w:val="00EF5EC1"/>
    <w:rsid w:val="00F009F0"/>
    <w:rsid w:val="00F034DE"/>
    <w:rsid w:val="00F13162"/>
    <w:rsid w:val="00F30A2B"/>
    <w:rsid w:val="00F348DD"/>
    <w:rsid w:val="00F35E7C"/>
    <w:rsid w:val="00F412FE"/>
    <w:rsid w:val="00F415B6"/>
    <w:rsid w:val="00F446D3"/>
    <w:rsid w:val="00F474DD"/>
    <w:rsid w:val="00F549A0"/>
    <w:rsid w:val="00F61498"/>
    <w:rsid w:val="00F6257E"/>
    <w:rsid w:val="00F65E07"/>
    <w:rsid w:val="00F6718B"/>
    <w:rsid w:val="00F73D8F"/>
    <w:rsid w:val="00F7589C"/>
    <w:rsid w:val="00F84583"/>
    <w:rsid w:val="00F84AF7"/>
    <w:rsid w:val="00F87470"/>
    <w:rsid w:val="00F96F4D"/>
    <w:rsid w:val="00F970D0"/>
    <w:rsid w:val="00FA03ED"/>
    <w:rsid w:val="00FA0945"/>
    <w:rsid w:val="00FA2962"/>
    <w:rsid w:val="00FA3934"/>
    <w:rsid w:val="00FA43BC"/>
    <w:rsid w:val="00FB3648"/>
    <w:rsid w:val="00FC3459"/>
    <w:rsid w:val="00FC5D16"/>
    <w:rsid w:val="00FD30D5"/>
    <w:rsid w:val="00FD7654"/>
    <w:rsid w:val="00FE5684"/>
    <w:rsid w:val="00FE5B33"/>
    <w:rsid w:val="00FE627E"/>
    <w:rsid w:val="00FF4011"/>
    <w:rsid w:val="00FF6A96"/>
    <w:rsid w:val="00FF7E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ity"/>
  <w:smartTagType w:namespaceuri="urn:schemas-microsoft-com:office:smarttags" w:name="PlaceType"/>
  <w:smartTagType w:namespaceuri="urn:schemas-microsoft-com:office:smarttags" w:name="PlaceName"/>
  <w:smartTagType w:namespaceuri="urn:schemas-microsoft-com:office:smarttags" w:name="country-region"/>
  <w:smartTagType w:namespaceuri="urn:schemas-microsoft-com:office:smarttags" w:name="place"/>
  <w:shapeDefaults>
    <o:shapedefaults v:ext="edit" spidmax="1030"/>
    <o:shapelayout v:ext="edit">
      <o:idmap v:ext="edit" data="1"/>
    </o:shapelayout>
  </w:shapeDefaults>
  <w:decimalSymbol w:val="."/>
  <w:listSeparator w:val=","/>
  <w14:docId w14:val="606E651D"/>
  <w15:docId w15:val="{5DD07460-2B63-4960-9C0B-F457A72B6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6B02"/>
    <w:pPr>
      <w:spacing w:after="200" w:line="276" w:lineRule="auto"/>
    </w:pPr>
    <w:rPr>
      <w:sz w:val="22"/>
      <w:szCs w:val="22"/>
      <w:lang w:eastAsia="en-US"/>
    </w:rPr>
  </w:style>
  <w:style w:type="paragraph" w:styleId="Heading3">
    <w:name w:val="heading 3"/>
    <w:basedOn w:val="Normal"/>
    <w:next w:val="Normal"/>
    <w:link w:val="Heading3Char"/>
    <w:uiPriority w:val="99"/>
    <w:qFormat/>
    <w:rsid w:val="001D75E9"/>
    <w:pPr>
      <w:keepNext/>
      <w:keepLines/>
      <w:spacing w:before="200" w:after="0"/>
      <w:outlineLvl w:val="2"/>
    </w:pPr>
    <w:rPr>
      <w:rFonts w:ascii="Cambria" w:eastAsia="Times New Roman" w:hAnsi="Cambria"/>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uiPriority w:val="99"/>
    <w:semiHidden/>
    <w:locked/>
    <w:rsid w:val="001D75E9"/>
    <w:rPr>
      <w:rFonts w:ascii="Cambria" w:hAnsi="Cambria" w:cs="Times New Roman"/>
      <w:b/>
      <w:bCs/>
      <w:color w:val="4F81BD"/>
    </w:rPr>
  </w:style>
  <w:style w:type="character" w:customStyle="1" w:styleId="apple-converted-space">
    <w:name w:val="apple-converted-space"/>
    <w:uiPriority w:val="99"/>
    <w:rsid w:val="00A972F6"/>
    <w:rPr>
      <w:rFonts w:cs="Times New Roman"/>
    </w:rPr>
  </w:style>
  <w:style w:type="paragraph" w:styleId="Header">
    <w:name w:val="header"/>
    <w:basedOn w:val="Normal"/>
    <w:link w:val="HeaderChar"/>
    <w:uiPriority w:val="99"/>
    <w:rsid w:val="000924E5"/>
    <w:pPr>
      <w:tabs>
        <w:tab w:val="center" w:pos="4513"/>
        <w:tab w:val="right" w:pos="9026"/>
      </w:tabs>
      <w:spacing w:after="0" w:line="240" w:lineRule="auto"/>
    </w:pPr>
  </w:style>
  <w:style w:type="character" w:customStyle="1" w:styleId="HeaderChar">
    <w:name w:val="Header Char"/>
    <w:link w:val="Header"/>
    <w:uiPriority w:val="99"/>
    <w:locked/>
    <w:rsid w:val="000924E5"/>
    <w:rPr>
      <w:rFonts w:cs="Times New Roman"/>
    </w:rPr>
  </w:style>
  <w:style w:type="paragraph" w:styleId="Footer">
    <w:name w:val="footer"/>
    <w:basedOn w:val="Normal"/>
    <w:link w:val="FooterChar"/>
    <w:uiPriority w:val="99"/>
    <w:rsid w:val="000924E5"/>
    <w:pPr>
      <w:tabs>
        <w:tab w:val="center" w:pos="4513"/>
        <w:tab w:val="right" w:pos="9026"/>
      </w:tabs>
      <w:spacing w:after="0" w:line="240" w:lineRule="auto"/>
    </w:pPr>
  </w:style>
  <w:style w:type="character" w:customStyle="1" w:styleId="FooterChar">
    <w:name w:val="Footer Char"/>
    <w:link w:val="Footer"/>
    <w:uiPriority w:val="99"/>
    <w:locked/>
    <w:rsid w:val="000924E5"/>
    <w:rPr>
      <w:rFonts w:cs="Times New Roman"/>
    </w:rPr>
  </w:style>
  <w:style w:type="paragraph" w:styleId="FootnoteText">
    <w:name w:val="footnote text"/>
    <w:basedOn w:val="Normal"/>
    <w:link w:val="FootnoteTextChar"/>
    <w:uiPriority w:val="99"/>
    <w:rsid w:val="006473D2"/>
    <w:pPr>
      <w:spacing w:after="0" w:line="240" w:lineRule="auto"/>
    </w:pPr>
    <w:rPr>
      <w:sz w:val="20"/>
      <w:szCs w:val="20"/>
    </w:rPr>
  </w:style>
  <w:style w:type="character" w:customStyle="1" w:styleId="FootnoteTextChar">
    <w:name w:val="Footnote Text Char"/>
    <w:link w:val="FootnoteText"/>
    <w:uiPriority w:val="99"/>
    <w:locked/>
    <w:rsid w:val="006473D2"/>
    <w:rPr>
      <w:rFonts w:cs="Times New Roman"/>
      <w:sz w:val="20"/>
      <w:szCs w:val="20"/>
    </w:rPr>
  </w:style>
  <w:style w:type="character" w:styleId="FootnoteReference">
    <w:name w:val="footnote reference"/>
    <w:uiPriority w:val="99"/>
    <w:semiHidden/>
    <w:rsid w:val="006473D2"/>
    <w:rPr>
      <w:rFonts w:cs="Times New Roman"/>
      <w:vertAlign w:val="superscript"/>
    </w:rPr>
  </w:style>
  <w:style w:type="paragraph" w:styleId="BalloonText">
    <w:name w:val="Balloon Text"/>
    <w:basedOn w:val="Normal"/>
    <w:link w:val="BalloonTextChar"/>
    <w:uiPriority w:val="99"/>
    <w:semiHidden/>
    <w:rsid w:val="00C74944"/>
    <w:pPr>
      <w:spacing w:after="0" w:line="240" w:lineRule="auto"/>
    </w:pPr>
    <w:rPr>
      <w:rFonts w:ascii="Tahoma" w:hAnsi="Tahoma" w:cs="Tahoma"/>
      <w:sz w:val="16"/>
      <w:szCs w:val="16"/>
    </w:rPr>
  </w:style>
  <w:style w:type="character" w:customStyle="1" w:styleId="BalloonTextChar">
    <w:name w:val="Balloon Text Char"/>
    <w:link w:val="BalloonText"/>
    <w:uiPriority w:val="99"/>
    <w:semiHidden/>
    <w:locked/>
    <w:rsid w:val="00C74944"/>
    <w:rPr>
      <w:rFonts w:ascii="Tahoma" w:hAnsi="Tahoma" w:cs="Tahoma"/>
      <w:sz w:val="16"/>
      <w:szCs w:val="16"/>
    </w:rPr>
  </w:style>
  <w:style w:type="paragraph" w:styleId="ListParagraph">
    <w:name w:val="List Paragraph"/>
    <w:basedOn w:val="Normal"/>
    <w:uiPriority w:val="99"/>
    <w:qFormat/>
    <w:rsid w:val="008D173C"/>
    <w:pPr>
      <w:ind w:left="720"/>
      <w:contextualSpacing/>
    </w:pPr>
  </w:style>
  <w:style w:type="character" w:styleId="Hyperlink">
    <w:name w:val="Hyperlink"/>
    <w:uiPriority w:val="99"/>
    <w:rsid w:val="007652AC"/>
    <w:rPr>
      <w:rFonts w:cs="Times New Roman"/>
      <w:color w:val="0000FF"/>
      <w:u w:val="single"/>
    </w:rPr>
  </w:style>
  <w:style w:type="character" w:styleId="FollowedHyperlink">
    <w:name w:val="FollowedHyperlink"/>
    <w:uiPriority w:val="99"/>
    <w:semiHidden/>
    <w:rsid w:val="004F486B"/>
    <w:rPr>
      <w:rFonts w:cs="Times New Roman"/>
      <w:color w:val="800080"/>
      <w:u w:val="single"/>
    </w:rPr>
  </w:style>
  <w:style w:type="table" w:styleId="TableGrid">
    <w:name w:val="Table Grid"/>
    <w:basedOn w:val="TableNormal"/>
    <w:uiPriority w:val="99"/>
    <w:rsid w:val="002512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rsid w:val="006F4BCE"/>
    <w:pPr>
      <w:spacing w:after="0" w:line="240" w:lineRule="auto"/>
    </w:pPr>
    <w:rPr>
      <w:sz w:val="20"/>
      <w:szCs w:val="20"/>
    </w:rPr>
  </w:style>
  <w:style w:type="character" w:customStyle="1" w:styleId="EndnoteTextChar">
    <w:name w:val="Endnote Text Char"/>
    <w:link w:val="EndnoteText"/>
    <w:uiPriority w:val="99"/>
    <w:locked/>
    <w:rsid w:val="006F4BCE"/>
    <w:rPr>
      <w:rFonts w:cs="Times New Roman"/>
      <w:sz w:val="20"/>
      <w:szCs w:val="20"/>
    </w:rPr>
  </w:style>
  <w:style w:type="character" w:styleId="CommentReference">
    <w:name w:val="annotation reference"/>
    <w:uiPriority w:val="99"/>
    <w:semiHidden/>
    <w:rsid w:val="00471AF0"/>
    <w:rPr>
      <w:rFonts w:cs="Times New Roman"/>
      <w:sz w:val="16"/>
      <w:szCs w:val="16"/>
    </w:rPr>
  </w:style>
  <w:style w:type="paragraph" w:styleId="CommentText">
    <w:name w:val="annotation text"/>
    <w:basedOn w:val="Normal"/>
    <w:link w:val="CommentTextChar"/>
    <w:uiPriority w:val="99"/>
    <w:semiHidden/>
    <w:rsid w:val="00471AF0"/>
    <w:rPr>
      <w:sz w:val="20"/>
      <w:szCs w:val="20"/>
    </w:rPr>
  </w:style>
  <w:style w:type="character" w:customStyle="1" w:styleId="CommentTextChar">
    <w:name w:val="Comment Text Char"/>
    <w:link w:val="CommentText"/>
    <w:uiPriority w:val="99"/>
    <w:semiHidden/>
    <w:locked/>
    <w:rsid w:val="004A73CE"/>
    <w:rPr>
      <w:rFonts w:cs="Times New Roman"/>
      <w:sz w:val="20"/>
      <w:szCs w:val="20"/>
      <w:lang w:val="en-GB"/>
    </w:rPr>
  </w:style>
  <w:style w:type="paragraph" w:styleId="CommentSubject">
    <w:name w:val="annotation subject"/>
    <w:basedOn w:val="CommentText"/>
    <w:next w:val="CommentText"/>
    <w:link w:val="CommentSubjectChar"/>
    <w:uiPriority w:val="99"/>
    <w:semiHidden/>
    <w:rsid w:val="00471AF0"/>
    <w:rPr>
      <w:b/>
      <w:bCs/>
    </w:rPr>
  </w:style>
  <w:style w:type="character" w:customStyle="1" w:styleId="CommentSubjectChar">
    <w:name w:val="Comment Subject Char"/>
    <w:link w:val="CommentSubject"/>
    <w:uiPriority w:val="99"/>
    <w:semiHidden/>
    <w:locked/>
    <w:rsid w:val="004A73CE"/>
    <w:rPr>
      <w:rFonts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9249474">
      <w:marLeft w:val="0"/>
      <w:marRight w:val="0"/>
      <w:marTop w:val="0"/>
      <w:marBottom w:val="0"/>
      <w:divBdr>
        <w:top w:val="none" w:sz="0" w:space="0" w:color="auto"/>
        <w:left w:val="none" w:sz="0" w:space="0" w:color="auto"/>
        <w:bottom w:val="none" w:sz="0" w:space="0" w:color="auto"/>
        <w:right w:val="none" w:sz="0" w:space="0" w:color="auto"/>
      </w:divBdr>
    </w:div>
    <w:div w:id="1419249475">
      <w:marLeft w:val="0"/>
      <w:marRight w:val="0"/>
      <w:marTop w:val="0"/>
      <w:marBottom w:val="0"/>
      <w:divBdr>
        <w:top w:val="none" w:sz="0" w:space="0" w:color="auto"/>
        <w:left w:val="none" w:sz="0" w:space="0" w:color="auto"/>
        <w:bottom w:val="none" w:sz="0" w:space="0" w:color="auto"/>
        <w:right w:val="none" w:sz="0" w:space="0" w:color="auto"/>
      </w:divBdr>
    </w:div>
    <w:div w:id="1419249476">
      <w:marLeft w:val="0"/>
      <w:marRight w:val="0"/>
      <w:marTop w:val="0"/>
      <w:marBottom w:val="0"/>
      <w:divBdr>
        <w:top w:val="none" w:sz="0" w:space="0" w:color="auto"/>
        <w:left w:val="none" w:sz="0" w:space="0" w:color="auto"/>
        <w:bottom w:val="none" w:sz="0" w:space="0" w:color="auto"/>
        <w:right w:val="none" w:sz="0" w:space="0" w:color="auto"/>
      </w:divBdr>
    </w:div>
    <w:div w:id="1419249477">
      <w:marLeft w:val="0"/>
      <w:marRight w:val="0"/>
      <w:marTop w:val="0"/>
      <w:marBottom w:val="0"/>
      <w:divBdr>
        <w:top w:val="none" w:sz="0" w:space="0" w:color="auto"/>
        <w:left w:val="none" w:sz="0" w:space="0" w:color="auto"/>
        <w:bottom w:val="none" w:sz="0" w:space="0" w:color="auto"/>
        <w:right w:val="none" w:sz="0" w:space="0" w:color="auto"/>
      </w:divBdr>
    </w:div>
    <w:div w:id="1419249478">
      <w:marLeft w:val="0"/>
      <w:marRight w:val="0"/>
      <w:marTop w:val="0"/>
      <w:marBottom w:val="0"/>
      <w:divBdr>
        <w:top w:val="none" w:sz="0" w:space="0" w:color="auto"/>
        <w:left w:val="none" w:sz="0" w:space="0" w:color="auto"/>
        <w:bottom w:val="none" w:sz="0" w:space="0" w:color="auto"/>
        <w:right w:val="none" w:sz="0" w:space="0" w:color="auto"/>
      </w:divBdr>
    </w:div>
    <w:div w:id="1419249479">
      <w:marLeft w:val="0"/>
      <w:marRight w:val="0"/>
      <w:marTop w:val="0"/>
      <w:marBottom w:val="0"/>
      <w:divBdr>
        <w:top w:val="none" w:sz="0" w:space="0" w:color="auto"/>
        <w:left w:val="none" w:sz="0" w:space="0" w:color="auto"/>
        <w:bottom w:val="none" w:sz="0" w:space="0" w:color="auto"/>
        <w:right w:val="none" w:sz="0" w:space="0" w:color="auto"/>
      </w:divBdr>
    </w:div>
    <w:div w:id="1419249480">
      <w:marLeft w:val="0"/>
      <w:marRight w:val="0"/>
      <w:marTop w:val="0"/>
      <w:marBottom w:val="0"/>
      <w:divBdr>
        <w:top w:val="none" w:sz="0" w:space="0" w:color="auto"/>
        <w:left w:val="none" w:sz="0" w:space="0" w:color="auto"/>
        <w:bottom w:val="none" w:sz="0" w:space="0" w:color="auto"/>
        <w:right w:val="none" w:sz="0" w:space="0" w:color="auto"/>
      </w:divBdr>
    </w:div>
    <w:div w:id="1419249481">
      <w:marLeft w:val="0"/>
      <w:marRight w:val="0"/>
      <w:marTop w:val="0"/>
      <w:marBottom w:val="0"/>
      <w:divBdr>
        <w:top w:val="none" w:sz="0" w:space="0" w:color="auto"/>
        <w:left w:val="none" w:sz="0" w:space="0" w:color="auto"/>
        <w:bottom w:val="none" w:sz="0" w:space="0" w:color="auto"/>
        <w:right w:val="none" w:sz="0" w:space="0" w:color="auto"/>
      </w:divBdr>
    </w:div>
    <w:div w:id="1419249482">
      <w:marLeft w:val="0"/>
      <w:marRight w:val="0"/>
      <w:marTop w:val="0"/>
      <w:marBottom w:val="0"/>
      <w:divBdr>
        <w:top w:val="none" w:sz="0" w:space="0" w:color="auto"/>
        <w:left w:val="none" w:sz="0" w:space="0" w:color="auto"/>
        <w:bottom w:val="none" w:sz="0" w:space="0" w:color="auto"/>
        <w:right w:val="none" w:sz="0" w:space="0" w:color="auto"/>
      </w:divBdr>
    </w:div>
    <w:div w:id="1419249483">
      <w:marLeft w:val="0"/>
      <w:marRight w:val="0"/>
      <w:marTop w:val="0"/>
      <w:marBottom w:val="0"/>
      <w:divBdr>
        <w:top w:val="none" w:sz="0" w:space="0" w:color="auto"/>
        <w:left w:val="none" w:sz="0" w:space="0" w:color="auto"/>
        <w:bottom w:val="none" w:sz="0" w:space="0" w:color="auto"/>
        <w:right w:val="none" w:sz="0" w:space="0" w:color="auto"/>
      </w:divBdr>
    </w:div>
    <w:div w:id="1419249484">
      <w:marLeft w:val="0"/>
      <w:marRight w:val="0"/>
      <w:marTop w:val="0"/>
      <w:marBottom w:val="0"/>
      <w:divBdr>
        <w:top w:val="none" w:sz="0" w:space="0" w:color="auto"/>
        <w:left w:val="none" w:sz="0" w:space="0" w:color="auto"/>
        <w:bottom w:val="none" w:sz="0" w:space="0" w:color="auto"/>
        <w:right w:val="none" w:sz="0" w:space="0" w:color="auto"/>
      </w:divBdr>
    </w:div>
    <w:div w:id="1419249485">
      <w:marLeft w:val="0"/>
      <w:marRight w:val="0"/>
      <w:marTop w:val="0"/>
      <w:marBottom w:val="0"/>
      <w:divBdr>
        <w:top w:val="none" w:sz="0" w:space="0" w:color="auto"/>
        <w:left w:val="none" w:sz="0" w:space="0" w:color="auto"/>
        <w:bottom w:val="none" w:sz="0" w:space="0" w:color="auto"/>
        <w:right w:val="none" w:sz="0" w:space="0" w:color="auto"/>
      </w:divBdr>
    </w:div>
    <w:div w:id="1419249486">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omments.xml.rels><?xml version="1.0" encoding="UTF-8" standalone="yes"?>
<Relationships xmlns="http://schemas.openxmlformats.org/package/2006/relationships"><Relationship Id="rId1" Type="http://schemas.openxmlformats.org/officeDocument/2006/relationships/hyperlink" Target="http://members.westnet.com.au/gary-david-thompson/page9j.html"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genius.com/albums/Homer-nagy-trans/Iliad-an-ancient-greek-transla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www.theoi.com/Text/HesiodCatalogues.html" TargetMode="Externa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yperlink" Target="http://www.sydneyobservatory.com.au/2014/dr-pryke-considers-taurus-and-the-bull-of-heaven-in-mesopotamian-myth-and-astronom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hyperlink" Target="http://etcsl.orinst.ox.ac.uk/section1/tr132.htm"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 Id="rId22" Type="http://schemas.microsoft.com/office/2011/relationships/people" Target="people.xml"/></Relationships>
</file>

<file path=word/_rels/footnotes.xml.rels><?xml version="1.0" encoding="UTF-8" standalone="yes"?>
<Relationships xmlns="http://schemas.openxmlformats.org/package/2006/relationships"><Relationship Id="rId2" Type="http://schemas.openxmlformats.org/officeDocument/2006/relationships/hyperlink" Target="http://ojs.st-andrews.ac.uk/index.php/ampal/article/view/918" TargetMode="External"/><Relationship Id="rId1" Type="http://schemas.openxmlformats.org/officeDocument/2006/relationships/hyperlink" Target="http://www.sydneyobservatory.com.au/2014/dr-pryke-considers-taurus-and-the-bull-of-heaven-in-mesopotamian-myth-and-astr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2C3B96-7DE6-488E-94F6-36851A139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2274</TotalTime>
  <Pages>72</Pages>
  <Words>18865</Words>
  <Characters>107533</Characters>
  <Application>Microsoft Office Word</Application>
  <DocSecurity>0</DocSecurity>
  <Lines>896</Lines>
  <Paragraphs>252</Paragraphs>
  <ScaleCrop>false</ScaleCrop>
  <HeadingPairs>
    <vt:vector size="2" baseType="variant">
      <vt:variant>
        <vt:lpstr>Title</vt:lpstr>
      </vt:variant>
      <vt:variant>
        <vt:i4>1</vt:i4>
      </vt:variant>
    </vt:vector>
  </HeadingPairs>
  <TitlesOfParts>
    <vt:vector size="1" baseType="lpstr">
      <vt:lpstr>'REFLECTING ONASTRONOMY ANDHOROLOGYIN THE LITERARY MYTHOLOGIES OF WESTERN ASIAAND ARCHAIC GREECE: </vt:lpstr>
    </vt:vector>
  </TitlesOfParts>
  <Company>.</Company>
  <LinksUpToDate>false</LinksUpToDate>
  <CharactersWithSpaces>126146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'REFLECTING ONASTRONOMY ANDHOROLOGYIN THE LITERARY MYTHOLOGIES OF WESTERN ASIAAND ARCHAIC GREECE: </dc:title>
  <dc:subject/>
  <dc:creator>Imogen</dc:creator>
  <cp:keywords/>
  <dc:description/>
  <cp:lastModifiedBy>Author</cp:lastModifiedBy>
  <cp:revision>18</cp:revision>
  <cp:lastPrinted>2012-03-12T15:02:00Z</cp:lastPrinted>
  <dcterms:created xsi:type="dcterms:W3CDTF">2015-11-20T20:20:00Z</dcterms:created>
  <dcterms:modified xsi:type="dcterms:W3CDTF">2015-11-30T15:40:00Z</dcterms:modified>
</cp:coreProperties>
</file>