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CDEE3" w14:textId="77777777" w:rsidR="00815C1D" w:rsidRPr="006301C4" w:rsidRDefault="00815C1D">
      <w:pPr>
        <w:pStyle w:val="Normal1"/>
        <w:spacing w:before="200" w:line="360" w:lineRule="auto"/>
        <w:jc w:val="center"/>
        <w:rPr>
          <w:rFonts w:ascii="Times New Roman" w:eastAsia="Times New Roman" w:hAnsi="Times New Roman" w:cs="Times New Roman"/>
          <w:b/>
          <w:sz w:val="32"/>
          <w:szCs w:val="32"/>
        </w:rPr>
      </w:pPr>
    </w:p>
    <w:p w14:paraId="209F8608" w14:textId="77777777" w:rsidR="00815C1D" w:rsidRPr="006301C4" w:rsidRDefault="00815C1D">
      <w:pPr>
        <w:pStyle w:val="Normal1"/>
        <w:spacing w:before="200" w:line="360" w:lineRule="auto"/>
        <w:jc w:val="center"/>
        <w:rPr>
          <w:rFonts w:ascii="Times New Roman" w:eastAsia="Times New Roman" w:hAnsi="Times New Roman" w:cs="Times New Roman"/>
          <w:b/>
          <w:sz w:val="32"/>
          <w:szCs w:val="32"/>
        </w:rPr>
      </w:pPr>
    </w:p>
    <w:p w14:paraId="22E59309" w14:textId="77777777" w:rsidR="00815C1D" w:rsidRDefault="00815C1D">
      <w:pPr>
        <w:pStyle w:val="Normal1"/>
        <w:spacing w:before="200" w:line="360" w:lineRule="auto"/>
        <w:jc w:val="center"/>
        <w:rPr>
          <w:rFonts w:ascii="Times New Roman" w:eastAsia="Times New Roman" w:hAnsi="Times New Roman" w:cs="Times New Roman"/>
          <w:b/>
          <w:sz w:val="32"/>
          <w:szCs w:val="32"/>
        </w:rPr>
      </w:pPr>
    </w:p>
    <w:p w14:paraId="4582E57E" w14:textId="77777777" w:rsidR="006301C4" w:rsidRPr="006301C4" w:rsidRDefault="006301C4">
      <w:pPr>
        <w:pStyle w:val="Normal1"/>
        <w:spacing w:before="200" w:line="360" w:lineRule="auto"/>
        <w:jc w:val="center"/>
        <w:rPr>
          <w:rFonts w:ascii="Times New Roman" w:eastAsia="Times New Roman" w:hAnsi="Times New Roman" w:cs="Times New Roman"/>
          <w:b/>
          <w:sz w:val="32"/>
          <w:szCs w:val="32"/>
        </w:rPr>
      </w:pPr>
    </w:p>
    <w:p w14:paraId="5C46879A" w14:textId="77777777" w:rsidR="00815C1D" w:rsidRDefault="00000000">
      <w:pPr>
        <w:pStyle w:val="Normal1"/>
        <w:spacing w:before="200" w:line="360" w:lineRule="auto"/>
        <w:jc w:val="center"/>
        <w:rPr>
          <w:rFonts w:ascii="Times New Roman" w:eastAsia="Times New Roman" w:hAnsi="Times New Roman" w:cs="Times New Roman"/>
          <w:b/>
          <w:sz w:val="32"/>
          <w:szCs w:val="32"/>
        </w:rPr>
      </w:pPr>
      <w:r w:rsidRPr="006301C4">
        <w:rPr>
          <w:rFonts w:ascii="Times New Roman" w:eastAsia="Times New Roman" w:hAnsi="Times New Roman" w:cs="Times New Roman"/>
          <w:b/>
          <w:sz w:val="32"/>
          <w:szCs w:val="32"/>
        </w:rPr>
        <w:t xml:space="preserve">INTERNATIONAL FINANCIAL MANAGEMENT </w:t>
      </w:r>
    </w:p>
    <w:p w14:paraId="1DBD8DFA" w14:textId="43267D6D" w:rsidR="00C46456" w:rsidRDefault="00C46456">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w:t>
      </w:r>
      <w:r w:rsidR="003F4DF0">
        <w:rPr>
          <w:rFonts w:ascii="Times New Roman" w:eastAsia="Times New Roman" w:hAnsi="Times New Roman" w:cs="Times New Roman"/>
          <w:b/>
          <w:sz w:val="32"/>
          <w:szCs w:val="32"/>
        </w:rPr>
        <w:t>1</w:t>
      </w:r>
    </w:p>
    <w:p w14:paraId="1A88C3DE" w14:textId="1F1DFD89" w:rsidR="00D56A2C" w:rsidRDefault="00365ACD">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LCBB6002</w:t>
      </w:r>
    </w:p>
    <w:p w14:paraId="0DB8E11C"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1516B148"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4FFB4087"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6BF7B985"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7CBAA664" w14:textId="74E76417" w:rsidR="003F4DF0" w:rsidRDefault="0018071F">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Desislava Laleva </w:t>
      </w:r>
    </w:p>
    <w:p w14:paraId="48F6C489" w14:textId="7500F456" w:rsidR="0018071F" w:rsidRDefault="0018071F">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2113192</w:t>
      </w:r>
    </w:p>
    <w:p w14:paraId="6615B4DF" w14:textId="3195735A" w:rsidR="0018071F" w:rsidRDefault="0018071F">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 Ms </w:t>
      </w:r>
      <w:r w:rsidR="006B7497">
        <w:rPr>
          <w:rFonts w:ascii="Times New Roman" w:eastAsia="Times New Roman" w:hAnsi="Times New Roman" w:cs="Times New Roman"/>
          <w:b/>
          <w:sz w:val="32"/>
          <w:szCs w:val="32"/>
        </w:rPr>
        <w:t xml:space="preserve">Zainab </w:t>
      </w:r>
      <w:r w:rsidR="00053A66">
        <w:rPr>
          <w:rFonts w:ascii="Times New Roman" w:eastAsia="Times New Roman" w:hAnsi="Times New Roman" w:cs="Times New Roman"/>
          <w:b/>
          <w:sz w:val="32"/>
          <w:szCs w:val="32"/>
        </w:rPr>
        <w:t>Atta</w:t>
      </w:r>
    </w:p>
    <w:p w14:paraId="6CEBAB7E"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45A0E928"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0CC10748"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2CAA6F66"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546EEF72" w14:textId="77777777" w:rsidR="00053A66" w:rsidRDefault="00053A66">
      <w:pPr>
        <w:pStyle w:val="Normal1"/>
        <w:spacing w:before="200" w:line="360" w:lineRule="auto"/>
        <w:jc w:val="center"/>
        <w:rPr>
          <w:rFonts w:ascii="Times New Roman" w:eastAsia="Times New Roman" w:hAnsi="Times New Roman" w:cs="Times New Roman"/>
          <w:b/>
          <w:sz w:val="32"/>
          <w:szCs w:val="32"/>
        </w:rPr>
      </w:pPr>
    </w:p>
    <w:p w14:paraId="6A13DCBD" w14:textId="77777777" w:rsidR="00053A66" w:rsidRPr="006301C4" w:rsidRDefault="00053A66">
      <w:pPr>
        <w:pStyle w:val="Normal1"/>
        <w:spacing w:before="200" w:line="360" w:lineRule="auto"/>
        <w:jc w:val="center"/>
        <w:rPr>
          <w:rFonts w:ascii="Times New Roman" w:eastAsia="Times New Roman" w:hAnsi="Times New Roman" w:cs="Times New Roman"/>
          <w:b/>
          <w:sz w:val="32"/>
          <w:szCs w:val="32"/>
        </w:rPr>
      </w:pPr>
    </w:p>
    <w:p w14:paraId="18CCF5CA" w14:textId="77777777" w:rsidR="00815C1D" w:rsidRPr="006301C4" w:rsidRDefault="00815C1D">
      <w:pPr>
        <w:pStyle w:val="Normal1"/>
        <w:spacing w:before="200" w:line="360" w:lineRule="auto"/>
        <w:jc w:val="both"/>
        <w:rPr>
          <w:rFonts w:ascii="Times New Roman" w:eastAsia="Times New Roman" w:hAnsi="Times New Roman" w:cs="Times New Roman"/>
          <w:sz w:val="24"/>
          <w:szCs w:val="24"/>
        </w:rPr>
      </w:pPr>
    </w:p>
    <w:p w14:paraId="09FE0DDE" w14:textId="77777777" w:rsidR="00815C1D" w:rsidRPr="006301C4" w:rsidRDefault="00000000">
      <w:pPr>
        <w:pStyle w:val="Normal1"/>
        <w:spacing w:before="200" w:line="360" w:lineRule="auto"/>
        <w:jc w:val="both"/>
        <w:rPr>
          <w:rFonts w:ascii="Times New Roman" w:eastAsia="Times New Roman" w:hAnsi="Times New Roman" w:cs="Times New Roman"/>
          <w:b/>
          <w:sz w:val="24"/>
          <w:szCs w:val="24"/>
        </w:rPr>
      </w:pPr>
      <w:r w:rsidRPr="006301C4">
        <w:br w:type="page"/>
      </w:r>
    </w:p>
    <w:bookmarkStart w:id="0" w:name="_daoec5riyim5" w:colFirst="0" w:colLast="0" w:displacedByCustomXml="next"/>
    <w:bookmarkEnd w:id="0" w:displacedByCustomXml="next"/>
    <w:sdt>
      <w:sdtPr>
        <w:rPr>
          <w:rFonts w:ascii="Arial" w:eastAsia="Arial" w:hAnsi="Arial" w:cs="Arial"/>
          <w:color w:val="auto"/>
          <w:sz w:val="22"/>
          <w:szCs w:val="22"/>
          <w:lang w:val=""/>
        </w:rPr>
        <w:id w:val="-1870143213"/>
        <w:docPartObj>
          <w:docPartGallery w:val="Table of Contents"/>
          <w:docPartUnique/>
        </w:docPartObj>
      </w:sdtPr>
      <w:sdtEndPr>
        <w:rPr>
          <w:b/>
          <w:bCs/>
          <w:noProof/>
        </w:rPr>
      </w:sdtEndPr>
      <w:sdtContent>
        <w:p w14:paraId="2C7B77D3" w14:textId="1171728B" w:rsidR="00F253C6" w:rsidRPr="006301C4" w:rsidRDefault="00F253C6" w:rsidP="00F253C6">
          <w:pPr>
            <w:pStyle w:val="aa"/>
            <w:spacing w:line="360" w:lineRule="auto"/>
            <w:jc w:val="center"/>
            <w:rPr>
              <w:rFonts w:ascii="Times New Roman" w:hAnsi="Times New Roman" w:cs="Times New Roman"/>
              <w:b/>
              <w:bCs/>
              <w:color w:val="auto"/>
              <w:sz w:val="24"/>
              <w:szCs w:val="24"/>
            </w:rPr>
          </w:pPr>
          <w:r w:rsidRPr="006301C4">
            <w:rPr>
              <w:rFonts w:ascii="Times New Roman" w:hAnsi="Times New Roman" w:cs="Times New Roman"/>
              <w:b/>
              <w:bCs/>
              <w:color w:val="auto"/>
              <w:sz w:val="24"/>
              <w:szCs w:val="24"/>
            </w:rPr>
            <w:t>Table of Contents</w:t>
          </w:r>
        </w:p>
        <w:p w14:paraId="797CFAA4" w14:textId="379C20F9" w:rsidR="00F253C6" w:rsidRPr="006301C4" w:rsidRDefault="00F253C6" w:rsidP="00F253C6">
          <w:pPr>
            <w:pStyle w:val="10"/>
            <w:tabs>
              <w:tab w:val="right" w:leader="dot" w:pos="9019"/>
            </w:tabs>
            <w:spacing w:line="360" w:lineRule="auto"/>
            <w:jc w:val="center"/>
            <w:rPr>
              <w:rFonts w:ascii="Times New Roman" w:hAnsi="Times New Roman" w:cs="Times New Roman"/>
              <w:noProof/>
              <w:sz w:val="24"/>
              <w:szCs w:val="24"/>
            </w:rPr>
          </w:pPr>
          <w:r w:rsidRPr="006301C4">
            <w:rPr>
              <w:rFonts w:ascii="Times New Roman" w:hAnsi="Times New Roman" w:cs="Times New Roman"/>
              <w:sz w:val="24"/>
              <w:szCs w:val="24"/>
            </w:rPr>
            <w:fldChar w:fldCharType="begin"/>
          </w:r>
          <w:r w:rsidRPr="006301C4">
            <w:rPr>
              <w:rFonts w:ascii="Times New Roman" w:hAnsi="Times New Roman" w:cs="Times New Roman"/>
              <w:sz w:val="24"/>
              <w:szCs w:val="24"/>
            </w:rPr>
            <w:instrText xml:space="preserve"> TOC \o "1-3" \h \z \u </w:instrText>
          </w:r>
          <w:r w:rsidRPr="006301C4">
            <w:rPr>
              <w:rFonts w:ascii="Times New Roman" w:hAnsi="Times New Roman" w:cs="Times New Roman"/>
              <w:sz w:val="24"/>
              <w:szCs w:val="24"/>
            </w:rPr>
            <w:fldChar w:fldCharType="separate"/>
          </w:r>
          <w:hyperlink w:anchor="_Toc154863957" w:history="1">
            <w:r w:rsidRPr="006301C4">
              <w:rPr>
                <w:rStyle w:val="a9"/>
                <w:rFonts w:ascii="Times New Roman" w:hAnsi="Times New Roman" w:cs="Times New Roman"/>
                <w:noProof/>
                <w:color w:val="auto"/>
                <w:sz w:val="24"/>
                <w:szCs w:val="24"/>
              </w:rPr>
              <w:t>1. Introduction</w:t>
            </w:r>
            <w:r w:rsidRPr="006301C4">
              <w:rPr>
                <w:rFonts w:ascii="Times New Roman" w:hAnsi="Times New Roman" w:cs="Times New Roman"/>
                <w:noProof/>
                <w:webHidden/>
                <w:sz w:val="24"/>
                <w:szCs w:val="24"/>
              </w:rPr>
              <w:tab/>
            </w:r>
            <w:r w:rsidRPr="006301C4">
              <w:rPr>
                <w:rFonts w:ascii="Times New Roman" w:hAnsi="Times New Roman" w:cs="Times New Roman"/>
                <w:noProof/>
                <w:webHidden/>
                <w:sz w:val="24"/>
                <w:szCs w:val="24"/>
              </w:rPr>
              <w:fldChar w:fldCharType="begin"/>
            </w:r>
            <w:r w:rsidRPr="006301C4">
              <w:rPr>
                <w:rFonts w:ascii="Times New Roman" w:hAnsi="Times New Roman" w:cs="Times New Roman"/>
                <w:noProof/>
                <w:webHidden/>
                <w:sz w:val="24"/>
                <w:szCs w:val="24"/>
              </w:rPr>
              <w:instrText xml:space="preserve"> PAGEREF _Toc154863957 \h </w:instrText>
            </w:r>
            <w:r w:rsidRPr="006301C4">
              <w:rPr>
                <w:rFonts w:ascii="Times New Roman" w:hAnsi="Times New Roman" w:cs="Times New Roman"/>
                <w:noProof/>
                <w:webHidden/>
                <w:sz w:val="24"/>
                <w:szCs w:val="24"/>
              </w:rPr>
            </w:r>
            <w:r w:rsidRPr="006301C4">
              <w:rPr>
                <w:rFonts w:ascii="Times New Roman" w:hAnsi="Times New Roman" w:cs="Times New Roman"/>
                <w:noProof/>
                <w:webHidden/>
                <w:sz w:val="24"/>
                <w:szCs w:val="24"/>
              </w:rPr>
              <w:fldChar w:fldCharType="separate"/>
            </w:r>
            <w:r w:rsidRPr="006301C4">
              <w:rPr>
                <w:rFonts w:ascii="Times New Roman" w:hAnsi="Times New Roman" w:cs="Times New Roman"/>
                <w:noProof/>
                <w:webHidden/>
                <w:sz w:val="24"/>
                <w:szCs w:val="24"/>
              </w:rPr>
              <w:t>2</w:t>
            </w:r>
            <w:r w:rsidRPr="006301C4">
              <w:rPr>
                <w:rFonts w:ascii="Times New Roman" w:hAnsi="Times New Roman" w:cs="Times New Roman"/>
                <w:noProof/>
                <w:webHidden/>
                <w:sz w:val="24"/>
                <w:szCs w:val="24"/>
              </w:rPr>
              <w:fldChar w:fldCharType="end"/>
            </w:r>
          </w:hyperlink>
        </w:p>
        <w:p w14:paraId="4AA86EB2" w14:textId="3BA7DAA0" w:rsidR="00F253C6" w:rsidRPr="006301C4" w:rsidRDefault="00000000" w:rsidP="00F253C6">
          <w:pPr>
            <w:pStyle w:val="10"/>
            <w:tabs>
              <w:tab w:val="right" w:leader="dot" w:pos="9019"/>
            </w:tabs>
            <w:spacing w:line="360" w:lineRule="auto"/>
            <w:jc w:val="center"/>
            <w:rPr>
              <w:rFonts w:ascii="Times New Roman" w:hAnsi="Times New Roman" w:cs="Times New Roman"/>
              <w:noProof/>
              <w:sz w:val="24"/>
              <w:szCs w:val="24"/>
            </w:rPr>
          </w:pPr>
          <w:hyperlink w:anchor="_Toc154863958" w:history="1">
            <w:r w:rsidR="00F253C6" w:rsidRPr="006301C4">
              <w:rPr>
                <w:rStyle w:val="a9"/>
                <w:rFonts w:ascii="Times New Roman" w:hAnsi="Times New Roman" w:cs="Times New Roman"/>
                <w:noProof/>
                <w:color w:val="auto"/>
                <w:sz w:val="24"/>
                <w:szCs w:val="24"/>
              </w:rPr>
              <w:t>2. Strategies adopted by MNCs in managing their exposure to foreign exchange risks</w:t>
            </w:r>
            <w:r w:rsidR="00F253C6" w:rsidRPr="006301C4">
              <w:rPr>
                <w:rFonts w:ascii="Times New Roman" w:hAnsi="Times New Roman" w:cs="Times New Roman"/>
                <w:noProof/>
                <w:webHidden/>
                <w:sz w:val="24"/>
                <w:szCs w:val="24"/>
              </w:rPr>
              <w:tab/>
            </w:r>
            <w:r w:rsidR="00F253C6" w:rsidRPr="006301C4">
              <w:rPr>
                <w:rFonts w:ascii="Times New Roman" w:hAnsi="Times New Roman" w:cs="Times New Roman"/>
                <w:noProof/>
                <w:webHidden/>
                <w:sz w:val="24"/>
                <w:szCs w:val="24"/>
              </w:rPr>
              <w:fldChar w:fldCharType="begin"/>
            </w:r>
            <w:r w:rsidR="00F253C6" w:rsidRPr="006301C4">
              <w:rPr>
                <w:rFonts w:ascii="Times New Roman" w:hAnsi="Times New Roman" w:cs="Times New Roman"/>
                <w:noProof/>
                <w:webHidden/>
                <w:sz w:val="24"/>
                <w:szCs w:val="24"/>
              </w:rPr>
              <w:instrText xml:space="preserve"> PAGEREF _Toc154863958 \h </w:instrText>
            </w:r>
            <w:r w:rsidR="00F253C6" w:rsidRPr="006301C4">
              <w:rPr>
                <w:rFonts w:ascii="Times New Roman" w:hAnsi="Times New Roman" w:cs="Times New Roman"/>
                <w:noProof/>
                <w:webHidden/>
                <w:sz w:val="24"/>
                <w:szCs w:val="24"/>
              </w:rPr>
            </w:r>
            <w:r w:rsidR="00F253C6" w:rsidRPr="006301C4">
              <w:rPr>
                <w:rFonts w:ascii="Times New Roman" w:hAnsi="Times New Roman" w:cs="Times New Roman"/>
                <w:noProof/>
                <w:webHidden/>
                <w:sz w:val="24"/>
                <w:szCs w:val="24"/>
              </w:rPr>
              <w:fldChar w:fldCharType="separate"/>
            </w:r>
            <w:r w:rsidR="00F253C6" w:rsidRPr="006301C4">
              <w:rPr>
                <w:rFonts w:ascii="Times New Roman" w:hAnsi="Times New Roman" w:cs="Times New Roman"/>
                <w:noProof/>
                <w:webHidden/>
                <w:sz w:val="24"/>
                <w:szCs w:val="24"/>
              </w:rPr>
              <w:t>2</w:t>
            </w:r>
            <w:r w:rsidR="00F253C6" w:rsidRPr="006301C4">
              <w:rPr>
                <w:rFonts w:ascii="Times New Roman" w:hAnsi="Times New Roman" w:cs="Times New Roman"/>
                <w:noProof/>
                <w:webHidden/>
                <w:sz w:val="24"/>
                <w:szCs w:val="24"/>
              </w:rPr>
              <w:fldChar w:fldCharType="end"/>
            </w:r>
          </w:hyperlink>
        </w:p>
        <w:p w14:paraId="3AAB8C17" w14:textId="64D515A9" w:rsidR="00F253C6" w:rsidRPr="006301C4" w:rsidRDefault="00000000" w:rsidP="00F253C6">
          <w:pPr>
            <w:pStyle w:val="10"/>
            <w:tabs>
              <w:tab w:val="right" w:leader="dot" w:pos="9019"/>
            </w:tabs>
            <w:spacing w:line="360" w:lineRule="auto"/>
            <w:jc w:val="center"/>
            <w:rPr>
              <w:rFonts w:ascii="Times New Roman" w:hAnsi="Times New Roman" w:cs="Times New Roman"/>
              <w:noProof/>
              <w:sz w:val="24"/>
              <w:szCs w:val="24"/>
            </w:rPr>
          </w:pPr>
          <w:hyperlink w:anchor="_Toc154863959" w:history="1">
            <w:r w:rsidR="00F253C6" w:rsidRPr="006301C4">
              <w:rPr>
                <w:rStyle w:val="a9"/>
                <w:rFonts w:ascii="Times New Roman" w:hAnsi="Times New Roman" w:cs="Times New Roman"/>
                <w:noProof/>
                <w:color w:val="auto"/>
                <w:sz w:val="24"/>
                <w:szCs w:val="24"/>
              </w:rPr>
              <w:t>3. Application of various theories and models</w:t>
            </w:r>
            <w:r w:rsidR="00F253C6" w:rsidRPr="006301C4">
              <w:rPr>
                <w:rFonts w:ascii="Times New Roman" w:hAnsi="Times New Roman" w:cs="Times New Roman"/>
                <w:noProof/>
                <w:webHidden/>
                <w:sz w:val="24"/>
                <w:szCs w:val="24"/>
              </w:rPr>
              <w:tab/>
            </w:r>
            <w:r w:rsidR="00F253C6" w:rsidRPr="006301C4">
              <w:rPr>
                <w:rFonts w:ascii="Times New Roman" w:hAnsi="Times New Roman" w:cs="Times New Roman"/>
                <w:noProof/>
                <w:webHidden/>
                <w:sz w:val="24"/>
                <w:szCs w:val="24"/>
              </w:rPr>
              <w:fldChar w:fldCharType="begin"/>
            </w:r>
            <w:r w:rsidR="00F253C6" w:rsidRPr="006301C4">
              <w:rPr>
                <w:rFonts w:ascii="Times New Roman" w:hAnsi="Times New Roman" w:cs="Times New Roman"/>
                <w:noProof/>
                <w:webHidden/>
                <w:sz w:val="24"/>
                <w:szCs w:val="24"/>
              </w:rPr>
              <w:instrText xml:space="preserve"> PAGEREF _Toc154863959 \h </w:instrText>
            </w:r>
            <w:r w:rsidR="00F253C6" w:rsidRPr="006301C4">
              <w:rPr>
                <w:rFonts w:ascii="Times New Roman" w:hAnsi="Times New Roman" w:cs="Times New Roman"/>
                <w:noProof/>
                <w:webHidden/>
                <w:sz w:val="24"/>
                <w:szCs w:val="24"/>
              </w:rPr>
            </w:r>
            <w:r w:rsidR="00F253C6" w:rsidRPr="006301C4">
              <w:rPr>
                <w:rFonts w:ascii="Times New Roman" w:hAnsi="Times New Roman" w:cs="Times New Roman"/>
                <w:noProof/>
                <w:webHidden/>
                <w:sz w:val="24"/>
                <w:szCs w:val="24"/>
              </w:rPr>
              <w:fldChar w:fldCharType="separate"/>
            </w:r>
            <w:r w:rsidR="00F253C6" w:rsidRPr="006301C4">
              <w:rPr>
                <w:rFonts w:ascii="Times New Roman" w:hAnsi="Times New Roman" w:cs="Times New Roman"/>
                <w:noProof/>
                <w:webHidden/>
                <w:sz w:val="24"/>
                <w:szCs w:val="24"/>
              </w:rPr>
              <w:t>3</w:t>
            </w:r>
            <w:r w:rsidR="00F253C6" w:rsidRPr="006301C4">
              <w:rPr>
                <w:rFonts w:ascii="Times New Roman" w:hAnsi="Times New Roman" w:cs="Times New Roman"/>
                <w:noProof/>
                <w:webHidden/>
                <w:sz w:val="24"/>
                <w:szCs w:val="24"/>
              </w:rPr>
              <w:fldChar w:fldCharType="end"/>
            </w:r>
          </w:hyperlink>
        </w:p>
        <w:p w14:paraId="622A17A2" w14:textId="6128B340" w:rsidR="00F253C6" w:rsidRPr="006301C4" w:rsidRDefault="00000000" w:rsidP="00F253C6">
          <w:pPr>
            <w:pStyle w:val="10"/>
            <w:tabs>
              <w:tab w:val="right" w:leader="dot" w:pos="9019"/>
            </w:tabs>
            <w:spacing w:line="360" w:lineRule="auto"/>
            <w:jc w:val="center"/>
            <w:rPr>
              <w:rFonts w:ascii="Times New Roman" w:hAnsi="Times New Roman" w:cs="Times New Roman"/>
              <w:noProof/>
              <w:sz w:val="24"/>
              <w:szCs w:val="24"/>
            </w:rPr>
          </w:pPr>
          <w:hyperlink w:anchor="_Toc154863960" w:history="1">
            <w:r w:rsidR="00F253C6" w:rsidRPr="006301C4">
              <w:rPr>
                <w:rStyle w:val="a9"/>
                <w:rFonts w:ascii="Times New Roman" w:hAnsi="Times New Roman" w:cs="Times New Roman"/>
                <w:noProof/>
                <w:color w:val="auto"/>
                <w:sz w:val="24"/>
                <w:szCs w:val="24"/>
              </w:rPr>
              <w:t>4. Conclusion</w:t>
            </w:r>
            <w:r w:rsidR="00F253C6" w:rsidRPr="006301C4">
              <w:rPr>
                <w:rFonts w:ascii="Times New Roman" w:hAnsi="Times New Roman" w:cs="Times New Roman"/>
                <w:noProof/>
                <w:webHidden/>
                <w:sz w:val="24"/>
                <w:szCs w:val="24"/>
              </w:rPr>
              <w:tab/>
            </w:r>
            <w:r w:rsidR="00F253C6" w:rsidRPr="006301C4">
              <w:rPr>
                <w:rFonts w:ascii="Times New Roman" w:hAnsi="Times New Roman" w:cs="Times New Roman"/>
                <w:noProof/>
                <w:webHidden/>
                <w:sz w:val="24"/>
                <w:szCs w:val="24"/>
              </w:rPr>
              <w:fldChar w:fldCharType="begin"/>
            </w:r>
            <w:r w:rsidR="00F253C6" w:rsidRPr="006301C4">
              <w:rPr>
                <w:rFonts w:ascii="Times New Roman" w:hAnsi="Times New Roman" w:cs="Times New Roman"/>
                <w:noProof/>
                <w:webHidden/>
                <w:sz w:val="24"/>
                <w:szCs w:val="24"/>
              </w:rPr>
              <w:instrText xml:space="preserve"> PAGEREF _Toc154863960 \h </w:instrText>
            </w:r>
            <w:r w:rsidR="00F253C6" w:rsidRPr="006301C4">
              <w:rPr>
                <w:rFonts w:ascii="Times New Roman" w:hAnsi="Times New Roman" w:cs="Times New Roman"/>
                <w:noProof/>
                <w:webHidden/>
                <w:sz w:val="24"/>
                <w:szCs w:val="24"/>
              </w:rPr>
            </w:r>
            <w:r w:rsidR="00F253C6" w:rsidRPr="006301C4">
              <w:rPr>
                <w:rFonts w:ascii="Times New Roman" w:hAnsi="Times New Roman" w:cs="Times New Roman"/>
                <w:noProof/>
                <w:webHidden/>
                <w:sz w:val="24"/>
                <w:szCs w:val="24"/>
              </w:rPr>
              <w:fldChar w:fldCharType="separate"/>
            </w:r>
            <w:r w:rsidR="00F253C6" w:rsidRPr="006301C4">
              <w:rPr>
                <w:rFonts w:ascii="Times New Roman" w:hAnsi="Times New Roman" w:cs="Times New Roman"/>
                <w:noProof/>
                <w:webHidden/>
                <w:sz w:val="24"/>
                <w:szCs w:val="24"/>
              </w:rPr>
              <w:t>7</w:t>
            </w:r>
            <w:r w:rsidR="00F253C6" w:rsidRPr="006301C4">
              <w:rPr>
                <w:rFonts w:ascii="Times New Roman" w:hAnsi="Times New Roman" w:cs="Times New Roman"/>
                <w:noProof/>
                <w:webHidden/>
                <w:sz w:val="24"/>
                <w:szCs w:val="24"/>
              </w:rPr>
              <w:fldChar w:fldCharType="end"/>
            </w:r>
          </w:hyperlink>
        </w:p>
        <w:p w14:paraId="03D9946C" w14:textId="1FEC3738" w:rsidR="00F253C6" w:rsidRPr="006301C4" w:rsidRDefault="00000000" w:rsidP="00F253C6">
          <w:pPr>
            <w:pStyle w:val="10"/>
            <w:tabs>
              <w:tab w:val="right" w:leader="dot" w:pos="9019"/>
            </w:tabs>
            <w:spacing w:line="360" w:lineRule="auto"/>
            <w:jc w:val="center"/>
            <w:rPr>
              <w:rFonts w:ascii="Times New Roman" w:hAnsi="Times New Roman" w:cs="Times New Roman"/>
              <w:noProof/>
              <w:sz w:val="24"/>
              <w:szCs w:val="24"/>
            </w:rPr>
          </w:pPr>
          <w:hyperlink w:anchor="_Toc154863961" w:history="1">
            <w:r w:rsidR="00F253C6" w:rsidRPr="006301C4">
              <w:rPr>
                <w:rStyle w:val="a9"/>
                <w:rFonts w:ascii="Times New Roman" w:hAnsi="Times New Roman" w:cs="Times New Roman"/>
                <w:noProof/>
                <w:color w:val="auto"/>
                <w:sz w:val="24"/>
                <w:szCs w:val="24"/>
              </w:rPr>
              <w:t>References</w:t>
            </w:r>
            <w:r w:rsidR="00F253C6" w:rsidRPr="006301C4">
              <w:rPr>
                <w:rFonts w:ascii="Times New Roman" w:hAnsi="Times New Roman" w:cs="Times New Roman"/>
                <w:noProof/>
                <w:webHidden/>
                <w:sz w:val="24"/>
                <w:szCs w:val="24"/>
              </w:rPr>
              <w:tab/>
            </w:r>
            <w:r w:rsidR="00F253C6" w:rsidRPr="006301C4">
              <w:rPr>
                <w:rFonts w:ascii="Times New Roman" w:hAnsi="Times New Roman" w:cs="Times New Roman"/>
                <w:noProof/>
                <w:webHidden/>
                <w:sz w:val="24"/>
                <w:szCs w:val="24"/>
              </w:rPr>
              <w:fldChar w:fldCharType="begin"/>
            </w:r>
            <w:r w:rsidR="00F253C6" w:rsidRPr="006301C4">
              <w:rPr>
                <w:rFonts w:ascii="Times New Roman" w:hAnsi="Times New Roman" w:cs="Times New Roman"/>
                <w:noProof/>
                <w:webHidden/>
                <w:sz w:val="24"/>
                <w:szCs w:val="24"/>
              </w:rPr>
              <w:instrText xml:space="preserve"> PAGEREF _Toc154863961 \h </w:instrText>
            </w:r>
            <w:r w:rsidR="00F253C6" w:rsidRPr="006301C4">
              <w:rPr>
                <w:rFonts w:ascii="Times New Roman" w:hAnsi="Times New Roman" w:cs="Times New Roman"/>
                <w:noProof/>
                <w:webHidden/>
                <w:sz w:val="24"/>
                <w:szCs w:val="24"/>
              </w:rPr>
            </w:r>
            <w:r w:rsidR="00F253C6" w:rsidRPr="006301C4">
              <w:rPr>
                <w:rFonts w:ascii="Times New Roman" w:hAnsi="Times New Roman" w:cs="Times New Roman"/>
                <w:noProof/>
                <w:webHidden/>
                <w:sz w:val="24"/>
                <w:szCs w:val="24"/>
              </w:rPr>
              <w:fldChar w:fldCharType="separate"/>
            </w:r>
            <w:r w:rsidR="00F253C6" w:rsidRPr="006301C4">
              <w:rPr>
                <w:rFonts w:ascii="Times New Roman" w:hAnsi="Times New Roman" w:cs="Times New Roman"/>
                <w:noProof/>
                <w:webHidden/>
                <w:sz w:val="24"/>
                <w:szCs w:val="24"/>
              </w:rPr>
              <w:t>8</w:t>
            </w:r>
            <w:r w:rsidR="00F253C6" w:rsidRPr="006301C4">
              <w:rPr>
                <w:rFonts w:ascii="Times New Roman" w:hAnsi="Times New Roman" w:cs="Times New Roman"/>
                <w:noProof/>
                <w:webHidden/>
                <w:sz w:val="24"/>
                <w:szCs w:val="24"/>
              </w:rPr>
              <w:fldChar w:fldCharType="end"/>
            </w:r>
          </w:hyperlink>
        </w:p>
        <w:p w14:paraId="17B0A149" w14:textId="440F13A5" w:rsidR="00F253C6" w:rsidRPr="006301C4" w:rsidRDefault="00F253C6" w:rsidP="00F253C6">
          <w:pPr>
            <w:spacing w:line="360" w:lineRule="auto"/>
            <w:jc w:val="center"/>
          </w:pPr>
          <w:r w:rsidRPr="006301C4">
            <w:rPr>
              <w:rFonts w:ascii="Times New Roman" w:hAnsi="Times New Roman" w:cs="Times New Roman"/>
              <w:b/>
              <w:bCs/>
              <w:noProof/>
              <w:sz w:val="24"/>
              <w:szCs w:val="24"/>
            </w:rPr>
            <w:fldChar w:fldCharType="end"/>
          </w:r>
        </w:p>
      </w:sdtContent>
    </w:sdt>
    <w:p w14:paraId="2A43798B" w14:textId="77777777" w:rsidR="00F253C6" w:rsidRPr="006301C4" w:rsidRDefault="00F253C6">
      <w:pPr>
        <w:rPr>
          <w:rFonts w:ascii="Times New Roman" w:eastAsia="Times New Roman" w:hAnsi="Times New Roman" w:cs="Times New Roman"/>
          <w:b/>
          <w:sz w:val="24"/>
          <w:szCs w:val="24"/>
        </w:rPr>
      </w:pPr>
      <w:bookmarkStart w:id="1" w:name="_Toc154863957"/>
      <w:r w:rsidRPr="006301C4">
        <w:br w:type="page"/>
      </w:r>
    </w:p>
    <w:p w14:paraId="7266BC10" w14:textId="7D5E6B33" w:rsidR="00815C1D" w:rsidRPr="006301C4" w:rsidRDefault="00000000">
      <w:pPr>
        <w:pStyle w:val="1"/>
      </w:pPr>
      <w:r w:rsidRPr="006301C4">
        <w:t>1. Introduction</w:t>
      </w:r>
      <w:bookmarkEnd w:id="1"/>
      <w:r w:rsidRPr="006301C4">
        <w:t xml:space="preserve"> </w:t>
      </w:r>
    </w:p>
    <w:p w14:paraId="6A49976A"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sz w:val="24"/>
          <w:szCs w:val="24"/>
        </w:rPr>
        <w:t xml:space="preserve">The present research is based on International Financial Management which is a process of managing entire financial practices in an international environment of business. Such practices help in tracking business performance, managing overall trading, and following the exchange of foreign currency. Therefore, key strategies of international financial management include making proper investments, financing, and overall risk management process development. Moreover, such financial management is effective in maintaining adequate financial supply and balancing the overall fund of trading internationally. The research analyses key strategies of MNCs to manage their activities towards foreign exchange risk. Then, it analyses some theories and models based on financial management, cost of capital management, corporate value management, and more.      </w:t>
      </w:r>
    </w:p>
    <w:p w14:paraId="2442A30A" w14:textId="77777777" w:rsidR="00815C1D" w:rsidRPr="006301C4" w:rsidRDefault="00000000">
      <w:pPr>
        <w:pStyle w:val="1"/>
      </w:pPr>
      <w:bookmarkStart w:id="2" w:name="_rbl9ld5o7g6q" w:colFirst="0" w:colLast="0"/>
      <w:bookmarkStart w:id="3" w:name="_Toc154863958"/>
      <w:bookmarkEnd w:id="2"/>
      <w:r w:rsidRPr="006301C4">
        <w:t>2. Strategies adopted by MNCs in managing their exposure to foreign exchange risks</w:t>
      </w:r>
      <w:bookmarkEnd w:id="3"/>
      <w:r w:rsidRPr="006301C4">
        <w:t xml:space="preserve"> </w:t>
      </w:r>
    </w:p>
    <w:p w14:paraId="2B756ED5"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sz w:val="24"/>
          <w:szCs w:val="24"/>
        </w:rPr>
        <w:t>MNCs or Multinational corporations experience ups and downs in managing their risk factors related to foreign exchange. Various risk factors are noticed by MNCs to operate internationally including currency fluctuation, volatile landscape and more. Hence, to manage foreign exchange risk factors, MNCs have adopted various strategies which are explained below:</w:t>
      </w:r>
    </w:p>
    <w:p w14:paraId="53299DB2"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sz w:val="24"/>
          <w:szCs w:val="24"/>
          <w:u w:val="single"/>
        </w:rPr>
        <w:t>Centralising treasury measurement function</w:t>
      </w:r>
      <w:r w:rsidRPr="006301C4">
        <w:rPr>
          <w:rFonts w:ascii="Times New Roman" w:eastAsia="Times New Roman" w:hAnsi="Times New Roman" w:cs="Times New Roman"/>
          <w:sz w:val="24"/>
          <w:szCs w:val="24"/>
        </w:rPr>
        <w:t xml:space="preserve">: MNCs have adopted a strategy to establish a central treasury measurement function that provides them with proper or clear visibility of foreign exchange exposure and control over global cash flows. As stated by Ayunku and Apiri (2019), the centralised treasury system provides an overall view of foreign exchange which is effective in making informed decisions regarding the trading of MNCs. Moreover, such a strategy helps MNCs to make properly informed decisions after gaining control over international or foreign exchange risk factors.    </w:t>
      </w:r>
    </w:p>
    <w:p w14:paraId="7E9397F7"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sz w:val="24"/>
          <w:szCs w:val="24"/>
          <w:u w:val="single"/>
        </w:rPr>
        <w:t>They focus on maintaining financial hedging instruments</w:t>
      </w:r>
      <w:r w:rsidRPr="006301C4">
        <w:rPr>
          <w:rFonts w:ascii="Times New Roman" w:eastAsia="Times New Roman" w:hAnsi="Times New Roman" w:cs="Times New Roman"/>
          <w:sz w:val="24"/>
          <w:szCs w:val="24"/>
        </w:rPr>
        <w:t xml:space="preserve">: Some MNCs prefer to make forward contracts of their foreign exchange which locks the currency exchange rate for a future date and reduces the risk of exchange rate fluctuation (Riskinin </w:t>
      </w:r>
      <w:r w:rsidRPr="006301C4">
        <w:rPr>
          <w:rFonts w:ascii="Times New Roman" w:eastAsia="Times New Roman" w:hAnsi="Times New Roman" w:cs="Times New Roman"/>
          <w:i/>
          <w:sz w:val="24"/>
          <w:szCs w:val="24"/>
        </w:rPr>
        <w:t>et al.</w:t>
      </w:r>
      <w:r w:rsidRPr="006301C4">
        <w:rPr>
          <w:rFonts w:ascii="Times New Roman" w:eastAsia="Times New Roman" w:hAnsi="Times New Roman" w:cs="Times New Roman"/>
          <w:sz w:val="24"/>
          <w:szCs w:val="24"/>
        </w:rPr>
        <w:t xml:space="preserve"> 2020). Such a strategy mitigates the chances of unfavourable situations before currency exchange or any transaction. After that, in some cases, MNCs focus on currency options that provide specific exchange value in future and provide flexibility that limits loss or risk during currency exchange. Hence, MNCs focus on currency Swaps which help them to exchange currencies in future cash flows in other currencies which helps them to focus on exchange needs and their specific risks.     </w:t>
      </w:r>
    </w:p>
    <w:p w14:paraId="7F39EAEB"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sz w:val="24"/>
          <w:szCs w:val="24"/>
          <w:u w:val="single"/>
        </w:rPr>
        <w:t>Invoices in Local currencies</w:t>
      </w:r>
      <w:r w:rsidRPr="006301C4">
        <w:rPr>
          <w:rFonts w:ascii="Times New Roman" w:eastAsia="Times New Roman" w:hAnsi="Times New Roman" w:cs="Times New Roman"/>
          <w:sz w:val="24"/>
          <w:szCs w:val="24"/>
        </w:rPr>
        <w:t xml:space="preserve">: MNCs try to denominate their service invoices in local currencies based on their consumers which helps them to shield the ups and downs between local currency and their own countries' currency. As per Alfaro </w:t>
      </w:r>
      <w:r w:rsidRPr="006301C4">
        <w:rPr>
          <w:rFonts w:ascii="Times New Roman" w:eastAsia="Times New Roman" w:hAnsi="Times New Roman" w:cs="Times New Roman"/>
          <w:i/>
          <w:sz w:val="24"/>
          <w:szCs w:val="24"/>
        </w:rPr>
        <w:t xml:space="preserve">et al. </w:t>
      </w:r>
      <w:r w:rsidRPr="006301C4">
        <w:rPr>
          <w:rFonts w:ascii="Times New Roman" w:eastAsia="Times New Roman" w:hAnsi="Times New Roman" w:cs="Times New Roman"/>
          <w:sz w:val="24"/>
          <w:szCs w:val="24"/>
        </w:rPr>
        <w:t xml:space="preserve">(2021), such an invoicing process is effective in reducing currency fluctuation and eliminating the exchange risk factors.       </w:t>
      </w:r>
    </w:p>
    <w:p w14:paraId="6BF633E0" w14:textId="77777777" w:rsidR="00815C1D" w:rsidRPr="006301C4" w:rsidRDefault="00000000">
      <w:pPr>
        <w:pStyle w:val="1"/>
      </w:pPr>
      <w:bookmarkStart w:id="4" w:name="_e1yt51jkaea3" w:colFirst="0" w:colLast="0"/>
      <w:bookmarkStart w:id="5" w:name="_Toc154863959"/>
      <w:bookmarkEnd w:id="4"/>
      <w:r w:rsidRPr="006301C4">
        <w:t>3. Application of various theories and models</w:t>
      </w:r>
      <w:bookmarkEnd w:id="5"/>
      <w:r w:rsidRPr="006301C4">
        <w:t xml:space="preserve"> </w:t>
      </w:r>
    </w:p>
    <w:p w14:paraId="5F3117FA" w14:textId="77777777" w:rsidR="00815C1D" w:rsidRPr="006301C4" w:rsidRDefault="00000000">
      <w:pPr>
        <w:pStyle w:val="Normal1"/>
        <w:spacing w:before="200" w:line="360" w:lineRule="auto"/>
        <w:jc w:val="both"/>
        <w:rPr>
          <w:rFonts w:ascii="Times New Roman" w:eastAsia="Times New Roman" w:hAnsi="Times New Roman" w:cs="Times New Roman"/>
          <w:b/>
          <w:sz w:val="24"/>
          <w:szCs w:val="24"/>
          <w:u w:val="single"/>
        </w:rPr>
      </w:pPr>
      <w:r w:rsidRPr="006301C4">
        <w:rPr>
          <w:rFonts w:ascii="Times New Roman" w:eastAsia="Times New Roman" w:hAnsi="Times New Roman" w:cs="Times New Roman"/>
          <w:b/>
          <w:sz w:val="24"/>
          <w:szCs w:val="24"/>
          <w:u w:val="single"/>
        </w:rPr>
        <w:t>Theories of international financial management</w:t>
      </w:r>
    </w:p>
    <w:p w14:paraId="7971B88B"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Theory of foreign exchange risk</w:t>
      </w:r>
      <w:r w:rsidRPr="006301C4">
        <w:rPr>
          <w:rFonts w:ascii="Times New Roman" w:eastAsia="Times New Roman" w:hAnsi="Times New Roman" w:cs="Times New Roman"/>
          <w:sz w:val="24"/>
          <w:szCs w:val="24"/>
        </w:rPr>
        <w:t xml:space="preserve">: The theory focuses on the losses experienced by MNCs during international financial transactions which occur due to fluctuation of currencies. According to the illustration of Hadian and Adaoglu (2020), foreign exchange risk may impact traders and investors who trade or make translations in international markets. However, implementation of such theory helps MNCs to focus on various strategies of foreign exchange such as swaps, forward contracts, trading options, and more that help to mitigate foreign exchange risk factors. Moreover, the theory helps to protect the overall investment of investors in a foreign market    </w:t>
      </w:r>
    </w:p>
    <w:p w14:paraId="1AC1ADD3" w14:textId="6A987E8D"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Arm's Length Principle or theory</w:t>
      </w:r>
      <w:r w:rsidRPr="006301C4">
        <w:rPr>
          <w:rFonts w:ascii="Times New Roman" w:eastAsia="Times New Roman" w:hAnsi="Times New Roman" w:cs="Times New Roman"/>
          <w:sz w:val="24"/>
          <w:szCs w:val="24"/>
        </w:rPr>
        <w:t xml:space="preserve">: application of such theory is effective in maintaining transfer pricing decisions and it ensures the entire practice aligns with regulations and maintains fairness. The research of Mpofu and Wealth (2022), indicates that Arm's Length theory ensures that the price manipulation need not be done by the parties based on their goods and services to gain unfair advantage and avoid unnecessary taxes. Application of </w:t>
      </w:r>
      <w:r w:rsidR="00FC1CB7" w:rsidRPr="006301C4">
        <w:rPr>
          <w:rFonts w:ascii="Times New Roman" w:eastAsia="Times New Roman" w:hAnsi="Times New Roman" w:cs="Times New Roman"/>
          <w:sz w:val="24"/>
          <w:szCs w:val="24"/>
        </w:rPr>
        <w:t>the present</w:t>
      </w:r>
      <w:r w:rsidRPr="006301C4">
        <w:rPr>
          <w:rFonts w:ascii="Times New Roman" w:eastAsia="Times New Roman" w:hAnsi="Times New Roman" w:cs="Times New Roman"/>
          <w:sz w:val="24"/>
          <w:szCs w:val="24"/>
        </w:rPr>
        <w:t xml:space="preserve"> theory is important</w:t>
      </w:r>
      <w:r w:rsidR="00FC1CB7" w:rsidRPr="006301C4">
        <w:rPr>
          <w:rFonts w:ascii="Times New Roman" w:eastAsia="Times New Roman" w:hAnsi="Times New Roman" w:cs="Times New Roman"/>
          <w:sz w:val="24"/>
          <w:szCs w:val="24"/>
        </w:rPr>
        <w:t xml:space="preserve"> in MNCs</w:t>
      </w:r>
      <w:r w:rsidRPr="006301C4">
        <w:rPr>
          <w:rFonts w:ascii="Times New Roman" w:eastAsia="Times New Roman" w:hAnsi="Times New Roman" w:cs="Times New Roman"/>
          <w:sz w:val="24"/>
          <w:szCs w:val="24"/>
        </w:rPr>
        <w:t xml:space="preserve"> to ensure </w:t>
      </w:r>
      <w:r w:rsidR="00FC1CB7" w:rsidRPr="006301C4">
        <w:rPr>
          <w:rFonts w:ascii="Times New Roman" w:eastAsia="Times New Roman" w:hAnsi="Times New Roman" w:cs="Times New Roman"/>
          <w:sz w:val="24"/>
          <w:szCs w:val="24"/>
        </w:rPr>
        <w:t>transparent</w:t>
      </w:r>
      <w:r w:rsidRPr="006301C4">
        <w:rPr>
          <w:rFonts w:ascii="Times New Roman" w:eastAsia="Times New Roman" w:hAnsi="Times New Roman" w:cs="Times New Roman"/>
          <w:sz w:val="24"/>
          <w:szCs w:val="24"/>
        </w:rPr>
        <w:t xml:space="preserve"> conditions</w:t>
      </w:r>
      <w:r w:rsidR="00FC1CB7" w:rsidRPr="006301C4">
        <w:rPr>
          <w:rFonts w:ascii="Times New Roman" w:eastAsia="Times New Roman" w:hAnsi="Times New Roman" w:cs="Times New Roman"/>
          <w:sz w:val="24"/>
          <w:szCs w:val="24"/>
        </w:rPr>
        <w:t xml:space="preserve"> of their </w:t>
      </w:r>
      <w:r w:rsidR="008E6726" w:rsidRPr="006301C4">
        <w:rPr>
          <w:rFonts w:ascii="Times New Roman" w:eastAsia="Times New Roman" w:hAnsi="Times New Roman" w:cs="Times New Roman"/>
          <w:sz w:val="24"/>
          <w:szCs w:val="24"/>
        </w:rPr>
        <w:t>business</w:t>
      </w:r>
      <w:r w:rsidR="00FC1CB7" w:rsidRPr="006301C4">
        <w:rPr>
          <w:rFonts w:ascii="Times New Roman" w:eastAsia="Times New Roman" w:hAnsi="Times New Roman" w:cs="Times New Roman"/>
          <w:sz w:val="24"/>
          <w:szCs w:val="24"/>
        </w:rPr>
        <w:t xml:space="preserve"> market</w:t>
      </w:r>
      <w:r w:rsidRPr="006301C4">
        <w:rPr>
          <w:rFonts w:ascii="Times New Roman" w:eastAsia="Times New Roman" w:hAnsi="Times New Roman" w:cs="Times New Roman"/>
          <w:sz w:val="24"/>
          <w:szCs w:val="24"/>
        </w:rPr>
        <w:t xml:space="preserve"> and deal with potential </w:t>
      </w:r>
      <w:r w:rsidR="008E6726" w:rsidRPr="006301C4">
        <w:rPr>
          <w:rFonts w:ascii="Times New Roman" w:eastAsia="Times New Roman" w:hAnsi="Times New Roman" w:cs="Times New Roman"/>
          <w:sz w:val="24"/>
          <w:szCs w:val="24"/>
        </w:rPr>
        <w:t xml:space="preserve">business </w:t>
      </w:r>
      <w:r w:rsidRPr="006301C4">
        <w:rPr>
          <w:rFonts w:ascii="Times New Roman" w:eastAsia="Times New Roman" w:hAnsi="Times New Roman" w:cs="Times New Roman"/>
          <w:sz w:val="24"/>
          <w:szCs w:val="24"/>
        </w:rPr>
        <w:t xml:space="preserve">conflicts that may arise during currency exchange. </w:t>
      </w:r>
      <w:r w:rsidR="008E6726" w:rsidRPr="006301C4">
        <w:rPr>
          <w:rFonts w:ascii="Times New Roman" w:eastAsia="Times New Roman" w:hAnsi="Times New Roman" w:cs="Times New Roman"/>
          <w:sz w:val="24"/>
          <w:szCs w:val="24"/>
        </w:rPr>
        <w:t>Despite that</w:t>
      </w:r>
      <w:r w:rsidRPr="006301C4">
        <w:rPr>
          <w:rFonts w:ascii="Times New Roman" w:eastAsia="Times New Roman" w:hAnsi="Times New Roman" w:cs="Times New Roman"/>
          <w:sz w:val="24"/>
          <w:szCs w:val="24"/>
        </w:rPr>
        <w:t xml:space="preserve">, </w:t>
      </w:r>
      <w:r w:rsidR="008E6726" w:rsidRPr="006301C4">
        <w:rPr>
          <w:rFonts w:ascii="Times New Roman" w:eastAsia="Times New Roman" w:hAnsi="Times New Roman" w:cs="Times New Roman"/>
          <w:sz w:val="24"/>
          <w:szCs w:val="24"/>
        </w:rPr>
        <w:t xml:space="preserve">tax erosion can be </w:t>
      </w:r>
      <w:r w:rsidRPr="006301C4">
        <w:rPr>
          <w:rFonts w:ascii="Times New Roman" w:eastAsia="Times New Roman" w:hAnsi="Times New Roman" w:cs="Times New Roman"/>
          <w:sz w:val="24"/>
          <w:szCs w:val="24"/>
        </w:rPr>
        <w:t>avoid</w:t>
      </w:r>
      <w:r w:rsidR="008E6726" w:rsidRPr="006301C4">
        <w:rPr>
          <w:rFonts w:ascii="Times New Roman" w:eastAsia="Times New Roman" w:hAnsi="Times New Roman" w:cs="Times New Roman"/>
          <w:sz w:val="24"/>
          <w:szCs w:val="24"/>
        </w:rPr>
        <w:t>ed</w:t>
      </w:r>
      <w:r w:rsidRPr="006301C4">
        <w:rPr>
          <w:rFonts w:ascii="Times New Roman" w:eastAsia="Times New Roman" w:hAnsi="Times New Roman" w:cs="Times New Roman"/>
          <w:sz w:val="24"/>
          <w:szCs w:val="24"/>
        </w:rPr>
        <w:t xml:space="preserve"> </w:t>
      </w:r>
      <w:r w:rsidR="008E6726" w:rsidRPr="006301C4">
        <w:rPr>
          <w:rFonts w:ascii="Times New Roman" w:eastAsia="Times New Roman" w:hAnsi="Times New Roman" w:cs="Times New Roman"/>
          <w:sz w:val="24"/>
          <w:szCs w:val="24"/>
        </w:rPr>
        <w:t xml:space="preserve">by the theory </w:t>
      </w:r>
      <w:r w:rsidRPr="006301C4">
        <w:rPr>
          <w:rFonts w:ascii="Times New Roman" w:eastAsia="Times New Roman" w:hAnsi="Times New Roman" w:cs="Times New Roman"/>
          <w:sz w:val="24"/>
          <w:szCs w:val="24"/>
        </w:rPr>
        <w:t xml:space="preserve">and </w:t>
      </w:r>
      <w:r w:rsidR="008E6726" w:rsidRPr="006301C4">
        <w:rPr>
          <w:rFonts w:ascii="Times New Roman" w:eastAsia="Times New Roman" w:hAnsi="Times New Roman" w:cs="Times New Roman"/>
          <w:sz w:val="24"/>
          <w:szCs w:val="24"/>
        </w:rPr>
        <w:t xml:space="preserve">it </w:t>
      </w:r>
      <w:r w:rsidRPr="006301C4">
        <w:rPr>
          <w:rFonts w:ascii="Times New Roman" w:eastAsia="Times New Roman" w:hAnsi="Times New Roman" w:cs="Times New Roman"/>
          <w:sz w:val="24"/>
          <w:szCs w:val="24"/>
        </w:rPr>
        <w:t xml:space="preserve">helps to maintain </w:t>
      </w:r>
      <w:r w:rsidR="008E6726" w:rsidRPr="006301C4">
        <w:rPr>
          <w:rFonts w:ascii="Times New Roman" w:eastAsia="Times New Roman" w:hAnsi="Times New Roman" w:cs="Times New Roman"/>
          <w:sz w:val="24"/>
          <w:szCs w:val="24"/>
        </w:rPr>
        <w:t xml:space="preserve">overall </w:t>
      </w:r>
      <w:r w:rsidRPr="006301C4">
        <w:rPr>
          <w:rFonts w:ascii="Times New Roman" w:eastAsia="Times New Roman" w:hAnsi="Times New Roman" w:cs="Times New Roman"/>
          <w:sz w:val="24"/>
          <w:szCs w:val="24"/>
        </w:rPr>
        <w:t>organisational profit by following low</w:t>
      </w:r>
      <w:r w:rsidR="008E6726" w:rsidRPr="006301C4">
        <w:rPr>
          <w:rFonts w:ascii="Times New Roman" w:eastAsia="Times New Roman" w:hAnsi="Times New Roman" w:cs="Times New Roman"/>
          <w:sz w:val="24"/>
          <w:szCs w:val="24"/>
        </w:rPr>
        <w:t>er</w:t>
      </w:r>
      <w:r w:rsidRPr="006301C4">
        <w:rPr>
          <w:rFonts w:ascii="Times New Roman" w:eastAsia="Times New Roman" w:hAnsi="Times New Roman" w:cs="Times New Roman"/>
          <w:sz w:val="24"/>
          <w:szCs w:val="24"/>
        </w:rPr>
        <w:t xml:space="preserve"> tax jurisdictions</w:t>
      </w:r>
      <w:r w:rsidR="008E6726" w:rsidRPr="006301C4">
        <w:rPr>
          <w:rFonts w:ascii="Times New Roman" w:eastAsia="Times New Roman" w:hAnsi="Times New Roman" w:cs="Times New Roman"/>
          <w:sz w:val="24"/>
          <w:szCs w:val="24"/>
        </w:rPr>
        <w:t xml:space="preserve"> of the bsuiness</w:t>
      </w:r>
      <w:r w:rsidRPr="006301C4">
        <w:rPr>
          <w:rFonts w:ascii="Times New Roman" w:eastAsia="Times New Roman" w:hAnsi="Times New Roman" w:cs="Times New Roman"/>
          <w:sz w:val="24"/>
          <w:szCs w:val="24"/>
        </w:rPr>
        <w:t xml:space="preserve">.     </w:t>
      </w:r>
    </w:p>
    <w:p w14:paraId="13363EEA" w14:textId="77777777" w:rsidR="00815C1D" w:rsidRPr="006301C4" w:rsidRDefault="00000000">
      <w:pPr>
        <w:pStyle w:val="Normal1"/>
        <w:spacing w:before="200" w:line="360" w:lineRule="auto"/>
        <w:jc w:val="center"/>
        <w:rPr>
          <w:rFonts w:ascii="Times New Roman" w:eastAsia="Times New Roman" w:hAnsi="Times New Roman" w:cs="Times New Roman"/>
          <w:sz w:val="24"/>
          <w:szCs w:val="24"/>
        </w:rPr>
      </w:pPr>
      <w:r w:rsidRPr="006301C4">
        <w:rPr>
          <w:rFonts w:ascii="Times New Roman" w:eastAsia="Times New Roman" w:hAnsi="Times New Roman" w:cs="Times New Roman"/>
          <w:noProof/>
          <w:sz w:val="24"/>
          <w:szCs w:val="24"/>
        </w:rPr>
        <w:drawing>
          <wp:inline distT="114300" distB="114300" distL="114300" distR="114300" wp14:anchorId="46E41D02" wp14:editId="3839A706">
            <wp:extent cx="4305300" cy="230505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a:stretch>
                      <a:fillRect/>
                    </a:stretch>
                  </pic:blipFill>
                  <pic:spPr>
                    <a:xfrm>
                      <a:off x="0" y="0"/>
                      <a:ext cx="4305300" cy="2305050"/>
                    </a:xfrm>
                    <a:prstGeom prst="rect">
                      <a:avLst/>
                    </a:prstGeom>
                    <a:ln w="25400">
                      <a:solidFill>
                        <a:srgbClr val="000000"/>
                      </a:solidFill>
                      <a:prstDash val="solid"/>
                    </a:ln>
                  </pic:spPr>
                </pic:pic>
              </a:graphicData>
            </a:graphic>
          </wp:inline>
        </w:drawing>
      </w:r>
      <w:r w:rsidRPr="006301C4">
        <w:rPr>
          <w:rFonts w:ascii="Times New Roman" w:eastAsia="Times New Roman" w:hAnsi="Times New Roman" w:cs="Times New Roman"/>
          <w:sz w:val="24"/>
          <w:szCs w:val="24"/>
        </w:rPr>
        <w:t xml:space="preserve"> </w:t>
      </w:r>
    </w:p>
    <w:p w14:paraId="23184085" w14:textId="77777777" w:rsidR="00815C1D" w:rsidRPr="006301C4" w:rsidRDefault="00000000">
      <w:pPr>
        <w:pStyle w:val="Normal1"/>
        <w:spacing w:before="200" w:line="360" w:lineRule="auto"/>
        <w:jc w:val="center"/>
        <w:rPr>
          <w:rFonts w:ascii="Times New Roman" w:eastAsia="Times New Roman" w:hAnsi="Times New Roman" w:cs="Times New Roman"/>
          <w:b/>
          <w:sz w:val="24"/>
          <w:szCs w:val="24"/>
        </w:rPr>
      </w:pPr>
      <w:r w:rsidRPr="006301C4">
        <w:rPr>
          <w:rFonts w:ascii="Times New Roman" w:eastAsia="Times New Roman" w:hAnsi="Times New Roman" w:cs="Times New Roman"/>
          <w:b/>
          <w:sz w:val="24"/>
          <w:szCs w:val="24"/>
        </w:rPr>
        <w:t>Figure 1: Arm's Length Principle</w:t>
      </w:r>
    </w:p>
    <w:p w14:paraId="746FF9EB" w14:textId="77777777" w:rsidR="00815C1D" w:rsidRPr="006301C4" w:rsidRDefault="00000000">
      <w:pPr>
        <w:pStyle w:val="Normal1"/>
        <w:spacing w:before="200" w:line="360" w:lineRule="auto"/>
        <w:jc w:val="center"/>
        <w:rPr>
          <w:rFonts w:ascii="Times New Roman" w:eastAsia="Times New Roman" w:hAnsi="Times New Roman" w:cs="Times New Roman"/>
          <w:b/>
          <w:sz w:val="24"/>
          <w:szCs w:val="24"/>
        </w:rPr>
      </w:pPr>
      <w:r w:rsidRPr="006301C4">
        <w:rPr>
          <w:rFonts w:ascii="Times New Roman" w:eastAsia="Times New Roman" w:hAnsi="Times New Roman" w:cs="Times New Roman"/>
          <w:sz w:val="24"/>
          <w:szCs w:val="24"/>
        </w:rPr>
        <w:t>(Source: Mpofu and Wealth, 2022)</w:t>
      </w:r>
      <w:r w:rsidRPr="006301C4">
        <w:rPr>
          <w:rFonts w:ascii="Times New Roman" w:eastAsia="Times New Roman" w:hAnsi="Times New Roman" w:cs="Times New Roman"/>
          <w:b/>
          <w:sz w:val="24"/>
          <w:szCs w:val="24"/>
        </w:rPr>
        <w:t xml:space="preserve"> </w:t>
      </w:r>
    </w:p>
    <w:p w14:paraId="06D390C7" w14:textId="55424B14"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Net Present Value (NPV)</w:t>
      </w:r>
      <w:r w:rsidRPr="006301C4">
        <w:rPr>
          <w:rFonts w:ascii="Times New Roman" w:eastAsia="Times New Roman" w:hAnsi="Times New Roman" w:cs="Times New Roman"/>
          <w:sz w:val="24"/>
          <w:szCs w:val="24"/>
        </w:rPr>
        <w:t xml:space="preserve">: The application of the </w:t>
      </w:r>
      <w:r w:rsidR="00D86692" w:rsidRPr="006301C4">
        <w:rPr>
          <w:rFonts w:ascii="Times New Roman" w:eastAsia="Times New Roman" w:hAnsi="Times New Roman" w:cs="Times New Roman"/>
          <w:sz w:val="24"/>
          <w:szCs w:val="24"/>
        </w:rPr>
        <w:t>present or NPV</w:t>
      </w:r>
      <w:r w:rsidRPr="006301C4">
        <w:rPr>
          <w:rFonts w:ascii="Times New Roman" w:eastAsia="Times New Roman" w:hAnsi="Times New Roman" w:cs="Times New Roman"/>
          <w:sz w:val="24"/>
          <w:szCs w:val="24"/>
        </w:rPr>
        <w:t xml:space="preserve"> method is effective in maintaining the </w:t>
      </w:r>
      <w:r w:rsidR="00D86692" w:rsidRPr="006301C4">
        <w:rPr>
          <w:rFonts w:ascii="Times New Roman" w:eastAsia="Times New Roman" w:hAnsi="Times New Roman" w:cs="Times New Roman"/>
          <w:sz w:val="24"/>
          <w:szCs w:val="24"/>
        </w:rPr>
        <w:t xml:space="preserve">key </w:t>
      </w:r>
      <w:r w:rsidRPr="006301C4">
        <w:rPr>
          <w:rFonts w:ascii="Times New Roman" w:eastAsia="Times New Roman" w:hAnsi="Times New Roman" w:cs="Times New Roman"/>
          <w:sz w:val="24"/>
          <w:szCs w:val="24"/>
        </w:rPr>
        <w:t>difference</w:t>
      </w:r>
      <w:r w:rsidR="00D86692" w:rsidRPr="006301C4">
        <w:rPr>
          <w:rFonts w:ascii="Times New Roman" w:eastAsia="Times New Roman" w:hAnsi="Times New Roman" w:cs="Times New Roman"/>
          <w:sz w:val="24"/>
          <w:szCs w:val="24"/>
        </w:rPr>
        <w:t>s</w:t>
      </w:r>
      <w:r w:rsidRPr="006301C4">
        <w:rPr>
          <w:rFonts w:ascii="Times New Roman" w:eastAsia="Times New Roman" w:hAnsi="Times New Roman" w:cs="Times New Roman"/>
          <w:sz w:val="24"/>
          <w:szCs w:val="24"/>
        </w:rPr>
        <w:t xml:space="preserve"> between the present cash </w:t>
      </w:r>
      <w:r w:rsidR="00D86692" w:rsidRPr="006301C4">
        <w:rPr>
          <w:rFonts w:ascii="Times New Roman" w:eastAsia="Times New Roman" w:hAnsi="Times New Roman" w:cs="Times New Roman"/>
          <w:sz w:val="24"/>
          <w:szCs w:val="24"/>
        </w:rPr>
        <w:t>outflow value</w:t>
      </w:r>
      <w:r w:rsidRPr="006301C4">
        <w:rPr>
          <w:rFonts w:ascii="Times New Roman" w:eastAsia="Times New Roman" w:hAnsi="Times New Roman" w:cs="Times New Roman"/>
          <w:sz w:val="24"/>
          <w:szCs w:val="24"/>
        </w:rPr>
        <w:t xml:space="preserve"> and </w:t>
      </w:r>
      <w:r w:rsidR="00D86692" w:rsidRPr="006301C4">
        <w:rPr>
          <w:rFonts w:ascii="Times New Roman" w:eastAsia="Times New Roman" w:hAnsi="Times New Roman" w:cs="Times New Roman"/>
          <w:sz w:val="24"/>
          <w:szCs w:val="24"/>
        </w:rPr>
        <w:t xml:space="preserve">the value of </w:t>
      </w:r>
      <w:r w:rsidRPr="006301C4">
        <w:rPr>
          <w:rFonts w:ascii="Times New Roman" w:eastAsia="Times New Roman" w:hAnsi="Times New Roman" w:cs="Times New Roman"/>
          <w:sz w:val="24"/>
          <w:szCs w:val="24"/>
        </w:rPr>
        <w:t>cash inflows for a period. As</w:t>
      </w:r>
      <w:r w:rsidR="00C2437F" w:rsidRPr="006301C4">
        <w:rPr>
          <w:rFonts w:ascii="Times New Roman" w:eastAsia="Times New Roman" w:hAnsi="Times New Roman" w:cs="Times New Roman"/>
          <w:sz w:val="24"/>
          <w:szCs w:val="24"/>
        </w:rPr>
        <w:t xml:space="preserve"> defined</w:t>
      </w:r>
      <w:r w:rsidRPr="006301C4">
        <w:rPr>
          <w:rFonts w:ascii="Times New Roman" w:eastAsia="Times New Roman" w:hAnsi="Times New Roman" w:cs="Times New Roman"/>
          <w:sz w:val="24"/>
          <w:szCs w:val="24"/>
        </w:rPr>
        <w:t xml:space="preserve"> by Magni and Marchioni </w:t>
      </w:r>
      <w:r w:rsidR="00C2437F" w:rsidRPr="006301C4">
        <w:rPr>
          <w:rFonts w:ascii="Times New Roman" w:eastAsia="Times New Roman" w:hAnsi="Times New Roman" w:cs="Times New Roman"/>
          <w:sz w:val="24"/>
          <w:szCs w:val="24"/>
        </w:rPr>
        <w:t>(</w:t>
      </w:r>
      <w:r w:rsidRPr="006301C4">
        <w:rPr>
          <w:rFonts w:ascii="Times New Roman" w:eastAsia="Times New Roman" w:hAnsi="Times New Roman" w:cs="Times New Roman"/>
          <w:sz w:val="24"/>
          <w:szCs w:val="24"/>
        </w:rPr>
        <w:t xml:space="preserve">2020), NPV is effective </w:t>
      </w:r>
      <w:r w:rsidR="00C2437F" w:rsidRPr="006301C4">
        <w:rPr>
          <w:rFonts w:ascii="Times New Roman" w:eastAsia="Times New Roman" w:hAnsi="Times New Roman" w:cs="Times New Roman"/>
          <w:sz w:val="24"/>
          <w:szCs w:val="24"/>
        </w:rPr>
        <w:t>in maintaining</w:t>
      </w:r>
      <w:r w:rsidRPr="006301C4">
        <w:rPr>
          <w:rFonts w:ascii="Times New Roman" w:eastAsia="Times New Roman" w:hAnsi="Times New Roman" w:cs="Times New Roman"/>
          <w:sz w:val="24"/>
          <w:szCs w:val="24"/>
        </w:rPr>
        <w:t xml:space="preserve"> </w:t>
      </w:r>
      <w:r w:rsidR="00C2437F" w:rsidRPr="006301C4">
        <w:rPr>
          <w:rFonts w:ascii="Times New Roman" w:eastAsia="Times New Roman" w:hAnsi="Times New Roman" w:cs="Times New Roman"/>
          <w:sz w:val="24"/>
          <w:szCs w:val="24"/>
        </w:rPr>
        <w:t>the overall</w:t>
      </w:r>
      <w:r w:rsidRPr="006301C4">
        <w:rPr>
          <w:rFonts w:ascii="Times New Roman" w:eastAsia="Times New Roman" w:hAnsi="Times New Roman" w:cs="Times New Roman"/>
          <w:sz w:val="24"/>
          <w:szCs w:val="24"/>
        </w:rPr>
        <w:t xml:space="preserve"> feasibility of </w:t>
      </w:r>
      <w:r w:rsidR="00C2437F" w:rsidRPr="006301C4">
        <w:rPr>
          <w:rFonts w:ascii="Times New Roman" w:eastAsia="Times New Roman" w:hAnsi="Times New Roman" w:cs="Times New Roman"/>
          <w:sz w:val="24"/>
          <w:szCs w:val="24"/>
        </w:rPr>
        <w:t xml:space="preserve">business </w:t>
      </w:r>
      <w:r w:rsidRPr="006301C4">
        <w:rPr>
          <w:rFonts w:ascii="Times New Roman" w:eastAsia="Times New Roman" w:hAnsi="Times New Roman" w:cs="Times New Roman"/>
          <w:sz w:val="24"/>
          <w:szCs w:val="24"/>
        </w:rPr>
        <w:t xml:space="preserve">foreign exchange and </w:t>
      </w:r>
      <w:r w:rsidR="00A33003" w:rsidRPr="006301C4">
        <w:rPr>
          <w:rFonts w:ascii="Times New Roman" w:eastAsia="Times New Roman" w:hAnsi="Times New Roman" w:cs="Times New Roman"/>
          <w:sz w:val="24"/>
          <w:szCs w:val="24"/>
        </w:rPr>
        <w:t>generating</w:t>
      </w:r>
      <w:r w:rsidRPr="006301C4">
        <w:rPr>
          <w:rFonts w:ascii="Times New Roman" w:eastAsia="Times New Roman" w:hAnsi="Times New Roman" w:cs="Times New Roman"/>
          <w:sz w:val="24"/>
          <w:szCs w:val="24"/>
        </w:rPr>
        <w:t xml:space="preserve"> </w:t>
      </w:r>
      <w:r w:rsidR="00C2437F" w:rsidRPr="006301C4">
        <w:rPr>
          <w:rFonts w:ascii="Times New Roman" w:eastAsia="Times New Roman" w:hAnsi="Times New Roman" w:cs="Times New Roman"/>
          <w:sz w:val="24"/>
          <w:szCs w:val="24"/>
        </w:rPr>
        <w:t xml:space="preserve">necessary </w:t>
      </w:r>
      <w:r w:rsidRPr="006301C4">
        <w:rPr>
          <w:rFonts w:ascii="Times New Roman" w:eastAsia="Times New Roman" w:hAnsi="Times New Roman" w:cs="Times New Roman"/>
          <w:sz w:val="24"/>
          <w:szCs w:val="24"/>
        </w:rPr>
        <w:t xml:space="preserve">investment decisions by </w:t>
      </w:r>
      <w:r w:rsidR="00A33003" w:rsidRPr="006301C4">
        <w:rPr>
          <w:rFonts w:ascii="Times New Roman" w:eastAsia="Times New Roman" w:hAnsi="Times New Roman" w:cs="Times New Roman"/>
          <w:sz w:val="24"/>
          <w:szCs w:val="24"/>
        </w:rPr>
        <w:t>business</w:t>
      </w:r>
      <w:r w:rsidR="00C2437F" w:rsidRPr="006301C4">
        <w:rPr>
          <w:rFonts w:ascii="Times New Roman" w:eastAsia="Times New Roman" w:hAnsi="Times New Roman" w:cs="Times New Roman"/>
          <w:sz w:val="24"/>
          <w:szCs w:val="24"/>
        </w:rPr>
        <w:t xml:space="preserve"> </w:t>
      </w:r>
      <w:r w:rsidRPr="006301C4">
        <w:rPr>
          <w:rFonts w:ascii="Times New Roman" w:eastAsia="Times New Roman" w:hAnsi="Times New Roman" w:cs="Times New Roman"/>
          <w:sz w:val="24"/>
          <w:szCs w:val="24"/>
        </w:rPr>
        <w:t xml:space="preserve">traders. Therefore, NPV is effective for </w:t>
      </w:r>
      <w:r w:rsidR="00A33003" w:rsidRPr="006301C4">
        <w:rPr>
          <w:rFonts w:ascii="Times New Roman" w:eastAsia="Times New Roman" w:hAnsi="Times New Roman" w:cs="Times New Roman"/>
          <w:sz w:val="24"/>
          <w:szCs w:val="24"/>
        </w:rPr>
        <w:t xml:space="preserve">MNCs to make </w:t>
      </w:r>
      <w:r w:rsidRPr="006301C4">
        <w:rPr>
          <w:rFonts w:ascii="Times New Roman" w:eastAsia="Times New Roman" w:hAnsi="Times New Roman" w:cs="Times New Roman"/>
          <w:sz w:val="24"/>
          <w:szCs w:val="24"/>
        </w:rPr>
        <w:t xml:space="preserve">investment planning and capital budgeting </w:t>
      </w:r>
      <w:r w:rsidR="00A33003" w:rsidRPr="006301C4">
        <w:rPr>
          <w:rFonts w:ascii="Times New Roman" w:eastAsia="Times New Roman" w:hAnsi="Times New Roman" w:cs="Times New Roman"/>
          <w:sz w:val="24"/>
          <w:szCs w:val="24"/>
        </w:rPr>
        <w:t xml:space="preserve">that helps </w:t>
      </w:r>
      <w:r w:rsidRPr="006301C4">
        <w:rPr>
          <w:rFonts w:ascii="Times New Roman" w:eastAsia="Times New Roman" w:hAnsi="Times New Roman" w:cs="Times New Roman"/>
          <w:sz w:val="24"/>
          <w:szCs w:val="24"/>
        </w:rPr>
        <w:t xml:space="preserve">to </w:t>
      </w:r>
      <w:r w:rsidR="00A33003" w:rsidRPr="006301C4">
        <w:rPr>
          <w:rFonts w:ascii="Times New Roman" w:eastAsia="Times New Roman" w:hAnsi="Times New Roman" w:cs="Times New Roman"/>
          <w:sz w:val="24"/>
          <w:szCs w:val="24"/>
        </w:rPr>
        <w:t>analyze</w:t>
      </w:r>
      <w:r w:rsidRPr="006301C4">
        <w:rPr>
          <w:rFonts w:ascii="Times New Roman" w:eastAsia="Times New Roman" w:hAnsi="Times New Roman" w:cs="Times New Roman"/>
          <w:sz w:val="24"/>
          <w:szCs w:val="24"/>
        </w:rPr>
        <w:t xml:space="preserve"> project investment and </w:t>
      </w:r>
      <w:r w:rsidR="00A33003" w:rsidRPr="006301C4">
        <w:rPr>
          <w:rFonts w:ascii="Times New Roman" w:eastAsia="Times New Roman" w:hAnsi="Times New Roman" w:cs="Times New Roman"/>
          <w:sz w:val="24"/>
          <w:szCs w:val="24"/>
        </w:rPr>
        <w:t xml:space="preserve">overall </w:t>
      </w:r>
      <w:r w:rsidRPr="006301C4">
        <w:rPr>
          <w:rFonts w:ascii="Times New Roman" w:eastAsia="Times New Roman" w:hAnsi="Times New Roman" w:cs="Times New Roman"/>
          <w:sz w:val="24"/>
          <w:szCs w:val="24"/>
        </w:rPr>
        <w:t xml:space="preserve">profitability (Magni and Marchioni, 2020). Therefore, </w:t>
      </w:r>
      <w:r w:rsidR="009F78AD" w:rsidRPr="006301C4">
        <w:rPr>
          <w:rFonts w:ascii="Times New Roman" w:eastAsia="Times New Roman" w:hAnsi="Times New Roman" w:cs="Times New Roman"/>
          <w:sz w:val="24"/>
          <w:szCs w:val="24"/>
        </w:rPr>
        <w:t>having</w:t>
      </w:r>
      <w:r w:rsidRPr="006301C4">
        <w:rPr>
          <w:rFonts w:ascii="Times New Roman" w:eastAsia="Times New Roman" w:hAnsi="Times New Roman" w:cs="Times New Roman"/>
          <w:sz w:val="24"/>
          <w:szCs w:val="24"/>
        </w:rPr>
        <w:t xml:space="preserve"> a positive NPV is </w:t>
      </w:r>
      <w:r w:rsidR="009F78AD" w:rsidRPr="006301C4">
        <w:rPr>
          <w:rFonts w:ascii="Times New Roman" w:eastAsia="Times New Roman" w:hAnsi="Times New Roman" w:cs="Times New Roman"/>
          <w:sz w:val="24"/>
          <w:szCs w:val="24"/>
        </w:rPr>
        <w:t>essential</w:t>
      </w:r>
      <w:r w:rsidRPr="006301C4">
        <w:rPr>
          <w:rFonts w:ascii="Times New Roman" w:eastAsia="Times New Roman" w:hAnsi="Times New Roman" w:cs="Times New Roman"/>
          <w:sz w:val="24"/>
          <w:szCs w:val="24"/>
        </w:rPr>
        <w:t xml:space="preserve"> for the traders </w:t>
      </w:r>
      <w:r w:rsidR="009F78AD" w:rsidRPr="006301C4">
        <w:rPr>
          <w:rFonts w:ascii="Times New Roman" w:eastAsia="Times New Roman" w:hAnsi="Times New Roman" w:cs="Times New Roman"/>
          <w:sz w:val="24"/>
          <w:szCs w:val="24"/>
        </w:rPr>
        <w:t>which helps to</w:t>
      </w:r>
      <w:r w:rsidRPr="006301C4">
        <w:rPr>
          <w:rFonts w:ascii="Times New Roman" w:eastAsia="Times New Roman" w:hAnsi="Times New Roman" w:cs="Times New Roman"/>
          <w:sz w:val="24"/>
          <w:szCs w:val="24"/>
        </w:rPr>
        <w:t xml:space="preserve"> ensure a positive value of the</w:t>
      </w:r>
      <w:r w:rsidR="009F78AD" w:rsidRPr="006301C4">
        <w:rPr>
          <w:rFonts w:ascii="Times New Roman" w:eastAsia="Times New Roman" w:hAnsi="Times New Roman" w:cs="Times New Roman"/>
          <w:sz w:val="24"/>
          <w:szCs w:val="24"/>
        </w:rPr>
        <w:t xml:space="preserve"> </w:t>
      </w:r>
      <w:r w:rsidR="00D75E79" w:rsidRPr="006301C4">
        <w:rPr>
          <w:rFonts w:ascii="Times New Roman" w:eastAsia="Times New Roman" w:hAnsi="Times New Roman" w:cs="Times New Roman"/>
          <w:sz w:val="24"/>
          <w:szCs w:val="24"/>
        </w:rPr>
        <w:t>organizational</w:t>
      </w:r>
      <w:r w:rsidRPr="006301C4">
        <w:rPr>
          <w:rFonts w:ascii="Times New Roman" w:eastAsia="Times New Roman" w:hAnsi="Times New Roman" w:cs="Times New Roman"/>
          <w:sz w:val="24"/>
          <w:szCs w:val="24"/>
        </w:rPr>
        <w:t xml:space="preserve"> foreign investment. </w:t>
      </w:r>
      <w:r w:rsidR="00D75E79" w:rsidRPr="006301C4">
        <w:rPr>
          <w:rFonts w:ascii="Times New Roman" w:eastAsia="Times New Roman" w:hAnsi="Times New Roman" w:cs="Times New Roman"/>
          <w:sz w:val="24"/>
          <w:szCs w:val="24"/>
        </w:rPr>
        <w:t>Nonetheless</w:t>
      </w:r>
      <w:r w:rsidRPr="006301C4">
        <w:rPr>
          <w:rFonts w:ascii="Times New Roman" w:eastAsia="Times New Roman" w:hAnsi="Times New Roman" w:cs="Times New Roman"/>
          <w:sz w:val="24"/>
          <w:szCs w:val="24"/>
        </w:rPr>
        <w:t>, critical business decisions mak</w:t>
      </w:r>
      <w:r w:rsidR="00895BD8" w:rsidRPr="006301C4">
        <w:rPr>
          <w:rFonts w:ascii="Times New Roman" w:eastAsia="Times New Roman" w:hAnsi="Times New Roman" w:cs="Times New Roman"/>
          <w:sz w:val="24"/>
          <w:szCs w:val="24"/>
        </w:rPr>
        <w:t>e</w:t>
      </w:r>
      <w:r w:rsidRPr="006301C4">
        <w:rPr>
          <w:rFonts w:ascii="Times New Roman" w:eastAsia="Times New Roman" w:hAnsi="Times New Roman" w:cs="Times New Roman"/>
          <w:sz w:val="24"/>
          <w:szCs w:val="24"/>
        </w:rPr>
        <w:t xml:space="preserve"> proper financial analysis </w:t>
      </w:r>
      <w:r w:rsidR="003062A1" w:rsidRPr="006301C4">
        <w:rPr>
          <w:rFonts w:ascii="Times New Roman" w:eastAsia="Times New Roman" w:hAnsi="Times New Roman" w:cs="Times New Roman"/>
          <w:sz w:val="24"/>
          <w:szCs w:val="24"/>
        </w:rPr>
        <w:t xml:space="preserve">by following </w:t>
      </w:r>
      <w:r w:rsidRPr="006301C4">
        <w:rPr>
          <w:rFonts w:ascii="Times New Roman" w:eastAsia="Times New Roman" w:hAnsi="Times New Roman" w:cs="Times New Roman"/>
          <w:sz w:val="24"/>
          <w:szCs w:val="24"/>
        </w:rPr>
        <w:t xml:space="preserve">NPV.    </w:t>
      </w:r>
    </w:p>
    <w:p w14:paraId="7D65E50D" w14:textId="77777777" w:rsidR="00815C1D" w:rsidRPr="006301C4" w:rsidRDefault="00000000">
      <w:pPr>
        <w:pStyle w:val="Normal1"/>
        <w:spacing w:before="200" w:line="360" w:lineRule="auto"/>
        <w:jc w:val="both"/>
        <w:rPr>
          <w:rFonts w:ascii="Times New Roman" w:eastAsia="Times New Roman" w:hAnsi="Times New Roman" w:cs="Times New Roman"/>
          <w:b/>
          <w:sz w:val="24"/>
          <w:szCs w:val="24"/>
          <w:u w:val="single"/>
        </w:rPr>
      </w:pPr>
      <w:r w:rsidRPr="006301C4">
        <w:rPr>
          <w:rFonts w:ascii="Times New Roman" w:eastAsia="Times New Roman" w:hAnsi="Times New Roman" w:cs="Times New Roman"/>
          <w:b/>
          <w:sz w:val="24"/>
          <w:szCs w:val="24"/>
          <w:u w:val="single"/>
        </w:rPr>
        <w:t>Theories of corporate value</w:t>
      </w:r>
    </w:p>
    <w:p w14:paraId="49111DDB" w14:textId="40EA0D4E"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Incentive motivational theory</w:t>
      </w:r>
      <w:r w:rsidR="004F0640" w:rsidRPr="006301C4">
        <w:rPr>
          <w:rFonts w:ascii="Times New Roman" w:eastAsia="Times New Roman" w:hAnsi="Times New Roman" w:cs="Times New Roman"/>
          <w:b/>
          <w:i/>
          <w:sz w:val="24"/>
          <w:szCs w:val="24"/>
        </w:rPr>
        <w:t xml:space="preserve"> of corporate value</w:t>
      </w:r>
      <w:r w:rsidRPr="006301C4">
        <w:rPr>
          <w:rFonts w:ascii="Times New Roman" w:eastAsia="Times New Roman" w:hAnsi="Times New Roman" w:cs="Times New Roman"/>
          <w:sz w:val="24"/>
          <w:szCs w:val="24"/>
        </w:rPr>
        <w:t xml:space="preserve">: The theory is </w:t>
      </w:r>
      <w:r w:rsidR="004F0640" w:rsidRPr="006301C4">
        <w:rPr>
          <w:rFonts w:ascii="Times New Roman" w:eastAsia="Times New Roman" w:hAnsi="Times New Roman" w:cs="Times New Roman"/>
          <w:sz w:val="24"/>
          <w:szCs w:val="24"/>
        </w:rPr>
        <w:t>necessary</w:t>
      </w:r>
      <w:r w:rsidRPr="006301C4">
        <w:rPr>
          <w:rFonts w:ascii="Times New Roman" w:eastAsia="Times New Roman" w:hAnsi="Times New Roman" w:cs="Times New Roman"/>
          <w:sz w:val="24"/>
          <w:szCs w:val="24"/>
        </w:rPr>
        <w:t xml:space="preserve"> </w:t>
      </w:r>
      <w:r w:rsidR="004F0640" w:rsidRPr="006301C4">
        <w:rPr>
          <w:rFonts w:ascii="Times New Roman" w:eastAsia="Times New Roman" w:hAnsi="Times New Roman" w:cs="Times New Roman"/>
          <w:sz w:val="24"/>
          <w:szCs w:val="24"/>
        </w:rPr>
        <w:t>for</w:t>
      </w:r>
      <w:r w:rsidRPr="006301C4">
        <w:rPr>
          <w:rFonts w:ascii="Times New Roman" w:eastAsia="Times New Roman" w:hAnsi="Times New Roman" w:cs="Times New Roman"/>
          <w:sz w:val="24"/>
          <w:szCs w:val="24"/>
        </w:rPr>
        <w:t xml:space="preserve"> ensuring corporate value as it focuses on investors' </w:t>
      </w:r>
      <w:r w:rsidR="004F0640" w:rsidRPr="006301C4">
        <w:rPr>
          <w:rFonts w:ascii="Times New Roman" w:eastAsia="Times New Roman" w:hAnsi="Times New Roman" w:cs="Times New Roman"/>
          <w:sz w:val="24"/>
          <w:szCs w:val="24"/>
        </w:rPr>
        <w:t>both in</w:t>
      </w:r>
      <w:r w:rsidRPr="006301C4">
        <w:rPr>
          <w:rFonts w:ascii="Times New Roman" w:eastAsia="Times New Roman" w:hAnsi="Times New Roman" w:cs="Times New Roman"/>
          <w:sz w:val="24"/>
          <w:szCs w:val="24"/>
        </w:rPr>
        <w:t xml:space="preserve">trinsic and </w:t>
      </w:r>
      <w:r w:rsidR="004F0640" w:rsidRPr="006301C4">
        <w:rPr>
          <w:rFonts w:ascii="Times New Roman" w:eastAsia="Times New Roman" w:hAnsi="Times New Roman" w:cs="Times New Roman"/>
          <w:sz w:val="24"/>
          <w:szCs w:val="24"/>
        </w:rPr>
        <w:t>ex</w:t>
      </w:r>
      <w:r w:rsidRPr="006301C4">
        <w:rPr>
          <w:rFonts w:ascii="Times New Roman" w:eastAsia="Times New Roman" w:hAnsi="Times New Roman" w:cs="Times New Roman"/>
          <w:sz w:val="24"/>
          <w:szCs w:val="24"/>
        </w:rPr>
        <w:t xml:space="preserve">trinsic motivations. Therefore, it focuses on </w:t>
      </w:r>
      <w:r w:rsidR="00895BD8" w:rsidRPr="006301C4">
        <w:rPr>
          <w:rFonts w:ascii="Times New Roman" w:eastAsia="Times New Roman" w:hAnsi="Times New Roman" w:cs="Times New Roman"/>
          <w:sz w:val="24"/>
          <w:szCs w:val="24"/>
        </w:rPr>
        <w:t xml:space="preserve">the </w:t>
      </w:r>
      <w:r w:rsidRPr="006301C4">
        <w:rPr>
          <w:rFonts w:ascii="Times New Roman" w:eastAsia="Times New Roman" w:hAnsi="Times New Roman" w:cs="Times New Roman"/>
          <w:sz w:val="24"/>
          <w:szCs w:val="24"/>
        </w:rPr>
        <w:t>economic Incentives</w:t>
      </w:r>
      <w:r w:rsidR="00895BD8" w:rsidRPr="006301C4">
        <w:rPr>
          <w:rFonts w:ascii="Times New Roman" w:eastAsia="Times New Roman" w:hAnsi="Times New Roman" w:cs="Times New Roman"/>
          <w:sz w:val="24"/>
          <w:szCs w:val="24"/>
        </w:rPr>
        <w:t xml:space="preserve"> of a firm</w:t>
      </w:r>
      <w:r w:rsidRPr="006301C4">
        <w:rPr>
          <w:rFonts w:ascii="Times New Roman" w:eastAsia="Times New Roman" w:hAnsi="Times New Roman" w:cs="Times New Roman"/>
          <w:sz w:val="24"/>
          <w:szCs w:val="24"/>
        </w:rPr>
        <w:t xml:space="preserve"> </w:t>
      </w:r>
      <w:r w:rsidR="00895BD8" w:rsidRPr="006301C4">
        <w:rPr>
          <w:rFonts w:ascii="Times New Roman" w:eastAsia="Times New Roman" w:hAnsi="Times New Roman" w:cs="Times New Roman"/>
          <w:sz w:val="24"/>
          <w:szCs w:val="24"/>
        </w:rPr>
        <w:t>that</w:t>
      </w:r>
      <w:r w:rsidRPr="006301C4">
        <w:rPr>
          <w:rFonts w:ascii="Times New Roman" w:eastAsia="Times New Roman" w:hAnsi="Times New Roman" w:cs="Times New Roman"/>
          <w:sz w:val="24"/>
          <w:szCs w:val="24"/>
        </w:rPr>
        <w:t xml:space="preserve"> </w:t>
      </w:r>
      <w:r w:rsidR="00895BD8" w:rsidRPr="006301C4">
        <w:rPr>
          <w:rFonts w:ascii="Times New Roman" w:eastAsia="Times New Roman" w:hAnsi="Times New Roman" w:cs="Times New Roman"/>
          <w:sz w:val="24"/>
          <w:szCs w:val="24"/>
        </w:rPr>
        <w:t>focuses</w:t>
      </w:r>
      <w:r w:rsidRPr="006301C4">
        <w:rPr>
          <w:rFonts w:ascii="Times New Roman" w:eastAsia="Times New Roman" w:hAnsi="Times New Roman" w:cs="Times New Roman"/>
          <w:sz w:val="24"/>
          <w:szCs w:val="24"/>
        </w:rPr>
        <w:t xml:space="preserve"> on gain on loss through foreign exchange management (Chase, 2023). At the same time, the theory is effective in making </w:t>
      </w:r>
      <w:r w:rsidR="00495F1F" w:rsidRPr="006301C4">
        <w:rPr>
          <w:rFonts w:ascii="Times New Roman" w:eastAsia="Times New Roman" w:hAnsi="Times New Roman" w:cs="Times New Roman"/>
          <w:sz w:val="24"/>
          <w:szCs w:val="24"/>
        </w:rPr>
        <w:t>relevant</w:t>
      </w:r>
      <w:r w:rsidRPr="006301C4">
        <w:rPr>
          <w:rFonts w:ascii="Times New Roman" w:eastAsia="Times New Roman" w:hAnsi="Times New Roman" w:cs="Times New Roman"/>
          <w:sz w:val="24"/>
          <w:szCs w:val="24"/>
        </w:rPr>
        <w:t xml:space="preserve"> steps to deal with future cash flow by calculating its present </w:t>
      </w:r>
      <w:r w:rsidR="00495F1F" w:rsidRPr="006301C4">
        <w:rPr>
          <w:rFonts w:ascii="Times New Roman" w:eastAsia="Times New Roman" w:hAnsi="Times New Roman" w:cs="Times New Roman"/>
          <w:sz w:val="24"/>
          <w:szCs w:val="24"/>
        </w:rPr>
        <w:t xml:space="preserve">financial </w:t>
      </w:r>
      <w:r w:rsidRPr="006301C4">
        <w:rPr>
          <w:rFonts w:ascii="Times New Roman" w:eastAsia="Times New Roman" w:hAnsi="Times New Roman" w:cs="Times New Roman"/>
          <w:sz w:val="24"/>
          <w:szCs w:val="24"/>
        </w:rPr>
        <w:t>values</w:t>
      </w:r>
      <w:r w:rsidR="00495F1F" w:rsidRPr="006301C4">
        <w:rPr>
          <w:rFonts w:ascii="Times New Roman" w:eastAsia="Times New Roman" w:hAnsi="Times New Roman" w:cs="Times New Roman"/>
          <w:sz w:val="24"/>
          <w:szCs w:val="24"/>
        </w:rPr>
        <w:t xml:space="preserve"> of the form</w:t>
      </w:r>
      <w:r w:rsidRPr="006301C4">
        <w:rPr>
          <w:rFonts w:ascii="Times New Roman" w:eastAsia="Times New Roman" w:hAnsi="Times New Roman" w:cs="Times New Roman"/>
          <w:sz w:val="24"/>
          <w:szCs w:val="24"/>
        </w:rPr>
        <w:t xml:space="preserve">. Moreover, it </w:t>
      </w:r>
      <w:r w:rsidR="00411290" w:rsidRPr="006301C4">
        <w:rPr>
          <w:rFonts w:ascii="Times New Roman" w:eastAsia="Times New Roman" w:hAnsi="Times New Roman" w:cs="Times New Roman"/>
          <w:sz w:val="24"/>
          <w:szCs w:val="24"/>
        </w:rPr>
        <w:t>is effective</w:t>
      </w:r>
      <w:r w:rsidRPr="006301C4">
        <w:rPr>
          <w:rFonts w:ascii="Times New Roman" w:eastAsia="Times New Roman" w:hAnsi="Times New Roman" w:cs="Times New Roman"/>
          <w:sz w:val="24"/>
          <w:szCs w:val="24"/>
        </w:rPr>
        <w:t xml:space="preserve"> to calculate the intrinsic value of a business or MNC by evaluating its risk factors due to foreign market</w:t>
      </w:r>
      <w:r w:rsidR="00A26ABB" w:rsidRPr="006301C4">
        <w:rPr>
          <w:rFonts w:ascii="Times New Roman" w:eastAsia="Times New Roman" w:hAnsi="Times New Roman" w:cs="Times New Roman"/>
          <w:sz w:val="24"/>
          <w:szCs w:val="24"/>
        </w:rPr>
        <w:t xml:space="preserve"> currency fluctuation</w:t>
      </w:r>
      <w:r w:rsidRPr="006301C4">
        <w:rPr>
          <w:rFonts w:ascii="Times New Roman" w:eastAsia="Times New Roman" w:hAnsi="Times New Roman" w:cs="Times New Roman"/>
          <w:sz w:val="24"/>
          <w:szCs w:val="24"/>
        </w:rPr>
        <w:t xml:space="preserve">. The theoretical application is effective in maintaining corporate value by making an accurate valuation of currency fluctuation.    </w:t>
      </w:r>
    </w:p>
    <w:p w14:paraId="30B33765" w14:textId="4F67FB7E"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Transaction cost theory</w:t>
      </w:r>
      <w:r w:rsidRPr="006301C4">
        <w:rPr>
          <w:rFonts w:ascii="Times New Roman" w:eastAsia="Times New Roman" w:hAnsi="Times New Roman" w:cs="Times New Roman"/>
          <w:sz w:val="24"/>
          <w:szCs w:val="24"/>
        </w:rPr>
        <w:t xml:space="preserve">: The application of 'Transaction cost theory' is </w:t>
      </w:r>
      <w:r w:rsidR="00C668E9" w:rsidRPr="006301C4">
        <w:rPr>
          <w:rFonts w:ascii="Times New Roman" w:eastAsia="Times New Roman" w:hAnsi="Times New Roman" w:cs="Times New Roman"/>
          <w:sz w:val="24"/>
          <w:szCs w:val="24"/>
        </w:rPr>
        <w:t>essential</w:t>
      </w:r>
      <w:r w:rsidRPr="006301C4">
        <w:rPr>
          <w:rFonts w:ascii="Times New Roman" w:eastAsia="Times New Roman" w:hAnsi="Times New Roman" w:cs="Times New Roman"/>
          <w:sz w:val="24"/>
          <w:szCs w:val="24"/>
        </w:rPr>
        <w:t xml:space="preserve"> in focusing on the transaction</w:t>
      </w:r>
      <w:r w:rsidR="00C668E9" w:rsidRPr="006301C4">
        <w:rPr>
          <w:rFonts w:ascii="Times New Roman" w:eastAsia="Times New Roman" w:hAnsi="Times New Roman" w:cs="Times New Roman"/>
          <w:sz w:val="24"/>
          <w:szCs w:val="24"/>
        </w:rPr>
        <w:t xml:space="preserve"> of a farm</w:t>
      </w:r>
      <w:r w:rsidRPr="006301C4">
        <w:rPr>
          <w:rFonts w:ascii="Times New Roman" w:eastAsia="Times New Roman" w:hAnsi="Times New Roman" w:cs="Times New Roman"/>
          <w:sz w:val="24"/>
          <w:szCs w:val="24"/>
        </w:rPr>
        <w:t xml:space="preserve"> and</w:t>
      </w:r>
      <w:r w:rsidR="00C668E9" w:rsidRPr="006301C4">
        <w:rPr>
          <w:rFonts w:ascii="Times New Roman" w:eastAsia="Times New Roman" w:hAnsi="Times New Roman" w:cs="Times New Roman"/>
          <w:sz w:val="24"/>
          <w:szCs w:val="24"/>
        </w:rPr>
        <w:t xml:space="preserve"> it also</w:t>
      </w:r>
      <w:r w:rsidRPr="006301C4">
        <w:rPr>
          <w:rFonts w:ascii="Times New Roman" w:eastAsia="Times New Roman" w:hAnsi="Times New Roman" w:cs="Times New Roman"/>
          <w:sz w:val="24"/>
          <w:szCs w:val="24"/>
        </w:rPr>
        <w:t xml:space="preserve"> measures the potential effort to provide</w:t>
      </w:r>
      <w:r w:rsidR="00C668E9" w:rsidRPr="006301C4">
        <w:rPr>
          <w:rFonts w:ascii="Times New Roman" w:eastAsia="Times New Roman" w:hAnsi="Times New Roman" w:cs="Times New Roman"/>
          <w:sz w:val="24"/>
          <w:szCs w:val="24"/>
        </w:rPr>
        <w:t xml:space="preserve"> to maintain </w:t>
      </w:r>
      <w:r w:rsidR="00DE4A29" w:rsidRPr="006301C4">
        <w:rPr>
          <w:rFonts w:ascii="Times New Roman" w:eastAsia="Times New Roman" w:hAnsi="Times New Roman" w:cs="Times New Roman"/>
          <w:sz w:val="24"/>
          <w:szCs w:val="24"/>
        </w:rPr>
        <w:t xml:space="preserve">the </w:t>
      </w:r>
      <w:r w:rsidR="00C668E9" w:rsidRPr="006301C4">
        <w:rPr>
          <w:rFonts w:ascii="Times New Roman" w:eastAsia="Times New Roman" w:hAnsi="Times New Roman" w:cs="Times New Roman"/>
          <w:sz w:val="24"/>
          <w:szCs w:val="24"/>
        </w:rPr>
        <w:t>financial process</w:t>
      </w:r>
      <w:r w:rsidRPr="006301C4">
        <w:rPr>
          <w:rFonts w:ascii="Times New Roman" w:eastAsia="Times New Roman" w:hAnsi="Times New Roman" w:cs="Times New Roman"/>
          <w:sz w:val="24"/>
          <w:szCs w:val="24"/>
        </w:rPr>
        <w:t xml:space="preserve">. The study of Ahluwalia </w:t>
      </w:r>
      <w:r w:rsidRPr="006301C4">
        <w:rPr>
          <w:rFonts w:ascii="Times New Roman" w:eastAsia="Times New Roman" w:hAnsi="Times New Roman" w:cs="Times New Roman"/>
          <w:i/>
          <w:sz w:val="24"/>
          <w:szCs w:val="24"/>
        </w:rPr>
        <w:t xml:space="preserve">et al. </w:t>
      </w:r>
      <w:r w:rsidRPr="006301C4">
        <w:rPr>
          <w:rFonts w:ascii="Times New Roman" w:eastAsia="Times New Roman" w:hAnsi="Times New Roman" w:cs="Times New Roman"/>
          <w:sz w:val="24"/>
          <w:szCs w:val="24"/>
        </w:rPr>
        <w:t xml:space="preserve">(2020), indicates that the theory focuses on the actual cost of services or outsourcing production including coordination costs, contracting costs, search costs, and transaction costs. Applying the theory of transaction cost is effective in making necessary decisions regarding financial management that help to maintain corporate value. After that, with the application of such theory, the traders focus on bargaining, market opportunity, enforcement costs, and foreign exchange costs. Moreover, during corporate value management, the theory works efficiently to make decisions regarding cost fluctuation.   </w:t>
      </w:r>
    </w:p>
    <w:p w14:paraId="6660F98D" w14:textId="77777777" w:rsidR="00815C1D" w:rsidRPr="006301C4" w:rsidRDefault="00000000">
      <w:pPr>
        <w:pStyle w:val="Normal1"/>
        <w:spacing w:before="200" w:line="360" w:lineRule="auto"/>
        <w:jc w:val="center"/>
        <w:rPr>
          <w:rFonts w:ascii="Times New Roman" w:eastAsia="Times New Roman" w:hAnsi="Times New Roman" w:cs="Times New Roman"/>
          <w:sz w:val="24"/>
          <w:szCs w:val="24"/>
        </w:rPr>
      </w:pPr>
      <w:r w:rsidRPr="006301C4">
        <w:rPr>
          <w:rFonts w:ascii="Times New Roman" w:eastAsia="Times New Roman" w:hAnsi="Times New Roman" w:cs="Times New Roman"/>
          <w:noProof/>
          <w:sz w:val="24"/>
          <w:szCs w:val="24"/>
        </w:rPr>
        <w:drawing>
          <wp:inline distT="114300" distB="114300" distL="114300" distR="114300" wp14:anchorId="16C96E18" wp14:editId="48914B30">
            <wp:extent cx="5731200" cy="2082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731200" cy="2082800"/>
                    </a:xfrm>
                    <a:prstGeom prst="rect">
                      <a:avLst/>
                    </a:prstGeom>
                  </pic:spPr>
                </pic:pic>
              </a:graphicData>
            </a:graphic>
          </wp:inline>
        </w:drawing>
      </w:r>
    </w:p>
    <w:p w14:paraId="31528A96" w14:textId="77777777" w:rsidR="00815C1D" w:rsidRPr="006301C4" w:rsidRDefault="00000000">
      <w:pPr>
        <w:pStyle w:val="Normal1"/>
        <w:spacing w:before="200" w:line="360" w:lineRule="auto"/>
        <w:jc w:val="center"/>
        <w:rPr>
          <w:rFonts w:ascii="Times New Roman" w:eastAsia="Times New Roman" w:hAnsi="Times New Roman" w:cs="Times New Roman"/>
          <w:b/>
          <w:sz w:val="24"/>
          <w:szCs w:val="24"/>
        </w:rPr>
      </w:pPr>
      <w:r w:rsidRPr="006301C4">
        <w:rPr>
          <w:rFonts w:ascii="Times New Roman" w:eastAsia="Times New Roman" w:hAnsi="Times New Roman" w:cs="Times New Roman"/>
          <w:b/>
          <w:sz w:val="24"/>
          <w:szCs w:val="24"/>
        </w:rPr>
        <w:t>Figure 2: Transaction cost theory</w:t>
      </w:r>
    </w:p>
    <w:p w14:paraId="469B79B4" w14:textId="77777777" w:rsidR="00815C1D" w:rsidRPr="006301C4" w:rsidRDefault="00000000">
      <w:pPr>
        <w:pStyle w:val="Normal1"/>
        <w:spacing w:before="200" w:line="360" w:lineRule="auto"/>
        <w:jc w:val="center"/>
        <w:rPr>
          <w:rFonts w:ascii="Times New Roman" w:eastAsia="Times New Roman" w:hAnsi="Times New Roman" w:cs="Times New Roman"/>
          <w:sz w:val="24"/>
          <w:szCs w:val="24"/>
        </w:rPr>
      </w:pPr>
      <w:r w:rsidRPr="006301C4">
        <w:rPr>
          <w:rFonts w:ascii="Times New Roman" w:eastAsia="Times New Roman" w:hAnsi="Times New Roman" w:cs="Times New Roman"/>
          <w:sz w:val="24"/>
          <w:szCs w:val="24"/>
        </w:rPr>
        <w:t xml:space="preserve">(Source: Ahluwalia </w:t>
      </w:r>
      <w:r w:rsidRPr="006301C4">
        <w:rPr>
          <w:rFonts w:ascii="Times New Roman" w:eastAsia="Times New Roman" w:hAnsi="Times New Roman" w:cs="Times New Roman"/>
          <w:i/>
          <w:sz w:val="24"/>
          <w:szCs w:val="24"/>
        </w:rPr>
        <w:t xml:space="preserve">et al. </w:t>
      </w:r>
      <w:r w:rsidRPr="006301C4">
        <w:rPr>
          <w:rFonts w:ascii="Times New Roman" w:eastAsia="Times New Roman" w:hAnsi="Times New Roman" w:cs="Times New Roman"/>
          <w:sz w:val="24"/>
          <w:szCs w:val="24"/>
        </w:rPr>
        <w:t>2020)</w:t>
      </w:r>
    </w:p>
    <w:p w14:paraId="5598C6BB" w14:textId="77777777" w:rsidR="00815C1D" w:rsidRPr="006301C4" w:rsidRDefault="00000000">
      <w:pPr>
        <w:pStyle w:val="Normal1"/>
        <w:spacing w:before="200" w:line="360" w:lineRule="auto"/>
        <w:jc w:val="both"/>
        <w:rPr>
          <w:rFonts w:ascii="Times New Roman" w:eastAsia="Times New Roman" w:hAnsi="Times New Roman" w:cs="Times New Roman"/>
          <w:b/>
          <w:sz w:val="24"/>
          <w:szCs w:val="24"/>
          <w:u w:val="single"/>
        </w:rPr>
      </w:pPr>
      <w:r w:rsidRPr="006301C4">
        <w:rPr>
          <w:rFonts w:ascii="Times New Roman" w:eastAsia="Times New Roman" w:hAnsi="Times New Roman" w:cs="Times New Roman"/>
          <w:b/>
          <w:sz w:val="24"/>
          <w:szCs w:val="24"/>
          <w:u w:val="single"/>
        </w:rPr>
        <w:t>Theories of international cost of capital</w:t>
      </w:r>
    </w:p>
    <w:p w14:paraId="610CD3B1"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Net income theory</w:t>
      </w:r>
      <w:r w:rsidRPr="006301C4">
        <w:rPr>
          <w:rFonts w:ascii="Times New Roman" w:eastAsia="Times New Roman" w:hAnsi="Times New Roman" w:cs="Times New Roman"/>
          <w:sz w:val="24"/>
          <w:szCs w:val="24"/>
        </w:rPr>
        <w:t xml:space="preserve">: the theoretical implementation of net income theory suggests that the enhanced value of a business firm needs to decrease its overall cost by measuring the weighted Average Cost of capital". According to the research of John (2022), such theoretical application helps to manage the higher property of debt management by using chapter sources and making proper financial management, theory theory is used by MNCs to analyse the market of the business and maintain its debt-to-equity ratio. Therefore,  it helps to manage the business risk factors beyond profitability, market size, liquidity ratio, and market profitability.  </w:t>
      </w:r>
    </w:p>
    <w:p w14:paraId="44220C63"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Capital asset pricing model or CAPM</w:t>
      </w:r>
      <w:r w:rsidRPr="006301C4">
        <w:rPr>
          <w:rFonts w:ascii="Times New Roman" w:eastAsia="Times New Roman" w:hAnsi="Times New Roman" w:cs="Times New Roman"/>
          <w:sz w:val="24"/>
          <w:szCs w:val="24"/>
        </w:rPr>
        <w:t xml:space="preserve">: The model is effective in calculating the expected ROI of investment of an organisation or MNC. As illustrated by Alecia Ferrari (2020), CAPM is effective in international cost management as it focuses on ROI, ensures asset correlation, and risk-free assets. Therefore, the model is effective as it eliminates the equity cost for trading companies based on market risk and their systematic risk. MNCs also apply such theory to manage their country-specific financial risk and balance international cost capital Ayub </w:t>
      </w:r>
      <w:r w:rsidRPr="006301C4">
        <w:rPr>
          <w:rFonts w:ascii="Times New Roman" w:eastAsia="Times New Roman" w:hAnsi="Times New Roman" w:cs="Times New Roman"/>
          <w:i/>
          <w:sz w:val="24"/>
          <w:szCs w:val="24"/>
        </w:rPr>
        <w:t>et al.</w:t>
      </w:r>
      <w:r w:rsidRPr="006301C4">
        <w:rPr>
          <w:rFonts w:ascii="Times New Roman" w:eastAsia="Times New Roman" w:hAnsi="Times New Roman" w:cs="Times New Roman"/>
          <w:sz w:val="24"/>
          <w:szCs w:val="24"/>
        </w:rPr>
        <w:t xml:space="preserve"> (2020). At the same time, the theory helps in calculating expected ROI based on the beta or risk of their investment and risk-free rate in their trading market.   </w:t>
      </w:r>
    </w:p>
    <w:p w14:paraId="6941F8B2" w14:textId="77777777" w:rsidR="00815C1D" w:rsidRPr="006301C4" w:rsidRDefault="00000000">
      <w:pPr>
        <w:pStyle w:val="Normal1"/>
        <w:spacing w:before="200" w:line="360" w:lineRule="auto"/>
        <w:jc w:val="center"/>
        <w:rPr>
          <w:rFonts w:ascii="Times New Roman" w:eastAsia="Times New Roman" w:hAnsi="Times New Roman" w:cs="Times New Roman"/>
          <w:sz w:val="24"/>
          <w:szCs w:val="24"/>
        </w:rPr>
      </w:pPr>
      <w:r w:rsidRPr="006301C4">
        <w:rPr>
          <w:rFonts w:ascii="Times New Roman" w:eastAsia="Times New Roman" w:hAnsi="Times New Roman" w:cs="Times New Roman"/>
          <w:noProof/>
          <w:sz w:val="24"/>
          <w:szCs w:val="24"/>
        </w:rPr>
        <w:drawing>
          <wp:inline distT="114300" distB="114300" distL="114300" distR="114300" wp14:anchorId="08FE3A52" wp14:editId="1C101304">
            <wp:extent cx="4129088" cy="274358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129088" cy="2743580"/>
                    </a:xfrm>
                    <a:prstGeom prst="rect">
                      <a:avLst/>
                    </a:prstGeom>
                    <a:ln w="25400">
                      <a:solidFill>
                        <a:srgbClr val="000000"/>
                      </a:solidFill>
                      <a:prstDash val="solid"/>
                    </a:ln>
                  </pic:spPr>
                </pic:pic>
              </a:graphicData>
            </a:graphic>
          </wp:inline>
        </w:drawing>
      </w:r>
    </w:p>
    <w:p w14:paraId="22EEB07D" w14:textId="77777777" w:rsidR="00815C1D" w:rsidRPr="006301C4" w:rsidRDefault="00000000">
      <w:pPr>
        <w:pStyle w:val="Normal1"/>
        <w:spacing w:before="200" w:line="360" w:lineRule="auto"/>
        <w:jc w:val="center"/>
        <w:rPr>
          <w:rFonts w:ascii="Times New Roman" w:eastAsia="Times New Roman" w:hAnsi="Times New Roman" w:cs="Times New Roman"/>
          <w:b/>
          <w:sz w:val="24"/>
          <w:szCs w:val="24"/>
        </w:rPr>
      </w:pPr>
      <w:r w:rsidRPr="006301C4">
        <w:rPr>
          <w:rFonts w:ascii="Times New Roman" w:eastAsia="Times New Roman" w:hAnsi="Times New Roman" w:cs="Times New Roman"/>
          <w:b/>
          <w:sz w:val="24"/>
          <w:szCs w:val="24"/>
        </w:rPr>
        <w:t>Figure 3: Capital asset pricing</w:t>
      </w:r>
    </w:p>
    <w:p w14:paraId="39F56D7F" w14:textId="77777777" w:rsidR="00815C1D" w:rsidRPr="006301C4" w:rsidRDefault="00000000">
      <w:pPr>
        <w:pStyle w:val="Normal1"/>
        <w:spacing w:before="200" w:line="360" w:lineRule="auto"/>
        <w:jc w:val="center"/>
        <w:rPr>
          <w:rFonts w:ascii="Times New Roman" w:eastAsia="Times New Roman" w:hAnsi="Times New Roman" w:cs="Times New Roman"/>
          <w:sz w:val="24"/>
          <w:szCs w:val="24"/>
        </w:rPr>
      </w:pPr>
      <w:r w:rsidRPr="006301C4">
        <w:rPr>
          <w:rFonts w:ascii="Times New Roman" w:eastAsia="Times New Roman" w:hAnsi="Times New Roman" w:cs="Times New Roman"/>
          <w:sz w:val="24"/>
          <w:szCs w:val="24"/>
        </w:rPr>
        <w:t xml:space="preserve">(Source: Ayub </w:t>
      </w:r>
      <w:r w:rsidRPr="006301C4">
        <w:rPr>
          <w:rFonts w:ascii="Times New Roman" w:eastAsia="Times New Roman" w:hAnsi="Times New Roman" w:cs="Times New Roman"/>
          <w:i/>
          <w:sz w:val="24"/>
          <w:szCs w:val="24"/>
        </w:rPr>
        <w:t>et al.</w:t>
      </w:r>
      <w:r w:rsidRPr="006301C4">
        <w:rPr>
          <w:rFonts w:ascii="Times New Roman" w:eastAsia="Times New Roman" w:hAnsi="Times New Roman" w:cs="Times New Roman"/>
          <w:sz w:val="24"/>
          <w:szCs w:val="24"/>
        </w:rPr>
        <w:t xml:space="preserve"> (2020) </w:t>
      </w:r>
    </w:p>
    <w:p w14:paraId="177682EC" w14:textId="77777777" w:rsidR="00815C1D" w:rsidRPr="006301C4" w:rsidRDefault="00000000">
      <w:pPr>
        <w:pStyle w:val="Normal1"/>
        <w:spacing w:before="200" w:line="360" w:lineRule="auto"/>
        <w:jc w:val="both"/>
        <w:rPr>
          <w:rFonts w:ascii="Times New Roman" w:eastAsia="Times New Roman" w:hAnsi="Times New Roman" w:cs="Times New Roman"/>
          <w:b/>
          <w:sz w:val="24"/>
          <w:szCs w:val="24"/>
          <w:u w:val="single"/>
        </w:rPr>
      </w:pPr>
      <w:r w:rsidRPr="006301C4">
        <w:rPr>
          <w:rFonts w:ascii="Times New Roman" w:eastAsia="Times New Roman" w:hAnsi="Times New Roman" w:cs="Times New Roman"/>
          <w:b/>
          <w:sz w:val="24"/>
          <w:szCs w:val="24"/>
          <w:u w:val="single"/>
        </w:rPr>
        <w:t>Theories of financial structure</w:t>
      </w:r>
    </w:p>
    <w:p w14:paraId="38894CC9"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“Net Income Approach to Capital Structure Theory”</w:t>
      </w:r>
      <w:r w:rsidRPr="006301C4">
        <w:rPr>
          <w:rFonts w:ascii="Times New Roman" w:eastAsia="Times New Roman" w:hAnsi="Times New Roman" w:cs="Times New Roman"/>
          <w:sz w:val="24"/>
          <w:szCs w:val="24"/>
        </w:rPr>
        <w:t xml:space="preserve">: The theory indicates that a business market analyses the practices of a whole firm and their discounts which also indicates there is no relation of such practices to the debt-to-equity ratio (Hirdinis, 2019). The theory is applied by MNCs as it increases firms' value by decreasing WACC.    </w:t>
      </w:r>
    </w:p>
    <w:p w14:paraId="06538594"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b/>
          <w:i/>
          <w:sz w:val="24"/>
          <w:szCs w:val="24"/>
        </w:rPr>
        <w:t>Trade-off theory of capital structure</w:t>
      </w:r>
      <w:r w:rsidRPr="006301C4">
        <w:rPr>
          <w:rFonts w:ascii="Times New Roman" w:eastAsia="Times New Roman" w:hAnsi="Times New Roman" w:cs="Times New Roman"/>
          <w:sz w:val="24"/>
          <w:szCs w:val="24"/>
        </w:rPr>
        <w:t xml:space="preserve">: The theory explains the ways through which different companies balance their benefits and costs related to equity and debt of financing in the international market. As evaluated by Nicodano and Regis (2019), the capital structure of trade is maintained through a trade-off between the cost of financial distress and interest tax shields. MNCs apply such theory to maintain financing and financial equality to determine the optimal mix. Such theory helps to consider various factors including balance risk, risk of profitability, tax benefits, and agency costs (Khaki and Akin, 2020). At the same time, the Trade-off theory is applied in MNCs as it indicates that if the profitability of a firm increases then it supports a higher level of debt without causing any financial distress and cost loss.       </w:t>
      </w:r>
    </w:p>
    <w:p w14:paraId="4D3827FA" w14:textId="77777777" w:rsidR="00815C1D" w:rsidRPr="006301C4" w:rsidRDefault="00000000">
      <w:pPr>
        <w:pStyle w:val="Normal1"/>
        <w:spacing w:before="200" w:line="360" w:lineRule="auto"/>
        <w:jc w:val="center"/>
        <w:rPr>
          <w:rFonts w:ascii="Times New Roman" w:eastAsia="Times New Roman" w:hAnsi="Times New Roman" w:cs="Times New Roman"/>
          <w:sz w:val="24"/>
          <w:szCs w:val="24"/>
        </w:rPr>
      </w:pPr>
      <w:r w:rsidRPr="006301C4">
        <w:rPr>
          <w:rFonts w:ascii="Times New Roman" w:eastAsia="Times New Roman" w:hAnsi="Times New Roman" w:cs="Times New Roman"/>
          <w:noProof/>
          <w:sz w:val="24"/>
          <w:szCs w:val="24"/>
        </w:rPr>
        <w:drawing>
          <wp:inline distT="114300" distB="114300" distL="114300" distR="114300" wp14:anchorId="2FB62EE9" wp14:editId="7B326BCB">
            <wp:extent cx="3705225" cy="2657475"/>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3705225" cy="2657475"/>
                    </a:xfrm>
                    <a:prstGeom prst="rect">
                      <a:avLst/>
                    </a:prstGeom>
                    <a:ln w="25400">
                      <a:solidFill>
                        <a:srgbClr val="000000"/>
                      </a:solidFill>
                      <a:prstDash val="solid"/>
                    </a:ln>
                  </pic:spPr>
                </pic:pic>
              </a:graphicData>
            </a:graphic>
          </wp:inline>
        </w:drawing>
      </w:r>
    </w:p>
    <w:p w14:paraId="7E6277E9" w14:textId="77777777" w:rsidR="00815C1D" w:rsidRPr="006301C4" w:rsidRDefault="00000000">
      <w:pPr>
        <w:pStyle w:val="Normal1"/>
        <w:spacing w:before="200" w:line="360" w:lineRule="auto"/>
        <w:jc w:val="center"/>
        <w:rPr>
          <w:rFonts w:ascii="Times New Roman" w:eastAsia="Times New Roman" w:hAnsi="Times New Roman" w:cs="Times New Roman"/>
          <w:b/>
          <w:sz w:val="24"/>
          <w:szCs w:val="24"/>
        </w:rPr>
      </w:pPr>
      <w:r w:rsidRPr="006301C4">
        <w:rPr>
          <w:rFonts w:ascii="Times New Roman" w:eastAsia="Times New Roman" w:hAnsi="Times New Roman" w:cs="Times New Roman"/>
          <w:b/>
          <w:sz w:val="24"/>
          <w:szCs w:val="24"/>
        </w:rPr>
        <w:t>Figure 4: Trade-off theory</w:t>
      </w:r>
    </w:p>
    <w:p w14:paraId="229F1A89" w14:textId="77777777" w:rsidR="00815C1D" w:rsidRPr="006301C4" w:rsidRDefault="00000000">
      <w:pPr>
        <w:pStyle w:val="Normal1"/>
        <w:spacing w:before="200" w:line="360" w:lineRule="auto"/>
        <w:jc w:val="center"/>
        <w:rPr>
          <w:rFonts w:ascii="Times New Roman" w:eastAsia="Times New Roman" w:hAnsi="Times New Roman" w:cs="Times New Roman"/>
          <w:sz w:val="24"/>
          <w:szCs w:val="24"/>
        </w:rPr>
      </w:pPr>
      <w:r w:rsidRPr="006301C4">
        <w:rPr>
          <w:rFonts w:ascii="Times New Roman" w:eastAsia="Times New Roman" w:hAnsi="Times New Roman" w:cs="Times New Roman"/>
          <w:sz w:val="24"/>
          <w:szCs w:val="24"/>
        </w:rPr>
        <w:t xml:space="preserve">(Source: Nicodano and Regis, 2019) </w:t>
      </w:r>
    </w:p>
    <w:p w14:paraId="4CC9BB08" w14:textId="77777777" w:rsidR="00815C1D" w:rsidRPr="006301C4" w:rsidRDefault="00000000">
      <w:pPr>
        <w:pStyle w:val="1"/>
      </w:pPr>
      <w:bookmarkStart w:id="6" w:name="_x7sm8bkrql6l" w:colFirst="0" w:colLast="0"/>
      <w:bookmarkStart w:id="7" w:name="_Toc154863960"/>
      <w:bookmarkEnd w:id="6"/>
      <w:r w:rsidRPr="006301C4">
        <w:t>4. Conclusion</w:t>
      </w:r>
      <w:bookmarkEnd w:id="7"/>
    </w:p>
    <w:p w14:paraId="721903C3" w14:textId="77777777" w:rsidR="00815C1D" w:rsidRPr="006301C4" w:rsidRDefault="00000000">
      <w:pPr>
        <w:pStyle w:val="Normal1"/>
        <w:spacing w:before="200" w:line="360" w:lineRule="auto"/>
        <w:jc w:val="both"/>
        <w:rPr>
          <w:rFonts w:ascii="Times New Roman" w:eastAsia="Times New Roman" w:hAnsi="Times New Roman" w:cs="Times New Roman"/>
          <w:sz w:val="24"/>
          <w:szCs w:val="24"/>
        </w:rPr>
      </w:pPr>
      <w:r w:rsidRPr="006301C4">
        <w:rPr>
          <w:rFonts w:ascii="Times New Roman" w:eastAsia="Times New Roman" w:hAnsi="Times New Roman" w:cs="Times New Roman"/>
          <w:sz w:val="24"/>
          <w:szCs w:val="24"/>
        </w:rPr>
        <w:t xml:space="preserve">After analysing all the theories of financial management, it can be summarised that MNCs adopt various strategies to maintain their foreign exchange risk factors including 'centralised treasury measurement function', 'managing financial hedging instruments', and more. Therefore various financial theoretical applications have been shown in the research such as Arm's Length Principle, foreign exchange risk, and Net Present Value theory. Therefore, some theories related to corporate value have been illustrated here including Incentive motivational theory and transaction cost theory. Moreover, the research focuses on other financial management theories like the Trade-off theory, the Net Income Approach, and the Capital asset pricing model. </w:t>
      </w:r>
    </w:p>
    <w:p w14:paraId="3F6363A2" w14:textId="77777777" w:rsidR="009267B8" w:rsidRPr="006301C4" w:rsidRDefault="009267B8">
      <w:pPr>
        <w:rPr>
          <w:rFonts w:ascii="Times New Roman" w:eastAsia="Times New Roman" w:hAnsi="Times New Roman" w:cs="Times New Roman"/>
          <w:b/>
          <w:sz w:val="24"/>
          <w:szCs w:val="24"/>
        </w:rPr>
      </w:pPr>
      <w:bookmarkStart w:id="8" w:name="_Hlk154863831"/>
      <w:r w:rsidRPr="006301C4">
        <w:br w:type="page"/>
      </w:r>
    </w:p>
    <w:p w14:paraId="6BA7533C" w14:textId="1A8A1C10" w:rsidR="009267B8" w:rsidRPr="006301C4" w:rsidRDefault="009267B8" w:rsidP="009267B8">
      <w:pPr>
        <w:pStyle w:val="1"/>
      </w:pPr>
      <w:bookmarkStart w:id="9" w:name="_Toc154863961"/>
      <w:r w:rsidRPr="006301C4">
        <w:t>References</w:t>
      </w:r>
      <w:bookmarkEnd w:id="9"/>
    </w:p>
    <w:p w14:paraId="0D3104EF"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Ahluwalia, S., Mahto, R.V. and Guerrero, M. (2020). Blockchain technology and startup financing: A transaction cost economics perspective. </w:t>
      </w:r>
      <w:r w:rsidRPr="006301C4">
        <w:rPr>
          <w:rFonts w:ascii="Times New Roman" w:hAnsi="Times New Roman" w:cs="Times New Roman"/>
          <w:i/>
          <w:iCs/>
          <w:sz w:val="24"/>
          <w:szCs w:val="24"/>
        </w:rPr>
        <w:t>Technological Forecasting and Social Change</w:t>
      </w:r>
      <w:r w:rsidRPr="006301C4">
        <w:rPr>
          <w:rFonts w:ascii="Times New Roman" w:hAnsi="Times New Roman" w:cs="Times New Roman"/>
          <w:sz w:val="24"/>
          <w:szCs w:val="24"/>
        </w:rPr>
        <w:t>, 151, p.119854. doi:https://doi.org/10.1016/j.techfore.2019.119854.</w:t>
      </w:r>
    </w:p>
    <w:p w14:paraId="2C96FA1A"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Alecia Ferrari, E.W. (2020). Stocks Investment Decision Making Capital Asset Pricing Model (CAPM). </w:t>
      </w:r>
      <w:r w:rsidRPr="006301C4">
        <w:rPr>
          <w:rFonts w:ascii="Times New Roman" w:hAnsi="Times New Roman" w:cs="Times New Roman"/>
          <w:i/>
          <w:iCs/>
          <w:sz w:val="24"/>
          <w:szCs w:val="24"/>
        </w:rPr>
        <w:t>Jurnal Manajemen</w:t>
      </w:r>
      <w:r w:rsidRPr="006301C4">
        <w:rPr>
          <w:rFonts w:ascii="Times New Roman" w:hAnsi="Times New Roman" w:cs="Times New Roman"/>
          <w:sz w:val="24"/>
          <w:szCs w:val="24"/>
        </w:rPr>
        <w:t>, 24(1), p.93. doi:https://doi.org/10.24912/jm.v24i1.621.</w:t>
      </w:r>
    </w:p>
    <w:p w14:paraId="3705708B"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Alfaro, L., Calani, M. and Varela, L. (2021). </w:t>
      </w:r>
      <w:r w:rsidRPr="006301C4">
        <w:rPr>
          <w:rFonts w:ascii="Times New Roman" w:hAnsi="Times New Roman" w:cs="Times New Roman"/>
          <w:i/>
          <w:iCs/>
          <w:sz w:val="24"/>
          <w:szCs w:val="24"/>
        </w:rPr>
        <w:t>Currency Hedging in Emerging Markets: Managing Cash Flow Exposure</w:t>
      </w:r>
      <w:r w:rsidRPr="006301C4">
        <w:rPr>
          <w:rFonts w:ascii="Times New Roman" w:hAnsi="Times New Roman" w:cs="Times New Roman"/>
          <w:sz w:val="24"/>
          <w:szCs w:val="24"/>
        </w:rPr>
        <w:t xml:space="preserve">. [online] Available at: </w:t>
      </w:r>
      <w:hyperlink r:id="rId11" w:history="1">
        <w:r w:rsidRPr="006301C4">
          <w:rPr>
            <w:rStyle w:val="a9"/>
            <w:rFonts w:ascii="Times New Roman" w:hAnsi="Times New Roman" w:cs="Times New Roman"/>
            <w:color w:val="auto"/>
            <w:sz w:val="24"/>
            <w:szCs w:val="24"/>
          </w:rPr>
          <w:t>https://www.hbs.edu/ris/Publication%20Files/21-096_3317d99c-a5fb-4662-b3b8-d7007994785d.pdf</w:t>
        </w:r>
      </w:hyperlink>
      <w:r w:rsidRPr="006301C4">
        <w:rPr>
          <w:rFonts w:ascii="Times New Roman" w:hAnsi="Times New Roman" w:cs="Times New Roman"/>
          <w:sz w:val="24"/>
          <w:szCs w:val="24"/>
        </w:rPr>
        <w:t>.</w:t>
      </w:r>
    </w:p>
    <w:p w14:paraId="66BB47B4"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Ayub, U., Kausar, S., Noreen, U., Zakaria, M. and Jadoon, I.A. (2020). Downside Risk-Based Six-Factor Capital Asset Pricing Model (CAPM): A New Paradigm in Asset Pricing. </w:t>
      </w:r>
      <w:r w:rsidRPr="006301C4">
        <w:rPr>
          <w:rFonts w:ascii="Times New Roman" w:hAnsi="Times New Roman" w:cs="Times New Roman"/>
          <w:i/>
          <w:iCs/>
          <w:sz w:val="24"/>
          <w:szCs w:val="24"/>
        </w:rPr>
        <w:t>Sustainability</w:t>
      </w:r>
      <w:r w:rsidRPr="006301C4">
        <w:rPr>
          <w:rFonts w:ascii="Times New Roman" w:hAnsi="Times New Roman" w:cs="Times New Roman"/>
          <w:sz w:val="24"/>
          <w:szCs w:val="24"/>
        </w:rPr>
        <w:t>, 12(17), p.6756. doi:https://doi.org/10.3390/su12176756.</w:t>
      </w:r>
    </w:p>
    <w:p w14:paraId="39BAC1F9"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Ayunku, P.E. and Apiri, T.R. (2019). Foreign Exchange Trading and Risk Management Technique On Quoted Commercial Banks Financial Performance in Nigeria (1993-2018). </w:t>
      </w:r>
      <w:r w:rsidRPr="006301C4">
        <w:rPr>
          <w:rFonts w:ascii="Times New Roman" w:hAnsi="Times New Roman" w:cs="Times New Roman"/>
          <w:i/>
          <w:iCs/>
          <w:sz w:val="24"/>
          <w:szCs w:val="24"/>
        </w:rPr>
        <w:t>International Journal of Scientific and Research Publications (IJSRP)</w:t>
      </w:r>
      <w:r w:rsidRPr="006301C4">
        <w:rPr>
          <w:rFonts w:ascii="Times New Roman" w:hAnsi="Times New Roman" w:cs="Times New Roman"/>
          <w:sz w:val="24"/>
          <w:szCs w:val="24"/>
        </w:rPr>
        <w:t>, 9(10), p.p9472. doi:https://doi.org/10.29322/ijsrp.9.10.2019.p9472.</w:t>
      </w:r>
    </w:p>
    <w:p w14:paraId="4CB0316B"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Chase, K. (2023). </w:t>
      </w:r>
      <w:r w:rsidRPr="006301C4">
        <w:rPr>
          <w:rFonts w:ascii="Times New Roman" w:hAnsi="Times New Roman" w:cs="Times New Roman"/>
          <w:i/>
          <w:iCs/>
          <w:sz w:val="24"/>
          <w:szCs w:val="24"/>
        </w:rPr>
        <w:t>Incentive Theory of Motivation: Definition and Examples</w:t>
      </w:r>
      <w:r w:rsidRPr="006301C4">
        <w:rPr>
          <w:rFonts w:ascii="Times New Roman" w:hAnsi="Times New Roman" w:cs="Times New Roman"/>
          <w:sz w:val="24"/>
          <w:szCs w:val="24"/>
        </w:rPr>
        <w:t>. [online] TopResume. Available at: https://in.topresume.com/career-advice/incentive-theory-of-motivation [Accessed 30 Dec. 2023].</w:t>
      </w:r>
    </w:p>
    <w:p w14:paraId="1E64A60C"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Hadian, A. and Adaoglu, C. (2020). The effects of financial and operational hedging on company value: The case of Malaysian multinationals. </w:t>
      </w:r>
      <w:r w:rsidRPr="006301C4">
        <w:rPr>
          <w:rFonts w:ascii="Times New Roman" w:hAnsi="Times New Roman" w:cs="Times New Roman"/>
          <w:i/>
          <w:iCs/>
          <w:sz w:val="24"/>
          <w:szCs w:val="24"/>
        </w:rPr>
        <w:t>Journal of Asian Economics</w:t>
      </w:r>
      <w:r w:rsidRPr="006301C4">
        <w:rPr>
          <w:rFonts w:ascii="Times New Roman" w:hAnsi="Times New Roman" w:cs="Times New Roman"/>
          <w:sz w:val="24"/>
          <w:szCs w:val="24"/>
        </w:rPr>
        <w:t>, 70, p.101232. doi:https://doi.org/10.1016/j.asieco.2020.101232.</w:t>
      </w:r>
    </w:p>
    <w:p w14:paraId="1642DB7A"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Hirdinis, M. (2019). Capital Structure and Firm Size on Firm Value Moderated by Profitability Hirdinis M 1. </w:t>
      </w:r>
      <w:r w:rsidRPr="006301C4">
        <w:rPr>
          <w:rFonts w:ascii="Times New Roman" w:hAnsi="Times New Roman" w:cs="Times New Roman"/>
          <w:i/>
          <w:iCs/>
          <w:sz w:val="24"/>
          <w:szCs w:val="24"/>
        </w:rPr>
        <w:t>International Journal of Economics and Business Administration</w:t>
      </w:r>
      <w:r w:rsidRPr="006301C4">
        <w:rPr>
          <w:rFonts w:ascii="Times New Roman" w:hAnsi="Times New Roman" w:cs="Times New Roman"/>
          <w:sz w:val="24"/>
          <w:szCs w:val="24"/>
        </w:rPr>
        <w:t>, [online] VII(1), pp.174–191. Available at: https://www.um.edu.mt/library/oar/bitstream/123456789/43966/1/Capital%20Structure%20and%20Firm%20Size%20on%20Firm%20Value%20Moderated%20by%20Profitability.pdf.</w:t>
      </w:r>
    </w:p>
    <w:p w14:paraId="1DEA84E1"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John, C. (2022). </w:t>
      </w:r>
      <w:r w:rsidRPr="006301C4">
        <w:rPr>
          <w:rFonts w:ascii="Times New Roman" w:hAnsi="Times New Roman" w:cs="Times New Roman"/>
          <w:i/>
          <w:iCs/>
          <w:sz w:val="24"/>
          <w:szCs w:val="24"/>
        </w:rPr>
        <w:t>The Elasticity of Taxable Income: Theory and Estimation</w:t>
      </w:r>
      <w:r w:rsidRPr="006301C4">
        <w:rPr>
          <w:rFonts w:ascii="Times New Roman" w:hAnsi="Times New Roman" w:cs="Times New Roman"/>
          <w:sz w:val="24"/>
          <w:szCs w:val="24"/>
        </w:rPr>
        <w:t>. [online] </w:t>
      </w:r>
      <w:r w:rsidRPr="006301C4">
        <w:rPr>
          <w:rFonts w:ascii="Times New Roman" w:hAnsi="Times New Roman" w:cs="Times New Roman"/>
          <w:i/>
          <w:iCs/>
          <w:sz w:val="24"/>
          <w:szCs w:val="24"/>
        </w:rPr>
        <w:t>Google Books</w:t>
      </w:r>
      <w:r w:rsidRPr="006301C4">
        <w:rPr>
          <w:rFonts w:ascii="Times New Roman" w:hAnsi="Times New Roman" w:cs="Times New Roman"/>
          <w:sz w:val="24"/>
          <w:szCs w:val="24"/>
        </w:rPr>
        <w:t>. Edward Elgar Publishing. Available at: https://books.google.com/books?hl=en&amp;lr=&amp;id=XB5sEAAAQBAJ&amp;oi=fnd&amp;pg=PR3&amp;dq=net+income+theory&amp;ots=b1bGekI0p5&amp;sig=dYjlxiMie1mdtkbH6mE_JIPqX10 [Accessed 30 Dec. 2023].</w:t>
      </w:r>
    </w:p>
    <w:p w14:paraId="48F86FFF"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Khaki, A.R. and Akin, A. (2020). Factors affecting the capital structure: New evidence from GCC countries. </w:t>
      </w:r>
      <w:r w:rsidRPr="006301C4">
        <w:rPr>
          <w:rFonts w:ascii="Times New Roman" w:hAnsi="Times New Roman" w:cs="Times New Roman"/>
          <w:i/>
          <w:iCs/>
          <w:sz w:val="24"/>
          <w:szCs w:val="24"/>
        </w:rPr>
        <w:t>Journal of International Studies</w:t>
      </w:r>
      <w:r w:rsidRPr="006301C4">
        <w:rPr>
          <w:rFonts w:ascii="Times New Roman" w:hAnsi="Times New Roman" w:cs="Times New Roman"/>
          <w:sz w:val="24"/>
          <w:szCs w:val="24"/>
        </w:rPr>
        <w:t>, 13(1), pp.9–27. doi:https://doi.org/10.14254/2071-8330.2020/13-1/1.</w:t>
      </w:r>
    </w:p>
    <w:p w14:paraId="7DED75AE"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Magni, C.A. and Marchioni, A. (2020). Average rates of return, working capital, and NPV-consistency in project appraisal: A sensitivity analysis approach. </w:t>
      </w:r>
      <w:r w:rsidRPr="006301C4">
        <w:rPr>
          <w:rFonts w:ascii="Times New Roman" w:hAnsi="Times New Roman" w:cs="Times New Roman"/>
          <w:i/>
          <w:iCs/>
          <w:sz w:val="24"/>
          <w:szCs w:val="24"/>
        </w:rPr>
        <w:t>International Journal of Production Economics</w:t>
      </w:r>
      <w:r w:rsidRPr="006301C4">
        <w:rPr>
          <w:rFonts w:ascii="Times New Roman" w:hAnsi="Times New Roman" w:cs="Times New Roman"/>
          <w:sz w:val="24"/>
          <w:szCs w:val="24"/>
        </w:rPr>
        <w:t>, [online] 229, p.107769. doi:https://doi.org/10.1016/j.ijpe.2020.107769.</w:t>
      </w:r>
    </w:p>
    <w:p w14:paraId="19C89192"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Mpofu, F.Y. and Wealth, E. (2022). THE ARM’S LENGTH PRINCIPLE: A PANACEA OR PROBLEM TO REGULATING TRANSFER PRICING TRANSACTIONS BY MNES IN DEVELOPING COUNTRIES. </w:t>
      </w:r>
      <w:r w:rsidRPr="006301C4">
        <w:rPr>
          <w:rFonts w:ascii="Times New Roman" w:hAnsi="Times New Roman" w:cs="Times New Roman"/>
          <w:i/>
          <w:iCs/>
          <w:sz w:val="24"/>
          <w:szCs w:val="24"/>
        </w:rPr>
        <w:t>EURASIAN JOURNAL OF BUSINESS AND MANAGEMENT</w:t>
      </w:r>
      <w:r w:rsidRPr="006301C4">
        <w:rPr>
          <w:rFonts w:ascii="Times New Roman" w:hAnsi="Times New Roman" w:cs="Times New Roman"/>
          <w:sz w:val="24"/>
          <w:szCs w:val="24"/>
        </w:rPr>
        <w:t>, 10(2), pp.137–152. doi:https://doi.org/10.15604/ejbm.2022.10.02.004.</w:t>
      </w:r>
    </w:p>
    <w:p w14:paraId="3E853D2B"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Nicodano, G. and Regis, L. (2019). A trade-off theory of ownership and capital structure. </w:t>
      </w:r>
      <w:r w:rsidRPr="006301C4">
        <w:rPr>
          <w:rFonts w:ascii="Times New Roman" w:hAnsi="Times New Roman" w:cs="Times New Roman"/>
          <w:i/>
          <w:iCs/>
          <w:sz w:val="24"/>
          <w:szCs w:val="24"/>
        </w:rPr>
        <w:t>Journal of Financial Economics</w:t>
      </w:r>
      <w:r w:rsidRPr="006301C4">
        <w:rPr>
          <w:rFonts w:ascii="Times New Roman" w:hAnsi="Times New Roman" w:cs="Times New Roman"/>
          <w:sz w:val="24"/>
          <w:szCs w:val="24"/>
        </w:rPr>
        <w:t>, 131(3), pp.715–735. doi:https://doi.org/10.1016/j.jfineco.2018.09.001.</w:t>
      </w:r>
    </w:p>
    <w:p w14:paraId="18887E21" w14:textId="77777777" w:rsidR="009267B8" w:rsidRPr="006301C4" w:rsidRDefault="009267B8" w:rsidP="009267B8">
      <w:pPr>
        <w:spacing w:before="240" w:line="360" w:lineRule="auto"/>
        <w:jc w:val="both"/>
        <w:rPr>
          <w:rFonts w:ascii="Times New Roman" w:hAnsi="Times New Roman" w:cs="Times New Roman"/>
          <w:sz w:val="24"/>
          <w:szCs w:val="24"/>
        </w:rPr>
      </w:pPr>
      <w:r w:rsidRPr="006301C4">
        <w:rPr>
          <w:rFonts w:ascii="Times New Roman" w:hAnsi="Times New Roman" w:cs="Times New Roman"/>
          <w:sz w:val="24"/>
          <w:szCs w:val="24"/>
        </w:rPr>
        <w:t>Riskinin, D., Yönelik, Y., Ve Teknikler, A., Türkiye, Meksika, B., Ve, E., Genelinde, Y., Para, U., Vadeli, D., İhaleleri, İ., Eroğlu, Özbek, M., Özbek, Ö., Geçmişi, M., Döviz, K., Riski, R., Korunma, U., Para, U. and İşlemleri (2020). Tools and Techniques for the Management of Foreign Exchange Risk: Forward Foreign Exchange Auctions in Local Currency Applications Across Turkey, Mexico, Brazil and Indonesia M A K A L E B İ L G İ S İ A R T I C L E I N F O. </w:t>
      </w:r>
      <w:r w:rsidRPr="006301C4">
        <w:rPr>
          <w:rFonts w:ascii="Times New Roman" w:hAnsi="Times New Roman" w:cs="Times New Roman"/>
          <w:i/>
          <w:iCs/>
          <w:sz w:val="24"/>
          <w:szCs w:val="24"/>
        </w:rPr>
        <w:t>JOURNAL OF EMERGING ECONOMIES AND POLICY</w:t>
      </w:r>
      <w:r w:rsidRPr="006301C4">
        <w:rPr>
          <w:rFonts w:ascii="Times New Roman" w:hAnsi="Times New Roman" w:cs="Times New Roman"/>
          <w:sz w:val="24"/>
          <w:szCs w:val="24"/>
        </w:rPr>
        <w:t>, [online] 5(2), pp.25–38. Available at: https://dergipark.org.tr/en/download/article-file/1296126.</w:t>
      </w:r>
    </w:p>
    <w:bookmarkEnd w:id="8"/>
    <w:p w14:paraId="44B23239" w14:textId="77777777" w:rsidR="00815C1D" w:rsidRPr="006301C4" w:rsidRDefault="00815C1D">
      <w:pPr>
        <w:pStyle w:val="Normal1"/>
        <w:spacing w:before="200" w:line="360" w:lineRule="auto"/>
        <w:jc w:val="both"/>
        <w:rPr>
          <w:rFonts w:ascii="Times New Roman" w:eastAsia="Times New Roman" w:hAnsi="Times New Roman" w:cs="Times New Roman"/>
          <w:sz w:val="24"/>
          <w:szCs w:val="24"/>
        </w:rPr>
      </w:pPr>
    </w:p>
    <w:p w14:paraId="033D7B38" w14:textId="77777777" w:rsidR="00815C1D" w:rsidRPr="006301C4" w:rsidRDefault="00815C1D">
      <w:pPr>
        <w:pStyle w:val="Normal1"/>
        <w:spacing w:before="200" w:line="360" w:lineRule="auto"/>
        <w:jc w:val="both"/>
        <w:rPr>
          <w:rFonts w:ascii="Times New Roman" w:eastAsia="Times New Roman" w:hAnsi="Times New Roman" w:cs="Times New Roman"/>
          <w:sz w:val="24"/>
          <w:szCs w:val="24"/>
        </w:rPr>
      </w:pPr>
    </w:p>
    <w:p w14:paraId="68ACC3E5" w14:textId="77777777" w:rsidR="00815C1D" w:rsidRPr="006301C4" w:rsidRDefault="00815C1D">
      <w:pPr>
        <w:pStyle w:val="Normal1"/>
        <w:spacing w:before="200" w:line="360" w:lineRule="auto"/>
        <w:jc w:val="both"/>
        <w:rPr>
          <w:rFonts w:ascii="Times New Roman" w:eastAsia="Times New Roman" w:hAnsi="Times New Roman" w:cs="Times New Roman"/>
          <w:sz w:val="24"/>
          <w:szCs w:val="24"/>
        </w:rPr>
      </w:pPr>
    </w:p>
    <w:sectPr w:rsidR="00815C1D" w:rsidRPr="006301C4" w:rsidSect="00386938">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A8911" w14:textId="77777777" w:rsidR="00386938" w:rsidRDefault="00386938" w:rsidP="00DB04BE">
      <w:pPr>
        <w:spacing w:line="240" w:lineRule="auto"/>
      </w:pPr>
      <w:r>
        <w:separator/>
      </w:r>
    </w:p>
  </w:endnote>
  <w:endnote w:type="continuationSeparator" w:id="0">
    <w:p w14:paraId="65BA4C65" w14:textId="77777777" w:rsidR="00386938" w:rsidRDefault="00386938" w:rsidP="00DB04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9068026"/>
      <w:docPartObj>
        <w:docPartGallery w:val="Page Numbers (Bottom of Page)"/>
        <w:docPartUnique/>
      </w:docPartObj>
    </w:sdtPr>
    <w:sdtEndPr>
      <w:rPr>
        <w:noProof/>
      </w:rPr>
    </w:sdtEndPr>
    <w:sdtContent>
      <w:p w14:paraId="616BBAC9" w14:textId="26C8C85D" w:rsidR="00DB04BE" w:rsidRPr="00DB04BE" w:rsidRDefault="00DB04BE">
        <w:pPr>
          <w:pStyle w:val="a7"/>
          <w:jc w:val="right"/>
          <w:rPr>
            <w:rFonts w:ascii="Times New Roman" w:hAnsi="Times New Roman" w:cs="Times New Roman"/>
            <w:sz w:val="20"/>
            <w:szCs w:val="20"/>
          </w:rPr>
        </w:pPr>
        <w:r w:rsidRPr="00DB04BE">
          <w:rPr>
            <w:rFonts w:ascii="Times New Roman" w:hAnsi="Times New Roman" w:cs="Times New Roman"/>
            <w:sz w:val="20"/>
            <w:szCs w:val="20"/>
          </w:rPr>
          <w:fldChar w:fldCharType="begin"/>
        </w:r>
        <w:r w:rsidRPr="00DB04BE">
          <w:rPr>
            <w:rFonts w:ascii="Times New Roman" w:hAnsi="Times New Roman" w:cs="Times New Roman"/>
            <w:sz w:val="20"/>
            <w:szCs w:val="20"/>
          </w:rPr>
          <w:instrText xml:space="preserve"> PAGE   \* MERGEFORMAT </w:instrText>
        </w:r>
        <w:r w:rsidRPr="00DB04BE">
          <w:rPr>
            <w:rFonts w:ascii="Times New Roman" w:hAnsi="Times New Roman" w:cs="Times New Roman"/>
            <w:sz w:val="20"/>
            <w:szCs w:val="20"/>
          </w:rPr>
          <w:fldChar w:fldCharType="separate"/>
        </w:r>
        <w:r w:rsidRPr="00DB04BE">
          <w:rPr>
            <w:rFonts w:ascii="Times New Roman" w:hAnsi="Times New Roman" w:cs="Times New Roman"/>
            <w:noProof/>
            <w:sz w:val="20"/>
            <w:szCs w:val="20"/>
          </w:rPr>
          <w:t>2</w:t>
        </w:r>
        <w:r w:rsidRPr="00DB04BE">
          <w:rPr>
            <w:rFonts w:ascii="Times New Roman" w:hAnsi="Times New Roman" w:cs="Times New Roman"/>
            <w:noProof/>
            <w:sz w:val="20"/>
            <w:szCs w:val="20"/>
          </w:rPr>
          <w:fldChar w:fldCharType="end"/>
        </w:r>
      </w:p>
    </w:sdtContent>
  </w:sdt>
  <w:p w14:paraId="1F7F5C5D" w14:textId="77777777" w:rsidR="00DB04BE" w:rsidRPr="00DB04BE" w:rsidRDefault="00DB04BE">
    <w:pPr>
      <w:pStyle w:val="a7"/>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A654E" w14:textId="77777777" w:rsidR="00386938" w:rsidRDefault="00386938" w:rsidP="00DB04BE">
      <w:pPr>
        <w:spacing w:line="240" w:lineRule="auto"/>
      </w:pPr>
      <w:r>
        <w:separator/>
      </w:r>
    </w:p>
  </w:footnote>
  <w:footnote w:type="continuationSeparator" w:id="0">
    <w:p w14:paraId="62B4965A" w14:textId="77777777" w:rsidR="00386938" w:rsidRDefault="00386938" w:rsidP="00DB04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C1D"/>
    <w:rsid w:val="00053A66"/>
    <w:rsid w:val="0018071F"/>
    <w:rsid w:val="003062A1"/>
    <w:rsid w:val="00365ACD"/>
    <w:rsid w:val="003837D4"/>
    <w:rsid w:val="00386938"/>
    <w:rsid w:val="003F4DF0"/>
    <w:rsid w:val="00411290"/>
    <w:rsid w:val="00495F1F"/>
    <w:rsid w:val="004F0640"/>
    <w:rsid w:val="00581B84"/>
    <w:rsid w:val="006301C4"/>
    <w:rsid w:val="006B7497"/>
    <w:rsid w:val="00815C1D"/>
    <w:rsid w:val="00895BD8"/>
    <w:rsid w:val="008E6726"/>
    <w:rsid w:val="009267B8"/>
    <w:rsid w:val="009F78AD"/>
    <w:rsid w:val="00A26ABB"/>
    <w:rsid w:val="00A33003"/>
    <w:rsid w:val="00A86345"/>
    <w:rsid w:val="00BE4660"/>
    <w:rsid w:val="00C2437F"/>
    <w:rsid w:val="00C46456"/>
    <w:rsid w:val="00C668E9"/>
    <w:rsid w:val="00D56A2C"/>
    <w:rsid w:val="00D75E79"/>
    <w:rsid w:val="00D86692"/>
    <w:rsid w:val="00DB04BE"/>
    <w:rsid w:val="00DE4A29"/>
    <w:rsid w:val="00F253C6"/>
    <w:rsid w:val="00FC1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A6D805"/>
  <w15:docId w15:val="{31B08C47-36E8-4894-B78D-544B822A2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pPr>
      <w:keepNext/>
      <w:keepLines/>
      <w:spacing w:before="200" w:line="360" w:lineRule="auto"/>
      <w:jc w:val="both"/>
      <w:outlineLvl w:val="0"/>
    </w:pPr>
    <w:rPr>
      <w:rFonts w:ascii="Times New Roman" w:eastAsia="Times New Roman" w:hAnsi="Times New Roman" w:cs="Times New Roman"/>
      <w:b/>
      <w:sz w:val="24"/>
      <w:szCs w:val="24"/>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paragraph" w:styleId="a5">
    <w:name w:val="header"/>
    <w:basedOn w:val="a"/>
    <w:link w:val="a6"/>
    <w:uiPriority w:val="99"/>
    <w:unhideWhenUsed/>
    <w:rsid w:val="00DB04BE"/>
    <w:pPr>
      <w:tabs>
        <w:tab w:val="center" w:pos="4680"/>
        <w:tab w:val="right" w:pos="9360"/>
      </w:tabs>
      <w:spacing w:line="240" w:lineRule="auto"/>
    </w:pPr>
  </w:style>
  <w:style w:type="character" w:customStyle="1" w:styleId="a6">
    <w:name w:val="Горен колонтитул Знак"/>
    <w:basedOn w:val="a0"/>
    <w:link w:val="a5"/>
    <w:uiPriority w:val="99"/>
    <w:rsid w:val="00DB04BE"/>
  </w:style>
  <w:style w:type="paragraph" w:styleId="a7">
    <w:name w:val="footer"/>
    <w:basedOn w:val="a"/>
    <w:link w:val="a8"/>
    <w:uiPriority w:val="99"/>
    <w:unhideWhenUsed/>
    <w:rsid w:val="00DB04BE"/>
    <w:pPr>
      <w:tabs>
        <w:tab w:val="center" w:pos="4680"/>
        <w:tab w:val="right" w:pos="9360"/>
      </w:tabs>
      <w:spacing w:line="240" w:lineRule="auto"/>
    </w:pPr>
  </w:style>
  <w:style w:type="character" w:customStyle="1" w:styleId="a8">
    <w:name w:val="Долен колонтитул Знак"/>
    <w:basedOn w:val="a0"/>
    <w:link w:val="a7"/>
    <w:uiPriority w:val="99"/>
    <w:rsid w:val="00DB04BE"/>
  </w:style>
  <w:style w:type="character" w:styleId="a9">
    <w:name w:val="Hyperlink"/>
    <w:basedOn w:val="a0"/>
    <w:uiPriority w:val="99"/>
    <w:unhideWhenUsed/>
    <w:rsid w:val="009267B8"/>
    <w:rPr>
      <w:color w:val="0000FF" w:themeColor="hyperlink"/>
      <w:u w:val="single"/>
    </w:rPr>
  </w:style>
  <w:style w:type="paragraph" w:styleId="aa">
    <w:name w:val="TOC Heading"/>
    <w:basedOn w:val="1"/>
    <w:next w:val="a"/>
    <w:uiPriority w:val="39"/>
    <w:unhideWhenUsed/>
    <w:qFormat/>
    <w:rsid w:val="00F253C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F253C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hbs.edu/ris/Publication%20Files/21-096_3317d99c-a5fb-4662-b3b8-d7007994785d.pdf" TargetMode="External"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38D8B-285C-434C-B066-D852BA8942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2291</Words>
  <Characters>13059</Characters>
  <Application>Microsoft Office Word</Application>
  <DocSecurity>0</DocSecurity>
  <Lines>108</Lines>
  <Paragraphs>30</Paragraphs>
  <ScaleCrop>false</ScaleCrop>
  <Company/>
  <LinksUpToDate>false</LinksUpToDate>
  <CharactersWithSpaces>15320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Desislava Hristova</cp:lastModifiedBy>
  <cp:revision>4</cp:revision>
  <dcterms:created xsi:type="dcterms:W3CDTF">2024-01-01T13:55:00Z</dcterms:created>
  <dcterms:modified xsi:type="dcterms:W3CDTF">2024-01-01T13:55:00Z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55e6d6688bee32449a3f8b4b186fde4710afd545dddebb0c33252ddf7746bb89</vt:lpwstr>
  </property>
</Properties>
</file>