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A162D" w14:textId="24901C2B" w:rsidR="00C85640" w:rsidRPr="00AD735E" w:rsidRDefault="00C85640" w:rsidP="00C85640">
      <w:pPr>
        <w:pStyle w:val="NoSpacing"/>
        <w:spacing w:before="1540" w:after="240"/>
        <w:rPr>
          <w:rFonts w:ascii="Times New Roman" w:hAnsi="Times New Roman" w:cs="Times New Roman"/>
        </w:rPr>
      </w:pPr>
      <w:r w:rsidRPr="00AD735E">
        <w:rPr>
          <w:rFonts w:ascii="Times New Roman" w:hAnsi="Times New Roman" w:cs="Times New Roman"/>
        </w:rPr>
        <w:t xml:space="preserve">                                                            </w:t>
      </w:r>
      <w:r w:rsidRPr="00AD735E">
        <w:rPr>
          <w:rFonts w:ascii="Times New Roman" w:hAnsi="Times New Roman" w:cs="Times New Roman"/>
          <w:noProof/>
          <w:lang w:val="en-GB" w:eastAsia="en-GB"/>
        </w:rPr>
        <w:drawing>
          <wp:inline distT="0" distB="0" distL="0" distR="0" wp14:anchorId="4370D5E2" wp14:editId="5ACA0F33">
            <wp:extent cx="1417320" cy="750898"/>
            <wp:effectExtent l="0" t="0" r="127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0D16C74" w14:textId="77777777" w:rsidR="00C85640" w:rsidRPr="00AD735E" w:rsidRDefault="00C85640" w:rsidP="00C85640">
      <w:pPr>
        <w:spacing w:before="600"/>
        <w:jc w:val="center"/>
        <w:rPr>
          <w:rFonts w:ascii="Times New Roman" w:hAnsi="Times New Roman" w:cs="Times New Roman"/>
          <w:color w:val="auto"/>
          <w:sz w:val="40"/>
          <w:szCs w:val="40"/>
        </w:rPr>
      </w:pPr>
      <w:r w:rsidRPr="00AD735E">
        <w:rPr>
          <w:rFonts w:ascii="Times New Roman" w:hAnsi="Times New Roman" w:cs="Times New Roman"/>
          <w:b/>
          <w:color w:val="auto"/>
          <w:sz w:val="40"/>
          <w:szCs w:val="40"/>
        </w:rPr>
        <w:t>FINANCIAL PERFORMANCE ANALYSIS OF</w:t>
      </w:r>
      <w:r w:rsidRPr="00AD735E">
        <w:rPr>
          <w:rFonts w:ascii="Times New Roman" w:hAnsi="Times New Roman" w:cs="Times New Roman"/>
          <w:b/>
          <w:color w:val="auto"/>
          <w:sz w:val="40"/>
          <w:szCs w:val="40"/>
        </w:rPr>
        <w:br/>
        <w:t>ASTRAZENECA PLC</w:t>
      </w:r>
    </w:p>
    <w:p w14:paraId="6D3A6924" w14:textId="77777777" w:rsidR="00C85640" w:rsidRPr="00AD735E" w:rsidRDefault="00C85640" w:rsidP="00C85640">
      <w:pPr>
        <w:jc w:val="center"/>
        <w:rPr>
          <w:rFonts w:ascii="Times New Roman" w:hAnsi="Times New Roman" w:cs="Times New Roman"/>
          <w:color w:val="auto"/>
          <w:sz w:val="40"/>
          <w:szCs w:val="40"/>
        </w:rPr>
      </w:pPr>
      <w:r w:rsidRPr="00AD735E">
        <w:rPr>
          <w:rFonts w:ascii="Times New Roman" w:hAnsi="Times New Roman" w:cs="Times New Roman"/>
          <w:i/>
          <w:color w:val="auto"/>
          <w:sz w:val="40"/>
          <w:szCs w:val="40"/>
        </w:rPr>
        <w:t>and</w:t>
      </w:r>
    </w:p>
    <w:p w14:paraId="74E08376" w14:textId="77777777" w:rsidR="00C85640" w:rsidRPr="00AD735E" w:rsidRDefault="00C85640" w:rsidP="00C85640">
      <w:pPr>
        <w:jc w:val="center"/>
        <w:rPr>
          <w:rFonts w:ascii="Times New Roman" w:hAnsi="Times New Roman" w:cs="Times New Roman"/>
          <w:color w:val="auto"/>
          <w:sz w:val="40"/>
          <w:szCs w:val="40"/>
        </w:rPr>
      </w:pPr>
      <w:r w:rsidRPr="00AD735E">
        <w:rPr>
          <w:rFonts w:ascii="Times New Roman" w:hAnsi="Times New Roman" w:cs="Times New Roman"/>
          <w:b/>
          <w:color w:val="auto"/>
          <w:sz w:val="40"/>
          <w:szCs w:val="40"/>
        </w:rPr>
        <w:t>CAPITAL INVESTMENT APPRAISAL FOR BEARD PLC</w:t>
      </w:r>
    </w:p>
    <w:sdt>
      <w:sdtPr>
        <w:rPr>
          <w:rFonts w:ascii="Times New Roman" w:hAnsi="Times New Roman" w:cs="Times New Roman"/>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64202998" w14:textId="77777777" w:rsidR="00C85640" w:rsidRPr="00AD735E" w:rsidRDefault="00C85640" w:rsidP="00C85640">
          <w:pPr>
            <w:pStyle w:val="NoSpacing"/>
            <w:pBdr>
              <w:top w:val="single" w:sz="6" w:space="6" w:color="4472C4" w:themeColor="accent1"/>
              <w:bottom w:val="single" w:sz="6" w:space="6" w:color="4472C4" w:themeColor="accent1"/>
            </w:pBdr>
            <w:spacing w:after="240"/>
            <w:jc w:val="center"/>
            <w:rPr>
              <w:rFonts w:ascii="Times New Roman" w:hAnsi="Times New Roman" w:cs="Times New Roman"/>
              <w:sz w:val="28"/>
              <w:szCs w:val="28"/>
            </w:rPr>
          </w:pPr>
          <w:r w:rsidRPr="00AD735E">
            <w:rPr>
              <w:rFonts w:ascii="Times New Roman" w:hAnsi="Times New Roman" w:cs="Times New Roman"/>
              <w:sz w:val="28"/>
              <w:szCs w:val="28"/>
            </w:rPr>
            <w:t xml:space="preserve">     </w:t>
          </w:r>
        </w:p>
      </w:sdtContent>
    </w:sdt>
    <w:p w14:paraId="40E8A36E" w14:textId="77777777" w:rsidR="00C85640" w:rsidRPr="00AD735E" w:rsidRDefault="00C85640" w:rsidP="00C85640">
      <w:pPr>
        <w:pStyle w:val="NoSpacing"/>
        <w:spacing w:before="480"/>
        <w:jc w:val="center"/>
        <w:rPr>
          <w:rFonts w:ascii="Times New Roman" w:hAnsi="Times New Roman" w:cs="Times New Roman"/>
        </w:rPr>
      </w:pPr>
      <w:r w:rsidRPr="00AD735E">
        <w:rPr>
          <w:rFonts w:ascii="Times New Roman" w:hAnsi="Times New Roman" w:cs="Times New Roman"/>
          <w:noProof/>
          <w:lang w:val="en-GB" w:eastAsia="en-GB"/>
        </w:rPr>
        <w:drawing>
          <wp:inline distT="0" distB="0" distL="0" distR="0" wp14:anchorId="14B5F80A" wp14:editId="23F9495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D28C6D" w14:textId="77777777" w:rsidR="00C85640" w:rsidRPr="00AD735E" w:rsidRDefault="00C85640" w:rsidP="00C85640">
      <w:pPr>
        <w:pStyle w:val="NoSpacing"/>
        <w:spacing w:before="480"/>
        <w:rPr>
          <w:rFonts w:ascii="Times New Roman" w:hAnsi="Times New Roman" w:cs="Times New Roman"/>
          <w:b/>
          <w:bCs/>
          <w:sz w:val="28"/>
          <w:szCs w:val="28"/>
        </w:rPr>
      </w:pPr>
      <w:r w:rsidRPr="00AD735E">
        <w:rPr>
          <w:rFonts w:ascii="Times New Roman" w:hAnsi="Times New Roman" w:cs="Times New Roman"/>
          <w:b/>
          <w:bCs/>
          <w:sz w:val="28"/>
          <w:szCs w:val="28"/>
        </w:rPr>
        <w:t>Student Name: Shahed Rayhan</w:t>
      </w:r>
    </w:p>
    <w:p w14:paraId="236206CB" w14:textId="77777777" w:rsidR="00C85640" w:rsidRPr="00AD735E" w:rsidRDefault="00C85640" w:rsidP="00C85640">
      <w:pPr>
        <w:pStyle w:val="NoSpacing"/>
        <w:spacing w:before="480"/>
        <w:rPr>
          <w:rFonts w:ascii="Times New Roman" w:hAnsi="Times New Roman" w:cs="Times New Roman"/>
          <w:b/>
          <w:bCs/>
          <w:sz w:val="28"/>
          <w:szCs w:val="28"/>
        </w:rPr>
      </w:pPr>
      <w:r w:rsidRPr="00AD735E">
        <w:rPr>
          <w:rFonts w:ascii="Times New Roman" w:hAnsi="Times New Roman" w:cs="Times New Roman"/>
          <w:b/>
          <w:bCs/>
          <w:sz w:val="28"/>
          <w:szCs w:val="28"/>
        </w:rPr>
        <w:t>Student Id: 2520888</w:t>
      </w:r>
    </w:p>
    <w:p w14:paraId="02AB6162" w14:textId="77777777" w:rsidR="00C85640" w:rsidRDefault="00C85640" w:rsidP="00C85640">
      <w:pPr>
        <w:pStyle w:val="NoSpacing"/>
        <w:spacing w:before="480"/>
        <w:rPr>
          <w:rFonts w:ascii="Times New Roman" w:hAnsi="Times New Roman" w:cs="Times New Roman"/>
          <w:b/>
          <w:bCs/>
          <w:sz w:val="28"/>
          <w:szCs w:val="28"/>
        </w:rPr>
      </w:pPr>
      <w:r w:rsidRPr="00AD735E">
        <w:rPr>
          <w:rFonts w:ascii="Times New Roman" w:hAnsi="Times New Roman" w:cs="Times New Roman"/>
          <w:b/>
          <w:bCs/>
          <w:sz w:val="28"/>
          <w:szCs w:val="28"/>
        </w:rPr>
        <w:t>Module Lecturer: Marie Pitson</w:t>
      </w:r>
    </w:p>
    <w:p w14:paraId="610B3845" w14:textId="6E96A313" w:rsidR="005C1DD0" w:rsidRPr="00AD735E" w:rsidRDefault="005C1DD0" w:rsidP="00C85640">
      <w:pPr>
        <w:pStyle w:val="NoSpacing"/>
        <w:spacing w:before="480"/>
        <w:rPr>
          <w:rFonts w:ascii="Times New Roman" w:hAnsi="Times New Roman" w:cs="Times New Roman"/>
          <w:b/>
          <w:bCs/>
          <w:sz w:val="28"/>
          <w:szCs w:val="28"/>
        </w:rPr>
      </w:pPr>
      <w:r>
        <w:rPr>
          <w:rFonts w:ascii="Times New Roman" w:hAnsi="Times New Roman" w:cs="Times New Roman"/>
          <w:b/>
          <w:bCs/>
          <w:sz w:val="28"/>
          <w:szCs w:val="28"/>
        </w:rPr>
        <w:t>Module: (BMMB7005)</w:t>
      </w:r>
    </w:p>
    <w:p w14:paraId="03C39298" w14:textId="1B0AC2A2" w:rsidR="00C85640" w:rsidRPr="00AD735E" w:rsidRDefault="00C85640" w:rsidP="00C85640">
      <w:pPr>
        <w:pStyle w:val="NoSpacing"/>
        <w:spacing w:before="480"/>
        <w:jc w:val="center"/>
        <w:rPr>
          <w:rFonts w:ascii="Times New Roman" w:hAnsi="Times New Roman" w:cs="Times New Roman"/>
          <w:sz w:val="28"/>
          <w:szCs w:val="28"/>
        </w:rPr>
      </w:pPr>
      <w:r w:rsidRPr="00AD735E">
        <w:rPr>
          <w:rFonts w:ascii="Times New Roman" w:hAnsi="Times New Roman" w:cs="Times New Roman"/>
          <w:sz w:val="28"/>
          <w:szCs w:val="28"/>
        </w:rPr>
        <w:t>[DATE:</w:t>
      </w:r>
      <w:r w:rsidR="005C1DD0">
        <w:rPr>
          <w:rFonts w:ascii="Times New Roman" w:hAnsi="Times New Roman" w:cs="Times New Roman"/>
          <w:sz w:val="28"/>
          <w:szCs w:val="28"/>
        </w:rPr>
        <w:t xml:space="preserve"> 23-10-2026</w:t>
      </w:r>
      <w:r w:rsidRPr="00AD735E">
        <w:rPr>
          <w:rFonts w:ascii="Times New Roman" w:hAnsi="Times New Roman" w:cs="Times New Roman"/>
          <w:sz w:val="28"/>
          <w:szCs w:val="28"/>
        </w:rPr>
        <w:t>]</w:t>
      </w:r>
    </w:p>
    <w:p w14:paraId="00DB8839" w14:textId="77777777" w:rsidR="00C85640" w:rsidRPr="00AD735E" w:rsidRDefault="00C85640" w:rsidP="00C85640">
      <w:pPr>
        <w:pStyle w:val="NoSpacing"/>
        <w:spacing w:before="480"/>
        <w:jc w:val="center"/>
        <w:rPr>
          <w:rFonts w:ascii="Times New Roman" w:hAnsi="Times New Roman" w:cs="Times New Roman"/>
          <w:sz w:val="28"/>
          <w:szCs w:val="28"/>
        </w:rPr>
      </w:pPr>
      <w:r w:rsidRPr="00AD735E">
        <w:rPr>
          <w:rFonts w:ascii="Times New Roman" w:hAnsi="Times New Roman" w:cs="Times New Roman"/>
          <w:sz w:val="28"/>
          <w:szCs w:val="28"/>
        </w:rPr>
        <w:t>UNIVERSITY OF WALES TRINITY SAINT DAVID</w:t>
      </w:r>
    </w:p>
    <w:p w14:paraId="5054B3CE" w14:textId="77777777" w:rsidR="00C85640" w:rsidRPr="00AD735E" w:rsidRDefault="00C85640" w:rsidP="00C85640">
      <w:pPr>
        <w:pStyle w:val="NoSpacing"/>
        <w:spacing w:before="480"/>
        <w:jc w:val="center"/>
        <w:rPr>
          <w:rFonts w:ascii="Times New Roman" w:hAnsi="Times New Roman" w:cs="Times New Roman"/>
          <w:sz w:val="28"/>
          <w:szCs w:val="28"/>
        </w:rPr>
      </w:pPr>
    </w:p>
    <w:p w14:paraId="5C82D74D" w14:textId="77777777" w:rsidR="00C85640" w:rsidRPr="00AD735E" w:rsidRDefault="00C85640" w:rsidP="00C85640">
      <w:pPr>
        <w:pStyle w:val="Heading1"/>
        <w:rPr>
          <w:rFonts w:ascii="Times New Roman" w:hAnsi="Times New Roman" w:cs="Times New Roman"/>
          <w:color w:val="auto"/>
        </w:rPr>
      </w:pPr>
      <w:bookmarkStart w:id="0" w:name="_Toc243612739"/>
      <w:r w:rsidRPr="00AD735E">
        <w:rPr>
          <w:rFonts w:ascii="Times New Roman" w:hAnsi="Times New Roman" w:cs="Times New Roman"/>
          <w:color w:val="auto"/>
        </w:rPr>
        <w:lastRenderedPageBreak/>
        <w:t>Executive Summary</w:t>
      </w:r>
      <w:bookmarkEnd w:id="0"/>
    </w:p>
    <w:p w14:paraId="228A95BE"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The aim of this report is to </w:t>
      </w:r>
      <w:proofErr w:type="spellStart"/>
      <w:r w:rsidRPr="00AD735E">
        <w:rPr>
          <w:rFonts w:ascii="Times New Roman" w:hAnsi="Times New Roman" w:cs="Times New Roman"/>
          <w:color w:val="auto"/>
        </w:rPr>
        <w:t>analyse</w:t>
      </w:r>
      <w:proofErr w:type="spellEnd"/>
      <w:r w:rsidRPr="00AD735E">
        <w:rPr>
          <w:rFonts w:ascii="Times New Roman" w:hAnsi="Times New Roman" w:cs="Times New Roman"/>
          <w:color w:val="auto"/>
        </w:rPr>
        <w:t xml:space="preserve"> the financial performance of AstraZeneca Plc and also to </w:t>
      </w:r>
      <w:proofErr w:type="spellStart"/>
      <w:r w:rsidRPr="00AD735E">
        <w:rPr>
          <w:rFonts w:ascii="Times New Roman" w:hAnsi="Times New Roman" w:cs="Times New Roman"/>
          <w:color w:val="auto"/>
        </w:rPr>
        <w:t>analyse</w:t>
      </w:r>
      <w:proofErr w:type="spellEnd"/>
      <w:r w:rsidRPr="00AD735E">
        <w:rPr>
          <w:rFonts w:ascii="Times New Roman" w:hAnsi="Times New Roman" w:cs="Times New Roman"/>
          <w:color w:val="auto"/>
        </w:rPr>
        <w:t xml:space="preserve"> three investment options that Beard Plc can consider for investment. For AstraZeneca the profitability analysis, liquidity analysis, gearing analysis, efficiency analysis and investor ratios are </w:t>
      </w:r>
      <w:proofErr w:type="spellStart"/>
      <w:r w:rsidRPr="00AD735E">
        <w:rPr>
          <w:rFonts w:ascii="Times New Roman" w:hAnsi="Times New Roman" w:cs="Times New Roman"/>
          <w:color w:val="auto"/>
        </w:rPr>
        <w:t>analysed</w:t>
      </w:r>
      <w:proofErr w:type="spellEnd"/>
      <w:r w:rsidRPr="00AD735E">
        <w:rPr>
          <w:rFonts w:ascii="Times New Roman" w:hAnsi="Times New Roman" w:cs="Times New Roman"/>
          <w:color w:val="auto"/>
        </w:rPr>
        <w:t xml:space="preserve"> for the years 2024 and 2025. The assessment of Beard Plc is done using the following methods: net present value (NPV), internal rate of return (IRR), profitability index and divisible capital rationing. The figures of financials are based on audited statements presented by AstraZeneca and the figures of Beard Plc are provided in the assignment brief.</w:t>
      </w:r>
    </w:p>
    <w:p w14:paraId="399F5BA9"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AstraZeneca's revenues jumped 8.63% to $58,739 million and its operating margin went up from 18.50% to 23.40%. The return on capital employed also has improved from 13.63% to 17.22%. The movements indicated that the operating profit increased at a higher rate than revenue and the capital base. Further, interest cover rose from 5.74 to 8.11 times and gross debt to equity ratio came down from 74.12% to 60.80%. So, there was an increase in earning potential and financial stability. However, there was still limited availability of liquidity in the short-term. The current and quick ratios changed from 0.93 to 0.94 and 0.74 to 0.72, respectively. There was also a decrease in the inventory and trade receivables turnover. Management should therefore ensure that the enhanced profitability is maintained by imposing more stringent working-capital targets, better demand and inventory planning and maintaining a linkage between reducing debt and generating operating cash.</w:t>
      </w:r>
    </w:p>
    <w:p w14:paraId="318C40BB"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Beard Plc has 20% straight-line capital allowances as well as 25% corporation tax included in its after-tax cash flows. The NPV of Option A at a cost of capital of 5% is −£3.26 thousand, the NPV of Option B at a cost of capital of 5% is £73.95 thousand and the NPV of Option C at a cost of capital of 5% is £91.23 thousand. Purses and wallets, therefore, is the most successful single product, in terms of cash flows, in option C. It has an approximate IRR of 8.57%, which exceeds the desired return of 5%. The best policy is to do all of Option C and 55.56% of Option B with £1.5 million (million pounds) of divisible capital. The net present value for this policy is estimated to be approximately £132.31 thousand.</w:t>
      </w:r>
    </w:p>
    <w:p w14:paraId="6C9C13B5"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This recommendation is subject to due diligence on its operations. Before committing to Beard Plc, it is important to test the demand, and ability of digital, capacity of supply and downside cash flows. Yet, since the current financial situation is not provided, the funding capacity is not assumed. A staged combination of available internal funds and term debt might be appropriate only when the liquidity, leverage and security and debt-service tests are not compromised. They may be considered as equity or asset finance, when they alleviate refinancing needs or better fit the asset and risk profile.</w:t>
      </w:r>
    </w:p>
    <w:p w14:paraId="3AACF56C"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br w:type="page"/>
      </w:r>
    </w:p>
    <w:sdt>
      <w:sdtPr>
        <w:rPr>
          <w:rFonts w:ascii="Times New Roman" w:eastAsiaTheme="minorEastAsia" w:hAnsi="Times New Roman" w:cs="Times New Roman"/>
          <w:b/>
          <w:bCs/>
          <w:color w:val="auto"/>
          <w:sz w:val="22"/>
          <w:szCs w:val="22"/>
        </w:rPr>
        <w:id w:val="998927866"/>
        <w:docPartObj>
          <w:docPartGallery w:val="Table of Contents"/>
          <w:docPartUnique/>
        </w:docPartObj>
      </w:sdtPr>
      <w:sdtEndPr>
        <w:rPr>
          <w:b w:val="0"/>
          <w:bCs w:val="0"/>
          <w:noProof/>
        </w:rPr>
      </w:sdtEndPr>
      <w:sdtContent>
        <w:p w14:paraId="18501504" w14:textId="77777777" w:rsidR="00C85640" w:rsidRPr="00AD735E" w:rsidRDefault="00C85640" w:rsidP="00C85640">
          <w:pPr>
            <w:pStyle w:val="TOCHeading"/>
            <w:rPr>
              <w:rFonts w:ascii="Times New Roman" w:hAnsi="Times New Roman" w:cs="Times New Roman"/>
              <w:color w:val="auto"/>
            </w:rPr>
          </w:pPr>
          <w:r w:rsidRPr="00AD735E">
            <w:rPr>
              <w:rFonts w:ascii="Times New Roman" w:hAnsi="Times New Roman" w:cs="Times New Roman"/>
              <w:color w:val="auto"/>
            </w:rPr>
            <w:t>Table of Content</w:t>
          </w:r>
        </w:p>
        <w:p w14:paraId="70E05E07" w14:textId="6D5D44B6" w:rsidR="00C85640" w:rsidRDefault="00C85640">
          <w:pPr>
            <w:pStyle w:val="TOC1"/>
            <w:tabs>
              <w:tab w:val="right" w:leader="dot" w:pos="9016"/>
            </w:tabs>
            <w:rPr>
              <w:rFonts w:asciiTheme="minorHAnsi" w:hAnsiTheme="minorHAnsi"/>
              <w:noProof/>
              <w:color w:val="auto"/>
            </w:rPr>
          </w:pPr>
          <w:r w:rsidRPr="00AD735E">
            <w:rPr>
              <w:rFonts w:ascii="Times New Roman" w:hAnsi="Times New Roman" w:cs="Times New Roman"/>
            </w:rPr>
            <w:fldChar w:fldCharType="begin"/>
          </w:r>
          <w:r w:rsidRPr="00AD735E">
            <w:rPr>
              <w:rFonts w:ascii="Times New Roman" w:hAnsi="Times New Roman" w:cs="Times New Roman"/>
            </w:rPr>
            <w:instrText xml:space="preserve"> TOC \o "1-3" \h \z \u </w:instrText>
          </w:r>
          <w:r w:rsidRPr="00AD735E">
            <w:rPr>
              <w:rFonts w:ascii="Times New Roman" w:hAnsi="Times New Roman" w:cs="Times New Roman"/>
            </w:rPr>
            <w:fldChar w:fldCharType="separate"/>
          </w:r>
          <w:hyperlink w:anchor="_Toc243612739" w:history="1">
            <w:r w:rsidRPr="00721767">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_Toc243612739 \h </w:instrText>
            </w:r>
            <w:r>
              <w:rPr>
                <w:noProof/>
                <w:webHidden/>
              </w:rPr>
            </w:r>
            <w:r>
              <w:rPr>
                <w:noProof/>
                <w:webHidden/>
              </w:rPr>
              <w:fldChar w:fldCharType="separate"/>
            </w:r>
            <w:r>
              <w:rPr>
                <w:noProof/>
                <w:webHidden/>
              </w:rPr>
              <w:t>1</w:t>
            </w:r>
            <w:r>
              <w:rPr>
                <w:noProof/>
                <w:webHidden/>
              </w:rPr>
              <w:fldChar w:fldCharType="end"/>
            </w:r>
          </w:hyperlink>
        </w:p>
        <w:p w14:paraId="6A841A2B" w14:textId="4104763F" w:rsidR="00C85640" w:rsidRDefault="00C85640">
          <w:pPr>
            <w:pStyle w:val="TOC1"/>
            <w:tabs>
              <w:tab w:val="right" w:leader="dot" w:pos="9016"/>
            </w:tabs>
            <w:rPr>
              <w:rFonts w:asciiTheme="minorHAnsi" w:hAnsiTheme="minorHAnsi"/>
              <w:noProof/>
              <w:color w:val="auto"/>
            </w:rPr>
          </w:pPr>
          <w:hyperlink w:anchor="_Toc243612740" w:history="1">
            <w:r w:rsidRPr="00721767">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_Toc243612740 \h </w:instrText>
            </w:r>
            <w:r>
              <w:rPr>
                <w:noProof/>
                <w:webHidden/>
              </w:rPr>
            </w:r>
            <w:r>
              <w:rPr>
                <w:noProof/>
                <w:webHidden/>
              </w:rPr>
              <w:fldChar w:fldCharType="separate"/>
            </w:r>
            <w:r>
              <w:rPr>
                <w:noProof/>
                <w:webHidden/>
              </w:rPr>
              <w:t>3</w:t>
            </w:r>
            <w:r>
              <w:rPr>
                <w:noProof/>
                <w:webHidden/>
              </w:rPr>
              <w:fldChar w:fldCharType="end"/>
            </w:r>
          </w:hyperlink>
        </w:p>
        <w:p w14:paraId="68ECC58D" w14:textId="3349A65A" w:rsidR="00C85640" w:rsidRDefault="00C85640">
          <w:pPr>
            <w:pStyle w:val="TOC1"/>
            <w:tabs>
              <w:tab w:val="right" w:leader="dot" w:pos="9016"/>
            </w:tabs>
            <w:rPr>
              <w:rFonts w:asciiTheme="minorHAnsi" w:hAnsiTheme="minorHAnsi"/>
              <w:noProof/>
              <w:color w:val="auto"/>
            </w:rPr>
          </w:pPr>
          <w:hyperlink w:anchor="_Toc243612741" w:history="1">
            <w:r w:rsidRPr="00721767">
              <w:rPr>
                <w:rStyle w:val="Hyperlink"/>
                <w:rFonts w:ascii="Times New Roman" w:hAnsi="Times New Roman" w:cs="Times New Roman"/>
                <w:noProof/>
              </w:rPr>
              <w:t>2. Main Findings</w:t>
            </w:r>
            <w:r>
              <w:rPr>
                <w:noProof/>
                <w:webHidden/>
              </w:rPr>
              <w:tab/>
            </w:r>
            <w:r>
              <w:rPr>
                <w:noProof/>
                <w:webHidden/>
              </w:rPr>
              <w:fldChar w:fldCharType="begin"/>
            </w:r>
            <w:r>
              <w:rPr>
                <w:noProof/>
                <w:webHidden/>
              </w:rPr>
              <w:instrText xml:space="preserve"> PAGEREF _Toc243612741 \h </w:instrText>
            </w:r>
            <w:r>
              <w:rPr>
                <w:noProof/>
                <w:webHidden/>
              </w:rPr>
            </w:r>
            <w:r>
              <w:rPr>
                <w:noProof/>
                <w:webHidden/>
              </w:rPr>
              <w:fldChar w:fldCharType="separate"/>
            </w:r>
            <w:r>
              <w:rPr>
                <w:noProof/>
                <w:webHidden/>
              </w:rPr>
              <w:t>3</w:t>
            </w:r>
            <w:r>
              <w:rPr>
                <w:noProof/>
                <w:webHidden/>
              </w:rPr>
              <w:fldChar w:fldCharType="end"/>
            </w:r>
          </w:hyperlink>
        </w:p>
        <w:p w14:paraId="5E639B92" w14:textId="4A6B66A7" w:rsidR="00C85640" w:rsidRDefault="00C85640">
          <w:pPr>
            <w:pStyle w:val="TOC2"/>
            <w:tabs>
              <w:tab w:val="right" w:leader="dot" w:pos="9016"/>
            </w:tabs>
            <w:rPr>
              <w:rFonts w:asciiTheme="minorHAnsi" w:hAnsiTheme="minorHAnsi"/>
              <w:noProof/>
              <w:color w:val="auto"/>
            </w:rPr>
          </w:pPr>
          <w:hyperlink w:anchor="_Toc243612742" w:history="1">
            <w:r w:rsidRPr="00721767">
              <w:rPr>
                <w:rStyle w:val="Hyperlink"/>
                <w:rFonts w:ascii="Times New Roman" w:hAnsi="Times New Roman" w:cs="Times New Roman"/>
                <w:noProof/>
              </w:rPr>
              <w:t>2.1 Task 1: AstraZeneca Plc financial performance</w:t>
            </w:r>
            <w:r>
              <w:rPr>
                <w:noProof/>
                <w:webHidden/>
              </w:rPr>
              <w:tab/>
            </w:r>
            <w:r>
              <w:rPr>
                <w:noProof/>
                <w:webHidden/>
              </w:rPr>
              <w:fldChar w:fldCharType="begin"/>
            </w:r>
            <w:r>
              <w:rPr>
                <w:noProof/>
                <w:webHidden/>
              </w:rPr>
              <w:instrText xml:space="preserve"> PAGEREF _Toc243612742 \h </w:instrText>
            </w:r>
            <w:r>
              <w:rPr>
                <w:noProof/>
                <w:webHidden/>
              </w:rPr>
            </w:r>
            <w:r>
              <w:rPr>
                <w:noProof/>
                <w:webHidden/>
              </w:rPr>
              <w:fldChar w:fldCharType="separate"/>
            </w:r>
            <w:r>
              <w:rPr>
                <w:noProof/>
                <w:webHidden/>
              </w:rPr>
              <w:t>3</w:t>
            </w:r>
            <w:r>
              <w:rPr>
                <w:noProof/>
                <w:webHidden/>
              </w:rPr>
              <w:fldChar w:fldCharType="end"/>
            </w:r>
          </w:hyperlink>
        </w:p>
        <w:p w14:paraId="2E5418B7" w14:textId="4BE0FBE9" w:rsidR="00C85640" w:rsidRDefault="00C85640">
          <w:pPr>
            <w:pStyle w:val="TOC3"/>
            <w:tabs>
              <w:tab w:val="right" w:leader="dot" w:pos="9016"/>
            </w:tabs>
            <w:rPr>
              <w:rFonts w:asciiTheme="minorHAnsi" w:hAnsiTheme="minorHAnsi"/>
              <w:noProof/>
              <w:color w:val="auto"/>
            </w:rPr>
          </w:pPr>
          <w:hyperlink w:anchor="_Toc243612743" w:history="1">
            <w:r w:rsidRPr="00721767">
              <w:rPr>
                <w:rStyle w:val="Hyperlink"/>
                <w:rFonts w:ascii="Times New Roman" w:hAnsi="Times New Roman" w:cs="Times New Roman"/>
                <w:noProof/>
              </w:rPr>
              <w:t>2.1.1 Data, method and basis of calculation</w:t>
            </w:r>
            <w:r>
              <w:rPr>
                <w:noProof/>
                <w:webHidden/>
              </w:rPr>
              <w:tab/>
            </w:r>
            <w:r>
              <w:rPr>
                <w:noProof/>
                <w:webHidden/>
              </w:rPr>
              <w:fldChar w:fldCharType="begin"/>
            </w:r>
            <w:r>
              <w:rPr>
                <w:noProof/>
                <w:webHidden/>
              </w:rPr>
              <w:instrText xml:space="preserve"> PAGEREF _Toc243612743 \h </w:instrText>
            </w:r>
            <w:r>
              <w:rPr>
                <w:noProof/>
                <w:webHidden/>
              </w:rPr>
            </w:r>
            <w:r>
              <w:rPr>
                <w:noProof/>
                <w:webHidden/>
              </w:rPr>
              <w:fldChar w:fldCharType="separate"/>
            </w:r>
            <w:r>
              <w:rPr>
                <w:noProof/>
                <w:webHidden/>
              </w:rPr>
              <w:t>3</w:t>
            </w:r>
            <w:r>
              <w:rPr>
                <w:noProof/>
                <w:webHidden/>
              </w:rPr>
              <w:fldChar w:fldCharType="end"/>
            </w:r>
          </w:hyperlink>
        </w:p>
        <w:p w14:paraId="6B44F4CD" w14:textId="23B4821A" w:rsidR="00C85640" w:rsidRDefault="00C85640">
          <w:pPr>
            <w:pStyle w:val="TOC3"/>
            <w:tabs>
              <w:tab w:val="right" w:leader="dot" w:pos="9016"/>
            </w:tabs>
            <w:rPr>
              <w:rFonts w:asciiTheme="minorHAnsi" w:hAnsiTheme="minorHAnsi"/>
              <w:noProof/>
              <w:color w:val="auto"/>
            </w:rPr>
          </w:pPr>
          <w:hyperlink w:anchor="_Toc243612744" w:history="1">
            <w:r w:rsidRPr="00721767">
              <w:rPr>
                <w:rStyle w:val="Hyperlink"/>
                <w:rFonts w:ascii="Times New Roman" w:hAnsi="Times New Roman" w:cs="Times New Roman"/>
                <w:noProof/>
              </w:rPr>
              <w:t>2.1.2 Profitability</w:t>
            </w:r>
            <w:r>
              <w:rPr>
                <w:noProof/>
                <w:webHidden/>
              </w:rPr>
              <w:tab/>
            </w:r>
            <w:r>
              <w:rPr>
                <w:noProof/>
                <w:webHidden/>
              </w:rPr>
              <w:fldChar w:fldCharType="begin"/>
            </w:r>
            <w:r>
              <w:rPr>
                <w:noProof/>
                <w:webHidden/>
              </w:rPr>
              <w:instrText xml:space="preserve"> PAGEREF _Toc243612744 \h </w:instrText>
            </w:r>
            <w:r>
              <w:rPr>
                <w:noProof/>
                <w:webHidden/>
              </w:rPr>
            </w:r>
            <w:r>
              <w:rPr>
                <w:noProof/>
                <w:webHidden/>
              </w:rPr>
              <w:fldChar w:fldCharType="separate"/>
            </w:r>
            <w:r>
              <w:rPr>
                <w:noProof/>
                <w:webHidden/>
              </w:rPr>
              <w:t>4</w:t>
            </w:r>
            <w:r>
              <w:rPr>
                <w:noProof/>
                <w:webHidden/>
              </w:rPr>
              <w:fldChar w:fldCharType="end"/>
            </w:r>
          </w:hyperlink>
        </w:p>
        <w:p w14:paraId="4F7051E2" w14:textId="714DC85B" w:rsidR="00C85640" w:rsidRDefault="00C85640">
          <w:pPr>
            <w:pStyle w:val="TOC3"/>
            <w:tabs>
              <w:tab w:val="right" w:leader="dot" w:pos="9016"/>
            </w:tabs>
            <w:rPr>
              <w:rFonts w:asciiTheme="minorHAnsi" w:hAnsiTheme="minorHAnsi"/>
              <w:noProof/>
              <w:color w:val="auto"/>
            </w:rPr>
          </w:pPr>
          <w:hyperlink w:anchor="_Toc243612745" w:history="1">
            <w:r w:rsidRPr="00721767">
              <w:rPr>
                <w:rStyle w:val="Hyperlink"/>
                <w:rFonts w:ascii="Times New Roman" w:hAnsi="Times New Roman" w:cs="Times New Roman"/>
                <w:noProof/>
              </w:rPr>
              <w:t>2.1.3 Liquidity and working capital</w:t>
            </w:r>
            <w:r>
              <w:rPr>
                <w:noProof/>
                <w:webHidden/>
              </w:rPr>
              <w:tab/>
            </w:r>
            <w:r>
              <w:rPr>
                <w:noProof/>
                <w:webHidden/>
              </w:rPr>
              <w:fldChar w:fldCharType="begin"/>
            </w:r>
            <w:r>
              <w:rPr>
                <w:noProof/>
                <w:webHidden/>
              </w:rPr>
              <w:instrText xml:space="preserve"> PAGEREF _Toc243612745 \h </w:instrText>
            </w:r>
            <w:r>
              <w:rPr>
                <w:noProof/>
                <w:webHidden/>
              </w:rPr>
            </w:r>
            <w:r>
              <w:rPr>
                <w:noProof/>
                <w:webHidden/>
              </w:rPr>
              <w:fldChar w:fldCharType="separate"/>
            </w:r>
            <w:r>
              <w:rPr>
                <w:noProof/>
                <w:webHidden/>
              </w:rPr>
              <w:t>4</w:t>
            </w:r>
            <w:r>
              <w:rPr>
                <w:noProof/>
                <w:webHidden/>
              </w:rPr>
              <w:fldChar w:fldCharType="end"/>
            </w:r>
          </w:hyperlink>
        </w:p>
        <w:p w14:paraId="23023D38" w14:textId="3CD07DD2" w:rsidR="00C85640" w:rsidRDefault="00C85640">
          <w:pPr>
            <w:pStyle w:val="TOC3"/>
            <w:tabs>
              <w:tab w:val="right" w:leader="dot" w:pos="9016"/>
            </w:tabs>
            <w:rPr>
              <w:rFonts w:asciiTheme="minorHAnsi" w:hAnsiTheme="minorHAnsi"/>
              <w:noProof/>
              <w:color w:val="auto"/>
            </w:rPr>
          </w:pPr>
          <w:hyperlink w:anchor="_Toc243612746" w:history="1">
            <w:r w:rsidRPr="00721767">
              <w:rPr>
                <w:rStyle w:val="Hyperlink"/>
                <w:rFonts w:ascii="Times New Roman" w:hAnsi="Times New Roman" w:cs="Times New Roman"/>
                <w:noProof/>
              </w:rPr>
              <w:t>2.1.4 Gearing and financing risk</w:t>
            </w:r>
            <w:r>
              <w:rPr>
                <w:noProof/>
                <w:webHidden/>
              </w:rPr>
              <w:tab/>
            </w:r>
            <w:r>
              <w:rPr>
                <w:noProof/>
                <w:webHidden/>
              </w:rPr>
              <w:fldChar w:fldCharType="begin"/>
            </w:r>
            <w:r>
              <w:rPr>
                <w:noProof/>
                <w:webHidden/>
              </w:rPr>
              <w:instrText xml:space="preserve"> PAGEREF _Toc243612746 \h </w:instrText>
            </w:r>
            <w:r>
              <w:rPr>
                <w:noProof/>
                <w:webHidden/>
              </w:rPr>
            </w:r>
            <w:r>
              <w:rPr>
                <w:noProof/>
                <w:webHidden/>
              </w:rPr>
              <w:fldChar w:fldCharType="separate"/>
            </w:r>
            <w:r>
              <w:rPr>
                <w:noProof/>
                <w:webHidden/>
              </w:rPr>
              <w:t>5</w:t>
            </w:r>
            <w:r>
              <w:rPr>
                <w:noProof/>
                <w:webHidden/>
              </w:rPr>
              <w:fldChar w:fldCharType="end"/>
            </w:r>
          </w:hyperlink>
        </w:p>
        <w:p w14:paraId="27F35953" w14:textId="27FC7120" w:rsidR="00C85640" w:rsidRDefault="00C85640">
          <w:pPr>
            <w:pStyle w:val="TOC3"/>
            <w:tabs>
              <w:tab w:val="right" w:leader="dot" w:pos="9016"/>
            </w:tabs>
            <w:rPr>
              <w:rFonts w:asciiTheme="minorHAnsi" w:hAnsiTheme="minorHAnsi"/>
              <w:noProof/>
              <w:color w:val="auto"/>
            </w:rPr>
          </w:pPr>
          <w:hyperlink w:anchor="_Toc243612747" w:history="1">
            <w:r w:rsidRPr="00721767">
              <w:rPr>
                <w:rStyle w:val="Hyperlink"/>
                <w:rFonts w:ascii="Times New Roman" w:hAnsi="Times New Roman" w:cs="Times New Roman"/>
                <w:noProof/>
              </w:rPr>
              <w:t>2.1.5 Efficiency</w:t>
            </w:r>
            <w:r>
              <w:rPr>
                <w:noProof/>
                <w:webHidden/>
              </w:rPr>
              <w:tab/>
            </w:r>
            <w:r>
              <w:rPr>
                <w:noProof/>
                <w:webHidden/>
              </w:rPr>
              <w:fldChar w:fldCharType="begin"/>
            </w:r>
            <w:r>
              <w:rPr>
                <w:noProof/>
                <w:webHidden/>
              </w:rPr>
              <w:instrText xml:space="preserve"> PAGEREF _Toc243612747 \h </w:instrText>
            </w:r>
            <w:r>
              <w:rPr>
                <w:noProof/>
                <w:webHidden/>
              </w:rPr>
            </w:r>
            <w:r>
              <w:rPr>
                <w:noProof/>
                <w:webHidden/>
              </w:rPr>
              <w:fldChar w:fldCharType="separate"/>
            </w:r>
            <w:r>
              <w:rPr>
                <w:noProof/>
                <w:webHidden/>
              </w:rPr>
              <w:t>5</w:t>
            </w:r>
            <w:r>
              <w:rPr>
                <w:noProof/>
                <w:webHidden/>
              </w:rPr>
              <w:fldChar w:fldCharType="end"/>
            </w:r>
          </w:hyperlink>
        </w:p>
        <w:p w14:paraId="3DB67FAC" w14:textId="782BAA03" w:rsidR="00C85640" w:rsidRDefault="00C85640">
          <w:pPr>
            <w:pStyle w:val="TOC3"/>
            <w:tabs>
              <w:tab w:val="right" w:leader="dot" w:pos="9016"/>
            </w:tabs>
            <w:rPr>
              <w:rFonts w:asciiTheme="minorHAnsi" w:hAnsiTheme="minorHAnsi"/>
              <w:noProof/>
              <w:color w:val="auto"/>
            </w:rPr>
          </w:pPr>
          <w:hyperlink w:anchor="_Toc243612748" w:history="1">
            <w:r w:rsidRPr="00721767">
              <w:rPr>
                <w:rStyle w:val="Hyperlink"/>
                <w:rFonts w:ascii="Times New Roman" w:hAnsi="Times New Roman" w:cs="Times New Roman"/>
                <w:noProof/>
              </w:rPr>
              <w:t>2.1.6 Investor ratios</w:t>
            </w:r>
            <w:r>
              <w:rPr>
                <w:noProof/>
                <w:webHidden/>
              </w:rPr>
              <w:tab/>
            </w:r>
            <w:r>
              <w:rPr>
                <w:noProof/>
                <w:webHidden/>
              </w:rPr>
              <w:fldChar w:fldCharType="begin"/>
            </w:r>
            <w:r>
              <w:rPr>
                <w:noProof/>
                <w:webHidden/>
              </w:rPr>
              <w:instrText xml:space="preserve"> PAGEREF _Toc243612748 \h </w:instrText>
            </w:r>
            <w:r>
              <w:rPr>
                <w:noProof/>
                <w:webHidden/>
              </w:rPr>
            </w:r>
            <w:r>
              <w:rPr>
                <w:noProof/>
                <w:webHidden/>
              </w:rPr>
              <w:fldChar w:fldCharType="separate"/>
            </w:r>
            <w:r>
              <w:rPr>
                <w:noProof/>
                <w:webHidden/>
              </w:rPr>
              <w:t>6</w:t>
            </w:r>
            <w:r>
              <w:rPr>
                <w:noProof/>
                <w:webHidden/>
              </w:rPr>
              <w:fldChar w:fldCharType="end"/>
            </w:r>
          </w:hyperlink>
        </w:p>
        <w:p w14:paraId="1D4CBE02" w14:textId="282A4F70" w:rsidR="00C85640" w:rsidRDefault="00C85640">
          <w:pPr>
            <w:pStyle w:val="TOC3"/>
            <w:tabs>
              <w:tab w:val="right" w:leader="dot" w:pos="9016"/>
            </w:tabs>
            <w:rPr>
              <w:rFonts w:asciiTheme="minorHAnsi" w:hAnsiTheme="minorHAnsi"/>
              <w:noProof/>
              <w:color w:val="auto"/>
            </w:rPr>
          </w:pPr>
          <w:hyperlink w:anchor="_Toc243612749" w:history="1">
            <w:r w:rsidRPr="00721767">
              <w:rPr>
                <w:rStyle w:val="Hyperlink"/>
                <w:rFonts w:ascii="Times New Roman" w:hAnsi="Times New Roman" w:cs="Times New Roman"/>
                <w:noProof/>
              </w:rPr>
              <w:t>2.1.7 Limitations of the analysis</w:t>
            </w:r>
            <w:r>
              <w:rPr>
                <w:noProof/>
                <w:webHidden/>
              </w:rPr>
              <w:tab/>
            </w:r>
            <w:r>
              <w:rPr>
                <w:noProof/>
                <w:webHidden/>
              </w:rPr>
              <w:fldChar w:fldCharType="begin"/>
            </w:r>
            <w:r>
              <w:rPr>
                <w:noProof/>
                <w:webHidden/>
              </w:rPr>
              <w:instrText xml:space="preserve"> PAGEREF _Toc243612749 \h </w:instrText>
            </w:r>
            <w:r>
              <w:rPr>
                <w:noProof/>
                <w:webHidden/>
              </w:rPr>
            </w:r>
            <w:r>
              <w:rPr>
                <w:noProof/>
                <w:webHidden/>
              </w:rPr>
              <w:fldChar w:fldCharType="separate"/>
            </w:r>
            <w:r>
              <w:rPr>
                <w:noProof/>
                <w:webHidden/>
              </w:rPr>
              <w:t>6</w:t>
            </w:r>
            <w:r>
              <w:rPr>
                <w:noProof/>
                <w:webHidden/>
              </w:rPr>
              <w:fldChar w:fldCharType="end"/>
            </w:r>
          </w:hyperlink>
        </w:p>
        <w:p w14:paraId="24220202" w14:textId="13D06F15" w:rsidR="00C85640" w:rsidRDefault="00C85640">
          <w:pPr>
            <w:pStyle w:val="TOC3"/>
            <w:tabs>
              <w:tab w:val="right" w:leader="dot" w:pos="9016"/>
            </w:tabs>
            <w:rPr>
              <w:rFonts w:asciiTheme="minorHAnsi" w:hAnsiTheme="minorHAnsi"/>
              <w:noProof/>
              <w:color w:val="auto"/>
            </w:rPr>
          </w:pPr>
          <w:hyperlink w:anchor="_Toc243612750" w:history="1">
            <w:r w:rsidRPr="00721767">
              <w:rPr>
                <w:rStyle w:val="Hyperlink"/>
                <w:rFonts w:ascii="Times New Roman" w:hAnsi="Times New Roman" w:cs="Times New Roman"/>
                <w:noProof/>
              </w:rPr>
              <w:t>2.1.8 Recommendations to AstraZeneca’s Board</w:t>
            </w:r>
            <w:r>
              <w:rPr>
                <w:noProof/>
                <w:webHidden/>
              </w:rPr>
              <w:tab/>
            </w:r>
            <w:r>
              <w:rPr>
                <w:noProof/>
                <w:webHidden/>
              </w:rPr>
              <w:fldChar w:fldCharType="begin"/>
            </w:r>
            <w:r>
              <w:rPr>
                <w:noProof/>
                <w:webHidden/>
              </w:rPr>
              <w:instrText xml:space="preserve"> PAGEREF _Toc243612750 \h </w:instrText>
            </w:r>
            <w:r>
              <w:rPr>
                <w:noProof/>
                <w:webHidden/>
              </w:rPr>
            </w:r>
            <w:r>
              <w:rPr>
                <w:noProof/>
                <w:webHidden/>
              </w:rPr>
              <w:fldChar w:fldCharType="separate"/>
            </w:r>
            <w:r>
              <w:rPr>
                <w:noProof/>
                <w:webHidden/>
              </w:rPr>
              <w:t>6</w:t>
            </w:r>
            <w:r>
              <w:rPr>
                <w:noProof/>
                <w:webHidden/>
              </w:rPr>
              <w:fldChar w:fldCharType="end"/>
            </w:r>
          </w:hyperlink>
        </w:p>
        <w:p w14:paraId="47B3D1CE" w14:textId="1DA77B04" w:rsidR="00C85640" w:rsidRDefault="00C85640">
          <w:pPr>
            <w:pStyle w:val="TOC2"/>
            <w:tabs>
              <w:tab w:val="right" w:leader="dot" w:pos="9016"/>
            </w:tabs>
            <w:rPr>
              <w:rFonts w:asciiTheme="minorHAnsi" w:hAnsiTheme="minorHAnsi"/>
              <w:noProof/>
              <w:color w:val="auto"/>
            </w:rPr>
          </w:pPr>
          <w:hyperlink w:anchor="_Toc243612751" w:history="1">
            <w:r w:rsidRPr="00721767">
              <w:rPr>
                <w:rStyle w:val="Hyperlink"/>
                <w:rFonts w:ascii="Times New Roman" w:hAnsi="Times New Roman" w:cs="Times New Roman"/>
                <w:noProof/>
              </w:rPr>
              <w:t>2.2 Task 2: Beard Plc capital investment appraisal</w:t>
            </w:r>
            <w:r>
              <w:rPr>
                <w:noProof/>
                <w:webHidden/>
              </w:rPr>
              <w:tab/>
            </w:r>
            <w:r>
              <w:rPr>
                <w:noProof/>
                <w:webHidden/>
              </w:rPr>
              <w:fldChar w:fldCharType="begin"/>
            </w:r>
            <w:r>
              <w:rPr>
                <w:noProof/>
                <w:webHidden/>
              </w:rPr>
              <w:instrText xml:space="preserve"> PAGEREF _Toc243612751 \h </w:instrText>
            </w:r>
            <w:r>
              <w:rPr>
                <w:noProof/>
                <w:webHidden/>
              </w:rPr>
            </w:r>
            <w:r>
              <w:rPr>
                <w:noProof/>
                <w:webHidden/>
              </w:rPr>
              <w:fldChar w:fldCharType="separate"/>
            </w:r>
            <w:r>
              <w:rPr>
                <w:noProof/>
                <w:webHidden/>
              </w:rPr>
              <w:t>7</w:t>
            </w:r>
            <w:r>
              <w:rPr>
                <w:noProof/>
                <w:webHidden/>
              </w:rPr>
              <w:fldChar w:fldCharType="end"/>
            </w:r>
          </w:hyperlink>
        </w:p>
        <w:p w14:paraId="5884A5D3" w14:textId="3C9F79F1" w:rsidR="00C85640" w:rsidRDefault="00C85640">
          <w:pPr>
            <w:pStyle w:val="TOC3"/>
            <w:tabs>
              <w:tab w:val="right" w:leader="dot" w:pos="9016"/>
            </w:tabs>
            <w:rPr>
              <w:rFonts w:asciiTheme="minorHAnsi" w:hAnsiTheme="minorHAnsi"/>
              <w:noProof/>
              <w:color w:val="auto"/>
            </w:rPr>
          </w:pPr>
          <w:hyperlink w:anchor="_Toc243612752" w:history="1">
            <w:r w:rsidRPr="00721767">
              <w:rPr>
                <w:rStyle w:val="Hyperlink"/>
                <w:rFonts w:ascii="Times New Roman" w:hAnsi="Times New Roman" w:cs="Times New Roman"/>
                <w:noProof/>
              </w:rPr>
              <w:t>2.2.1 Case data and tax treatment</w:t>
            </w:r>
            <w:r>
              <w:rPr>
                <w:noProof/>
                <w:webHidden/>
              </w:rPr>
              <w:tab/>
            </w:r>
            <w:r>
              <w:rPr>
                <w:noProof/>
                <w:webHidden/>
              </w:rPr>
              <w:fldChar w:fldCharType="begin"/>
            </w:r>
            <w:r>
              <w:rPr>
                <w:noProof/>
                <w:webHidden/>
              </w:rPr>
              <w:instrText xml:space="preserve"> PAGEREF _Toc243612752 \h </w:instrText>
            </w:r>
            <w:r>
              <w:rPr>
                <w:noProof/>
                <w:webHidden/>
              </w:rPr>
            </w:r>
            <w:r>
              <w:rPr>
                <w:noProof/>
                <w:webHidden/>
              </w:rPr>
              <w:fldChar w:fldCharType="separate"/>
            </w:r>
            <w:r>
              <w:rPr>
                <w:noProof/>
                <w:webHidden/>
              </w:rPr>
              <w:t>7</w:t>
            </w:r>
            <w:r>
              <w:rPr>
                <w:noProof/>
                <w:webHidden/>
              </w:rPr>
              <w:fldChar w:fldCharType="end"/>
            </w:r>
          </w:hyperlink>
        </w:p>
        <w:p w14:paraId="73DA6F42" w14:textId="5EB2537E" w:rsidR="00C85640" w:rsidRDefault="00C85640">
          <w:pPr>
            <w:pStyle w:val="TOC3"/>
            <w:tabs>
              <w:tab w:val="right" w:leader="dot" w:pos="9016"/>
            </w:tabs>
            <w:rPr>
              <w:rFonts w:asciiTheme="minorHAnsi" w:hAnsiTheme="minorHAnsi"/>
              <w:noProof/>
              <w:color w:val="auto"/>
            </w:rPr>
          </w:pPr>
          <w:hyperlink w:anchor="_Toc243612753" w:history="1">
            <w:r w:rsidRPr="00721767">
              <w:rPr>
                <w:rStyle w:val="Hyperlink"/>
                <w:rFonts w:ascii="Times New Roman" w:hAnsi="Times New Roman" w:cs="Times New Roman"/>
                <w:noProof/>
              </w:rPr>
              <w:t>2.2.2 Net present value evaluation</w:t>
            </w:r>
            <w:r>
              <w:rPr>
                <w:noProof/>
                <w:webHidden/>
              </w:rPr>
              <w:tab/>
            </w:r>
            <w:r>
              <w:rPr>
                <w:noProof/>
                <w:webHidden/>
              </w:rPr>
              <w:fldChar w:fldCharType="begin"/>
            </w:r>
            <w:r>
              <w:rPr>
                <w:noProof/>
                <w:webHidden/>
              </w:rPr>
              <w:instrText xml:space="preserve"> PAGEREF _Toc243612753 \h </w:instrText>
            </w:r>
            <w:r>
              <w:rPr>
                <w:noProof/>
                <w:webHidden/>
              </w:rPr>
            </w:r>
            <w:r>
              <w:rPr>
                <w:noProof/>
                <w:webHidden/>
              </w:rPr>
              <w:fldChar w:fldCharType="separate"/>
            </w:r>
            <w:r>
              <w:rPr>
                <w:noProof/>
                <w:webHidden/>
              </w:rPr>
              <w:t>7</w:t>
            </w:r>
            <w:r>
              <w:rPr>
                <w:noProof/>
                <w:webHidden/>
              </w:rPr>
              <w:fldChar w:fldCharType="end"/>
            </w:r>
          </w:hyperlink>
        </w:p>
        <w:p w14:paraId="1DEB2E7D" w14:textId="43FDA5A5" w:rsidR="00C85640" w:rsidRDefault="00C85640">
          <w:pPr>
            <w:pStyle w:val="TOC3"/>
            <w:tabs>
              <w:tab w:val="right" w:leader="dot" w:pos="9016"/>
            </w:tabs>
            <w:rPr>
              <w:rFonts w:asciiTheme="minorHAnsi" w:hAnsiTheme="minorHAnsi"/>
              <w:noProof/>
              <w:color w:val="auto"/>
            </w:rPr>
          </w:pPr>
          <w:hyperlink w:anchor="_Toc243612754" w:history="1">
            <w:r w:rsidRPr="00721767">
              <w:rPr>
                <w:rStyle w:val="Hyperlink"/>
                <w:rFonts w:ascii="Times New Roman" w:hAnsi="Times New Roman" w:cs="Times New Roman"/>
                <w:noProof/>
              </w:rPr>
              <w:t>2.2.3 Approximate IRR of Option C</w:t>
            </w:r>
            <w:r>
              <w:rPr>
                <w:noProof/>
                <w:webHidden/>
              </w:rPr>
              <w:tab/>
            </w:r>
            <w:r>
              <w:rPr>
                <w:noProof/>
                <w:webHidden/>
              </w:rPr>
              <w:fldChar w:fldCharType="begin"/>
            </w:r>
            <w:r>
              <w:rPr>
                <w:noProof/>
                <w:webHidden/>
              </w:rPr>
              <w:instrText xml:space="preserve"> PAGEREF _Toc243612754 \h </w:instrText>
            </w:r>
            <w:r>
              <w:rPr>
                <w:noProof/>
                <w:webHidden/>
              </w:rPr>
            </w:r>
            <w:r>
              <w:rPr>
                <w:noProof/>
                <w:webHidden/>
              </w:rPr>
              <w:fldChar w:fldCharType="separate"/>
            </w:r>
            <w:r>
              <w:rPr>
                <w:noProof/>
                <w:webHidden/>
              </w:rPr>
              <w:t>8</w:t>
            </w:r>
            <w:r>
              <w:rPr>
                <w:noProof/>
                <w:webHidden/>
              </w:rPr>
              <w:fldChar w:fldCharType="end"/>
            </w:r>
          </w:hyperlink>
        </w:p>
        <w:p w14:paraId="62634075" w14:textId="6F1226F0" w:rsidR="00C85640" w:rsidRDefault="00C85640">
          <w:pPr>
            <w:pStyle w:val="TOC3"/>
            <w:tabs>
              <w:tab w:val="right" w:leader="dot" w:pos="9016"/>
            </w:tabs>
            <w:rPr>
              <w:rFonts w:asciiTheme="minorHAnsi" w:hAnsiTheme="minorHAnsi"/>
              <w:noProof/>
              <w:color w:val="auto"/>
            </w:rPr>
          </w:pPr>
          <w:hyperlink w:anchor="_Toc243612755" w:history="1">
            <w:r w:rsidRPr="00721767">
              <w:rPr>
                <w:rStyle w:val="Hyperlink"/>
                <w:rFonts w:ascii="Times New Roman" w:hAnsi="Times New Roman" w:cs="Times New Roman"/>
                <w:noProof/>
              </w:rPr>
              <w:t>2.2.4 Why NPV is the primary decision method</w:t>
            </w:r>
            <w:r>
              <w:rPr>
                <w:noProof/>
                <w:webHidden/>
              </w:rPr>
              <w:tab/>
            </w:r>
            <w:r>
              <w:rPr>
                <w:noProof/>
                <w:webHidden/>
              </w:rPr>
              <w:fldChar w:fldCharType="begin"/>
            </w:r>
            <w:r>
              <w:rPr>
                <w:noProof/>
                <w:webHidden/>
              </w:rPr>
              <w:instrText xml:space="preserve"> PAGEREF _Toc243612755 \h </w:instrText>
            </w:r>
            <w:r>
              <w:rPr>
                <w:noProof/>
                <w:webHidden/>
              </w:rPr>
            </w:r>
            <w:r>
              <w:rPr>
                <w:noProof/>
                <w:webHidden/>
              </w:rPr>
              <w:fldChar w:fldCharType="separate"/>
            </w:r>
            <w:r>
              <w:rPr>
                <w:noProof/>
                <w:webHidden/>
              </w:rPr>
              <w:t>8</w:t>
            </w:r>
            <w:r>
              <w:rPr>
                <w:noProof/>
                <w:webHidden/>
              </w:rPr>
              <w:fldChar w:fldCharType="end"/>
            </w:r>
          </w:hyperlink>
        </w:p>
        <w:p w14:paraId="14ACBA8C" w14:textId="45D5EA6B" w:rsidR="00C85640" w:rsidRDefault="00C85640">
          <w:pPr>
            <w:pStyle w:val="TOC3"/>
            <w:tabs>
              <w:tab w:val="right" w:leader="dot" w:pos="9016"/>
            </w:tabs>
            <w:rPr>
              <w:rFonts w:asciiTheme="minorHAnsi" w:hAnsiTheme="minorHAnsi"/>
              <w:noProof/>
              <w:color w:val="auto"/>
            </w:rPr>
          </w:pPr>
          <w:hyperlink w:anchor="_Toc243612756" w:history="1">
            <w:r w:rsidRPr="00721767">
              <w:rPr>
                <w:rStyle w:val="Hyperlink"/>
                <w:rFonts w:ascii="Times New Roman" w:hAnsi="Times New Roman" w:cs="Times New Roman"/>
                <w:noProof/>
              </w:rPr>
              <w:t>2.2.5 Why non-discounting methods remain popular</w:t>
            </w:r>
            <w:r>
              <w:rPr>
                <w:noProof/>
                <w:webHidden/>
              </w:rPr>
              <w:tab/>
            </w:r>
            <w:r>
              <w:rPr>
                <w:noProof/>
                <w:webHidden/>
              </w:rPr>
              <w:fldChar w:fldCharType="begin"/>
            </w:r>
            <w:r>
              <w:rPr>
                <w:noProof/>
                <w:webHidden/>
              </w:rPr>
              <w:instrText xml:space="preserve"> PAGEREF _Toc243612756 \h </w:instrText>
            </w:r>
            <w:r>
              <w:rPr>
                <w:noProof/>
                <w:webHidden/>
              </w:rPr>
            </w:r>
            <w:r>
              <w:rPr>
                <w:noProof/>
                <w:webHidden/>
              </w:rPr>
              <w:fldChar w:fldCharType="separate"/>
            </w:r>
            <w:r>
              <w:rPr>
                <w:noProof/>
                <w:webHidden/>
              </w:rPr>
              <w:t>8</w:t>
            </w:r>
            <w:r>
              <w:rPr>
                <w:noProof/>
                <w:webHidden/>
              </w:rPr>
              <w:fldChar w:fldCharType="end"/>
            </w:r>
          </w:hyperlink>
        </w:p>
        <w:p w14:paraId="417D51DE" w14:textId="2DCC39CD" w:rsidR="00C85640" w:rsidRDefault="00C85640">
          <w:pPr>
            <w:pStyle w:val="TOC3"/>
            <w:tabs>
              <w:tab w:val="right" w:leader="dot" w:pos="9016"/>
            </w:tabs>
            <w:rPr>
              <w:rFonts w:asciiTheme="minorHAnsi" w:hAnsiTheme="minorHAnsi"/>
              <w:noProof/>
              <w:color w:val="auto"/>
            </w:rPr>
          </w:pPr>
          <w:hyperlink w:anchor="_Toc243612757" w:history="1">
            <w:r w:rsidRPr="00721767">
              <w:rPr>
                <w:rStyle w:val="Hyperlink"/>
                <w:rFonts w:ascii="Times New Roman" w:hAnsi="Times New Roman" w:cs="Times New Roman"/>
                <w:noProof/>
              </w:rPr>
              <w:t>2.2.6 Other factors before approval</w:t>
            </w:r>
            <w:r>
              <w:rPr>
                <w:noProof/>
                <w:webHidden/>
              </w:rPr>
              <w:tab/>
            </w:r>
            <w:r>
              <w:rPr>
                <w:noProof/>
                <w:webHidden/>
              </w:rPr>
              <w:fldChar w:fldCharType="begin"/>
            </w:r>
            <w:r>
              <w:rPr>
                <w:noProof/>
                <w:webHidden/>
              </w:rPr>
              <w:instrText xml:space="preserve"> PAGEREF _Toc243612757 \h </w:instrText>
            </w:r>
            <w:r>
              <w:rPr>
                <w:noProof/>
                <w:webHidden/>
              </w:rPr>
            </w:r>
            <w:r>
              <w:rPr>
                <w:noProof/>
                <w:webHidden/>
              </w:rPr>
              <w:fldChar w:fldCharType="separate"/>
            </w:r>
            <w:r>
              <w:rPr>
                <w:noProof/>
                <w:webHidden/>
              </w:rPr>
              <w:t>9</w:t>
            </w:r>
            <w:r>
              <w:rPr>
                <w:noProof/>
                <w:webHidden/>
              </w:rPr>
              <w:fldChar w:fldCharType="end"/>
            </w:r>
          </w:hyperlink>
        </w:p>
        <w:p w14:paraId="7FBA96A6" w14:textId="78D10F82" w:rsidR="00C85640" w:rsidRDefault="00C85640">
          <w:pPr>
            <w:pStyle w:val="TOC3"/>
            <w:tabs>
              <w:tab w:val="right" w:leader="dot" w:pos="9016"/>
            </w:tabs>
            <w:rPr>
              <w:rFonts w:asciiTheme="minorHAnsi" w:hAnsiTheme="minorHAnsi"/>
              <w:noProof/>
              <w:color w:val="auto"/>
            </w:rPr>
          </w:pPr>
          <w:hyperlink w:anchor="_Toc243612758" w:history="1">
            <w:r w:rsidRPr="00721767">
              <w:rPr>
                <w:rStyle w:val="Hyperlink"/>
                <w:rFonts w:ascii="Times New Roman" w:hAnsi="Times New Roman" w:cs="Times New Roman"/>
                <w:noProof/>
              </w:rPr>
              <w:t>2.2.7 Sensitivity and decision risk</w:t>
            </w:r>
            <w:r>
              <w:rPr>
                <w:noProof/>
                <w:webHidden/>
              </w:rPr>
              <w:tab/>
            </w:r>
            <w:r>
              <w:rPr>
                <w:noProof/>
                <w:webHidden/>
              </w:rPr>
              <w:fldChar w:fldCharType="begin"/>
            </w:r>
            <w:r>
              <w:rPr>
                <w:noProof/>
                <w:webHidden/>
              </w:rPr>
              <w:instrText xml:space="preserve"> PAGEREF _Toc243612758 \h </w:instrText>
            </w:r>
            <w:r>
              <w:rPr>
                <w:noProof/>
                <w:webHidden/>
              </w:rPr>
            </w:r>
            <w:r>
              <w:rPr>
                <w:noProof/>
                <w:webHidden/>
              </w:rPr>
              <w:fldChar w:fldCharType="separate"/>
            </w:r>
            <w:r>
              <w:rPr>
                <w:noProof/>
                <w:webHidden/>
              </w:rPr>
              <w:t>9</w:t>
            </w:r>
            <w:r>
              <w:rPr>
                <w:noProof/>
                <w:webHidden/>
              </w:rPr>
              <w:fldChar w:fldCharType="end"/>
            </w:r>
          </w:hyperlink>
        </w:p>
        <w:p w14:paraId="343258D0" w14:textId="1E82BCD0" w:rsidR="00C85640" w:rsidRDefault="00C85640">
          <w:pPr>
            <w:pStyle w:val="TOC3"/>
            <w:tabs>
              <w:tab w:val="right" w:leader="dot" w:pos="9016"/>
            </w:tabs>
            <w:rPr>
              <w:rFonts w:asciiTheme="minorHAnsi" w:hAnsiTheme="minorHAnsi"/>
              <w:noProof/>
              <w:color w:val="auto"/>
            </w:rPr>
          </w:pPr>
          <w:hyperlink w:anchor="_Toc243612759" w:history="1">
            <w:r w:rsidRPr="00721767">
              <w:rPr>
                <w:rStyle w:val="Hyperlink"/>
                <w:rFonts w:ascii="Times New Roman" w:hAnsi="Times New Roman" w:cs="Times New Roman"/>
                <w:noProof/>
              </w:rPr>
              <w:t>2.2.8 Divisible capital rationing</w:t>
            </w:r>
            <w:r>
              <w:rPr>
                <w:noProof/>
                <w:webHidden/>
              </w:rPr>
              <w:tab/>
            </w:r>
            <w:r>
              <w:rPr>
                <w:noProof/>
                <w:webHidden/>
              </w:rPr>
              <w:fldChar w:fldCharType="begin"/>
            </w:r>
            <w:r>
              <w:rPr>
                <w:noProof/>
                <w:webHidden/>
              </w:rPr>
              <w:instrText xml:space="preserve"> PAGEREF _Toc243612759 \h </w:instrText>
            </w:r>
            <w:r>
              <w:rPr>
                <w:noProof/>
                <w:webHidden/>
              </w:rPr>
            </w:r>
            <w:r>
              <w:rPr>
                <w:noProof/>
                <w:webHidden/>
              </w:rPr>
              <w:fldChar w:fldCharType="separate"/>
            </w:r>
            <w:r>
              <w:rPr>
                <w:noProof/>
                <w:webHidden/>
              </w:rPr>
              <w:t>10</w:t>
            </w:r>
            <w:r>
              <w:rPr>
                <w:noProof/>
                <w:webHidden/>
              </w:rPr>
              <w:fldChar w:fldCharType="end"/>
            </w:r>
          </w:hyperlink>
        </w:p>
        <w:p w14:paraId="0A85FCCE" w14:textId="4DDBFEB5" w:rsidR="00C85640" w:rsidRDefault="00C85640">
          <w:pPr>
            <w:pStyle w:val="TOC3"/>
            <w:tabs>
              <w:tab w:val="right" w:leader="dot" w:pos="9016"/>
            </w:tabs>
            <w:rPr>
              <w:rFonts w:asciiTheme="minorHAnsi" w:hAnsiTheme="minorHAnsi"/>
              <w:noProof/>
              <w:color w:val="auto"/>
            </w:rPr>
          </w:pPr>
          <w:hyperlink w:anchor="_Toc243612760" w:history="1">
            <w:r w:rsidRPr="00721767">
              <w:rPr>
                <w:rStyle w:val="Hyperlink"/>
                <w:rFonts w:ascii="Times New Roman" w:hAnsi="Times New Roman" w:cs="Times New Roman"/>
                <w:noProof/>
              </w:rPr>
              <w:t>2.2.9 Financing the investment programme</w:t>
            </w:r>
            <w:r>
              <w:rPr>
                <w:noProof/>
                <w:webHidden/>
              </w:rPr>
              <w:tab/>
            </w:r>
            <w:r>
              <w:rPr>
                <w:noProof/>
                <w:webHidden/>
              </w:rPr>
              <w:fldChar w:fldCharType="begin"/>
            </w:r>
            <w:r>
              <w:rPr>
                <w:noProof/>
                <w:webHidden/>
              </w:rPr>
              <w:instrText xml:space="preserve"> PAGEREF _Toc243612760 \h </w:instrText>
            </w:r>
            <w:r>
              <w:rPr>
                <w:noProof/>
                <w:webHidden/>
              </w:rPr>
            </w:r>
            <w:r>
              <w:rPr>
                <w:noProof/>
                <w:webHidden/>
              </w:rPr>
              <w:fldChar w:fldCharType="separate"/>
            </w:r>
            <w:r>
              <w:rPr>
                <w:noProof/>
                <w:webHidden/>
              </w:rPr>
              <w:t>10</w:t>
            </w:r>
            <w:r>
              <w:rPr>
                <w:noProof/>
                <w:webHidden/>
              </w:rPr>
              <w:fldChar w:fldCharType="end"/>
            </w:r>
          </w:hyperlink>
        </w:p>
        <w:p w14:paraId="51402B20" w14:textId="3D765B14" w:rsidR="00C85640" w:rsidRDefault="00C85640">
          <w:pPr>
            <w:pStyle w:val="TOC2"/>
            <w:tabs>
              <w:tab w:val="right" w:leader="dot" w:pos="9016"/>
            </w:tabs>
            <w:rPr>
              <w:rFonts w:asciiTheme="minorHAnsi" w:hAnsiTheme="minorHAnsi"/>
              <w:noProof/>
              <w:color w:val="auto"/>
            </w:rPr>
          </w:pPr>
          <w:hyperlink w:anchor="_Toc243612761" w:history="1">
            <w:r w:rsidRPr="00721767">
              <w:rPr>
                <w:rStyle w:val="Hyperlink"/>
                <w:rFonts w:ascii="Times New Roman" w:hAnsi="Times New Roman" w:cs="Times New Roman"/>
                <w:noProof/>
              </w:rPr>
              <w:t>2.2.10 Recommendation to the Board</w:t>
            </w:r>
            <w:r>
              <w:rPr>
                <w:noProof/>
                <w:webHidden/>
              </w:rPr>
              <w:tab/>
            </w:r>
            <w:r>
              <w:rPr>
                <w:noProof/>
                <w:webHidden/>
              </w:rPr>
              <w:fldChar w:fldCharType="begin"/>
            </w:r>
            <w:r>
              <w:rPr>
                <w:noProof/>
                <w:webHidden/>
              </w:rPr>
              <w:instrText xml:space="preserve"> PAGEREF _Toc243612761 \h </w:instrText>
            </w:r>
            <w:r>
              <w:rPr>
                <w:noProof/>
                <w:webHidden/>
              </w:rPr>
            </w:r>
            <w:r>
              <w:rPr>
                <w:noProof/>
                <w:webHidden/>
              </w:rPr>
              <w:fldChar w:fldCharType="separate"/>
            </w:r>
            <w:r>
              <w:rPr>
                <w:noProof/>
                <w:webHidden/>
              </w:rPr>
              <w:t>11</w:t>
            </w:r>
            <w:r>
              <w:rPr>
                <w:noProof/>
                <w:webHidden/>
              </w:rPr>
              <w:fldChar w:fldCharType="end"/>
            </w:r>
          </w:hyperlink>
        </w:p>
        <w:p w14:paraId="25C33E9F" w14:textId="792A0BC4" w:rsidR="00C85640" w:rsidRDefault="00C85640">
          <w:pPr>
            <w:pStyle w:val="TOC1"/>
            <w:tabs>
              <w:tab w:val="right" w:leader="dot" w:pos="9016"/>
            </w:tabs>
            <w:rPr>
              <w:rFonts w:asciiTheme="minorHAnsi" w:hAnsiTheme="minorHAnsi"/>
              <w:noProof/>
              <w:color w:val="auto"/>
            </w:rPr>
          </w:pPr>
          <w:hyperlink w:anchor="_Toc243612762" w:history="1">
            <w:r w:rsidRPr="00721767">
              <w:rPr>
                <w:rStyle w:val="Hyperlink"/>
                <w:rFonts w:ascii="Times New Roman" w:hAnsi="Times New Roman" w:cs="Times New Roman"/>
                <w:noProof/>
              </w:rPr>
              <w:t>3. Conclusion</w:t>
            </w:r>
            <w:r>
              <w:rPr>
                <w:noProof/>
                <w:webHidden/>
              </w:rPr>
              <w:tab/>
            </w:r>
            <w:r>
              <w:rPr>
                <w:noProof/>
                <w:webHidden/>
              </w:rPr>
              <w:fldChar w:fldCharType="begin"/>
            </w:r>
            <w:r>
              <w:rPr>
                <w:noProof/>
                <w:webHidden/>
              </w:rPr>
              <w:instrText xml:space="preserve"> PAGEREF _Toc243612762 \h </w:instrText>
            </w:r>
            <w:r>
              <w:rPr>
                <w:noProof/>
                <w:webHidden/>
              </w:rPr>
            </w:r>
            <w:r>
              <w:rPr>
                <w:noProof/>
                <w:webHidden/>
              </w:rPr>
              <w:fldChar w:fldCharType="separate"/>
            </w:r>
            <w:r>
              <w:rPr>
                <w:noProof/>
                <w:webHidden/>
              </w:rPr>
              <w:t>12</w:t>
            </w:r>
            <w:r>
              <w:rPr>
                <w:noProof/>
                <w:webHidden/>
              </w:rPr>
              <w:fldChar w:fldCharType="end"/>
            </w:r>
          </w:hyperlink>
        </w:p>
        <w:p w14:paraId="4E4624FD" w14:textId="1507390B" w:rsidR="00C85640" w:rsidRDefault="00C85640">
          <w:pPr>
            <w:pStyle w:val="TOC1"/>
            <w:tabs>
              <w:tab w:val="right" w:leader="dot" w:pos="9016"/>
            </w:tabs>
            <w:rPr>
              <w:rFonts w:asciiTheme="minorHAnsi" w:hAnsiTheme="minorHAnsi"/>
              <w:noProof/>
              <w:color w:val="auto"/>
            </w:rPr>
          </w:pPr>
          <w:hyperlink w:anchor="_Toc243612763" w:history="1">
            <w:r w:rsidRPr="0072176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_Toc243612763 \h </w:instrText>
            </w:r>
            <w:r>
              <w:rPr>
                <w:noProof/>
                <w:webHidden/>
              </w:rPr>
            </w:r>
            <w:r>
              <w:rPr>
                <w:noProof/>
                <w:webHidden/>
              </w:rPr>
              <w:fldChar w:fldCharType="separate"/>
            </w:r>
            <w:r>
              <w:rPr>
                <w:noProof/>
                <w:webHidden/>
              </w:rPr>
              <w:t>13</w:t>
            </w:r>
            <w:r>
              <w:rPr>
                <w:noProof/>
                <w:webHidden/>
              </w:rPr>
              <w:fldChar w:fldCharType="end"/>
            </w:r>
          </w:hyperlink>
        </w:p>
        <w:p w14:paraId="7405E5D5" w14:textId="12E22FFB" w:rsidR="00C85640" w:rsidRDefault="00C85640">
          <w:pPr>
            <w:pStyle w:val="TOC1"/>
            <w:tabs>
              <w:tab w:val="right" w:leader="dot" w:pos="9016"/>
            </w:tabs>
            <w:rPr>
              <w:rFonts w:asciiTheme="minorHAnsi" w:hAnsiTheme="minorHAnsi"/>
              <w:noProof/>
              <w:color w:val="auto"/>
            </w:rPr>
          </w:pPr>
          <w:hyperlink w:anchor="_Toc243612764" w:history="1">
            <w:r w:rsidRPr="00721767">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_Toc243612764 \h </w:instrText>
            </w:r>
            <w:r>
              <w:rPr>
                <w:noProof/>
                <w:webHidden/>
              </w:rPr>
            </w:r>
            <w:r>
              <w:rPr>
                <w:noProof/>
                <w:webHidden/>
              </w:rPr>
              <w:fldChar w:fldCharType="separate"/>
            </w:r>
            <w:r>
              <w:rPr>
                <w:noProof/>
                <w:webHidden/>
              </w:rPr>
              <w:t>16</w:t>
            </w:r>
            <w:r>
              <w:rPr>
                <w:noProof/>
                <w:webHidden/>
              </w:rPr>
              <w:fldChar w:fldCharType="end"/>
            </w:r>
          </w:hyperlink>
        </w:p>
        <w:p w14:paraId="214F1A1C" w14:textId="0A0DEC79" w:rsidR="00C85640" w:rsidRDefault="00C85640">
          <w:pPr>
            <w:pStyle w:val="TOC2"/>
            <w:tabs>
              <w:tab w:val="right" w:leader="dot" w:pos="9016"/>
            </w:tabs>
            <w:rPr>
              <w:rFonts w:asciiTheme="minorHAnsi" w:hAnsiTheme="minorHAnsi"/>
              <w:noProof/>
              <w:color w:val="auto"/>
            </w:rPr>
          </w:pPr>
          <w:hyperlink w:anchor="_Toc243612765" w:history="1">
            <w:r w:rsidRPr="00721767">
              <w:rPr>
                <w:rStyle w:val="Hyperlink"/>
                <w:rFonts w:ascii="Times New Roman" w:hAnsi="Times New Roman" w:cs="Times New Roman"/>
                <w:noProof/>
              </w:rPr>
              <w:t>Appendix A: AstraZeneca key financial data</w:t>
            </w:r>
            <w:r>
              <w:rPr>
                <w:noProof/>
                <w:webHidden/>
              </w:rPr>
              <w:tab/>
            </w:r>
            <w:r>
              <w:rPr>
                <w:noProof/>
                <w:webHidden/>
              </w:rPr>
              <w:fldChar w:fldCharType="begin"/>
            </w:r>
            <w:r>
              <w:rPr>
                <w:noProof/>
                <w:webHidden/>
              </w:rPr>
              <w:instrText xml:space="preserve"> PAGEREF _Toc243612765 \h </w:instrText>
            </w:r>
            <w:r>
              <w:rPr>
                <w:noProof/>
                <w:webHidden/>
              </w:rPr>
            </w:r>
            <w:r>
              <w:rPr>
                <w:noProof/>
                <w:webHidden/>
              </w:rPr>
              <w:fldChar w:fldCharType="separate"/>
            </w:r>
            <w:r>
              <w:rPr>
                <w:noProof/>
                <w:webHidden/>
              </w:rPr>
              <w:t>16</w:t>
            </w:r>
            <w:r>
              <w:rPr>
                <w:noProof/>
                <w:webHidden/>
              </w:rPr>
              <w:fldChar w:fldCharType="end"/>
            </w:r>
          </w:hyperlink>
        </w:p>
        <w:p w14:paraId="72A97637" w14:textId="5051ECA5" w:rsidR="00C85640" w:rsidRDefault="00C85640">
          <w:pPr>
            <w:pStyle w:val="TOC2"/>
            <w:tabs>
              <w:tab w:val="right" w:leader="dot" w:pos="9016"/>
            </w:tabs>
            <w:rPr>
              <w:rFonts w:asciiTheme="minorHAnsi" w:hAnsiTheme="minorHAnsi"/>
              <w:noProof/>
              <w:color w:val="auto"/>
            </w:rPr>
          </w:pPr>
          <w:hyperlink w:anchor="_Toc243612766" w:history="1">
            <w:r w:rsidRPr="00721767">
              <w:rPr>
                <w:rStyle w:val="Hyperlink"/>
                <w:rFonts w:ascii="Times New Roman" w:hAnsi="Times New Roman" w:cs="Times New Roman"/>
                <w:noProof/>
              </w:rPr>
              <w:t>Appendix B: AstraZeneca ratio workings</w:t>
            </w:r>
            <w:r>
              <w:rPr>
                <w:noProof/>
                <w:webHidden/>
              </w:rPr>
              <w:tab/>
            </w:r>
            <w:r>
              <w:rPr>
                <w:noProof/>
                <w:webHidden/>
              </w:rPr>
              <w:fldChar w:fldCharType="begin"/>
            </w:r>
            <w:r>
              <w:rPr>
                <w:noProof/>
                <w:webHidden/>
              </w:rPr>
              <w:instrText xml:space="preserve"> PAGEREF _Toc243612766 \h </w:instrText>
            </w:r>
            <w:r>
              <w:rPr>
                <w:noProof/>
                <w:webHidden/>
              </w:rPr>
            </w:r>
            <w:r>
              <w:rPr>
                <w:noProof/>
                <w:webHidden/>
              </w:rPr>
              <w:fldChar w:fldCharType="separate"/>
            </w:r>
            <w:r>
              <w:rPr>
                <w:noProof/>
                <w:webHidden/>
              </w:rPr>
              <w:t>20</w:t>
            </w:r>
            <w:r>
              <w:rPr>
                <w:noProof/>
                <w:webHidden/>
              </w:rPr>
              <w:fldChar w:fldCharType="end"/>
            </w:r>
          </w:hyperlink>
        </w:p>
        <w:p w14:paraId="6A291836" w14:textId="46151F03" w:rsidR="00C85640" w:rsidRDefault="00C85640">
          <w:pPr>
            <w:pStyle w:val="TOC2"/>
            <w:tabs>
              <w:tab w:val="right" w:leader="dot" w:pos="9016"/>
            </w:tabs>
            <w:rPr>
              <w:rFonts w:asciiTheme="minorHAnsi" w:hAnsiTheme="minorHAnsi"/>
              <w:noProof/>
              <w:color w:val="auto"/>
            </w:rPr>
          </w:pPr>
          <w:hyperlink w:anchor="_Toc243612767" w:history="1">
            <w:r w:rsidRPr="00721767">
              <w:rPr>
                <w:rStyle w:val="Hyperlink"/>
                <w:rFonts w:ascii="Times New Roman" w:hAnsi="Times New Roman" w:cs="Times New Roman"/>
                <w:noProof/>
              </w:rPr>
              <w:t>Appendix C: Beard Plc after-tax cash-flow workings</w:t>
            </w:r>
            <w:r>
              <w:rPr>
                <w:noProof/>
                <w:webHidden/>
              </w:rPr>
              <w:tab/>
            </w:r>
            <w:r>
              <w:rPr>
                <w:noProof/>
                <w:webHidden/>
              </w:rPr>
              <w:fldChar w:fldCharType="begin"/>
            </w:r>
            <w:r>
              <w:rPr>
                <w:noProof/>
                <w:webHidden/>
              </w:rPr>
              <w:instrText xml:space="preserve"> PAGEREF _Toc243612767 \h </w:instrText>
            </w:r>
            <w:r>
              <w:rPr>
                <w:noProof/>
                <w:webHidden/>
              </w:rPr>
            </w:r>
            <w:r>
              <w:rPr>
                <w:noProof/>
                <w:webHidden/>
              </w:rPr>
              <w:fldChar w:fldCharType="separate"/>
            </w:r>
            <w:r>
              <w:rPr>
                <w:noProof/>
                <w:webHidden/>
              </w:rPr>
              <w:t>20</w:t>
            </w:r>
            <w:r>
              <w:rPr>
                <w:noProof/>
                <w:webHidden/>
              </w:rPr>
              <w:fldChar w:fldCharType="end"/>
            </w:r>
          </w:hyperlink>
        </w:p>
        <w:p w14:paraId="4592AFC0" w14:textId="2F8DFFC2" w:rsidR="00C85640" w:rsidRDefault="00C85640">
          <w:pPr>
            <w:pStyle w:val="TOC2"/>
            <w:tabs>
              <w:tab w:val="right" w:leader="dot" w:pos="9016"/>
            </w:tabs>
            <w:rPr>
              <w:rFonts w:asciiTheme="minorHAnsi" w:hAnsiTheme="minorHAnsi"/>
              <w:noProof/>
              <w:color w:val="auto"/>
            </w:rPr>
          </w:pPr>
          <w:hyperlink w:anchor="_Toc243612768" w:history="1">
            <w:r w:rsidRPr="00721767">
              <w:rPr>
                <w:rStyle w:val="Hyperlink"/>
                <w:rFonts w:ascii="Times New Roman" w:hAnsi="Times New Roman" w:cs="Times New Roman"/>
                <w:noProof/>
              </w:rPr>
              <w:t>Appendix D: Beard Plc NPV workings at 5%</w:t>
            </w:r>
            <w:r>
              <w:rPr>
                <w:noProof/>
                <w:webHidden/>
              </w:rPr>
              <w:tab/>
            </w:r>
            <w:r>
              <w:rPr>
                <w:noProof/>
                <w:webHidden/>
              </w:rPr>
              <w:fldChar w:fldCharType="begin"/>
            </w:r>
            <w:r>
              <w:rPr>
                <w:noProof/>
                <w:webHidden/>
              </w:rPr>
              <w:instrText xml:space="preserve"> PAGEREF _Toc243612768 \h </w:instrText>
            </w:r>
            <w:r>
              <w:rPr>
                <w:noProof/>
                <w:webHidden/>
              </w:rPr>
            </w:r>
            <w:r>
              <w:rPr>
                <w:noProof/>
                <w:webHidden/>
              </w:rPr>
              <w:fldChar w:fldCharType="separate"/>
            </w:r>
            <w:r>
              <w:rPr>
                <w:noProof/>
                <w:webHidden/>
              </w:rPr>
              <w:t>21</w:t>
            </w:r>
            <w:r>
              <w:rPr>
                <w:noProof/>
                <w:webHidden/>
              </w:rPr>
              <w:fldChar w:fldCharType="end"/>
            </w:r>
          </w:hyperlink>
        </w:p>
        <w:p w14:paraId="276D3450" w14:textId="6F0D6867" w:rsidR="00C85640" w:rsidRDefault="00C85640">
          <w:pPr>
            <w:pStyle w:val="TOC2"/>
            <w:tabs>
              <w:tab w:val="right" w:leader="dot" w:pos="9016"/>
            </w:tabs>
            <w:rPr>
              <w:rFonts w:asciiTheme="minorHAnsi" w:hAnsiTheme="minorHAnsi"/>
              <w:noProof/>
              <w:color w:val="auto"/>
            </w:rPr>
          </w:pPr>
          <w:hyperlink w:anchor="_Toc243612769" w:history="1">
            <w:r w:rsidRPr="00721767">
              <w:rPr>
                <w:rStyle w:val="Hyperlink"/>
                <w:rFonts w:ascii="Times New Roman" w:hAnsi="Times New Roman" w:cs="Times New Roman"/>
                <w:noProof/>
              </w:rPr>
              <w:t>Appendix E: Option C IRR and capital-rationing workings</w:t>
            </w:r>
            <w:r>
              <w:rPr>
                <w:noProof/>
                <w:webHidden/>
              </w:rPr>
              <w:tab/>
            </w:r>
            <w:r>
              <w:rPr>
                <w:noProof/>
                <w:webHidden/>
              </w:rPr>
              <w:fldChar w:fldCharType="begin"/>
            </w:r>
            <w:r>
              <w:rPr>
                <w:noProof/>
                <w:webHidden/>
              </w:rPr>
              <w:instrText xml:space="preserve"> PAGEREF _Toc243612769 \h </w:instrText>
            </w:r>
            <w:r>
              <w:rPr>
                <w:noProof/>
                <w:webHidden/>
              </w:rPr>
            </w:r>
            <w:r>
              <w:rPr>
                <w:noProof/>
                <w:webHidden/>
              </w:rPr>
              <w:fldChar w:fldCharType="separate"/>
            </w:r>
            <w:r>
              <w:rPr>
                <w:noProof/>
                <w:webHidden/>
              </w:rPr>
              <w:t>21</w:t>
            </w:r>
            <w:r>
              <w:rPr>
                <w:noProof/>
                <w:webHidden/>
              </w:rPr>
              <w:fldChar w:fldCharType="end"/>
            </w:r>
          </w:hyperlink>
        </w:p>
        <w:p w14:paraId="4B15FD59" w14:textId="237CB98E" w:rsidR="00C85640" w:rsidRPr="00AD735E" w:rsidRDefault="00C85640" w:rsidP="00C85640">
          <w:pPr>
            <w:rPr>
              <w:rFonts w:ascii="Times New Roman" w:hAnsi="Times New Roman" w:cs="Times New Roman"/>
              <w:color w:val="auto"/>
            </w:rPr>
          </w:pPr>
          <w:r w:rsidRPr="00AD735E">
            <w:rPr>
              <w:rFonts w:ascii="Times New Roman" w:hAnsi="Times New Roman" w:cs="Times New Roman"/>
              <w:b/>
              <w:bCs/>
              <w:noProof/>
              <w:color w:val="auto"/>
            </w:rPr>
            <w:fldChar w:fldCharType="end"/>
          </w:r>
        </w:p>
      </w:sdtContent>
    </w:sdt>
    <w:p w14:paraId="48424FFC" w14:textId="77777777" w:rsidR="00C85640" w:rsidRPr="00AD735E" w:rsidRDefault="00C85640" w:rsidP="00C85640">
      <w:pPr>
        <w:rPr>
          <w:rFonts w:ascii="Times New Roman" w:hAnsi="Times New Roman" w:cs="Times New Roman"/>
          <w:color w:val="auto"/>
        </w:rPr>
      </w:pPr>
    </w:p>
    <w:p w14:paraId="33035F13" w14:textId="77777777" w:rsidR="00C85640" w:rsidRPr="00AD735E" w:rsidRDefault="00C85640" w:rsidP="00C85640">
      <w:pPr>
        <w:pStyle w:val="Heading1"/>
        <w:rPr>
          <w:rFonts w:ascii="Times New Roman" w:hAnsi="Times New Roman" w:cs="Times New Roman"/>
          <w:color w:val="auto"/>
        </w:rPr>
      </w:pPr>
      <w:bookmarkStart w:id="1" w:name="_Toc243612740"/>
      <w:r w:rsidRPr="00AD735E">
        <w:rPr>
          <w:rFonts w:ascii="Times New Roman" w:hAnsi="Times New Roman" w:cs="Times New Roman"/>
          <w:color w:val="auto"/>
        </w:rPr>
        <w:lastRenderedPageBreak/>
        <w:t>1. Introduction</w:t>
      </w:r>
      <w:bookmarkEnd w:id="1"/>
    </w:p>
    <w:p w14:paraId="23631E4A"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AstraZeneca Plc is a Science led global biopharmaceutical firm listed on the London Stock Exchange (LSE) and included in the FTSE 100 Index (London Stock Exchange, 2026). It works in oncology, biopharmaceuticals and rare diseases, where sustained finance is required owing to the research and manufacturing process or the long development cycles. Financial statements provide information on performance, position and cash flows, and ratios provide assistance with comparison (</w:t>
      </w:r>
      <w:proofErr w:type="spellStart"/>
      <w:r w:rsidRPr="00AD735E">
        <w:rPr>
          <w:rFonts w:ascii="Times New Roman" w:hAnsi="Times New Roman" w:cs="Times New Roman"/>
          <w:color w:val="auto"/>
        </w:rPr>
        <w:t>Atrill</w:t>
      </w:r>
      <w:proofErr w:type="spellEnd"/>
      <w:r w:rsidRPr="00AD735E">
        <w:rPr>
          <w:rFonts w:ascii="Times New Roman" w:hAnsi="Times New Roman" w:cs="Times New Roman"/>
          <w:color w:val="auto"/>
        </w:rPr>
        <w:t xml:space="preserve"> and McLaney, 2022; IFRS Foundation, 2018). Various factors, such as accounting policy, </w:t>
      </w:r>
      <w:proofErr w:type="spellStart"/>
      <w:r w:rsidRPr="00AD735E">
        <w:rPr>
          <w:rFonts w:ascii="Times New Roman" w:hAnsi="Times New Roman" w:cs="Times New Roman"/>
          <w:color w:val="auto"/>
        </w:rPr>
        <w:t>year end</w:t>
      </w:r>
      <w:proofErr w:type="spellEnd"/>
      <w:r w:rsidRPr="00AD735E">
        <w:rPr>
          <w:rFonts w:ascii="Times New Roman" w:hAnsi="Times New Roman" w:cs="Times New Roman"/>
          <w:color w:val="auto"/>
        </w:rPr>
        <w:t xml:space="preserve"> timing, inflation, acquisitions and business mix can impact on ratios (Barnes, 1987; Nissim and Penman, 2001). The profitability, liquidity, gearing, efficiency and investor measures are therefore linked, based on the 2025 audit statements, comparables for 2024 and balances for 2023 (averages required), which are provided by AstraZeneca (AstraZeneca, 2024; AstraZeneca, 2025a). The tying together of the ratios ends up sidelining one positive movement as proof of overall improvement in the financial aspects.</w:t>
      </w:r>
    </w:p>
    <w:p w14:paraId="2C8DD42D"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Beard Plc is interested in a four-year investment in a larger outlet, internet sales or the production of purses and wallets, alongside its existing high-quality handbag business. Time, risk and opportunity cost of funds (Brealey et al., 2023; Götze, Northcott and Schuster, 2015) are all aspects of investment appraisal. The NPV is a measure of present value added and the IRR is the rate that creates a zero NPV. Payback and accounting rate of return do not incorporate the time value analysis, but can be useful for simplicity and in liquidity screening (Drury and </w:t>
      </w:r>
      <w:proofErr w:type="spellStart"/>
      <w:r w:rsidRPr="00AD735E">
        <w:rPr>
          <w:rFonts w:ascii="Times New Roman" w:hAnsi="Times New Roman" w:cs="Times New Roman"/>
          <w:color w:val="auto"/>
        </w:rPr>
        <w:t>Tayles</w:t>
      </w:r>
      <w:proofErr w:type="spellEnd"/>
      <w:r w:rsidRPr="00AD735E">
        <w:rPr>
          <w:rFonts w:ascii="Times New Roman" w:hAnsi="Times New Roman" w:cs="Times New Roman"/>
          <w:color w:val="auto"/>
        </w:rPr>
        <w:t>, 1997; Graham and Harvey, 2001; Siziba and Hall, 2021). Only the above 25% tax, straight-line allowances of 20% and only £1.5m divisible budget and cost of capital of 5% have been used in the analysis. Financing is dependent as Beard's balance sheet information, borrowing capacity and preferences are not available. The case, therefore, distinguishes between value creation and the liquidity screening and funding capacity, instead of considering it as a single decision.</w:t>
      </w:r>
    </w:p>
    <w:p w14:paraId="58118D46" w14:textId="77777777" w:rsidR="00C85640" w:rsidRPr="00AD735E" w:rsidRDefault="00C85640" w:rsidP="00C85640">
      <w:pPr>
        <w:pStyle w:val="Heading1"/>
        <w:rPr>
          <w:rFonts w:ascii="Times New Roman" w:hAnsi="Times New Roman" w:cs="Times New Roman"/>
          <w:color w:val="auto"/>
        </w:rPr>
      </w:pPr>
      <w:bookmarkStart w:id="2" w:name="_Toc243612741"/>
      <w:r w:rsidRPr="00AD735E">
        <w:rPr>
          <w:rFonts w:ascii="Times New Roman" w:hAnsi="Times New Roman" w:cs="Times New Roman"/>
          <w:color w:val="auto"/>
        </w:rPr>
        <w:t>2. Main Findings</w:t>
      </w:r>
      <w:bookmarkEnd w:id="2"/>
    </w:p>
    <w:p w14:paraId="3465A8D9" w14:textId="77777777" w:rsidR="00C85640" w:rsidRPr="00AD735E" w:rsidRDefault="00C85640" w:rsidP="00C85640">
      <w:pPr>
        <w:pStyle w:val="Heading2"/>
        <w:rPr>
          <w:rFonts w:ascii="Times New Roman" w:hAnsi="Times New Roman" w:cs="Times New Roman"/>
          <w:color w:val="auto"/>
        </w:rPr>
      </w:pPr>
      <w:bookmarkStart w:id="3" w:name="_Toc243612742"/>
      <w:r w:rsidRPr="00AD735E">
        <w:rPr>
          <w:rFonts w:ascii="Times New Roman" w:hAnsi="Times New Roman" w:cs="Times New Roman"/>
          <w:color w:val="auto"/>
        </w:rPr>
        <w:t>2.1 Task 1: AstraZeneca Plc financial performance</w:t>
      </w:r>
      <w:bookmarkEnd w:id="3"/>
    </w:p>
    <w:p w14:paraId="3B0B4E52" w14:textId="77777777" w:rsidR="00C85640" w:rsidRPr="00AD735E" w:rsidRDefault="00C85640" w:rsidP="00C85640">
      <w:pPr>
        <w:pStyle w:val="Heading3"/>
        <w:rPr>
          <w:rFonts w:ascii="Times New Roman" w:hAnsi="Times New Roman" w:cs="Times New Roman"/>
          <w:color w:val="auto"/>
        </w:rPr>
      </w:pPr>
      <w:bookmarkStart w:id="4" w:name="_Toc243612743"/>
      <w:r w:rsidRPr="00AD735E">
        <w:rPr>
          <w:rFonts w:ascii="Times New Roman" w:hAnsi="Times New Roman" w:cs="Times New Roman"/>
          <w:color w:val="auto"/>
        </w:rPr>
        <w:t>2.1.1 Data, method and basis of calculation</w:t>
      </w:r>
      <w:bookmarkEnd w:id="4"/>
    </w:p>
    <w:p w14:paraId="3BC87030"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 consolidated audited statements include the revenue, profit, assets, liabilities, inventory, trade receivables, debt and equity of the shareholder group. The main statements and cash generation (IAS 7) have been structured in the framework of IAS 1 (IFRS Foundation, 2022a; IFRS Foundation, 2022b). Reported EPS is prepared in accordance with the IAS 33 (IFRS Foundation, 2021a). Loans and lease liabilities are included in debt, under the IFRS rules. The IFRS rules state that most lease liabilities are recorded on the statement of financial position (IFRS Foundation, 2021b). The consolidated profit includes non-controlling interests, while profit attributable to owners of the Parent is disclosed separately.</w:t>
      </w:r>
    </w:p>
    <w:p w14:paraId="1384B775"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When comparing flows over a period of time with balances at a given point in time, average inventory, receivables, capital employed and equity are used (Subramanyam, 2014; Fairfield and Yohn, 2001). Average denominators dampen any unusual closing balance, but </w:t>
      </w:r>
      <w:proofErr w:type="spellStart"/>
      <w:r w:rsidRPr="00AD735E">
        <w:rPr>
          <w:rFonts w:ascii="Times New Roman" w:hAnsi="Times New Roman" w:cs="Times New Roman"/>
          <w:color w:val="auto"/>
        </w:rPr>
        <w:t>can not</w:t>
      </w:r>
      <w:proofErr w:type="spellEnd"/>
      <w:r w:rsidRPr="00AD735E">
        <w:rPr>
          <w:rFonts w:ascii="Times New Roman" w:hAnsi="Times New Roman" w:cs="Times New Roman"/>
          <w:color w:val="auto"/>
        </w:rPr>
        <w:t xml:space="preserve"> perfectly capture any seasonality that occurs within the year. Total revenue is used as a proxy for credit sales since these are not disclosed. Answers are rounded to 2 decimal places and full working in Appendix B.</w:t>
      </w:r>
    </w:p>
    <w:p w14:paraId="657ECB0F" w14:textId="77777777" w:rsidR="00C85640" w:rsidRPr="00AD735E" w:rsidRDefault="00C85640" w:rsidP="00C85640">
      <w:pPr>
        <w:rPr>
          <w:rFonts w:ascii="Times New Roman" w:hAnsi="Times New Roman" w:cs="Times New Roman"/>
          <w:color w:val="auto"/>
        </w:rPr>
      </w:pPr>
    </w:p>
    <w:p w14:paraId="4C40EA32" w14:textId="77777777" w:rsidR="00C85640" w:rsidRPr="00AD735E" w:rsidRDefault="00C85640" w:rsidP="00C85640">
      <w:pPr>
        <w:rPr>
          <w:rFonts w:ascii="Times New Roman" w:hAnsi="Times New Roman" w:cs="Times New Roman"/>
          <w:color w:val="auto"/>
        </w:rPr>
      </w:pPr>
    </w:p>
    <w:p w14:paraId="595FDCD8" w14:textId="77777777" w:rsidR="00C85640" w:rsidRPr="00AD735E" w:rsidRDefault="00C85640" w:rsidP="00C85640">
      <w:pPr>
        <w:rPr>
          <w:rFonts w:ascii="Times New Roman" w:hAnsi="Times New Roman" w:cs="Times New Roman"/>
          <w:color w:val="auto"/>
        </w:rPr>
      </w:pPr>
    </w:p>
    <w:p w14:paraId="4DA82582" w14:textId="77777777" w:rsidR="00C85640" w:rsidRPr="00AD735E" w:rsidRDefault="00C85640" w:rsidP="00C85640">
      <w:pPr>
        <w:rPr>
          <w:rFonts w:ascii="Times New Roman" w:hAnsi="Times New Roman" w:cs="Times New Roman"/>
          <w:color w:val="auto"/>
        </w:rPr>
      </w:pPr>
    </w:p>
    <w:p w14:paraId="46B3BA4D"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1. AstraZeneca key ratios</w:t>
      </w:r>
    </w:p>
    <w:tbl>
      <w:tblPr>
        <w:tblStyle w:val="TableGrid"/>
        <w:tblW w:w="9046" w:type="dxa"/>
        <w:tblLayout w:type="fixed"/>
        <w:tblLook w:val="04A0" w:firstRow="1" w:lastRow="0" w:firstColumn="1" w:lastColumn="0" w:noHBand="0" w:noVBand="1"/>
      </w:tblPr>
      <w:tblGrid>
        <w:gridCol w:w="1101"/>
        <w:gridCol w:w="1665"/>
        <w:gridCol w:w="3343"/>
        <w:gridCol w:w="944"/>
        <w:gridCol w:w="944"/>
        <w:gridCol w:w="1049"/>
      </w:tblGrid>
      <w:tr w:rsidR="00C85640" w:rsidRPr="00AD735E" w14:paraId="59B47EBE" w14:textId="77777777" w:rsidTr="00C85640">
        <w:trPr>
          <w:trHeight w:val="282"/>
        </w:trPr>
        <w:tc>
          <w:tcPr>
            <w:tcW w:w="1101" w:type="dxa"/>
          </w:tcPr>
          <w:p w14:paraId="77FF002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Category</w:t>
            </w:r>
          </w:p>
        </w:tc>
        <w:tc>
          <w:tcPr>
            <w:tcW w:w="1665" w:type="dxa"/>
          </w:tcPr>
          <w:p w14:paraId="0CB5AC6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Ratio</w:t>
            </w:r>
          </w:p>
        </w:tc>
        <w:tc>
          <w:tcPr>
            <w:tcW w:w="3343" w:type="dxa"/>
          </w:tcPr>
          <w:p w14:paraId="30A3321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Basis</w:t>
            </w:r>
          </w:p>
        </w:tc>
        <w:tc>
          <w:tcPr>
            <w:tcW w:w="944" w:type="dxa"/>
          </w:tcPr>
          <w:p w14:paraId="7FC5C4A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2024</w:t>
            </w:r>
          </w:p>
        </w:tc>
        <w:tc>
          <w:tcPr>
            <w:tcW w:w="944" w:type="dxa"/>
          </w:tcPr>
          <w:p w14:paraId="6115C66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2025</w:t>
            </w:r>
          </w:p>
        </w:tc>
        <w:tc>
          <w:tcPr>
            <w:tcW w:w="1049" w:type="dxa"/>
          </w:tcPr>
          <w:p w14:paraId="1B6A57B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Movement</w:t>
            </w:r>
          </w:p>
        </w:tc>
      </w:tr>
      <w:tr w:rsidR="00C85640" w:rsidRPr="00AD735E" w14:paraId="1821D550" w14:textId="77777777" w:rsidTr="00C85640">
        <w:trPr>
          <w:trHeight w:val="267"/>
        </w:trPr>
        <w:tc>
          <w:tcPr>
            <w:tcW w:w="1101" w:type="dxa"/>
          </w:tcPr>
          <w:p w14:paraId="7C6F28B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Profitability</w:t>
            </w:r>
          </w:p>
        </w:tc>
        <w:tc>
          <w:tcPr>
            <w:tcW w:w="1665" w:type="dxa"/>
          </w:tcPr>
          <w:p w14:paraId="4F7B0C8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profit margin</w:t>
            </w:r>
          </w:p>
        </w:tc>
        <w:tc>
          <w:tcPr>
            <w:tcW w:w="3343" w:type="dxa"/>
          </w:tcPr>
          <w:p w14:paraId="3E9CEC5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profit ÷ revenue</w:t>
            </w:r>
          </w:p>
        </w:tc>
        <w:tc>
          <w:tcPr>
            <w:tcW w:w="944" w:type="dxa"/>
          </w:tcPr>
          <w:p w14:paraId="25248AA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81.12%</w:t>
            </w:r>
          </w:p>
        </w:tc>
        <w:tc>
          <w:tcPr>
            <w:tcW w:w="944" w:type="dxa"/>
          </w:tcPr>
          <w:p w14:paraId="05E7B42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81.90%</w:t>
            </w:r>
          </w:p>
        </w:tc>
        <w:tc>
          <w:tcPr>
            <w:tcW w:w="1049" w:type="dxa"/>
          </w:tcPr>
          <w:p w14:paraId="24F64E2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+0.78 pp</w:t>
            </w:r>
          </w:p>
        </w:tc>
      </w:tr>
      <w:tr w:rsidR="00C85640" w:rsidRPr="00AD735E" w14:paraId="3CE544E0" w14:textId="77777777" w:rsidTr="00C85640">
        <w:trPr>
          <w:trHeight w:val="253"/>
        </w:trPr>
        <w:tc>
          <w:tcPr>
            <w:tcW w:w="1101" w:type="dxa"/>
          </w:tcPr>
          <w:p w14:paraId="6501240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Profitability</w:t>
            </w:r>
          </w:p>
        </w:tc>
        <w:tc>
          <w:tcPr>
            <w:tcW w:w="1665" w:type="dxa"/>
          </w:tcPr>
          <w:p w14:paraId="77D0ACD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Operating margin</w:t>
            </w:r>
          </w:p>
        </w:tc>
        <w:tc>
          <w:tcPr>
            <w:tcW w:w="3343" w:type="dxa"/>
          </w:tcPr>
          <w:p w14:paraId="1B845F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Operating profit ÷ revenue</w:t>
            </w:r>
          </w:p>
        </w:tc>
        <w:tc>
          <w:tcPr>
            <w:tcW w:w="944" w:type="dxa"/>
          </w:tcPr>
          <w:p w14:paraId="4045C56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18.50%</w:t>
            </w:r>
          </w:p>
        </w:tc>
        <w:tc>
          <w:tcPr>
            <w:tcW w:w="944" w:type="dxa"/>
          </w:tcPr>
          <w:p w14:paraId="4FB1F28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23.40%</w:t>
            </w:r>
          </w:p>
        </w:tc>
        <w:tc>
          <w:tcPr>
            <w:tcW w:w="1049" w:type="dxa"/>
          </w:tcPr>
          <w:p w14:paraId="78B117A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+4.90 pp</w:t>
            </w:r>
          </w:p>
        </w:tc>
      </w:tr>
      <w:tr w:rsidR="00C85640" w:rsidRPr="00AD735E" w14:paraId="4FC29C75" w14:textId="77777777" w:rsidTr="00C85640">
        <w:trPr>
          <w:trHeight w:val="267"/>
        </w:trPr>
        <w:tc>
          <w:tcPr>
            <w:tcW w:w="1101" w:type="dxa"/>
          </w:tcPr>
          <w:p w14:paraId="42900BB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Profitability</w:t>
            </w:r>
          </w:p>
        </w:tc>
        <w:tc>
          <w:tcPr>
            <w:tcW w:w="1665" w:type="dxa"/>
          </w:tcPr>
          <w:p w14:paraId="2B1EF44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ROCE</w:t>
            </w:r>
          </w:p>
        </w:tc>
        <w:tc>
          <w:tcPr>
            <w:tcW w:w="3343" w:type="dxa"/>
          </w:tcPr>
          <w:p w14:paraId="5D8E1E7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Operating profit ÷ average capital employed</w:t>
            </w:r>
          </w:p>
        </w:tc>
        <w:tc>
          <w:tcPr>
            <w:tcW w:w="944" w:type="dxa"/>
          </w:tcPr>
          <w:p w14:paraId="30345AF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13.63%</w:t>
            </w:r>
          </w:p>
        </w:tc>
        <w:tc>
          <w:tcPr>
            <w:tcW w:w="944" w:type="dxa"/>
          </w:tcPr>
          <w:p w14:paraId="63922FA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17.22%</w:t>
            </w:r>
          </w:p>
        </w:tc>
        <w:tc>
          <w:tcPr>
            <w:tcW w:w="1049" w:type="dxa"/>
          </w:tcPr>
          <w:p w14:paraId="7A3B4B3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+3.59 pp</w:t>
            </w:r>
          </w:p>
        </w:tc>
      </w:tr>
      <w:tr w:rsidR="00C85640" w:rsidRPr="00AD735E" w14:paraId="5CC97E98" w14:textId="77777777" w:rsidTr="00C85640">
        <w:trPr>
          <w:trHeight w:val="267"/>
        </w:trPr>
        <w:tc>
          <w:tcPr>
            <w:tcW w:w="1101" w:type="dxa"/>
          </w:tcPr>
          <w:p w14:paraId="77F915F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Liquidity</w:t>
            </w:r>
          </w:p>
        </w:tc>
        <w:tc>
          <w:tcPr>
            <w:tcW w:w="1665" w:type="dxa"/>
          </w:tcPr>
          <w:p w14:paraId="29CD4A7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Current ratio</w:t>
            </w:r>
          </w:p>
        </w:tc>
        <w:tc>
          <w:tcPr>
            <w:tcW w:w="3343" w:type="dxa"/>
          </w:tcPr>
          <w:p w14:paraId="43ADF8D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Current assets ÷ current liabilities</w:t>
            </w:r>
          </w:p>
        </w:tc>
        <w:tc>
          <w:tcPr>
            <w:tcW w:w="944" w:type="dxa"/>
          </w:tcPr>
          <w:p w14:paraId="042F380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0.93x</w:t>
            </w:r>
          </w:p>
        </w:tc>
        <w:tc>
          <w:tcPr>
            <w:tcW w:w="944" w:type="dxa"/>
          </w:tcPr>
          <w:p w14:paraId="22843C2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0.94x</w:t>
            </w:r>
          </w:p>
        </w:tc>
        <w:tc>
          <w:tcPr>
            <w:tcW w:w="1049" w:type="dxa"/>
          </w:tcPr>
          <w:p w14:paraId="460584E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+0.01x</w:t>
            </w:r>
          </w:p>
        </w:tc>
      </w:tr>
      <w:tr w:rsidR="00C85640" w:rsidRPr="00AD735E" w14:paraId="3F3B8C43" w14:textId="77777777" w:rsidTr="00C85640">
        <w:trPr>
          <w:trHeight w:val="267"/>
        </w:trPr>
        <w:tc>
          <w:tcPr>
            <w:tcW w:w="1101" w:type="dxa"/>
          </w:tcPr>
          <w:p w14:paraId="390A68C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Liquidity</w:t>
            </w:r>
          </w:p>
        </w:tc>
        <w:tc>
          <w:tcPr>
            <w:tcW w:w="1665" w:type="dxa"/>
          </w:tcPr>
          <w:p w14:paraId="5F62992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Quick ratio</w:t>
            </w:r>
          </w:p>
        </w:tc>
        <w:tc>
          <w:tcPr>
            <w:tcW w:w="3343" w:type="dxa"/>
          </w:tcPr>
          <w:p w14:paraId="649A0E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(Current assets − inventory) ÷ current liabilities</w:t>
            </w:r>
          </w:p>
        </w:tc>
        <w:tc>
          <w:tcPr>
            <w:tcW w:w="944" w:type="dxa"/>
          </w:tcPr>
          <w:p w14:paraId="051D2B9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0.74x</w:t>
            </w:r>
          </w:p>
        </w:tc>
        <w:tc>
          <w:tcPr>
            <w:tcW w:w="944" w:type="dxa"/>
          </w:tcPr>
          <w:p w14:paraId="4B1CD46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0.72x</w:t>
            </w:r>
          </w:p>
        </w:tc>
        <w:tc>
          <w:tcPr>
            <w:tcW w:w="1049" w:type="dxa"/>
          </w:tcPr>
          <w:p w14:paraId="2C0E64B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−0.02x</w:t>
            </w:r>
          </w:p>
        </w:tc>
      </w:tr>
      <w:tr w:rsidR="00C85640" w:rsidRPr="00AD735E" w14:paraId="2F1644D6" w14:textId="77777777" w:rsidTr="00C85640">
        <w:trPr>
          <w:trHeight w:val="253"/>
        </w:trPr>
        <w:tc>
          <w:tcPr>
            <w:tcW w:w="1101" w:type="dxa"/>
          </w:tcPr>
          <w:p w14:paraId="6A80CBD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Gearing</w:t>
            </w:r>
          </w:p>
        </w:tc>
        <w:tc>
          <w:tcPr>
            <w:tcW w:w="1665" w:type="dxa"/>
          </w:tcPr>
          <w:p w14:paraId="6A19E23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debt to equity</w:t>
            </w:r>
          </w:p>
        </w:tc>
        <w:tc>
          <w:tcPr>
            <w:tcW w:w="3343" w:type="dxa"/>
          </w:tcPr>
          <w:p w14:paraId="7E07EDE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Interest-bearing loans ÷ total equity</w:t>
            </w:r>
          </w:p>
        </w:tc>
        <w:tc>
          <w:tcPr>
            <w:tcW w:w="944" w:type="dxa"/>
          </w:tcPr>
          <w:p w14:paraId="113FCC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74.12%</w:t>
            </w:r>
          </w:p>
        </w:tc>
        <w:tc>
          <w:tcPr>
            <w:tcW w:w="944" w:type="dxa"/>
          </w:tcPr>
          <w:p w14:paraId="5786F3D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60.80%</w:t>
            </w:r>
          </w:p>
        </w:tc>
        <w:tc>
          <w:tcPr>
            <w:tcW w:w="1049" w:type="dxa"/>
          </w:tcPr>
          <w:p w14:paraId="6F446CF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−13.32 pp</w:t>
            </w:r>
          </w:p>
        </w:tc>
      </w:tr>
      <w:tr w:rsidR="00C85640" w:rsidRPr="00AD735E" w14:paraId="7233F369" w14:textId="77777777" w:rsidTr="00C85640">
        <w:trPr>
          <w:trHeight w:val="267"/>
        </w:trPr>
        <w:tc>
          <w:tcPr>
            <w:tcW w:w="1101" w:type="dxa"/>
          </w:tcPr>
          <w:p w14:paraId="045B834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Gearing</w:t>
            </w:r>
          </w:p>
        </w:tc>
        <w:tc>
          <w:tcPr>
            <w:tcW w:w="1665" w:type="dxa"/>
          </w:tcPr>
          <w:p w14:paraId="45C759B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Interest cover</w:t>
            </w:r>
          </w:p>
        </w:tc>
        <w:tc>
          <w:tcPr>
            <w:tcW w:w="3343" w:type="dxa"/>
          </w:tcPr>
          <w:p w14:paraId="0BC87F3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Operating profit ÷ finance expense</w:t>
            </w:r>
          </w:p>
        </w:tc>
        <w:tc>
          <w:tcPr>
            <w:tcW w:w="944" w:type="dxa"/>
          </w:tcPr>
          <w:p w14:paraId="25C454D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5.74x</w:t>
            </w:r>
          </w:p>
        </w:tc>
        <w:tc>
          <w:tcPr>
            <w:tcW w:w="944" w:type="dxa"/>
          </w:tcPr>
          <w:p w14:paraId="77F888D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8.11x</w:t>
            </w:r>
          </w:p>
        </w:tc>
        <w:tc>
          <w:tcPr>
            <w:tcW w:w="1049" w:type="dxa"/>
          </w:tcPr>
          <w:p w14:paraId="14A7535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+2.37x</w:t>
            </w:r>
          </w:p>
        </w:tc>
      </w:tr>
      <w:tr w:rsidR="00C85640" w:rsidRPr="00AD735E" w14:paraId="288EA8D3" w14:textId="77777777" w:rsidTr="00C85640">
        <w:trPr>
          <w:trHeight w:val="267"/>
        </w:trPr>
        <w:tc>
          <w:tcPr>
            <w:tcW w:w="1101" w:type="dxa"/>
          </w:tcPr>
          <w:p w14:paraId="4E0DEAB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Efficiency</w:t>
            </w:r>
          </w:p>
        </w:tc>
        <w:tc>
          <w:tcPr>
            <w:tcW w:w="1665" w:type="dxa"/>
          </w:tcPr>
          <w:p w14:paraId="06F189B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Inventory turnover</w:t>
            </w:r>
          </w:p>
        </w:tc>
        <w:tc>
          <w:tcPr>
            <w:tcW w:w="3343" w:type="dxa"/>
          </w:tcPr>
          <w:p w14:paraId="7B3C8C7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Cost of sales ÷ average inventory</w:t>
            </w:r>
          </w:p>
        </w:tc>
        <w:tc>
          <w:tcPr>
            <w:tcW w:w="944" w:type="dxa"/>
          </w:tcPr>
          <w:p w14:paraId="5CE5956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1.91x</w:t>
            </w:r>
          </w:p>
        </w:tc>
        <w:tc>
          <w:tcPr>
            <w:tcW w:w="944" w:type="dxa"/>
          </w:tcPr>
          <w:p w14:paraId="6EA1B17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1.80x</w:t>
            </w:r>
          </w:p>
        </w:tc>
        <w:tc>
          <w:tcPr>
            <w:tcW w:w="1049" w:type="dxa"/>
          </w:tcPr>
          <w:p w14:paraId="4C20FC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−0.11x</w:t>
            </w:r>
          </w:p>
        </w:tc>
      </w:tr>
      <w:tr w:rsidR="00C85640" w:rsidRPr="00AD735E" w14:paraId="7E4B9C94" w14:textId="77777777" w:rsidTr="00C85640">
        <w:trPr>
          <w:trHeight w:val="535"/>
        </w:trPr>
        <w:tc>
          <w:tcPr>
            <w:tcW w:w="1101" w:type="dxa"/>
          </w:tcPr>
          <w:p w14:paraId="03EF7F8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Efficiency</w:t>
            </w:r>
          </w:p>
        </w:tc>
        <w:tc>
          <w:tcPr>
            <w:tcW w:w="1665" w:type="dxa"/>
          </w:tcPr>
          <w:p w14:paraId="15FBD52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Trade receivables turnover*</w:t>
            </w:r>
          </w:p>
        </w:tc>
        <w:tc>
          <w:tcPr>
            <w:tcW w:w="3343" w:type="dxa"/>
          </w:tcPr>
          <w:p w14:paraId="792C15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Revenue ÷ average gross trade receivables</w:t>
            </w:r>
          </w:p>
        </w:tc>
        <w:tc>
          <w:tcPr>
            <w:tcW w:w="944" w:type="dxa"/>
          </w:tcPr>
          <w:p w14:paraId="2B371B6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6.44x</w:t>
            </w:r>
          </w:p>
        </w:tc>
        <w:tc>
          <w:tcPr>
            <w:tcW w:w="944" w:type="dxa"/>
          </w:tcPr>
          <w:p w14:paraId="7C23F7D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6.31x</w:t>
            </w:r>
          </w:p>
        </w:tc>
        <w:tc>
          <w:tcPr>
            <w:tcW w:w="1049" w:type="dxa"/>
          </w:tcPr>
          <w:p w14:paraId="0AE7EBB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−0.13x</w:t>
            </w:r>
          </w:p>
        </w:tc>
      </w:tr>
      <w:tr w:rsidR="00C85640" w:rsidRPr="00AD735E" w14:paraId="30F1A730" w14:textId="77777777" w:rsidTr="00C85640">
        <w:trPr>
          <w:trHeight w:val="253"/>
        </w:trPr>
        <w:tc>
          <w:tcPr>
            <w:tcW w:w="1101" w:type="dxa"/>
          </w:tcPr>
          <w:p w14:paraId="35C2E1B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Investor</w:t>
            </w:r>
          </w:p>
        </w:tc>
        <w:tc>
          <w:tcPr>
            <w:tcW w:w="1665" w:type="dxa"/>
          </w:tcPr>
          <w:p w14:paraId="1058E39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Return on equity</w:t>
            </w:r>
          </w:p>
        </w:tc>
        <w:tc>
          <w:tcPr>
            <w:tcW w:w="3343" w:type="dxa"/>
          </w:tcPr>
          <w:p w14:paraId="3D20231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Profit ÷ average total equity</w:t>
            </w:r>
          </w:p>
        </w:tc>
        <w:tc>
          <w:tcPr>
            <w:tcW w:w="944" w:type="dxa"/>
          </w:tcPr>
          <w:p w14:paraId="14EE561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17.59%</w:t>
            </w:r>
          </w:p>
        </w:tc>
        <w:tc>
          <w:tcPr>
            <w:tcW w:w="944" w:type="dxa"/>
          </w:tcPr>
          <w:p w14:paraId="166A519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22.84%</w:t>
            </w:r>
          </w:p>
        </w:tc>
        <w:tc>
          <w:tcPr>
            <w:tcW w:w="1049" w:type="dxa"/>
          </w:tcPr>
          <w:p w14:paraId="07C879B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+5.25 pp</w:t>
            </w:r>
          </w:p>
        </w:tc>
      </w:tr>
      <w:tr w:rsidR="00C85640" w:rsidRPr="00AD735E" w14:paraId="3D0EEC28" w14:textId="77777777" w:rsidTr="00C85640">
        <w:trPr>
          <w:trHeight w:val="267"/>
        </w:trPr>
        <w:tc>
          <w:tcPr>
            <w:tcW w:w="1101" w:type="dxa"/>
          </w:tcPr>
          <w:p w14:paraId="41A7AA2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Investor</w:t>
            </w:r>
          </w:p>
        </w:tc>
        <w:tc>
          <w:tcPr>
            <w:tcW w:w="1665" w:type="dxa"/>
          </w:tcPr>
          <w:p w14:paraId="5836E86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Basic EPS</w:t>
            </w:r>
          </w:p>
        </w:tc>
        <w:tc>
          <w:tcPr>
            <w:tcW w:w="3343" w:type="dxa"/>
          </w:tcPr>
          <w:p w14:paraId="4D7F135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Reported basic EPS</w:t>
            </w:r>
          </w:p>
        </w:tc>
        <w:tc>
          <w:tcPr>
            <w:tcW w:w="944" w:type="dxa"/>
          </w:tcPr>
          <w:p w14:paraId="1F15822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$4.54</w:t>
            </w:r>
          </w:p>
        </w:tc>
        <w:tc>
          <w:tcPr>
            <w:tcW w:w="944" w:type="dxa"/>
          </w:tcPr>
          <w:p w14:paraId="172E65E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$6.60</w:t>
            </w:r>
          </w:p>
        </w:tc>
        <w:tc>
          <w:tcPr>
            <w:tcW w:w="1049" w:type="dxa"/>
          </w:tcPr>
          <w:p w14:paraId="6A0781E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+45.37%</w:t>
            </w:r>
          </w:p>
        </w:tc>
      </w:tr>
      <w:tr w:rsidR="00C85640" w:rsidRPr="00AD735E" w14:paraId="317AF5B1" w14:textId="77777777" w:rsidTr="00C85640">
        <w:trPr>
          <w:trHeight w:val="267"/>
        </w:trPr>
        <w:tc>
          <w:tcPr>
            <w:tcW w:w="1101" w:type="dxa"/>
          </w:tcPr>
          <w:p w14:paraId="00869CB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Investor</w:t>
            </w:r>
          </w:p>
        </w:tc>
        <w:tc>
          <w:tcPr>
            <w:tcW w:w="1665" w:type="dxa"/>
          </w:tcPr>
          <w:p w14:paraId="4735E3D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Dividend cover</w:t>
            </w:r>
          </w:p>
        </w:tc>
        <w:tc>
          <w:tcPr>
            <w:tcW w:w="3343" w:type="dxa"/>
          </w:tcPr>
          <w:p w14:paraId="7972185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Basic EPS ÷ dividend declared</w:t>
            </w:r>
          </w:p>
        </w:tc>
        <w:tc>
          <w:tcPr>
            <w:tcW w:w="944" w:type="dxa"/>
          </w:tcPr>
          <w:p w14:paraId="291C2B6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1.46x</w:t>
            </w:r>
          </w:p>
        </w:tc>
        <w:tc>
          <w:tcPr>
            <w:tcW w:w="944" w:type="dxa"/>
          </w:tcPr>
          <w:p w14:paraId="38BAD76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2.06x</w:t>
            </w:r>
          </w:p>
        </w:tc>
        <w:tc>
          <w:tcPr>
            <w:tcW w:w="1049" w:type="dxa"/>
          </w:tcPr>
          <w:p w14:paraId="72E760D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+0.60x</w:t>
            </w:r>
          </w:p>
        </w:tc>
      </w:tr>
    </w:tbl>
    <w:p w14:paraId="55305C32" w14:textId="77777777" w:rsidR="00C85640" w:rsidRPr="00AD735E" w:rsidRDefault="00C85640" w:rsidP="00C85640">
      <w:pPr>
        <w:spacing w:after="20"/>
        <w:rPr>
          <w:rFonts w:ascii="Times New Roman" w:hAnsi="Times New Roman" w:cs="Times New Roman"/>
          <w:color w:val="auto"/>
        </w:rPr>
      </w:pPr>
    </w:p>
    <w:p w14:paraId="3B4DBC49" w14:textId="77777777" w:rsidR="00C85640" w:rsidRPr="00AD735E" w:rsidRDefault="00C85640" w:rsidP="00C85640">
      <w:pPr>
        <w:pStyle w:val="Heading3"/>
        <w:rPr>
          <w:rFonts w:ascii="Times New Roman" w:hAnsi="Times New Roman" w:cs="Times New Roman"/>
          <w:color w:val="auto"/>
        </w:rPr>
      </w:pPr>
      <w:bookmarkStart w:id="5" w:name="_Toc243612744"/>
      <w:r w:rsidRPr="00AD735E">
        <w:rPr>
          <w:rFonts w:ascii="Times New Roman" w:hAnsi="Times New Roman" w:cs="Times New Roman"/>
          <w:color w:val="auto"/>
        </w:rPr>
        <w:t>2.1.2 Profitability</w:t>
      </w:r>
      <w:bookmarkEnd w:id="5"/>
    </w:p>
    <w:p w14:paraId="303D195B"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Revenue rose 8.63%, from $54,073 million to $58,739 million, while gross margin increased from 81.12% to 81.90%. While the improvement is good, the gross margin alone does not demonstrate improved production efficiency. Conclusions from the simple cross-firm approach are restricted by product mix, patents, royalties, supply arrangements and accounting classifications (Penman, 2013; Delen, Kuzey and Uyar, 2013).</w:t>
      </w:r>
    </w:p>
    <w:p w14:paraId="330293EC"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Operating profit rose from $10,003 million to $13,743 million while operating margin went up from 18.50% to 23.40%. The R&amp;D was up 4.78% compared to revenues, whereas the selling, general and administrative expense was nearly equal, and the restructuring costs dropped from $1,154 million to $237 million (AstraZeneca Plc, 2025a; AstraZeneca Plc, 2026). This resulted in a gain attributable to sales growth, operating leverage and lower restructuring charges, but may not be sustained due to the restructuring charges. The movement </w:t>
      </w:r>
      <w:proofErr w:type="spellStart"/>
      <w:r w:rsidRPr="00AD735E">
        <w:rPr>
          <w:rFonts w:ascii="Times New Roman" w:hAnsi="Times New Roman" w:cs="Times New Roman"/>
          <w:color w:val="auto"/>
        </w:rPr>
        <w:t>can not</w:t>
      </w:r>
      <w:proofErr w:type="spellEnd"/>
      <w:r w:rsidRPr="00AD735E">
        <w:rPr>
          <w:rFonts w:ascii="Times New Roman" w:hAnsi="Times New Roman" w:cs="Times New Roman"/>
          <w:color w:val="auto"/>
        </w:rPr>
        <w:t xml:space="preserve"> be considered just as general efficiency. However, the margin improvement due to less restructuring charges could be a one-off event in the year ahead.</w:t>
      </w:r>
    </w:p>
    <w:p w14:paraId="04F192BD"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The ROCE improved from 13.63% to 17.22% as operating profit grew faster than average capital employed. Fairfield and Yohn (2001) isolate the margin and turnover effects; </w:t>
      </w:r>
      <w:proofErr w:type="spellStart"/>
      <w:r w:rsidRPr="00AD735E">
        <w:rPr>
          <w:rFonts w:ascii="Times New Roman" w:hAnsi="Times New Roman" w:cs="Times New Roman"/>
          <w:color w:val="auto"/>
        </w:rPr>
        <w:t>Piotroski</w:t>
      </w:r>
      <w:proofErr w:type="spellEnd"/>
      <w:r w:rsidRPr="00AD735E">
        <w:rPr>
          <w:rFonts w:ascii="Times New Roman" w:hAnsi="Times New Roman" w:cs="Times New Roman"/>
          <w:color w:val="auto"/>
        </w:rPr>
        <w:t xml:space="preserve"> (2000) recommends interpreting the profitability and leverage and efficiency aspects. AstraZeneca's improved profitability must be considered alongside weaker inventory and receivables turnover which should be checked by management on cash conversion and working-capital control. Sustainable operating cash flows are most beneficial in higher accounting profits.</w:t>
      </w:r>
    </w:p>
    <w:p w14:paraId="42971382" w14:textId="77777777" w:rsidR="00C85640" w:rsidRPr="00AD735E" w:rsidRDefault="00C85640" w:rsidP="00C85640">
      <w:pPr>
        <w:pStyle w:val="Heading3"/>
        <w:rPr>
          <w:rFonts w:ascii="Times New Roman" w:hAnsi="Times New Roman" w:cs="Times New Roman"/>
          <w:color w:val="auto"/>
        </w:rPr>
      </w:pPr>
      <w:bookmarkStart w:id="6" w:name="_Toc243612745"/>
      <w:r w:rsidRPr="00AD735E">
        <w:rPr>
          <w:rFonts w:ascii="Times New Roman" w:hAnsi="Times New Roman" w:cs="Times New Roman"/>
          <w:color w:val="auto"/>
        </w:rPr>
        <w:t>2.1.3 Liquidity and working capital</w:t>
      </w:r>
      <w:bookmarkEnd w:id="6"/>
    </w:p>
    <w:p w14:paraId="38D43A91"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 current ratio (0.93:0.94) and the quick ratio (0.74:0.72) were below one due to the increase in inventory relative to liquid assets. A universal 2:1 ratio doesn't work due to the predictable receipts, facilities and rapid supplier cycles for big firms. However, sub-one coverage will reduce the disruption capacity and requires to be evaluated in terms of cash flows, maturities and funding access (</w:t>
      </w:r>
      <w:proofErr w:type="spellStart"/>
      <w:r w:rsidRPr="00AD735E">
        <w:rPr>
          <w:rFonts w:ascii="Times New Roman" w:hAnsi="Times New Roman" w:cs="Times New Roman"/>
          <w:color w:val="auto"/>
        </w:rPr>
        <w:t>Atrill</w:t>
      </w:r>
      <w:proofErr w:type="spellEnd"/>
      <w:r w:rsidRPr="00AD735E">
        <w:rPr>
          <w:rFonts w:ascii="Times New Roman" w:hAnsi="Times New Roman" w:cs="Times New Roman"/>
          <w:color w:val="auto"/>
        </w:rPr>
        <w:t>, 2020; Palepu, Healy and Peek, 2020). Consider the need for headroom in a large group if there are delays in receiving, or disruption in markets.</w:t>
      </w:r>
    </w:p>
    <w:p w14:paraId="40D7AC6F"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lastRenderedPageBreak/>
        <w:t xml:space="preserve">Operating cash inflow grew by 22.88% to $14,575 million while cash rose from $5,488 million to $5,711 million (AstraZeneca, 2025a). However, increases in trade and other receivables and inventories of $1,728 million and $755 million, respectively, used up cash. As a result, cash generation continued to be good with a tight </w:t>
      </w:r>
      <w:proofErr w:type="gramStart"/>
      <w:r w:rsidRPr="00AD735E">
        <w:rPr>
          <w:rFonts w:ascii="Times New Roman" w:hAnsi="Times New Roman" w:cs="Times New Roman"/>
          <w:color w:val="auto"/>
        </w:rPr>
        <w:t>short term</w:t>
      </w:r>
      <w:proofErr w:type="gramEnd"/>
      <w:r w:rsidRPr="00AD735E">
        <w:rPr>
          <w:rFonts w:ascii="Times New Roman" w:hAnsi="Times New Roman" w:cs="Times New Roman"/>
          <w:color w:val="auto"/>
        </w:rPr>
        <w:t xml:space="preserve"> coverage. There is some good evidence, but not consistent. Operating cash flow and maturities of near-term debt are important to the Board to review prior to determining whether the small ratio movement is acceptable.</w:t>
      </w:r>
    </w:p>
    <w:p w14:paraId="2CFEFD69"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The relationship between working-capital and profitability is linked to the level of working-capital which is dependent on industry and risk (Deloof, 2003; García-Teruel and Martínez-Solano, 2007; Enqvist, Graham and Nikkinen, 2014; Anton and </w:t>
      </w:r>
      <w:proofErr w:type="spellStart"/>
      <w:r w:rsidRPr="00AD735E">
        <w:rPr>
          <w:rFonts w:ascii="Times New Roman" w:hAnsi="Times New Roman" w:cs="Times New Roman"/>
          <w:color w:val="auto"/>
        </w:rPr>
        <w:t>Nucu</w:t>
      </w:r>
      <w:proofErr w:type="spellEnd"/>
      <w:r w:rsidRPr="00AD735E">
        <w:rPr>
          <w:rFonts w:ascii="Times New Roman" w:hAnsi="Times New Roman" w:cs="Times New Roman"/>
          <w:color w:val="auto"/>
        </w:rPr>
        <w:t xml:space="preserve">, 2021; </w:t>
      </w:r>
      <w:proofErr w:type="spellStart"/>
      <w:r w:rsidRPr="00AD735E">
        <w:rPr>
          <w:rFonts w:ascii="Times New Roman" w:hAnsi="Times New Roman" w:cs="Times New Roman"/>
          <w:color w:val="auto"/>
        </w:rPr>
        <w:t>Aldubhani</w:t>
      </w:r>
      <w:proofErr w:type="spellEnd"/>
      <w:r w:rsidRPr="00AD735E">
        <w:rPr>
          <w:rFonts w:ascii="Times New Roman" w:hAnsi="Times New Roman" w:cs="Times New Roman"/>
          <w:color w:val="auto"/>
        </w:rPr>
        <w:t xml:space="preserve"> et al., 2022). Reducing inventory excessively may weaken supply resilience. Aktas, Croci and </w:t>
      </w:r>
      <w:proofErr w:type="spellStart"/>
      <w:r w:rsidRPr="00AD735E">
        <w:rPr>
          <w:rFonts w:ascii="Times New Roman" w:hAnsi="Times New Roman" w:cs="Times New Roman"/>
          <w:color w:val="auto"/>
        </w:rPr>
        <w:t>Petmezas</w:t>
      </w:r>
      <w:proofErr w:type="spellEnd"/>
      <w:r w:rsidRPr="00AD735E">
        <w:rPr>
          <w:rFonts w:ascii="Times New Roman" w:hAnsi="Times New Roman" w:cs="Times New Roman"/>
          <w:color w:val="auto"/>
        </w:rPr>
        <w:t xml:space="preserve"> (2015) and Boisjoly, Conine and McDonald (2020) thus suggest an optimal level which isn't necessarily minimal. AstraZeneca need to adopt a more effective way of managing stock to differentiate strategic stock from slow or exposed stock, and to track the overdue stock by market. This is a way to do it, without adding up unnecessary cash in current assets.</w:t>
      </w:r>
    </w:p>
    <w:p w14:paraId="4D4C6BE0" w14:textId="77777777" w:rsidR="00C85640" w:rsidRPr="00AD735E" w:rsidRDefault="00C85640" w:rsidP="00C85640">
      <w:pPr>
        <w:pStyle w:val="Heading3"/>
        <w:rPr>
          <w:rFonts w:ascii="Times New Roman" w:hAnsi="Times New Roman" w:cs="Times New Roman"/>
          <w:color w:val="auto"/>
        </w:rPr>
      </w:pPr>
      <w:bookmarkStart w:id="7" w:name="_Toc243612746"/>
      <w:r w:rsidRPr="00AD735E">
        <w:rPr>
          <w:rFonts w:ascii="Times New Roman" w:hAnsi="Times New Roman" w:cs="Times New Roman"/>
          <w:color w:val="auto"/>
        </w:rPr>
        <w:t>2.1.4 Gearing and financing risk</w:t>
      </w:r>
      <w:bookmarkEnd w:id="7"/>
    </w:p>
    <w:p w14:paraId="07D35C33"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The level of gross debt to equity was reduced from 74.12% to 60.80% because equity increased from $40,871 million to $48,719 million while borrowings (including leases) decreased from $30,295 million to $29,622 million. Net debt also decreased to $23,374m (AstraZeneca, 2025a). Debt reduction and retained value, therefore, contributed to an improvement in gearing, while leases included </w:t>
      </w:r>
      <w:proofErr w:type="spellStart"/>
      <w:r w:rsidRPr="00AD735E">
        <w:rPr>
          <w:rFonts w:ascii="Times New Roman" w:hAnsi="Times New Roman" w:cs="Times New Roman"/>
          <w:color w:val="auto"/>
        </w:rPr>
        <w:t>recognised</w:t>
      </w:r>
      <w:proofErr w:type="spellEnd"/>
      <w:r w:rsidRPr="00AD735E">
        <w:rPr>
          <w:rFonts w:ascii="Times New Roman" w:hAnsi="Times New Roman" w:cs="Times New Roman"/>
          <w:color w:val="auto"/>
        </w:rPr>
        <w:t xml:space="preserve"> the contractual obligation. The movement subsequently occurs on either side of the ratio and not just because of growth in the denominator.</w:t>
      </w:r>
    </w:p>
    <w:p w14:paraId="5284D29D"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 interest cover rose from 5.74 to 8.11 times, thus providing a better buffer over the finance expense. Fixed obligations and distress risk, however, need to be taken into account when considering the tax benefits of debt (Modigliani and Miller, 1958; Myers, 1984; Frank and Goyal, 2009). The Board should conduct stress tests on weaker sales and currency fluctuations as well as refinancing costs, since year-end ratios do not include exposure to maturity, rate, or covenant.</w:t>
      </w:r>
    </w:p>
    <w:p w14:paraId="4C90B2D1" w14:textId="77777777" w:rsidR="00C85640" w:rsidRPr="00AD735E" w:rsidRDefault="00C85640" w:rsidP="00C85640">
      <w:pPr>
        <w:pStyle w:val="Heading3"/>
        <w:rPr>
          <w:rFonts w:ascii="Times New Roman" w:hAnsi="Times New Roman" w:cs="Times New Roman"/>
          <w:color w:val="auto"/>
        </w:rPr>
      </w:pPr>
      <w:bookmarkStart w:id="8" w:name="_Toc243612747"/>
      <w:r w:rsidRPr="00AD735E">
        <w:rPr>
          <w:rFonts w:ascii="Times New Roman" w:hAnsi="Times New Roman" w:cs="Times New Roman"/>
          <w:color w:val="auto"/>
        </w:rPr>
        <w:t>2.1.5 Efficiency</w:t>
      </w:r>
      <w:bookmarkEnd w:id="8"/>
    </w:p>
    <w:p w14:paraId="6628D756"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Average inventory grew faster than the cost of sales causing a drop in inventory turns from 1.91 to 1.80 times, as was consistent with the cash absorption. It could be due to capacity or perhaps length of supply chain or its resilience but doesn't prove it. They are thus questions posed not facts set forth in the accounts. Disruption can affect the working-capital results, and deviations from the optimum working-capital level can negatively affect the profitability (</w:t>
      </w:r>
      <w:proofErr w:type="spellStart"/>
      <w:r w:rsidRPr="00AD735E">
        <w:rPr>
          <w:rFonts w:ascii="Times New Roman" w:hAnsi="Times New Roman" w:cs="Times New Roman"/>
          <w:color w:val="auto"/>
        </w:rPr>
        <w:t>Demiraj</w:t>
      </w:r>
      <w:proofErr w:type="spellEnd"/>
      <w:r w:rsidRPr="00AD735E">
        <w:rPr>
          <w:rFonts w:ascii="Times New Roman" w:hAnsi="Times New Roman" w:cs="Times New Roman"/>
          <w:color w:val="auto"/>
        </w:rPr>
        <w:t>, Dsouza and Abiad, 2022; Baños-Caballero, García-Teruel and Martínez-Solano, 2012).</w:t>
      </w:r>
    </w:p>
    <w:p w14:paraId="47D9EF29"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Trade receivables turnover decreased from 6.44 to 6.31 times. The denominator is used appropriately using gross trade receivables and the 2023 comparator; total revenue is used as a proxy for unidentified credit sales. The change doesn't necessarily reflect weak control; it could be simply a change in the nature of the composition of customers or in how they are being collected. Overdue days, disputes, expected credit losses and country concentration (IFRS Foundation, 2021c) should be a focus point for management under the new IFRS 9 approach.</w:t>
      </w:r>
    </w:p>
    <w:p w14:paraId="0EB8C779"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Efficiency, as a result, reveals the increased margins and ROCE: there were higher levels of inventory and receivables tied up. Nissim and Penman (2001) are in </w:t>
      </w:r>
      <w:proofErr w:type="spellStart"/>
      <w:r w:rsidRPr="00AD735E">
        <w:rPr>
          <w:rFonts w:ascii="Times New Roman" w:hAnsi="Times New Roman" w:cs="Times New Roman"/>
          <w:color w:val="auto"/>
        </w:rPr>
        <w:t>favour</w:t>
      </w:r>
      <w:proofErr w:type="spellEnd"/>
      <w:r w:rsidRPr="00AD735E">
        <w:rPr>
          <w:rFonts w:ascii="Times New Roman" w:hAnsi="Times New Roman" w:cs="Times New Roman"/>
          <w:color w:val="auto"/>
        </w:rPr>
        <w:t xml:space="preserve"> of separating operating and financing effects. AstraZeneca needs to make available unneeded working capital without compromising the quality of sales or supply. Volume, price, product-mix and collection effects should be specifically </w:t>
      </w:r>
      <w:r w:rsidRPr="00AD735E">
        <w:rPr>
          <w:rFonts w:ascii="Times New Roman" w:hAnsi="Times New Roman" w:cs="Times New Roman"/>
          <w:color w:val="auto"/>
        </w:rPr>
        <w:lastRenderedPageBreak/>
        <w:t>identified in monthly reporting, thus enabling corrective actions to be taken that focus on cause rather than an unnecessary reduction in working-capital.</w:t>
      </w:r>
    </w:p>
    <w:p w14:paraId="61C91CAF" w14:textId="77777777" w:rsidR="00C85640" w:rsidRPr="00AD735E" w:rsidRDefault="00C85640" w:rsidP="00C85640">
      <w:pPr>
        <w:pStyle w:val="Heading3"/>
        <w:rPr>
          <w:rFonts w:ascii="Times New Roman" w:hAnsi="Times New Roman" w:cs="Times New Roman"/>
          <w:color w:val="auto"/>
        </w:rPr>
      </w:pPr>
      <w:bookmarkStart w:id="9" w:name="_Toc243612748"/>
      <w:r w:rsidRPr="00AD735E">
        <w:rPr>
          <w:rFonts w:ascii="Times New Roman" w:hAnsi="Times New Roman" w:cs="Times New Roman"/>
          <w:color w:val="auto"/>
        </w:rPr>
        <w:t>2.1.6 Investor ratios</w:t>
      </w:r>
      <w:bookmarkEnd w:id="9"/>
    </w:p>
    <w:p w14:paraId="7B5E5A76"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ROE rose from 17.59% to 22.84% as profit outpaced average equity, while EPS increased 45.37% from $4.54 to $6.60 (AstraZeneca, 2025a). The higher ROE also has less influence of an increase in financial risk as gearing decreases.</w:t>
      </w:r>
    </w:p>
    <w:p w14:paraId="6DC1487E"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Dividend per share rose to $3.20 from $3.10 and cover v ratio jumped to 2.06 from 1.46, providing more of an earnings margin for dividends. This can help to rebuild and recover. These measures do not include market valuation and total shareholder return, though, and reported EPS may include 'exceptional items' and estimates, even though the IAS 33 share-count rules (IFRS Foundation, 2021a) have been applied. Therefore, distributions should be based on free cash flow, rather than on one investor ratio, as well as on pipeline investment and leverage.</w:t>
      </w:r>
    </w:p>
    <w:p w14:paraId="2B06EBB5" w14:textId="77777777" w:rsidR="00C85640" w:rsidRPr="00AD735E" w:rsidRDefault="00C85640" w:rsidP="00C85640">
      <w:pPr>
        <w:pStyle w:val="Heading3"/>
        <w:rPr>
          <w:rFonts w:ascii="Times New Roman" w:hAnsi="Times New Roman" w:cs="Times New Roman"/>
          <w:color w:val="auto"/>
        </w:rPr>
      </w:pPr>
      <w:bookmarkStart w:id="10" w:name="_Toc243612749"/>
      <w:r w:rsidRPr="00AD735E">
        <w:rPr>
          <w:rFonts w:ascii="Times New Roman" w:hAnsi="Times New Roman" w:cs="Times New Roman"/>
          <w:color w:val="auto"/>
        </w:rPr>
        <w:t>2.1.7 Limitations of the analysis</w:t>
      </w:r>
      <w:bookmarkEnd w:id="10"/>
    </w:p>
    <w:p w14:paraId="438D41D1"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When using ratio analysis, the statements are simplified but there is a limit on the data. These two years may be indicative of atypical restructuring or product events and annual balances may vary from the seasonal averages. Average denominators reduce, but do not eliminate, this weakness. Other accounting policies and estimates have an impact on R&amp;D, impairment, provisions, acquisitions and currency translation. The IFRS Framework works to increase consistency, but does not create uniformity among business models (IFRS Foundation, 2018; Barnes, 1987).</w:t>
      </w:r>
    </w:p>
    <w:p w14:paraId="1D22B835"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Ratios do not include pipeline quality, patent expiry, regulation and clinical risk, and are historical. Not a matched peer benchmark is provided, which can lead to misinformation by therapeutic mix, geographic location, acquisition experience. There is also no matched peer so there is a greater ability to assess directionality within AstraZeneca as compared to relative ranking versus peers. Alternatively, ratio models can have sampling and stability issues (</w:t>
      </w:r>
      <w:proofErr w:type="spellStart"/>
      <w:r w:rsidRPr="00AD735E">
        <w:rPr>
          <w:rFonts w:ascii="Times New Roman" w:hAnsi="Times New Roman" w:cs="Times New Roman"/>
          <w:color w:val="auto"/>
        </w:rPr>
        <w:t>Balcaen</w:t>
      </w:r>
      <w:proofErr w:type="spellEnd"/>
      <w:r w:rsidRPr="00AD735E">
        <w:rPr>
          <w:rFonts w:ascii="Times New Roman" w:hAnsi="Times New Roman" w:cs="Times New Roman"/>
          <w:color w:val="auto"/>
        </w:rPr>
        <w:t xml:space="preserve"> and </w:t>
      </w:r>
      <w:proofErr w:type="spellStart"/>
      <w:r w:rsidRPr="00AD735E">
        <w:rPr>
          <w:rFonts w:ascii="Times New Roman" w:hAnsi="Times New Roman" w:cs="Times New Roman"/>
          <w:color w:val="auto"/>
        </w:rPr>
        <w:t>Ooghe</w:t>
      </w:r>
      <w:proofErr w:type="spellEnd"/>
      <w:r w:rsidRPr="00AD735E">
        <w:rPr>
          <w:rFonts w:ascii="Times New Roman" w:hAnsi="Times New Roman" w:cs="Times New Roman"/>
          <w:color w:val="auto"/>
        </w:rPr>
        <w:t>, 2006), while combined measures tend to provide more information (Altman, 1968; Linares-</w:t>
      </w:r>
      <w:proofErr w:type="spellStart"/>
      <w:r w:rsidRPr="00AD735E">
        <w:rPr>
          <w:rFonts w:ascii="Times New Roman" w:hAnsi="Times New Roman" w:cs="Times New Roman"/>
          <w:color w:val="auto"/>
        </w:rPr>
        <w:t>Mustarós</w:t>
      </w:r>
      <w:proofErr w:type="spellEnd"/>
      <w:r w:rsidRPr="00AD735E">
        <w:rPr>
          <w:rFonts w:ascii="Times New Roman" w:hAnsi="Times New Roman" w:cs="Times New Roman"/>
          <w:color w:val="auto"/>
        </w:rPr>
        <w:t xml:space="preserve"> et al., 2022). The results do not predict what will happen in the future, nor do they eliminate uncertainty, rather they inform questions and decisions.</w:t>
      </w:r>
    </w:p>
    <w:p w14:paraId="58019574" w14:textId="77777777" w:rsidR="00C85640" w:rsidRPr="00AD735E" w:rsidRDefault="00C85640" w:rsidP="00C85640">
      <w:pPr>
        <w:rPr>
          <w:rFonts w:ascii="Times New Roman" w:hAnsi="Times New Roman" w:cs="Times New Roman"/>
          <w:color w:val="auto"/>
        </w:rPr>
      </w:pPr>
    </w:p>
    <w:p w14:paraId="4FCF78ED" w14:textId="77777777" w:rsidR="00C85640" w:rsidRPr="00AD735E" w:rsidRDefault="00C85640" w:rsidP="00C85640">
      <w:pPr>
        <w:pStyle w:val="Heading3"/>
        <w:rPr>
          <w:rFonts w:ascii="Times New Roman" w:hAnsi="Times New Roman" w:cs="Times New Roman"/>
          <w:color w:val="auto"/>
        </w:rPr>
      </w:pPr>
      <w:bookmarkStart w:id="11" w:name="_Toc243612750"/>
      <w:r w:rsidRPr="00AD735E">
        <w:rPr>
          <w:rFonts w:ascii="Times New Roman" w:hAnsi="Times New Roman" w:cs="Times New Roman"/>
          <w:color w:val="auto"/>
        </w:rPr>
        <w:t>2.1.8 Recommendations to AstraZeneca’s Board</w:t>
      </w:r>
      <w:bookmarkEnd w:id="11"/>
    </w:p>
    <w:p w14:paraId="655F0A9D"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2. Financial-management recommendations</w:t>
      </w:r>
    </w:p>
    <w:tbl>
      <w:tblPr>
        <w:tblStyle w:val="TableGrid"/>
        <w:tblW w:w="9063" w:type="dxa"/>
        <w:tblLayout w:type="fixed"/>
        <w:tblLook w:val="04A0" w:firstRow="1" w:lastRow="0" w:firstColumn="1" w:lastColumn="0" w:noHBand="0" w:noVBand="1"/>
      </w:tblPr>
      <w:tblGrid>
        <w:gridCol w:w="1618"/>
        <w:gridCol w:w="4209"/>
        <w:gridCol w:w="1618"/>
        <w:gridCol w:w="1618"/>
      </w:tblGrid>
      <w:tr w:rsidR="00C85640" w:rsidRPr="00AD735E" w14:paraId="1A42065F" w14:textId="77777777" w:rsidTr="00C85640">
        <w:trPr>
          <w:trHeight w:val="228"/>
        </w:trPr>
        <w:tc>
          <w:tcPr>
            <w:tcW w:w="1618" w:type="dxa"/>
          </w:tcPr>
          <w:p w14:paraId="0A27262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Action</w:t>
            </w:r>
          </w:p>
        </w:tc>
        <w:tc>
          <w:tcPr>
            <w:tcW w:w="4209" w:type="dxa"/>
          </w:tcPr>
          <w:p w14:paraId="1AF0002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Specific recommendation</w:t>
            </w:r>
          </w:p>
        </w:tc>
        <w:tc>
          <w:tcPr>
            <w:tcW w:w="1618" w:type="dxa"/>
          </w:tcPr>
          <w:p w14:paraId="0442014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Measure</w:t>
            </w:r>
          </w:p>
        </w:tc>
        <w:tc>
          <w:tcPr>
            <w:tcW w:w="1618" w:type="dxa"/>
          </w:tcPr>
          <w:p w14:paraId="7336D97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Expected effect</w:t>
            </w:r>
          </w:p>
        </w:tc>
      </w:tr>
      <w:tr w:rsidR="00C85640" w:rsidRPr="00AD735E" w14:paraId="57B372A3" w14:textId="77777777" w:rsidTr="00C85640">
        <w:trPr>
          <w:trHeight w:val="433"/>
        </w:trPr>
        <w:tc>
          <w:tcPr>
            <w:tcW w:w="1618" w:type="dxa"/>
          </w:tcPr>
          <w:p w14:paraId="71FB377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Working-capital control</w:t>
            </w:r>
          </w:p>
        </w:tc>
        <w:tc>
          <w:tcPr>
            <w:tcW w:w="4209" w:type="dxa"/>
          </w:tcPr>
          <w:p w14:paraId="4D8B989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Set inventory targets; review slow stock, overdue balances and disputes monthly.</w:t>
            </w:r>
          </w:p>
        </w:tc>
        <w:tc>
          <w:tcPr>
            <w:tcW w:w="1618" w:type="dxa"/>
          </w:tcPr>
          <w:p w14:paraId="7F6A847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Turnover; operating cash flow</w:t>
            </w:r>
          </w:p>
        </w:tc>
        <w:tc>
          <w:tcPr>
            <w:tcW w:w="1618" w:type="dxa"/>
          </w:tcPr>
          <w:p w14:paraId="3469BE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Release cash without weakening supply.</w:t>
            </w:r>
          </w:p>
        </w:tc>
      </w:tr>
      <w:tr w:rsidR="00C85640" w:rsidRPr="00AD735E" w14:paraId="5300A295" w14:textId="77777777" w:rsidTr="00C85640">
        <w:trPr>
          <w:trHeight w:val="420"/>
        </w:trPr>
        <w:tc>
          <w:tcPr>
            <w:tcW w:w="1618" w:type="dxa"/>
          </w:tcPr>
          <w:p w14:paraId="1A41C09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Cash-linked growth</w:t>
            </w:r>
          </w:p>
        </w:tc>
        <w:tc>
          <w:tcPr>
            <w:tcW w:w="4209" w:type="dxa"/>
          </w:tcPr>
          <w:p w14:paraId="67853CF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Show margin, cash-conversion and downside cases for major plans, with named owners.</w:t>
            </w:r>
          </w:p>
        </w:tc>
        <w:tc>
          <w:tcPr>
            <w:tcW w:w="1618" w:type="dxa"/>
          </w:tcPr>
          <w:p w14:paraId="7D81863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ROCE; margin; cash conversion</w:t>
            </w:r>
          </w:p>
        </w:tc>
        <w:tc>
          <w:tcPr>
            <w:tcW w:w="1618" w:type="dxa"/>
          </w:tcPr>
          <w:p w14:paraId="6D077AD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Protect the improved return.</w:t>
            </w:r>
          </w:p>
        </w:tc>
      </w:tr>
      <w:tr w:rsidR="00C85640" w:rsidRPr="00AD735E" w14:paraId="532D8932" w14:textId="77777777" w:rsidTr="00C85640">
        <w:trPr>
          <w:trHeight w:val="433"/>
        </w:trPr>
        <w:tc>
          <w:tcPr>
            <w:tcW w:w="1618" w:type="dxa"/>
          </w:tcPr>
          <w:p w14:paraId="5A6A208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Debt resilience</w:t>
            </w:r>
          </w:p>
        </w:tc>
        <w:tc>
          <w:tcPr>
            <w:tcW w:w="4209" w:type="dxa"/>
          </w:tcPr>
          <w:p w14:paraId="346F5C5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Stress-test maturities, rates and covenants; repay expensive debt selectively.</w:t>
            </w:r>
          </w:p>
        </w:tc>
        <w:tc>
          <w:tcPr>
            <w:tcW w:w="1618" w:type="dxa"/>
          </w:tcPr>
          <w:p w14:paraId="2F3692B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Debt/equity; interest cover; net debt</w:t>
            </w:r>
          </w:p>
        </w:tc>
        <w:tc>
          <w:tcPr>
            <w:tcW w:w="1618" w:type="dxa"/>
          </w:tcPr>
          <w:p w14:paraId="5BA7E5F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Reduce refinancing risk.</w:t>
            </w:r>
          </w:p>
        </w:tc>
      </w:tr>
      <w:tr w:rsidR="00C85640" w:rsidRPr="00AD735E" w14:paraId="43E574B4" w14:textId="77777777" w:rsidTr="00C85640">
        <w:trPr>
          <w:trHeight w:val="433"/>
        </w:trPr>
        <w:tc>
          <w:tcPr>
            <w:tcW w:w="1618" w:type="dxa"/>
          </w:tcPr>
          <w:p w14:paraId="14F52EE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Distribution discipline</w:t>
            </w:r>
          </w:p>
        </w:tc>
        <w:tc>
          <w:tcPr>
            <w:tcW w:w="4209" w:type="dxa"/>
          </w:tcPr>
          <w:p w14:paraId="1D15822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Link dividends and buy-backs to free cash flow after R&amp;D, capital and debt needs.</w:t>
            </w:r>
          </w:p>
        </w:tc>
        <w:tc>
          <w:tcPr>
            <w:tcW w:w="1618" w:type="dxa"/>
          </w:tcPr>
          <w:p w14:paraId="5D2DEB8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Dividend cover; EPS; net debt</w:t>
            </w:r>
          </w:p>
        </w:tc>
        <w:tc>
          <w:tcPr>
            <w:tcW w:w="1618" w:type="dxa"/>
          </w:tcPr>
          <w:p w14:paraId="45B1751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Balance returns and innovation.</w:t>
            </w:r>
          </w:p>
        </w:tc>
      </w:tr>
      <w:tr w:rsidR="00C85640" w:rsidRPr="00AD735E" w14:paraId="2604FBF0" w14:textId="77777777" w:rsidTr="00C85640">
        <w:trPr>
          <w:trHeight w:val="420"/>
        </w:trPr>
        <w:tc>
          <w:tcPr>
            <w:tcW w:w="1618" w:type="dxa"/>
          </w:tcPr>
          <w:p w14:paraId="54BB019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Board dashboard</w:t>
            </w:r>
          </w:p>
        </w:tc>
        <w:tc>
          <w:tcPr>
            <w:tcW w:w="4209" w:type="dxa"/>
          </w:tcPr>
          <w:p w14:paraId="2538124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Link thresholds, causes and actions instead of isolated ratio targets.</w:t>
            </w:r>
          </w:p>
        </w:tc>
        <w:tc>
          <w:tcPr>
            <w:tcW w:w="1618" w:type="dxa"/>
          </w:tcPr>
          <w:p w14:paraId="73214E1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All ratio groups</w:t>
            </w:r>
          </w:p>
        </w:tc>
        <w:tc>
          <w:tcPr>
            <w:tcW w:w="1618" w:type="dxa"/>
          </w:tcPr>
          <w:p w14:paraId="5FBE63B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Improve accountability.</w:t>
            </w:r>
          </w:p>
        </w:tc>
      </w:tr>
    </w:tbl>
    <w:p w14:paraId="2841FB75" w14:textId="77777777" w:rsidR="00C85640" w:rsidRPr="00AD735E" w:rsidRDefault="00C85640" w:rsidP="00C85640">
      <w:pPr>
        <w:spacing w:after="20"/>
        <w:rPr>
          <w:rFonts w:ascii="Times New Roman" w:hAnsi="Times New Roman" w:cs="Times New Roman"/>
          <w:color w:val="auto"/>
        </w:rPr>
      </w:pPr>
    </w:p>
    <w:p w14:paraId="0658861C" w14:textId="77777777" w:rsidR="00C85640" w:rsidRPr="00AD735E" w:rsidRDefault="00C85640" w:rsidP="00C85640">
      <w:pPr>
        <w:rPr>
          <w:rFonts w:ascii="Times New Roman" w:hAnsi="Times New Roman" w:cs="Times New Roman"/>
          <w:color w:val="auto"/>
        </w:rPr>
      </w:pPr>
    </w:p>
    <w:p w14:paraId="0D1D820B"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lastRenderedPageBreak/>
        <w:t>The recommendations are based on greater profitability and financing strength, with lower liquidity and efficiency of working capital. Each target requires an owner, a tolerance and escalation path (Financial Reporting Council, 2024) for the 2024 UK Corporate Governance Code, which puts boards' feet on the ground with regards to risk management and material controls.</w:t>
      </w:r>
    </w:p>
    <w:p w14:paraId="4012975E" w14:textId="77777777" w:rsidR="00C85640" w:rsidRPr="00AD735E" w:rsidRDefault="00C85640" w:rsidP="00C85640">
      <w:pPr>
        <w:rPr>
          <w:rFonts w:ascii="Times New Roman" w:hAnsi="Times New Roman" w:cs="Times New Roman"/>
          <w:color w:val="auto"/>
        </w:rPr>
      </w:pPr>
    </w:p>
    <w:p w14:paraId="2445D3E8" w14:textId="77777777" w:rsidR="00C85640" w:rsidRPr="00AD735E" w:rsidRDefault="00C85640" w:rsidP="00C85640">
      <w:pPr>
        <w:pStyle w:val="Heading2"/>
        <w:rPr>
          <w:rFonts w:ascii="Times New Roman" w:hAnsi="Times New Roman" w:cs="Times New Roman"/>
          <w:color w:val="auto"/>
        </w:rPr>
      </w:pPr>
      <w:bookmarkStart w:id="12" w:name="_Toc243612751"/>
      <w:r w:rsidRPr="00AD735E">
        <w:rPr>
          <w:rFonts w:ascii="Times New Roman" w:hAnsi="Times New Roman" w:cs="Times New Roman"/>
          <w:color w:val="auto"/>
        </w:rPr>
        <w:t>2.2 Task 2: Beard Plc capital investment appraisal</w:t>
      </w:r>
      <w:bookmarkEnd w:id="12"/>
    </w:p>
    <w:p w14:paraId="25DF2E32" w14:textId="77777777" w:rsidR="00C85640" w:rsidRPr="00AD735E" w:rsidRDefault="00C85640" w:rsidP="00C85640">
      <w:pPr>
        <w:pStyle w:val="Heading3"/>
        <w:rPr>
          <w:rFonts w:ascii="Times New Roman" w:hAnsi="Times New Roman" w:cs="Times New Roman"/>
          <w:color w:val="auto"/>
        </w:rPr>
      </w:pPr>
      <w:bookmarkStart w:id="13" w:name="_Toc243612752"/>
      <w:r w:rsidRPr="00AD735E">
        <w:rPr>
          <w:rFonts w:ascii="Times New Roman" w:hAnsi="Times New Roman" w:cs="Times New Roman"/>
          <w:color w:val="auto"/>
        </w:rPr>
        <w:t>2.2.1 Case data and tax treatment</w:t>
      </w:r>
      <w:bookmarkEnd w:id="13"/>
    </w:p>
    <w:p w14:paraId="7DFBEF81"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Beard Plc has three plans of £600,000, £900,000 and £1,000,000 for expanding their retail segment, developing internet sales and producing purses and wallets, respectively. With 25% tax and 20% straight-line allowances arising in the same year, annual allowances are £120,000, £180,000 and £200,000. The tax-adjusted project cash flow equals 75% of the pre-tax cash flow plus tax relief of 25% of the annual capital allowance. All residual value, inflation, working capital recovery and additional data are not assumed.</w:t>
      </w:r>
    </w:p>
    <w:p w14:paraId="452022AC" w14:textId="77777777" w:rsidR="00C85640" w:rsidRPr="00AD735E" w:rsidRDefault="00C85640" w:rsidP="00C85640">
      <w:pPr>
        <w:rPr>
          <w:rFonts w:ascii="Times New Roman" w:hAnsi="Times New Roman" w:cs="Times New Roman"/>
          <w:color w:val="auto"/>
        </w:rPr>
      </w:pPr>
    </w:p>
    <w:p w14:paraId="7CDEEF3B" w14:textId="77777777" w:rsidR="00C85640" w:rsidRPr="00AD735E" w:rsidRDefault="00C85640" w:rsidP="00C85640">
      <w:pPr>
        <w:rPr>
          <w:rFonts w:ascii="Times New Roman" w:hAnsi="Times New Roman" w:cs="Times New Roman"/>
          <w:color w:val="auto"/>
        </w:rPr>
      </w:pPr>
    </w:p>
    <w:p w14:paraId="0F8CA6F8" w14:textId="77777777" w:rsidR="00C85640" w:rsidRPr="00AD735E" w:rsidRDefault="00C85640" w:rsidP="00C85640">
      <w:pPr>
        <w:rPr>
          <w:rFonts w:ascii="Times New Roman" w:hAnsi="Times New Roman" w:cs="Times New Roman"/>
          <w:color w:val="auto"/>
        </w:rPr>
      </w:pPr>
    </w:p>
    <w:p w14:paraId="21EE2760" w14:textId="77777777" w:rsidR="00C85640" w:rsidRPr="00AD735E" w:rsidRDefault="00C85640" w:rsidP="00C85640">
      <w:pPr>
        <w:rPr>
          <w:rFonts w:ascii="Times New Roman" w:hAnsi="Times New Roman" w:cs="Times New Roman"/>
          <w:color w:val="auto"/>
        </w:rPr>
      </w:pPr>
    </w:p>
    <w:tbl>
      <w:tblPr>
        <w:tblStyle w:val="TableGrid"/>
        <w:tblW w:w="9058" w:type="dxa"/>
        <w:tblLayout w:type="fixed"/>
        <w:tblLook w:val="04A0" w:firstRow="1" w:lastRow="0" w:firstColumn="1" w:lastColumn="0" w:noHBand="0" w:noVBand="1"/>
      </w:tblPr>
      <w:tblGrid>
        <w:gridCol w:w="9058"/>
      </w:tblGrid>
      <w:tr w:rsidR="00C85640" w:rsidRPr="00AD735E" w14:paraId="0C8662A2" w14:textId="77777777" w:rsidTr="00C85640">
        <w:trPr>
          <w:trHeight w:val="526"/>
        </w:trPr>
        <w:tc>
          <w:tcPr>
            <w:tcW w:w="9058" w:type="dxa"/>
          </w:tcPr>
          <w:p w14:paraId="486958F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rPr>
              <w:t xml:space="preserve">After-tax project cash flow: </w:t>
            </w:r>
            <w:r w:rsidRPr="00AD735E">
              <w:rPr>
                <w:rFonts w:ascii="Times New Roman" w:hAnsi="Times New Roman" w:cs="Times New Roman"/>
                <w:i/>
                <w:color w:val="auto"/>
              </w:rPr>
              <w:t>(pre-tax cash flow × 75%) + (capital allowance × 25%)</w:t>
            </w:r>
          </w:p>
        </w:tc>
      </w:tr>
    </w:tbl>
    <w:p w14:paraId="1A829A19" w14:textId="77777777" w:rsidR="00C85640" w:rsidRPr="00AD735E" w:rsidRDefault="00C85640" w:rsidP="00C85640">
      <w:pPr>
        <w:spacing w:after="0"/>
        <w:rPr>
          <w:rFonts w:ascii="Times New Roman" w:hAnsi="Times New Roman" w:cs="Times New Roman"/>
          <w:color w:val="auto"/>
        </w:rPr>
      </w:pPr>
    </w:p>
    <w:p w14:paraId="1F5E823B"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3. Beard Plc tax-adjusted cash flows (£000)</w:t>
      </w:r>
    </w:p>
    <w:tbl>
      <w:tblPr>
        <w:tblStyle w:val="TableGrid"/>
        <w:tblW w:w="0" w:type="auto"/>
        <w:tblLayout w:type="fixed"/>
        <w:tblLook w:val="04A0" w:firstRow="1" w:lastRow="0" w:firstColumn="1" w:lastColumn="0" w:noHBand="0" w:noVBand="1"/>
      </w:tblPr>
      <w:tblGrid>
        <w:gridCol w:w="2376"/>
        <w:gridCol w:w="1224"/>
        <w:gridCol w:w="1368"/>
        <w:gridCol w:w="1008"/>
        <w:gridCol w:w="1008"/>
        <w:gridCol w:w="1008"/>
        <w:gridCol w:w="1008"/>
      </w:tblGrid>
      <w:tr w:rsidR="00C85640" w:rsidRPr="00AD735E" w14:paraId="43AB224C" w14:textId="77777777" w:rsidTr="00B63CD5">
        <w:tc>
          <w:tcPr>
            <w:tcW w:w="2376" w:type="dxa"/>
          </w:tcPr>
          <w:p w14:paraId="07B6E06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Option</w:t>
            </w:r>
          </w:p>
        </w:tc>
        <w:tc>
          <w:tcPr>
            <w:tcW w:w="1224" w:type="dxa"/>
          </w:tcPr>
          <w:p w14:paraId="0DCBE0D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Initial cost</w:t>
            </w:r>
          </w:p>
        </w:tc>
        <w:tc>
          <w:tcPr>
            <w:tcW w:w="1368" w:type="dxa"/>
          </w:tcPr>
          <w:p w14:paraId="617DFAB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Annual allowance</w:t>
            </w:r>
          </w:p>
        </w:tc>
        <w:tc>
          <w:tcPr>
            <w:tcW w:w="1008" w:type="dxa"/>
          </w:tcPr>
          <w:p w14:paraId="3907169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1</w:t>
            </w:r>
          </w:p>
        </w:tc>
        <w:tc>
          <w:tcPr>
            <w:tcW w:w="1008" w:type="dxa"/>
          </w:tcPr>
          <w:p w14:paraId="5FF9905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2</w:t>
            </w:r>
          </w:p>
        </w:tc>
        <w:tc>
          <w:tcPr>
            <w:tcW w:w="1008" w:type="dxa"/>
          </w:tcPr>
          <w:p w14:paraId="0423476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3</w:t>
            </w:r>
          </w:p>
        </w:tc>
        <w:tc>
          <w:tcPr>
            <w:tcW w:w="1008" w:type="dxa"/>
          </w:tcPr>
          <w:p w14:paraId="58760BA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4</w:t>
            </w:r>
          </w:p>
        </w:tc>
      </w:tr>
      <w:tr w:rsidR="00C85640" w:rsidRPr="00AD735E" w14:paraId="3DF3163A" w14:textId="77777777" w:rsidTr="00B63CD5">
        <w:tc>
          <w:tcPr>
            <w:tcW w:w="2376" w:type="dxa"/>
          </w:tcPr>
          <w:p w14:paraId="174FA2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 retail expansion</w:t>
            </w:r>
          </w:p>
        </w:tc>
        <w:tc>
          <w:tcPr>
            <w:tcW w:w="1224" w:type="dxa"/>
          </w:tcPr>
          <w:p w14:paraId="6523F4E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600.00</w:t>
            </w:r>
          </w:p>
        </w:tc>
        <w:tc>
          <w:tcPr>
            <w:tcW w:w="1368" w:type="dxa"/>
          </w:tcPr>
          <w:p w14:paraId="2F77D2A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120.00</w:t>
            </w:r>
          </w:p>
        </w:tc>
        <w:tc>
          <w:tcPr>
            <w:tcW w:w="1008" w:type="dxa"/>
          </w:tcPr>
          <w:p w14:paraId="22D9577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105.00</w:t>
            </w:r>
          </w:p>
        </w:tc>
        <w:tc>
          <w:tcPr>
            <w:tcW w:w="1008" w:type="dxa"/>
          </w:tcPr>
          <w:p w14:paraId="06FD414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165.00</w:t>
            </w:r>
          </w:p>
        </w:tc>
        <w:tc>
          <w:tcPr>
            <w:tcW w:w="1008" w:type="dxa"/>
          </w:tcPr>
          <w:p w14:paraId="3CBF155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187.50</w:t>
            </w:r>
          </w:p>
        </w:tc>
        <w:tc>
          <w:tcPr>
            <w:tcW w:w="1008" w:type="dxa"/>
          </w:tcPr>
          <w:p w14:paraId="09A299C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225.00</w:t>
            </w:r>
          </w:p>
        </w:tc>
      </w:tr>
      <w:tr w:rsidR="00C85640" w:rsidRPr="00AD735E" w14:paraId="353553D5" w14:textId="77777777" w:rsidTr="00B63CD5">
        <w:tc>
          <w:tcPr>
            <w:tcW w:w="2376" w:type="dxa"/>
          </w:tcPr>
          <w:p w14:paraId="31A897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 internet sales</w:t>
            </w:r>
          </w:p>
        </w:tc>
        <w:tc>
          <w:tcPr>
            <w:tcW w:w="1224" w:type="dxa"/>
          </w:tcPr>
          <w:p w14:paraId="2BBE2B9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900.00</w:t>
            </w:r>
          </w:p>
        </w:tc>
        <w:tc>
          <w:tcPr>
            <w:tcW w:w="1368" w:type="dxa"/>
          </w:tcPr>
          <w:p w14:paraId="399C11E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180.00</w:t>
            </w:r>
          </w:p>
        </w:tc>
        <w:tc>
          <w:tcPr>
            <w:tcW w:w="1008" w:type="dxa"/>
          </w:tcPr>
          <w:p w14:paraId="3368C6E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210.00</w:t>
            </w:r>
          </w:p>
        </w:tc>
        <w:tc>
          <w:tcPr>
            <w:tcW w:w="1008" w:type="dxa"/>
          </w:tcPr>
          <w:p w14:paraId="55A2836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247.50</w:t>
            </w:r>
          </w:p>
        </w:tc>
        <w:tc>
          <w:tcPr>
            <w:tcW w:w="1008" w:type="dxa"/>
          </w:tcPr>
          <w:p w14:paraId="5697BBD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307.50</w:t>
            </w:r>
          </w:p>
        </w:tc>
        <w:tc>
          <w:tcPr>
            <w:tcW w:w="1008" w:type="dxa"/>
          </w:tcPr>
          <w:p w14:paraId="160E148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345.00</w:t>
            </w:r>
          </w:p>
        </w:tc>
      </w:tr>
      <w:tr w:rsidR="00C85640" w:rsidRPr="00AD735E" w14:paraId="510EC6B4" w14:textId="77777777" w:rsidTr="00B63CD5">
        <w:tc>
          <w:tcPr>
            <w:tcW w:w="2376" w:type="dxa"/>
          </w:tcPr>
          <w:p w14:paraId="59DDEA5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 purses and wallets</w:t>
            </w:r>
          </w:p>
        </w:tc>
        <w:tc>
          <w:tcPr>
            <w:tcW w:w="1224" w:type="dxa"/>
          </w:tcPr>
          <w:p w14:paraId="3174154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1368" w:type="dxa"/>
          </w:tcPr>
          <w:p w14:paraId="4D60059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200.00</w:t>
            </w:r>
          </w:p>
        </w:tc>
        <w:tc>
          <w:tcPr>
            <w:tcW w:w="1008" w:type="dxa"/>
          </w:tcPr>
          <w:p w14:paraId="77C2C39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237.50</w:t>
            </w:r>
          </w:p>
        </w:tc>
        <w:tc>
          <w:tcPr>
            <w:tcW w:w="1008" w:type="dxa"/>
          </w:tcPr>
          <w:p w14:paraId="05D7A83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282.50</w:t>
            </w:r>
          </w:p>
        </w:tc>
        <w:tc>
          <w:tcPr>
            <w:tcW w:w="1008" w:type="dxa"/>
          </w:tcPr>
          <w:p w14:paraId="3D5C3C5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350.00</w:t>
            </w:r>
          </w:p>
        </w:tc>
        <w:tc>
          <w:tcPr>
            <w:tcW w:w="1008" w:type="dxa"/>
          </w:tcPr>
          <w:p w14:paraId="1683959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372.50</w:t>
            </w:r>
          </w:p>
        </w:tc>
      </w:tr>
    </w:tbl>
    <w:p w14:paraId="3EE9C31A" w14:textId="77777777" w:rsidR="00C85640" w:rsidRPr="00AD735E" w:rsidRDefault="00C85640" w:rsidP="00C85640">
      <w:pPr>
        <w:spacing w:after="20"/>
        <w:rPr>
          <w:rFonts w:ascii="Times New Roman" w:hAnsi="Times New Roman" w:cs="Times New Roman"/>
          <w:color w:val="auto"/>
        </w:rPr>
      </w:pPr>
    </w:p>
    <w:p w14:paraId="28EEA2E0" w14:textId="77777777" w:rsidR="00C85640" w:rsidRPr="00AD735E" w:rsidRDefault="00C85640" w:rsidP="00C85640">
      <w:pPr>
        <w:pStyle w:val="Heading3"/>
        <w:rPr>
          <w:rFonts w:ascii="Times New Roman" w:hAnsi="Times New Roman" w:cs="Times New Roman"/>
          <w:color w:val="auto"/>
        </w:rPr>
      </w:pPr>
      <w:bookmarkStart w:id="14" w:name="_Toc243612753"/>
      <w:r w:rsidRPr="00AD735E">
        <w:rPr>
          <w:rFonts w:ascii="Times New Roman" w:hAnsi="Times New Roman" w:cs="Times New Roman"/>
          <w:color w:val="auto"/>
        </w:rPr>
        <w:t>2.2.2 Net present value evaluation</w:t>
      </w:r>
      <w:bookmarkEnd w:id="14"/>
    </w:p>
    <w:p w14:paraId="65EB2A76"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NPV is the calculation of incremental discounted inflows less the initial investment. A positive NPV is a good sign for accepting the project if the forecast is appropriate and cost of capital is appropriate. At 5%, years one to four use factors of 0.952381, 0.907029, 0.863838 and 0.822702. The results are </w:t>
      </w:r>
      <w:proofErr w:type="spellStart"/>
      <w:r w:rsidRPr="00AD735E">
        <w:rPr>
          <w:rFonts w:ascii="Times New Roman" w:hAnsi="Times New Roman" w:cs="Times New Roman"/>
          <w:color w:val="auto"/>
        </w:rPr>
        <w:t>summarised</w:t>
      </w:r>
      <w:proofErr w:type="spellEnd"/>
      <w:r w:rsidRPr="00AD735E">
        <w:rPr>
          <w:rFonts w:ascii="Times New Roman" w:hAnsi="Times New Roman" w:cs="Times New Roman"/>
          <w:color w:val="auto"/>
        </w:rPr>
        <w:t xml:space="preserve"> in Table 4 and Appendix D shows the full working.</w:t>
      </w:r>
    </w:p>
    <w:tbl>
      <w:tblPr>
        <w:tblStyle w:val="TableGrid"/>
        <w:tblW w:w="9058" w:type="dxa"/>
        <w:tblLayout w:type="fixed"/>
        <w:tblLook w:val="04A0" w:firstRow="1" w:lastRow="0" w:firstColumn="1" w:lastColumn="0" w:noHBand="0" w:noVBand="1"/>
      </w:tblPr>
      <w:tblGrid>
        <w:gridCol w:w="9058"/>
      </w:tblGrid>
      <w:tr w:rsidR="00C85640" w:rsidRPr="00AD735E" w14:paraId="7C7ED516" w14:textId="77777777" w:rsidTr="00C85640">
        <w:trPr>
          <w:trHeight w:val="372"/>
        </w:trPr>
        <w:tc>
          <w:tcPr>
            <w:tcW w:w="9058" w:type="dxa"/>
          </w:tcPr>
          <w:p w14:paraId="09C8EED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rPr>
              <w:t xml:space="preserve">Net present value: </w:t>
            </w:r>
            <w:proofErr w:type="gramStart"/>
            <w:r w:rsidRPr="00AD735E">
              <w:rPr>
                <w:rFonts w:ascii="Times New Roman" w:hAnsi="Times New Roman" w:cs="Times New Roman"/>
                <w:i/>
                <w:color w:val="auto"/>
              </w:rPr>
              <w:t>Σ[</w:t>
            </w:r>
            <w:proofErr w:type="gramEnd"/>
            <w:r w:rsidRPr="00AD735E">
              <w:rPr>
                <w:rFonts w:ascii="Times New Roman" w:hAnsi="Times New Roman" w:cs="Times New Roman"/>
                <w:i/>
                <w:color w:val="auto"/>
              </w:rPr>
              <w:t xml:space="preserve">CFₜ ÷ (1 + </w:t>
            </w:r>
            <w:proofErr w:type="gramStart"/>
            <w:r w:rsidRPr="00AD735E">
              <w:rPr>
                <w:rFonts w:ascii="Times New Roman" w:hAnsi="Times New Roman" w:cs="Times New Roman"/>
                <w:i/>
                <w:color w:val="auto"/>
              </w:rPr>
              <w:t>0.05)ᵗ</w:t>
            </w:r>
            <w:proofErr w:type="gramEnd"/>
            <w:r w:rsidRPr="00AD735E">
              <w:rPr>
                <w:rFonts w:ascii="Times New Roman" w:hAnsi="Times New Roman" w:cs="Times New Roman"/>
                <w:i/>
                <w:color w:val="auto"/>
              </w:rPr>
              <w:t>] − initial investment</w:t>
            </w:r>
          </w:p>
        </w:tc>
      </w:tr>
    </w:tbl>
    <w:p w14:paraId="28C1B54A" w14:textId="77777777" w:rsidR="00C85640" w:rsidRPr="00AD735E" w:rsidRDefault="00C85640" w:rsidP="00C85640">
      <w:pPr>
        <w:spacing w:after="0"/>
        <w:rPr>
          <w:rFonts w:ascii="Times New Roman" w:hAnsi="Times New Roman" w:cs="Times New Roman"/>
          <w:color w:val="auto"/>
        </w:rPr>
      </w:pPr>
    </w:p>
    <w:p w14:paraId="2A549AF2"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4. NPV and profitability-index results at 5% (£000)</w:t>
      </w:r>
    </w:p>
    <w:tbl>
      <w:tblPr>
        <w:tblStyle w:val="TableGrid"/>
        <w:tblW w:w="9045" w:type="dxa"/>
        <w:tblLayout w:type="fixed"/>
        <w:tblLook w:val="04A0" w:firstRow="1" w:lastRow="0" w:firstColumn="1" w:lastColumn="0" w:noHBand="0" w:noVBand="1"/>
      </w:tblPr>
      <w:tblGrid>
        <w:gridCol w:w="2425"/>
        <w:gridCol w:w="1311"/>
        <w:gridCol w:w="1442"/>
        <w:gridCol w:w="1049"/>
        <w:gridCol w:w="983"/>
        <w:gridCol w:w="1835"/>
      </w:tblGrid>
      <w:tr w:rsidR="00C85640" w:rsidRPr="00AD735E" w14:paraId="509D7FF5" w14:textId="77777777" w:rsidTr="00C85640">
        <w:trPr>
          <w:trHeight w:val="300"/>
        </w:trPr>
        <w:tc>
          <w:tcPr>
            <w:tcW w:w="2425" w:type="dxa"/>
          </w:tcPr>
          <w:p w14:paraId="0AC8FF3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Option</w:t>
            </w:r>
          </w:p>
        </w:tc>
        <w:tc>
          <w:tcPr>
            <w:tcW w:w="1311" w:type="dxa"/>
          </w:tcPr>
          <w:p w14:paraId="5BF2ED5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Initial cost</w:t>
            </w:r>
          </w:p>
        </w:tc>
        <w:tc>
          <w:tcPr>
            <w:tcW w:w="1442" w:type="dxa"/>
          </w:tcPr>
          <w:p w14:paraId="1188FE9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PV of inflows</w:t>
            </w:r>
          </w:p>
        </w:tc>
        <w:tc>
          <w:tcPr>
            <w:tcW w:w="1049" w:type="dxa"/>
          </w:tcPr>
          <w:p w14:paraId="4F9B158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NPV</w:t>
            </w:r>
          </w:p>
        </w:tc>
        <w:tc>
          <w:tcPr>
            <w:tcW w:w="983" w:type="dxa"/>
          </w:tcPr>
          <w:p w14:paraId="0B96E5B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PI</w:t>
            </w:r>
          </w:p>
        </w:tc>
        <w:tc>
          <w:tcPr>
            <w:tcW w:w="1835" w:type="dxa"/>
          </w:tcPr>
          <w:p w14:paraId="36F7845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Decision</w:t>
            </w:r>
          </w:p>
        </w:tc>
      </w:tr>
      <w:tr w:rsidR="00C85640" w:rsidRPr="00AD735E" w14:paraId="45002FD1" w14:textId="77777777" w:rsidTr="00C85640">
        <w:trPr>
          <w:trHeight w:val="284"/>
        </w:trPr>
        <w:tc>
          <w:tcPr>
            <w:tcW w:w="2425" w:type="dxa"/>
          </w:tcPr>
          <w:p w14:paraId="4542BF3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 retail expansion</w:t>
            </w:r>
          </w:p>
        </w:tc>
        <w:tc>
          <w:tcPr>
            <w:tcW w:w="1311" w:type="dxa"/>
          </w:tcPr>
          <w:p w14:paraId="2CAF237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600.00</w:t>
            </w:r>
          </w:p>
        </w:tc>
        <w:tc>
          <w:tcPr>
            <w:tcW w:w="1442" w:type="dxa"/>
          </w:tcPr>
          <w:p w14:paraId="55F118D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596.74</w:t>
            </w:r>
          </w:p>
        </w:tc>
        <w:tc>
          <w:tcPr>
            <w:tcW w:w="1049" w:type="dxa"/>
          </w:tcPr>
          <w:p w14:paraId="1D531DA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−3.26</w:t>
            </w:r>
          </w:p>
        </w:tc>
        <w:tc>
          <w:tcPr>
            <w:tcW w:w="983" w:type="dxa"/>
          </w:tcPr>
          <w:p w14:paraId="18A4EA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0.9946</w:t>
            </w:r>
          </w:p>
        </w:tc>
        <w:tc>
          <w:tcPr>
            <w:tcW w:w="1835" w:type="dxa"/>
          </w:tcPr>
          <w:p w14:paraId="09B6CDC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Reject</w:t>
            </w:r>
          </w:p>
        </w:tc>
      </w:tr>
      <w:tr w:rsidR="00C85640" w:rsidRPr="00AD735E" w14:paraId="6A0430F4" w14:textId="77777777" w:rsidTr="00C85640">
        <w:trPr>
          <w:trHeight w:val="269"/>
        </w:trPr>
        <w:tc>
          <w:tcPr>
            <w:tcW w:w="2425" w:type="dxa"/>
          </w:tcPr>
          <w:p w14:paraId="3337427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 internet sales</w:t>
            </w:r>
          </w:p>
        </w:tc>
        <w:tc>
          <w:tcPr>
            <w:tcW w:w="1311" w:type="dxa"/>
          </w:tcPr>
          <w:p w14:paraId="69FC908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900.00</w:t>
            </w:r>
          </w:p>
        </w:tc>
        <w:tc>
          <w:tcPr>
            <w:tcW w:w="1442" w:type="dxa"/>
          </w:tcPr>
          <w:p w14:paraId="1941CD6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973.95</w:t>
            </w:r>
          </w:p>
        </w:tc>
        <w:tc>
          <w:tcPr>
            <w:tcW w:w="1049" w:type="dxa"/>
          </w:tcPr>
          <w:p w14:paraId="0C71EF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73.95</w:t>
            </w:r>
          </w:p>
        </w:tc>
        <w:tc>
          <w:tcPr>
            <w:tcW w:w="983" w:type="dxa"/>
          </w:tcPr>
          <w:p w14:paraId="09F8A1C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1.0822</w:t>
            </w:r>
          </w:p>
        </w:tc>
        <w:tc>
          <w:tcPr>
            <w:tcW w:w="1835" w:type="dxa"/>
          </w:tcPr>
          <w:p w14:paraId="2263CEE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Accept</w:t>
            </w:r>
          </w:p>
        </w:tc>
      </w:tr>
      <w:tr w:rsidR="00C85640" w:rsidRPr="00AD735E" w14:paraId="29EC3BCF" w14:textId="77777777" w:rsidTr="00C85640">
        <w:trPr>
          <w:trHeight w:val="284"/>
        </w:trPr>
        <w:tc>
          <w:tcPr>
            <w:tcW w:w="2425" w:type="dxa"/>
          </w:tcPr>
          <w:p w14:paraId="3DD6E8B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 purses and wallets</w:t>
            </w:r>
          </w:p>
        </w:tc>
        <w:tc>
          <w:tcPr>
            <w:tcW w:w="1311" w:type="dxa"/>
          </w:tcPr>
          <w:p w14:paraId="78AA99C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1442" w:type="dxa"/>
          </w:tcPr>
          <w:p w14:paraId="43DA7DA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1,091.23</w:t>
            </w:r>
          </w:p>
        </w:tc>
        <w:tc>
          <w:tcPr>
            <w:tcW w:w="1049" w:type="dxa"/>
          </w:tcPr>
          <w:p w14:paraId="30141E9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91.23</w:t>
            </w:r>
          </w:p>
        </w:tc>
        <w:tc>
          <w:tcPr>
            <w:tcW w:w="983" w:type="dxa"/>
          </w:tcPr>
          <w:p w14:paraId="0EE6E21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1.0912</w:t>
            </w:r>
          </w:p>
        </w:tc>
        <w:tc>
          <w:tcPr>
            <w:tcW w:w="1835" w:type="dxa"/>
          </w:tcPr>
          <w:p w14:paraId="4A7C9EF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Accept; rank 1</w:t>
            </w:r>
          </w:p>
        </w:tc>
      </w:tr>
    </w:tbl>
    <w:p w14:paraId="66BF3D41" w14:textId="77777777" w:rsidR="00C85640" w:rsidRPr="00AD735E" w:rsidRDefault="00C85640" w:rsidP="00C85640">
      <w:pPr>
        <w:spacing w:after="20"/>
        <w:rPr>
          <w:rFonts w:ascii="Times New Roman" w:hAnsi="Times New Roman" w:cs="Times New Roman"/>
          <w:color w:val="auto"/>
        </w:rPr>
      </w:pPr>
    </w:p>
    <w:p w14:paraId="519DC446"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The costs must be separated into both Option A and B &amp; C and then Option A should be rejected as it loses £3.26 thousand, whereas B and C will gain in value. However, if a single option is needed then C </w:t>
      </w:r>
      <w:r w:rsidRPr="00AD735E">
        <w:rPr>
          <w:rFonts w:ascii="Times New Roman" w:hAnsi="Times New Roman" w:cs="Times New Roman"/>
          <w:color w:val="auto"/>
        </w:rPr>
        <w:lastRenderedPageBreak/>
        <w:t>is the better option as its NPV (£91.23 thousand) and its PI are higher. When the projects are mutually exclusive and the projects vary in size, it is more useful to consider the absolute increase of owner value (Brealey et al., 2023; Götze, Northcott and Schuster, 2015).</w:t>
      </w:r>
    </w:p>
    <w:p w14:paraId="2C7F8D38" w14:textId="77777777" w:rsidR="00C85640" w:rsidRPr="00AD735E" w:rsidRDefault="00C85640" w:rsidP="00C85640">
      <w:pPr>
        <w:pStyle w:val="Heading3"/>
        <w:rPr>
          <w:rFonts w:ascii="Times New Roman" w:hAnsi="Times New Roman" w:cs="Times New Roman"/>
          <w:color w:val="auto"/>
        </w:rPr>
      </w:pPr>
      <w:bookmarkStart w:id="15" w:name="_Toc243612754"/>
      <w:r w:rsidRPr="00AD735E">
        <w:rPr>
          <w:rFonts w:ascii="Times New Roman" w:hAnsi="Times New Roman" w:cs="Times New Roman"/>
          <w:color w:val="auto"/>
        </w:rPr>
        <w:t>2.2.3 Approximate IRR of Option C</w:t>
      </w:r>
      <w:bookmarkEnd w:id="15"/>
    </w:p>
    <w:p w14:paraId="34596460"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 rate that gives the NPV value of zero is defined as IRR. Option C’s NPV is £13.75 thousand at 8% and −£10.18 thousand at 9%; interpolation and iteration both give 8.57%, or about 8.6%. This is the limit of cost of capital which is more than 5%, hence IRR has agreed with NPV.</w:t>
      </w:r>
    </w:p>
    <w:tbl>
      <w:tblPr>
        <w:tblStyle w:val="TableGrid"/>
        <w:tblW w:w="9058" w:type="dxa"/>
        <w:tblLayout w:type="fixed"/>
        <w:tblLook w:val="04A0" w:firstRow="1" w:lastRow="0" w:firstColumn="1" w:lastColumn="0" w:noHBand="0" w:noVBand="1"/>
      </w:tblPr>
      <w:tblGrid>
        <w:gridCol w:w="9058"/>
      </w:tblGrid>
      <w:tr w:rsidR="00C85640" w:rsidRPr="00AD735E" w14:paraId="35180139" w14:textId="77777777" w:rsidTr="00C85640">
        <w:trPr>
          <w:trHeight w:val="347"/>
        </w:trPr>
        <w:tc>
          <w:tcPr>
            <w:tcW w:w="9058" w:type="dxa"/>
          </w:tcPr>
          <w:p w14:paraId="646C983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rPr>
              <w:t xml:space="preserve">Interpolated IRR: </w:t>
            </w:r>
            <w:r w:rsidRPr="00AD735E">
              <w:rPr>
                <w:rFonts w:ascii="Times New Roman" w:hAnsi="Times New Roman" w:cs="Times New Roman"/>
                <w:i/>
                <w:color w:val="auto"/>
              </w:rPr>
              <w:t>8% + [13.75 ÷ (13.75 + 10.18)] × 1% = 8.57%</w:t>
            </w:r>
          </w:p>
        </w:tc>
      </w:tr>
    </w:tbl>
    <w:p w14:paraId="74F3A49F" w14:textId="77777777" w:rsidR="00C85640" w:rsidRPr="00AD735E" w:rsidRDefault="00C85640" w:rsidP="00C85640">
      <w:pPr>
        <w:spacing w:after="0"/>
        <w:rPr>
          <w:rFonts w:ascii="Times New Roman" w:hAnsi="Times New Roman" w:cs="Times New Roman"/>
          <w:color w:val="auto"/>
        </w:rPr>
      </w:pPr>
    </w:p>
    <w:p w14:paraId="41FF5B74"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5. Option C IRR check</w:t>
      </w:r>
    </w:p>
    <w:tbl>
      <w:tblPr>
        <w:tblStyle w:val="TableGrid"/>
        <w:tblW w:w="0" w:type="auto"/>
        <w:tblLayout w:type="fixed"/>
        <w:tblLook w:val="04A0" w:firstRow="1" w:lastRow="0" w:firstColumn="1" w:lastColumn="0" w:noHBand="0" w:noVBand="1"/>
      </w:tblPr>
      <w:tblGrid>
        <w:gridCol w:w="1944"/>
        <w:gridCol w:w="3672"/>
        <w:gridCol w:w="3600"/>
      </w:tblGrid>
      <w:tr w:rsidR="00C85640" w:rsidRPr="00AD735E" w14:paraId="1425D179" w14:textId="77777777" w:rsidTr="00B63CD5">
        <w:tc>
          <w:tcPr>
            <w:tcW w:w="1944" w:type="dxa"/>
          </w:tcPr>
          <w:p w14:paraId="7C6435F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Discount rate</w:t>
            </w:r>
          </w:p>
        </w:tc>
        <w:tc>
          <w:tcPr>
            <w:tcW w:w="3672" w:type="dxa"/>
          </w:tcPr>
          <w:p w14:paraId="2B78751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PV of Option C inflows (£000)</w:t>
            </w:r>
          </w:p>
        </w:tc>
        <w:tc>
          <w:tcPr>
            <w:tcW w:w="3600" w:type="dxa"/>
          </w:tcPr>
          <w:p w14:paraId="472FE9B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NPV (£000)</w:t>
            </w:r>
          </w:p>
        </w:tc>
      </w:tr>
      <w:tr w:rsidR="00C85640" w:rsidRPr="00AD735E" w14:paraId="29752C57" w14:textId="77777777" w:rsidTr="00B63CD5">
        <w:tc>
          <w:tcPr>
            <w:tcW w:w="1944" w:type="dxa"/>
          </w:tcPr>
          <w:p w14:paraId="09E1C71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w:t>
            </w:r>
          </w:p>
        </w:tc>
        <w:tc>
          <w:tcPr>
            <w:tcW w:w="3672" w:type="dxa"/>
          </w:tcPr>
          <w:p w14:paraId="359F25F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1,013.75</w:t>
            </w:r>
          </w:p>
        </w:tc>
        <w:tc>
          <w:tcPr>
            <w:tcW w:w="3600" w:type="dxa"/>
          </w:tcPr>
          <w:p w14:paraId="3580CE4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13.75</w:t>
            </w:r>
          </w:p>
        </w:tc>
      </w:tr>
      <w:tr w:rsidR="00C85640" w:rsidRPr="00AD735E" w14:paraId="00C142BF" w14:textId="77777777" w:rsidTr="00B63CD5">
        <w:tc>
          <w:tcPr>
            <w:tcW w:w="1944" w:type="dxa"/>
          </w:tcPr>
          <w:p w14:paraId="0F32DD3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w:t>
            </w:r>
          </w:p>
        </w:tc>
        <w:tc>
          <w:tcPr>
            <w:tcW w:w="3672" w:type="dxa"/>
          </w:tcPr>
          <w:p w14:paraId="2D5CADF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989.82</w:t>
            </w:r>
          </w:p>
        </w:tc>
        <w:tc>
          <w:tcPr>
            <w:tcW w:w="3600" w:type="dxa"/>
          </w:tcPr>
          <w:p w14:paraId="578ABEA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−10.18</w:t>
            </w:r>
          </w:p>
        </w:tc>
      </w:tr>
      <w:tr w:rsidR="00C85640" w:rsidRPr="00AD735E" w14:paraId="7CF3A836" w14:textId="77777777" w:rsidTr="00B63CD5">
        <w:tc>
          <w:tcPr>
            <w:tcW w:w="1944" w:type="dxa"/>
          </w:tcPr>
          <w:p w14:paraId="112A5BB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Iterative result</w:t>
            </w:r>
          </w:p>
        </w:tc>
        <w:tc>
          <w:tcPr>
            <w:tcW w:w="3672" w:type="dxa"/>
          </w:tcPr>
          <w:p w14:paraId="210CB25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3600" w:type="dxa"/>
          </w:tcPr>
          <w:p w14:paraId="7F23013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0.00 at approximately 8.57%</w:t>
            </w:r>
          </w:p>
        </w:tc>
      </w:tr>
    </w:tbl>
    <w:p w14:paraId="2A890B71" w14:textId="77777777" w:rsidR="00C85640" w:rsidRPr="00AD735E" w:rsidRDefault="00C85640" w:rsidP="00C85640">
      <w:pPr>
        <w:spacing w:after="20"/>
        <w:rPr>
          <w:rFonts w:ascii="Times New Roman" w:hAnsi="Times New Roman" w:cs="Times New Roman"/>
          <w:color w:val="auto"/>
        </w:rPr>
      </w:pPr>
    </w:p>
    <w:p w14:paraId="6688B036" w14:textId="77777777" w:rsidR="00C85640" w:rsidRPr="00AD735E" w:rsidRDefault="00C85640" w:rsidP="00C85640">
      <w:pPr>
        <w:pStyle w:val="Heading3"/>
        <w:rPr>
          <w:rFonts w:ascii="Times New Roman" w:hAnsi="Times New Roman" w:cs="Times New Roman"/>
          <w:color w:val="auto"/>
        </w:rPr>
      </w:pPr>
      <w:bookmarkStart w:id="16" w:name="_Toc243612755"/>
      <w:r w:rsidRPr="00AD735E">
        <w:rPr>
          <w:rFonts w:ascii="Times New Roman" w:hAnsi="Times New Roman" w:cs="Times New Roman"/>
          <w:color w:val="auto"/>
        </w:rPr>
        <w:t>2.2.4 Why NPV is the primary decision method</w:t>
      </w:r>
      <w:bookmarkEnd w:id="16"/>
    </w:p>
    <w:p w14:paraId="24DCF05E"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NPV takes into account the time value, all incremental cash flows, risk and financing opportunity cost (Arnold and Lewis, 2019; Drury and </w:t>
      </w:r>
      <w:proofErr w:type="spellStart"/>
      <w:r w:rsidRPr="00AD735E">
        <w:rPr>
          <w:rFonts w:ascii="Times New Roman" w:hAnsi="Times New Roman" w:cs="Times New Roman"/>
          <w:color w:val="auto"/>
        </w:rPr>
        <w:t>Tayles</w:t>
      </w:r>
      <w:proofErr w:type="spellEnd"/>
      <w:r w:rsidRPr="00AD735E">
        <w:rPr>
          <w:rFonts w:ascii="Times New Roman" w:hAnsi="Times New Roman" w:cs="Times New Roman"/>
          <w:color w:val="auto"/>
        </w:rPr>
        <w:t>, 2021; Ross et al., 2022). If the result is positive then the benefits will be discounted relative to the resources committed: additivity is particularly useful when resources are limited. A wide range of discounted cash flow and increasingly complex appraisal (DCF) is also found in surveys (Kim et al., 2021; Siziba and Hall, 2021; Graham and Harvey, 2001). This can help reinforce decisions but is unable to improve bad forecasts (</w:t>
      </w:r>
      <w:proofErr w:type="spellStart"/>
      <w:r w:rsidRPr="00AD735E">
        <w:rPr>
          <w:rFonts w:ascii="Times New Roman" w:hAnsi="Times New Roman" w:cs="Times New Roman"/>
          <w:color w:val="auto"/>
        </w:rPr>
        <w:t>Purnamasari</w:t>
      </w:r>
      <w:proofErr w:type="spellEnd"/>
      <w:r w:rsidRPr="00AD735E">
        <w:rPr>
          <w:rFonts w:ascii="Times New Roman" w:hAnsi="Times New Roman" w:cs="Times New Roman"/>
          <w:color w:val="auto"/>
        </w:rPr>
        <w:t xml:space="preserve"> and </w:t>
      </w:r>
      <w:proofErr w:type="spellStart"/>
      <w:r w:rsidRPr="00AD735E">
        <w:rPr>
          <w:rFonts w:ascii="Times New Roman" w:hAnsi="Times New Roman" w:cs="Times New Roman"/>
          <w:color w:val="auto"/>
        </w:rPr>
        <w:t>Adriza</w:t>
      </w:r>
      <w:proofErr w:type="spellEnd"/>
      <w:r w:rsidRPr="00AD735E">
        <w:rPr>
          <w:rFonts w:ascii="Times New Roman" w:hAnsi="Times New Roman" w:cs="Times New Roman"/>
          <w:color w:val="auto"/>
        </w:rPr>
        <w:t xml:space="preserve">, 2024; </w:t>
      </w:r>
      <w:proofErr w:type="spellStart"/>
      <w:r w:rsidRPr="00AD735E">
        <w:rPr>
          <w:rFonts w:ascii="Times New Roman" w:hAnsi="Times New Roman" w:cs="Times New Roman"/>
          <w:color w:val="auto"/>
        </w:rPr>
        <w:t>Darmansyah</w:t>
      </w:r>
      <w:proofErr w:type="spellEnd"/>
      <w:r w:rsidRPr="00AD735E">
        <w:rPr>
          <w:rFonts w:ascii="Times New Roman" w:hAnsi="Times New Roman" w:cs="Times New Roman"/>
          <w:color w:val="auto"/>
        </w:rPr>
        <w:t>, Ali and Parveen, 2025).</w:t>
      </w:r>
    </w:p>
    <w:p w14:paraId="4AFE1D71"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NPV is still very much dependent on volume, margin, timings, tax and discount rate assumptions. There may be other cash-flow risks covered by one rate. The traditional NPV method undervalues options to delay, expand or abandon, and uncertainty and </w:t>
      </w:r>
      <w:proofErr w:type="spellStart"/>
      <w:r w:rsidRPr="00AD735E">
        <w:rPr>
          <w:rFonts w:ascii="Times New Roman" w:hAnsi="Times New Roman" w:cs="Times New Roman"/>
          <w:color w:val="auto"/>
        </w:rPr>
        <w:t>organisational</w:t>
      </w:r>
      <w:proofErr w:type="spellEnd"/>
      <w:r w:rsidRPr="00AD735E">
        <w:rPr>
          <w:rFonts w:ascii="Times New Roman" w:hAnsi="Times New Roman" w:cs="Times New Roman"/>
          <w:color w:val="auto"/>
        </w:rPr>
        <w:t xml:space="preserve"> conditions impact on the use of the method (</w:t>
      </w:r>
      <w:proofErr w:type="spellStart"/>
      <w:r w:rsidRPr="00AD735E">
        <w:rPr>
          <w:rFonts w:ascii="Times New Roman" w:hAnsi="Times New Roman" w:cs="Times New Roman"/>
          <w:color w:val="auto"/>
        </w:rPr>
        <w:t>Verbeeten</w:t>
      </w:r>
      <w:proofErr w:type="spellEnd"/>
      <w:r w:rsidRPr="00AD735E">
        <w:rPr>
          <w:rFonts w:ascii="Times New Roman" w:hAnsi="Times New Roman" w:cs="Times New Roman"/>
          <w:color w:val="auto"/>
        </w:rPr>
        <w:t xml:space="preserve">, 2006; </w:t>
      </w:r>
      <w:proofErr w:type="spellStart"/>
      <w:r w:rsidRPr="00AD735E">
        <w:rPr>
          <w:rFonts w:ascii="Times New Roman" w:hAnsi="Times New Roman" w:cs="Times New Roman"/>
          <w:color w:val="auto"/>
        </w:rPr>
        <w:t>Trigeorgis</w:t>
      </w:r>
      <w:proofErr w:type="spellEnd"/>
      <w:r w:rsidRPr="00AD735E">
        <w:rPr>
          <w:rFonts w:ascii="Times New Roman" w:hAnsi="Times New Roman" w:cs="Times New Roman"/>
          <w:color w:val="auto"/>
        </w:rPr>
        <w:t>, 1993). To support it, sensitivity, scenarios, and real-option thinking should be supported.</w:t>
      </w:r>
    </w:p>
    <w:p w14:paraId="11BC42FB"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IRR will report a percentage return, but can yield multiple rates of return if flow is non-conventional, and can be misleading for NPV ranking. It is well documented that theory-practice gap and misuse of this exist (Drury and </w:t>
      </w:r>
      <w:proofErr w:type="spellStart"/>
      <w:r w:rsidRPr="00AD735E">
        <w:rPr>
          <w:rFonts w:ascii="Times New Roman" w:hAnsi="Times New Roman" w:cs="Times New Roman"/>
          <w:color w:val="auto"/>
        </w:rPr>
        <w:t>Tayles</w:t>
      </w:r>
      <w:proofErr w:type="spellEnd"/>
      <w:r w:rsidRPr="00AD735E">
        <w:rPr>
          <w:rFonts w:ascii="Times New Roman" w:hAnsi="Times New Roman" w:cs="Times New Roman"/>
          <w:color w:val="auto"/>
        </w:rPr>
        <w:t>, 1997; Bennouna, Meredith and Marchant, 2010). Although the flows are traditional, C is chosen as it has a higher NPV as 8.57% is greater than 5%.</w:t>
      </w:r>
    </w:p>
    <w:p w14:paraId="7E62633B" w14:textId="77777777" w:rsidR="00C85640" w:rsidRPr="00AD735E" w:rsidRDefault="00C85640" w:rsidP="00C85640">
      <w:pPr>
        <w:pStyle w:val="Heading3"/>
        <w:rPr>
          <w:rFonts w:ascii="Times New Roman" w:hAnsi="Times New Roman" w:cs="Times New Roman"/>
          <w:color w:val="auto"/>
        </w:rPr>
      </w:pPr>
      <w:bookmarkStart w:id="17" w:name="_Toc243612756"/>
      <w:r w:rsidRPr="00AD735E">
        <w:rPr>
          <w:rFonts w:ascii="Times New Roman" w:hAnsi="Times New Roman" w:cs="Times New Roman"/>
          <w:color w:val="auto"/>
        </w:rPr>
        <w:t>2.2.5 Why non-discounting methods remain popular</w:t>
      </w:r>
      <w:bookmarkEnd w:id="17"/>
    </w:p>
    <w:p w14:paraId="1F85DCA6"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These are easy to calculate and understand, and are still popular for payback and ARR calculations. Payback emphasizes cash recovery, whereas ARR relates to accounting performance, when cash is relevant because of liquidity or technological change or because of trouble in the distant future. There are firms that are using more than one method (Sandahl and Sjögren, 2003; de Andrés, de Fuente and San Martín, 2015).</w:t>
      </w:r>
    </w:p>
    <w:p w14:paraId="6D6E9CDA"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Simple payback, however, ignores the time value of money and cash flows after payback, while ARR depends on accounting policies and depreciation. Both can be mis-ranked if their assumptions are not appreciated (Drury and </w:t>
      </w:r>
      <w:proofErr w:type="spellStart"/>
      <w:r w:rsidRPr="00AD735E">
        <w:rPr>
          <w:rFonts w:ascii="Times New Roman" w:hAnsi="Times New Roman" w:cs="Times New Roman"/>
          <w:color w:val="auto"/>
        </w:rPr>
        <w:t>Tayles</w:t>
      </w:r>
      <w:proofErr w:type="spellEnd"/>
      <w:r w:rsidRPr="00AD735E">
        <w:rPr>
          <w:rFonts w:ascii="Times New Roman" w:hAnsi="Times New Roman" w:cs="Times New Roman"/>
          <w:color w:val="auto"/>
        </w:rPr>
        <w:t>, 1997). They are complementary screens, not in place of NPV. There may be several reasons for corporate constraints, and Beard would be able to set up a discounted payback, or a cash burn, and still use NPV as the last measurement (Graham and Harvey, 2001).</w:t>
      </w:r>
    </w:p>
    <w:p w14:paraId="47843B26" w14:textId="77777777" w:rsidR="00C85640" w:rsidRPr="00AD735E" w:rsidRDefault="00C85640" w:rsidP="00C85640">
      <w:pPr>
        <w:pStyle w:val="Heading3"/>
        <w:rPr>
          <w:rFonts w:ascii="Times New Roman" w:hAnsi="Times New Roman" w:cs="Times New Roman"/>
          <w:color w:val="auto"/>
        </w:rPr>
      </w:pPr>
      <w:bookmarkStart w:id="18" w:name="_Toc243612757"/>
      <w:r w:rsidRPr="00AD735E">
        <w:rPr>
          <w:rFonts w:ascii="Times New Roman" w:hAnsi="Times New Roman" w:cs="Times New Roman"/>
          <w:color w:val="auto"/>
        </w:rPr>
        <w:lastRenderedPageBreak/>
        <w:t>2.2.6 Other factors before approval</w:t>
      </w:r>
      <w:bookmarkEnd w:id="18"/>
    </w:p>
    <w:p w14:paraId="36DE06A2"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6. Non-financial and risk factors</w:t>
      </w:r>
    </w:p>
    <w:tbl>
      <w:tblPr>
        <w:tblStyle w:val="TableGrid"/>
        <w:tblW w:w="9065" w:type="dxa"/>
        <w:tblLayout w:type="fixed"/>
        <w:tblLook w:val="04A0" w:firstRow="1" w:lastRow="0" w:firstColumn="1" w:lastColumn="0" w:noHBand="0" w:noVBand="1"/>
      </w:tblPr>
      <w:tblGrid>
        <w:gridCol w:w="2007"/>
        <w:gridCol w:w="7058"/>
      </w:tblGrid>
      <w:tr w:rsidR="00C85640" w:rsidRPr="00AD735E" w14:paraId="36052957" w14:textId="77777777" w:rsidTr="00C85640">
        <w:trPr>
          <w:trHeight w:val="246"/>
        </w:trPr>
        <w:tc>
          <w:tcPr>
            <w:tcW w:w="2007" w:type="dxa"/>
          </w:tcPr>
          <w:p w14:paraId="7EB148E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Factor</w:t>
            </w:r>
          </w:p>
        </w:tc>
        <w:tc>
          <w:tcPr>
            <w:tcW w:w="7058" w:type="dxa"/>
          </w:tcPr>
          <w:p w14:paraId="724757E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Board question and action</w:t>
            </w:r>
          </w:p>
        </w:tc>
      </w:tr>
      <w:tr w:rsidR="00C85640" w:rsidRPr="00AD735E" w14:paraId="756A652A" w14:textId="77777777" w:rsidTr="00C85640">
        <w:trPr>
          <w:trHeight w:val="232"/>
        </w:trPr>
        <w:tc>
          <w:tcPr>
            <w:tcW w:w="2007" w:type="dxa"/>
          </w:tcPr>
          <w:p w14:paraId="7F0FCD6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Demand and competition</w:t>
            </w:r>
          </w:p>
        </w:tc>
        <w:tc>
          <w:tcPr>
            <w:tcW w:w="7058" w:type="dxa"/>
          </w:tcPr>
          <w:p w14:paraId="1C47468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 xml:space="preserve">Test demand, price, repeat purchase and </w:t>
            </w:r>
            <w:proofErr w:type="spellStart"/>
            <w:r w:rsidRPr="00AD735E">
              <w:rPr>
                <w:rFonts w:ascii="Times New Roman" w:hAnsi="Times New Roman" w:cs="Times New Roman"/>
                <w:color w:val="auto"/>
                <w:sz w:val="17"/>
              </w:rPr>
              <w:t>cannibalisation</w:t>
            </w:r>
            <w:proofErr w:type="spellEnd"/>
            <w:r w:rsidRPr="00AD735E">
              <w:rPr>
                <w:rFonts w:ascii="Times New Roman" w:hAnsi="Times New Roman" w:cs="Times New Roman"/>
                <w:color w:val="auto"/>
                <w:sz w:val="17"/>
              </w:rPr>
              <w:t>; brand fit alone is insufficient.</w:t>
            </w:r>
          </w:p>
        </w:tc>
      </w:tr>
      <w:tr w:rsidR="00C85640" w:rsidRPr="00AD735E" w14:paraId="700B3E1C" w14:textId="77777777" w:rsidTr="00C85640">
        <w:trPr>
          <w:trHeight w:val="232"/>
        </w:trPr>
        <w:tc>
          <w:tcPr>
            <w:tcW w:w="2007" w:type="dxa"/>
          </w:tcPr>
          <w:p w14:paraId="0DB7E33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Operational capability</w:t>
            </w:r>
          </w:p>
        </w:tc>
        <w:tc>
          <w:tcPr>
            <w:tcW w:w="7058" w:type="dxa"/>
          </w:tcPr>
          <w:p w14:paraId="6294584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Assess suppliers, quality, lead times, skills, packaging, fulfilment and returns.</w:t>
            </w:r>
          </w:p>
        </w:tc>
      </w:tr>
      <w:tr w:rsidR="00C85640" w:rsidRPr="00AD735E" w14:paraId="7AF1D175" w14:textId="77777777" w:rsidTr="00C85640">
        <w:trPr>
          <w:trHeight w:val="220"/>
        </w:trPr>
        <w:tc>
          <w:tcPr>
            <w:tcW w:w="2007" w:type="dxa"/>
          </w:tcPr>
          <w:p w14:paraId="7A5A995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Risk and sensitivity</w:t>
            </w:r>
          </w:p>
        </w:tc>
        <w:tc>
          <w:tcPr>
            <w:tcW w:w="7058" w:type="dxa"/>
          </w:tcPr>
          <w:p w14:paraId="00BA022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Recalculate NPV for lower volume or margin, delay and higher cost; identify break-even drivers.</w:t>
            </w:r>
          </w:p>
        </w:tc>
      </w:tr>
      <w:tr w:rsidR="00C85640" w:rsidRPr="00AD735E" w14:paraId="6A46C644" w14:textId="77777777" w:rsidTr="00C85640">
        <w:trPr>
          <w:trHeight w:val="232"/>
        </w:trPr>
        <w:tc>
          <w:tcPr>
            <w:tcW w:w="2007" w:type="dxa"/>
          </w:tcPr>
          <w:p w14:paraId="29FD6B4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Strategy and flexibility</w:t>
            </w:r>
          </w:p>
        </w:tc>
        <w:tc>
          <w:tcPr>
            <w:tcW w:w="7058" w:type="dxa"/>
          </w:tcPr>
          <w:p w14:paraId="7A09EFF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Test product-range fit and whether staging, piloting or abandonment reduces downside.</w:t>
            </w:r>
          </w:p>
        </w:tc>
      </w:tr>
      <w:tr w:rsidR="00C85640" w:rsidRPr="00AD735E" w14:paraId="02B41468" w14:textId="77777777" w:rsidTr="00C85640">
        <w:trPr>
          <w:trHeight w:val="232"/>
        </w:trPr>
        <w:tc>
          <w:tcPr>
            <w:tcW w:w="2007" w:type="dxa"/>
          </w:tcPr>
          <w:p w14:paraId="3831171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Tax and regulation</w:t>
            </w:r>
          </w:p>
        </w:tc>
        <w:tc>
          <w:tcPr>
            <w:tcW w:w="7058" w:type="dxa"/>
          </w:tcPr>
          <w:p w14:paraId="4E50896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Confirm allowance eligibility and consumer, data, employment and product obligations.</w:t>
            </w:r>
          </w:p>
        </w:tc>
      </w:tr>
      <w:tr w:rsidR="00C85640" w:rsidRPr="00AD735E" w14:paraId="75ACDA84" w14:textId="77777777" w:rsidTr="00C85640">
        <w:trPr>
          <w:trHeight w:val="232"/>
        </w:trPr>
        <w:tc>
          <w:tcPr>
            <w:tcW w:w="2007" w:type="dxa"/>
          </w:tcPr>
          <w:p w14:paraId="517F810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Sustainability and reputation</w:t>
            </w:r>
          </w:p>
        </w:tc>
        <w:tc>
          <w:tcPr>
            <w:tcW w:w="7058" w:type="dxa"/>
          </w:tcPr>
          <w:p w14:paraId="238663B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 xml:space="preserve">Review sourcing, </w:t>
            </w:r>
            <w:proofErr w:type="spellStart"/>
            <w:r w:rsidRPr="00AD735E">
              <w:rPr>
                <w:rFonts w:ascii="Times New Roman" w:hAnsi="Times New Roman" w:cs="Times New Roman"/>
                <w:color w:val="auto"/>
                <w:sz w:val="17"/>
              </w:rPr>
              <w:t>labour</w:t>
            </w:r>
            <w:proofErr w:type="spellEnd"/>
            <w:r w:rsidRPr="00AD735E">
              <w:rPr>
                <w:rFonts w:ascii="Times New Roman" w:hAnsi="Times New Roman" w:cs="Times New Roman"/>
                <w:color w:val="auto"/>
                <w:sz w:val="17"/>
              </w:rPr>
              <w:t>, waste, durability and traceability.</w:t>
            </w:r>
          </w:p>
        </w:tc>
      </w:tr>
      <w:tr w:rsidR="00C85640" w:rsidRPr="00AD735E" w14:paraId="1C71C79C" w14:textId="77777777" w:rsidTr="00C85640">
        <w:trPr>
          <w:trHeight w:val="220"/>
        </w:trPr>
        <w:tc>
          <w:tcPr>
            <w:tcW w:w="2007" w:type="dxa"/>
          </w:tcPr>
          <w:p w14:paraId="0347F52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Governance and review</w:t>
            </w:r>
          </w:p>
        </w:tc>
        <w:tc>
          <w:tcPr>
            <w:tcW w:w="7058" w:type="dxa"/>
          </w:tcPr>
          <w:p w14:paraId="7A940AD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Set approval gates, owners, benefit tracking and post-completion review.</w:t>
            </w:r>
          </w:p>
        </w:tc>
      </w:tr>
    </w:tbl>
    <w:p w14:paraId="540377E0" w14:textId="77777777" w:rsidR="00C85640" w:rsidRPr="00AD735E" w:rsidRDefault="00C85640" w:rsidP="00C85640">
      <w:pPr>
        <w:spacing w:after="20"/>
        <w:rPr>
          <w:rFonts w:ascii="Times New Roman" w:hAnsi="Times New Roman" w:cs="Times New Roman"/>
          <w:color w:val="auto"/>
        </w:rPr>
      </w:pPr>
    </w:p>
    <w:p w14:paraId="241A9BCD"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A business case should include strategy, delivery and risk and cash flows. The Green Book's approach of breaking down impacts into costs, benefits, risks and non-</w:t>
      </w:r>
      <w:proofErr w:type="spellStart"/>
      <w:r w:rsidRPr="00AD735E">
        <w:rPr>
          <w:rFonts w:ascii="Times New Roman" w:hAnsi="Times New Roman" w:cs="Times New Roman"/>
          <w:color w:val="auto"/>
        </w:rPr>
        <w:t>monetised</w:t>
      </w:r>
      <w:proofErr w:type="spellEnd"/>
      <w:r w:rsidRPr="00AD735E">
        <w:rPr>
          <w:rFonts w:ascii="Times New Roman" w:hAnsi="Times New Roman" w:cs="Times New Roman"/>
          <w:color w:val="auto"/>
        </w:rPr>
        <w:t xml:space="preserve"> effects is applicable outside of the public sector (HM Treasury, 2026). Beard needs to independently challenge forecasts and employ clear gates (Jensen, 1986; </w:t>
      </w:r>
      <w:proofErr w:type="spellStart"/>
      <w:r w:rsidRPr="00AD735E">
        <w:rPr>
          <w:rFonts w:ascii="Times New Roman" w:hAnsi="Times New Roman" w:cs="Times New Roman"/>
          <w:color w:val="auto"/>
        </w:rPr>
        <w:t>Trigeorgis</w:t>
      </w:r>
      <w:proofErr w:type="spellEnd"/>
      <w:r w:rsidRPr="00AD735E">
        <w:rPr>
          <w:rFonts w:ascii="Times New Roman" w:hAnsi="Times New Roman" w:cs="Times New Roman"/>
          <w:color w:val="auto"/>
        </w:rPr>
        <w:t>, 1993) because an optimistic outlook and lack of information can reduce investment. Customer testing, capacity and ownership of implementation of suppliers must support the cash flows in option C so that it can be implemented.</w:t>
      </w:r>
    </w:p>
    <w:p w14:paraId="2BD7CFA1" w14:textId="77777777" w:rsidR="00C85640" w:rsidRPr="00AD735E" w:rsidRDefault="00C85640" w:rsidP="00C85640">
      <w:pPr>
        <w:pStyle w:val="Heading3"/>
        <w:rPr>
          <w:rFonts w:ascii="Times New Roman" w:hAnsi="Times New Roman" w:cs="Times New Roman"/>
          <w:color w:val="auto"/>
        </w:rPr>
      </w:pPr>
      <w:bookmarkStart w:id="19" w:name="_Toc243612758"/>
      <w:r w:rsidRPr="00AD735E">
        <w:rPr>
          <w:rFonts w:ascii="Times New Roman" w:hAnsi="Times New Roman" w:cs="Times New Roman"/>
          <w:color w:val="auto"/>
        </w:rPr>
        <w:t>2.2.7 Sensitivity and decision risk</w:t>
      </w:r>
      <w:bookmarkEnd w:id="19"/>
    </w:p>
    <w:p w14:paraId="11452A42"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Base NPV of option C is a point estimate. With the above tax and allowance, a 10% decrease in the pre-tax inflows decreases the NPV from £91.23 thousand to −£0.17 thousand, a 10% increase in the pre-tax inflows increases the NPV to £182.62 thousand. Therefore, nearly all value is removed by an operating cash </w:t>
      </w:r>
      <w:proofErr w:type="spellStart"/>
      <w:r w:rsidRPr="00AD735E">
        <w:rPr>
          <w:rFonts w:ascii="Times New Roman" w:hAnsi="Times New Roman" w:cs="Times New Roman"/>
          <w:color w:val="auto"/>
        </w:rPr>
        <w:t>change</w:t>
      </w:r>
      <w:proofErr w:type="spellEnd"/>
      <w:r w:rsidRPr="00AD735E">
        <w:rPr>
          <w:rFonts w:ascii="Times New Roman" w:hAnsi="Times New Roman" w:cs="Times New Roman"/>
          <w:color w:val="auto"/>
        </w:rPr>
        <w:t xml:space="preserve"> of approximately 10% which makes the sales and contribution evidence very critical.</w:t>
      </w:r>
    </w:p>
    <w:p w14:paraId="2572E67E"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If all after-tax project inflows, including allowance tax relief, occur one year later, then the NPV is reduced to £39.26 thousand, but if the cost of the initial investment is increased by 10%, with capital allowances held unchanged, then the NPV is reduced to −£8.77 thousand. These are individual tests; worse if the sales decline and the overrun and delay were all at the same time. The probabilities of scenarios are not available so no expected monetary value is calculated.</w:t>
      </w:r>
    </w:p>
    <w:p w14:paraId="4401324F"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7. Option C sensitivity analysis</w:t>
      </w:r>
    </w:p>
    <w:tbl>
      <w:tblPr>
        <w:tblStyle w:val="TableGrid"/>
        <w:tblW w:w="0" w:type="auto"/>
        <w:tblLayout w:type="fixed"/>
        <w:tblLook w:val="04A0" w:firstRow="1" w:lastRow="0" w:firstColumn="1" w:lastColumn="0" w:noHBand="0" w:noVBand="1"/>
      </w:tblPr>
      <w:tblGrid>
        <w:gridCol w:w="1985"/>
        <w:gridCol w:w="4098"/>
        <w:gridCol w:w="1280"/>
        <w:gridCol w:w="1601"/>
      </w:tblGrid>
      <w:tr w:rsidR="00C85640" w:rsidRPr="00AD735E" w14:paraId="12A3F33C" w14:textId="77777777" w:rsidTr="00C85640">
        <w:trPr>
          <w:trHeight w:val="261"/>
        </w:trPr>
        <w:tc>
          <w:tcPr>
            <w:tcW w:w="1985" w:type="dxa"/>
          </w:tcPr>
          <w:p w14:paraId="7CF3E5E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Scenario</w:t>
            </w:r>
          </w:p>
        </w:tc>
        <w:tc>
          <w:tcPr>
            <w:tcW w:w="4098" w:type="dxa"/>
          </w:tcPr>
          <w:p w14:paraId="33C89E2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Change tested</w:t>
            </w:r>
          </w:p>
        </w:tc>
        <w:tc>
          <w:tcPr>
            <w:tcW w:w="1280" w:type="dxa"/>
          </w:tcPr>
          <w:p w14:paraId="3267E4C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NPV (£000)</w:t>
            </w:r>
          </w:p>
        </w:tc>
        <w:tc>
          <w:tcPr>
            <w:tcW w:w="1601" w:type="dxa"/>
          </w:tcPr>
          <w:p w14:paraId="56BFAED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Indication</w:t>
            </w:r>
          </w:p>
        </w:tc>
      </w:tr>
      <w:tr w:rsidR="00C85640" w:rsidRPr="00AD735E" w14:paraId="6100BC2A" w14:textId="77777777" w:rsidTr="00C85640">
        <w:trPr>
          <w:trHeight w:val="247"/>
        </w:trPr>
        <w:tc>
          <w:tcPr>
            <w:tcW w:w="1985" w:type="dxa"/>
          </w:tcPr>
          <w:p w14:paraId="36B6F8F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Base case</w:t>
            </w:r>
          </w:p>
        </w:tc>
        <w:tc>
          <w:tcPr>
            <w:tcW w:w="4098" w:type="dxa"/>
          </w:tcPr>
          <w:p w14:paraId="247945F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Stated cash flows and £1,000k initial cost</w:t>
            </w:r>
          </w:p>
        </w:tc>
        <w:tc>
          <w:tcPr>
            <w:tcW w:w="1280" w:type="dxa"/>
          </w:tcPr>
          <w:p w14:paraId="5B7CE2D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91.23</w:t>
            </w:r>
          </w:p>
        </w:tc>
        <w:tc>
          <w:tcPr>
            <w:tcW w:w="1601" w:type="dxa"/>
          </w:tcPr>
          <w:p w14:paraId="611796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Accept</w:t>
            </w:r>
          </w:p>
        </w:tc>
      </w:tr>
      <w:tr w:rsidR="00C85640" w:rsidRPr="00AD735E" w14:paraId="1DA822EB" w14:textId="77777777" w:rsidTr="00C85640">
        <w:trPr>
          <w:trHeight w:val="234"/>
        </w:trPr>
        <w:tc>
          <w:tcPr>
            <w:tcW w:w="1985" w:type="dxa"/>
          </w:tcPr>
          <w:p w14:paraId="743F8FF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 lower pre-tax inflows</w:t>
            </w:r>
          </w:p>
        </w:tc>
        <w:tc>
          <w:tcPr>
            <w:tcW w:w="4098" w:type="dxa"/>
          </w:tcPr>
          <w:p w14:paraId="4582E87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Each stated operating inflow reduced by 10%</w:t>
            </w:r>
          </w:p>
        </w:tc>
        <w:tc>
          <w:tcPr>
            <w:tcW w:w="1280" w:type="dxa"/>
          </w:tcPr>
          <w:p w14:paraId="4A1D399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−0.17</w:t>
            </w:r>
          </w:p>
        </w:tc>
        <w:tc>
          <w:tcPr>
            <w:tcW w:w="1601" w:type="dxa"/>
          </w:tcPr>
          <w:p w14:paraId="5E37CC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Marginally reject</w:t>
            </w:r>
          </w:p>
        </w:tc>
      </w:tr>
      <w:tr w:rsidR="00C85640" w:rsidRPr="00AD735E" w14:paraId="27EED39A" w14:textId="77777777" w:rsidTr="00C85640">
        <w:trPr>
          <w:trHeight w:val="247"/>
        </w:trPr>
        <w:tc>
          <w:tcPr>
            <w:tcW w:w="1985" w:type="dxa"/>
          </w:tcPr>
          <w:p w14:paraId="5650530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 higher pre-tax inflows</w:t>
            </w:r>
          </w:p>
        </w:tc>
        <w:tc>
          <w:tcPr>
            <w:tcW w:w="4098" w:type="dxa"/>
          </w:tcPr>
          <w:p w14:paraId="628D520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Each stated operating inflow increased by 10%</w:t>
            </w:r>
          </w:p>
        </w:tc>
        <w:tc>
          <w:tcPr>
            <w:tcW w:w="1280" w:type="dxa"/>
          </w:tcPr>
          <w:p w14:paraId="6291FD9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182.62</w:t>
            </w:r>
          </w:p>
        </w:tc>
        <w:tc>
          <w:tcPr>
            <w:tcW w:w="1601" w:type="dxa"/>
          </w:tcPr>
          <w:p w14:paraId="15BA522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Accept</w:t>
            </w:r>
          </w:p>
        </w:tc>
      </w:tr>
      <w:tr w:rsidR="00C85640" w:rsidRPr="00AD735E" w14:paraId="5E89C07C" w14:textId="77777777" w:rsidTr="00C85640">
        <w:trPr>
          <w:trHeight w:val="496"/>
        </w:trPr>
        <w:tc>
          <w:tcPr>
            <w:tcW w:w="1985" w:type="dxa"/>
          </w:tcPr>
          <w:p w14:paraId="1038733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One-year delay</w:t>
            </w:r>
          </w:p>
        </w:tc>
        <w:tc>
          <w:tcPr>
            <w:tcW w:w="4098" w:type="dxa"/>
          </w:tcPr>
          <w:p w14:paraId="60A8EEA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All after-tax inflows, including allowance tax relief, received one year later</w:t>
            </w:r>
          </w:p>
        </w:tc>
        <w:tc>
          <w:tcPr>
            <w:tcW w:w="1280" w:type="dxa"/>
          </w:tcPr>
          <w:p w14:paraId="4BD774A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39.26</w:t>
            </w:r>
          </w:p>
        </w:tc>
        <w:tc>
          <w:tcPr>
            <w:tcW w:w="1601" w:type="dxa"/>
          </w:tcPr>
          <w:p w14:paraId="23A3D0B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Accept, with lower value</w:t>
            </w:r>
          </w:p>
        </w:tc>
      </w:tr>
      <w:tr w:rsidR="00C85640" w:rsidRPr="00AD735E" w14:paraId="2DD37DD6" w14:textId="77777777" w:rsidTr="00C85640">
        <w:trPr>
          <w:trHeight w:val="234"/>
        </w:trPr>
        <w:tc>
          <w:tcPr>
            <w:tcW w:w="1985" w:type="dxa"/>
          </w:tcPr>
          <w:p w14:paraId="65AA390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 initial-cost increase</w:t>
            </w:r>
          </w:p>
        </w:tc>
        <w:tc>
          <w:tcPr>
            <w:tcW w:w="4098" w:type="dxa"/>
          </w:tcPr>
          <w:p w14:paraId="4E599AA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Initial cost rises to £1,100k; capital allowances are unchanged</w:t>
            </w:r>
          </w:p>
        </w:tc>
        <w:tc>
          <w:tcPr>
            <w:tcW w:w="1280" w:type="dxa"/>
          </w:tcPr>
          <w:p w14:paraId="5E8FCB5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−8.77</w:t>
            </w:r>
          </w:p>
        </w:tc>
        <w:tc>
          <w:tcPr>
            <w:tcW w:w="1601" w:type="dxa"/>
          </w:tcPr>
          <w:p w14:paraId="4D78C96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Reject</w:t>
            </w:r>
          </w:p>
        </w:tc>
      </w:tr>
    </w:tbl>
    <w:p w14:paraId="258F5987" w14:textId="77777777" w:rsidR="00C85640" w:rsidRPr="00AD735E" w:rsidRDefault="00C85640" w:rsidP="00C85640">
      <w:pPr>
        <w:spacing w:after="20"/>
        <w:rPr>
          <w:rFonts w:ascii="Times New Roman" w:hAnsi="Times New Roman" w:cs="Times New Roman"/>
          <w:color w:val="auto"/>
        </w:rPr>
      </w:pPr>
    </w:p>
    <w:p w14:paraId="076A6145"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Sensitivity indicates where information is important and not probability of scenarios. The Board should develop integrated base case, downside case and severe downside cases with </w:t>
      </w:r>
      <w:proofErr w:type="spellStart"/>
      <w:r w:rsidRPr="00AD735E">
        <w:rPr>
          <w:rFonts w:ascii="Times New Roman" w:hAnsi="Times New Roman" w:cs="Times New Roman"/>
          <w:color w:val="auto"/>
        </w:rPr>
        <w:t>break even</w:t>
      </w:r>
      <w:proofErr w:type="spellEnd"/>
      <w:r w:rsidRPr="00AD735E">
        <w:rPr>
          <w:rFonts w:ascii="Times New Roman" w:hAnsi="Times New Roman" w:cs="Times New Roman"/>
          <w:color w:val="auto"/>
        </w:rPr>
        <w:t xml:space="preserve"> sales and early warning owners, and get customer evidence and supplier quotes and an implementation plan. Decision Gates are linked to cost and sales evidence to verify the cost and sales prior to each decision. A pilot can leave an opportunity to the table and/or revise the design, as per real-options theory (</w:t>
      </w:r>
      <w:proofErr w:type="spellStart"/>
      <w:r w:rsidRPr="00AD735E">
        <w:rPr>
          <w:rFonts w:ascii="Times New Roman" w:hAnsi="Times New Roman" w:cs="Times New Roman"/>
          <w:color w:val="auto"/>
        </w:rPr>
        <w:t>Trigeorgis</w:t>
      </w:r>
      <w:proofErr w:type="spellEnd"/>
      <w:r w:rsidRPr="00AD735E">
        <w:rPr>
          <w:rFonts w:ascii="Times New Roman" w:hAnsi="Times New Roman" w:cs="Times New Roman"/>
          <w:color w:val="auto"/>
        </w:rPr>
        <w:t>, 1993).</w:t>
      </w:r>
    </w:p>
    <w:p w14:paraId="172243A6" w14:textId="77777777" w:rsidR="00C85640" w:rsidRPr="00AD735E" w:rsidRDefault="00C85640" w:rsidP="00C85640">
      <w:pPr>
        <w:pStyle w:val="Heading3"/>
        <w:rPr>
          <w:rFonts w:ascii="Times New Roman" w:hAnsi="Times New Roman" w:cs="Times New Roman"/>
          <w:color w:val="auto"/>
        </w:rPr>
      </w:pPr>
      <w:bookmarkStart w:id="20" w:name="_Toc243612759"/>
      <w:r w:rsidRPr="00AD735E">
        <w:rPr>
          <w:rFonts w:ascii="Times New Roman" w:hAnsi="Times New Roman" w:cs="Times New Roman"/>
          <w:color w:val="auto"/>
        </w:rPr>
        <w:lastRenderedPageBreak/>
        <w:t>2.2.8 Divisible capital rationing</w:t>
      </w:r>
      <w:bookmarkEnd w:id="20"/>
    </w:p>
    <w:p w14:paraId="1889F7E5"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 brief says that the projects are divisible and that Beard Plc has a capital budget of £1.5 million. Hence the projects are in the order of their profitability indices: Option C has the highest profitability index of 1.0912, Option B has the second highest profitability index of 1.0822 and Option A has the lowest profitability index of 0.9946. Beard should spend £1.0 million on Option C and spend £0.5 million on 55.56% of Option B. Option A should not be considered since its profitability index is less than 1.0 and its negative NPV will have a detrimental impact on shareholder value, while option B is a partial investment and will generate an additional £41.08 thousand NPV.</w:t>
      </w:r>
    </w:p>
    <w:tbl>
      <w:tblPr>
        <w:tblStyle w:val="TableGrid"/>
        <w:tblW w:w="0" w:type="auto"/>
        <w:tblLayout w:type="fixed"/>
        <w:tblLook w:val="04A0" w:firstRow="1" w:lastRow="0" w:firstColumn="1" w:lastColumn="0" w:noHBand="0" w:noVBand="1"/>
      </w:tblPr>
      <w:tblGrid>
        <w:gridCol w:w="8770"/>
      </w:tblGrid>
      <w:tr w:rsidR="00C85640" w:rsidRPr="00AD735E" w14:paraId="61CDEEC5" w14:textId="77777777" w:rsidTr="00C85640">
        <w:trPr>
          <w:trHeight w:val="341"/>
        </w:trPr>
        <w:tc>
          <w:tcPr>
            <w:tcW w:w="8770" w:type="dxa"/>
          </w:tcPr>
          <w:p w14:paraId="7FF7D5B1" w14:textId="77777777" w:rsidR="00C85640" w:rsidRPr="00AD735E" w:rsidRDefault="00C85640" w:rsidP="00B63CD5">
            <w:pPr>
              <w:rPr>
                <w:rFonts w:ascii="Times New Roman" w:hAnsi="Times New Roman" w:cs="Times New Roman"/>
              </w:rPr>
            </w:pPr>
            <w:r w:rsidRPr="00AD735E">
              <w:rPr>
                <w:rFonts w:ascii="Times New Roman" w:hAnsi="Times New Roman" w:cs="Times New Roman"/>
                <w:b/>
              </w:rPr>
              <w:t xml:space="preserve">Profitability index: </w:t>
            </w:r>
            <w:r w:rsidRPr="00AD735E">
              <w:rPr>
                <w:rFonts w:ascii="Times New Roman" w:hAnsi="Times New Roman" w:cs="Times New Roman"/>
              </w:rPr>
              <w:t>present value of future cash inflows ÷ initial investment</w:t>
            </w:r>
          </w:p>
        </w:tc>
      </w:tr>
    </w:tbl>
    <w:p w14:paraId="344DE4FE" w14:textId="77777777" w:rsidR="00C85640" w:rsidRPr="00AD735E" w:rsidRDefault="00C85640" w:rsidP="00C85640">
      <w:pPr>
        <w:spacing w:after="0"/>
        <w:rPr>
          <w:rFonts w:ascii="Times New Roman" w:hAnsi="Times New Roman" w:cs="Times New Roman"/>
          <w:color w:val="auto"/>
        </w:rPr>
      </w:pPr>
    </w:p>
    <w:p w14:paraId="2B56AD8E"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8. Optimal divisible investment policy</w:t>
      </w:r>
    </w:p>
    <w:tbl>
      <w:tblPr>
        <w:tblStyle w:val="TableGrid"/>
        <w:tblW w:w="0" w:type="auto"/>
        <w:tblLayout w:type="fixed"/>
        <w:tblLook w:val="04A0" w:firstRow="1" w:lastRow="0" w:firstColumn="1" w:lastColumn="0" w:noHBand="0" w:noVBand="1"/>
      </w:tblPr>
      <w:tblGrid>
        <w:gridCol w:w="1224"/>
        <w:gridCol w:w="1152"/>
        <w:gridCol w:w="1656"/>
        <w:gridCol w:w="2088"/>
        <w:gridCol w:w="2592"/>
      </w:tblGrid>
      <w:tr w:rsidR="00C85640" w:rsidRPr="00AD735E" w14:paraId="01EA46F2" w14:textId="77777777" w:rsidTr="00B63CD5">
        <w:tc>
          <w:tcPr>
            <w:tcW w:w="1224" w:type="dxa"/>
          </w:tcPr>
          <w:p w14:paraId="374CEC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Option</w:t>
            </w:r>
          </w:p>
        </w:tc>
        <w:tc>
          <w:tcPr>
            <w:tcW w:w="1152" w:type="dxa"/>
          </w:tcPr>
          <w:p w14:paraId="1D24D0C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PI</w:t>
            </w:r>
          </w:p>
        </w:tc>
        <w:tc>
          <w:tcPr>
            <w:tcW w:w="1656" w:type="dxa"/>
          </w:tcPr>
          <w:p w14:paraId="286B5D5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Fraction taken</w:t>
            </w:r>
          </w:p>
        </w:tc>
        <w:tc>
          <w:tcPr>
            <w:tcW w:w="2088" w:type="dxa"/>
          </w:tcPr>
          <w:p w14:paraId="39E942D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Capital used (£000)</w:t>
            </w:r>
          </w:p>
        </w:tc>
        <w:tc>
          <w:tcPr>
            <w:tcW w:w="2592" w:type="dxa"/>
          </w:tcPr>
          <w:p w14:paraId="44B57F8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NPV contribution (£000)</w:t>
            </w:r>
          </w:p>
        </w:tc>
      </w:tr>
      <w:tr w:rsidR="00C85640" w:rsidRPr="00AD735E" w14:paraId="61532A9C" w14:textId="77777777" w:rsidTr="00B63CD5">
        <w:tc>
          <w:tcPr>
            <w:tcW w:w="1224" w:type="dxa"/>
          </w:tcPr>
          <w:p w14:paraId="13B070C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w:t>
            </w:r>
          </w:p>
        </w:tc>
        <w:tc>
          <w:tcPr>
            <w:tcW w:w="1152" w:type="dxa"/>
          </w:tcPr>
          <w:p w14:paraId="72E36B5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1.0912</w:t>
            </w:r>
          </w:p>
        </w:tc>
        <w:tc>
          <w:tcPr>
            <w:tcW w:w="1656" w:type="dxa"/>
          </w:tcPr>
          <w:p w14:paraId="1999F2C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w:t>
            </w:r>
          </w:p>
        </w:tc>
        <w:tc>
          <w:tcPr>
            <w:tcW w:w="2088" w:type="dxa"/>
          </w:tcPr>
          <w:p w14:paraId="42036DA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2592" w:type="dxa"/>
          </w:tcPr>
          <w:p w14:paraId="18932DD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91.23</w:t>
            </w:r>
          </w:p>
        </w:tc>
      </w:tr>
      <w:tr w:rsidR="00C85640" w:rsidRPr="00AD735E" w14:paraId="668F6121" w14:textId="77777777" w:rsidTr="00B63CD5">
        <w:tc>
          <w:tcPr>
            <w:tcW w:w="1224" w:type="dxa"/>
          </w:tcPr>
          <w:p w14:paraId="4E968CC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w:t>
            </w:r>
          </w:p>
        </w:tc>
        <w:tc>
          <w:tcPr>
            <w:tcW w:w="1152" w:type="dxa"/>
          </w:tcPr>
          <w:p w14:paraId="00A3433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1.0822</w:t>
            </w:r>
          </w:p>
        </w:tc>
        <w:tc>
          <w:tcPr>
            <w:tcW w:w="1656" w:type="dxa"/>
          </w:tcPr>
          <w:p w14:paraId="1255C90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55.56%</w:t>
            </w:r>
          </w:p>
        </w:tc>
        <w:tc>
          <w:tcPr>
            <w:tcW w:w="2088" w:type="dxa"/>
          </w:tcPr>
          <w:p w14:paraId="000CFE2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500.00</w:t>
            </w:r>
          </w:p>
        </w:tc>
        <w:tc>
          <w:tcPr>
            <w:tcW w:w="2592" w:type="dxa"/>
          </w:tcPr>
          <w:p w14:paraId="0D7F45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41.08</w:t>
            </w:r>
          </w:p>
        </w:tc>
      </w:tr>
      <w:tr w:rsidR="00C85640" w:rsidRPr="00AD735E" w14:paraId="69F2105E" w14:textId="77777777" w:rsidTr="00B63CD5">
        <w:tc>
          <w:tcPr>
            <w:tcW w:w="1224" w:type="dxa"/>
          </w:tcPr>
          <w:p w14:paraId="258E0E6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w:t>
            </w:r>
          </w:p>
        </w:tc>
        <w:tc>
          <w:tcPr>
            <w:tcW w:w="1152" w:type="dxa"/>
          </w:tcPr>
          <w:p w14:paraId="55CC5D0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0.9946</w:t>
            </w:r>
          </w:p>
        </w:tc>
        <w:tc>
          <w:tcPr>
            <w:tcW w:w="1656" w:type="dxa"/>
          </w:tcPr>
          <w:p w14:paraId="1C1A22A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0.00%</w:t>
            </w:r>
          </w:p>
        </w:tc>
        <w:tc>
          <w:tcPr>
            <w:tcW w:w="2088" w:type="dxa"/>
          </w:tcPr>
          <w:p w14:paraId="31AF0D5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0.00</w:t>
            </w:r>
          </w:p>
        </w:tc>
        <w:tc>
          <w:tcPr>
            <w:tcW w:w="2592" w:type="dxa"/>
          </w:tcPr>
          <w:p w14:paraId="23A0C6A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0.00</w:t>
            </w:r>
          </w:p>
        </w:tc>
      </w:tr>
      <w:tr w:rsidR="00C85640" w:rsidRPr="00AD735E" w14:paraId="7A095A86" w14:textId="77777777" w:rsidTr="00B63CD5">
        <w:tc>
          <w:tcPr>
            <w:tcW w:w="1224" w:type="dxa"/>
          </w:tcPr>
          <w:p w14:paraId="066AD13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Total</w:t>
            </w:r>
          </w:p>
        </w:tc>
        <w:tc>
          <w:tcPr>
            <w:tcW w:w="1152" w:type="dxa"/>
          </w:tcPr>
          <w:p w14:paraId="4AE940D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1656" w:type="dxa"/>
          </w:tcPr>
          <w:p w14:paraId="716936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088" w:type="dxa"/>
          </w:tcPr>
          <w:p w14:paraId="6C57B22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1,500.00</w:t>
            </w:r>
          </w:p>
        </w:tc>
        <w:tc>
          <w:tcPr>
            <w:tcW w:w="2592" w:type="dxa"/>
          </w:tcPr>
          <w:p w14:paraId="7B5B564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132.31</w:t>
            </w:r>
          </w:p>
        </w:tc>
      </w:tr>
    </w:tbl>
    <w:p w14:paraId="53E2AF34" w14:textId="77777777" w:rsidR="00C85640" w:rsidRPr="00AD735E" w:rsidRDefault="00C85640" w:rsidP="00C85640">
      <w:pPr>
        <w:spacing w:after="20"/>
        <w:rPr>
          <w:rFonts w:ascii="Times New Roman" w:hAnsi="Times New Roman" w:cs="Times New Roman"/>
          <w:color w:val="auto"/>
        </w:rPr>
      </w:pPr>
    </w:p>
    <w:p w14:paraId="3A6846B7"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This outcome is based on the assumption in the brief that the projects are divisible and that the cash flows, the risks and benefits vary in direct proportion to the portion of the project that is undertaken. The Internet, product and retail investments, however, may include fixed costs which cannot be apportioned. The Board should ensure that 55.56% of Option B is operationally feasible prior to approval. If there is no real possibility of splitting the project it should be reviewed by Beard to see what combinations of whole projects are realistic within the capital limit (£1.5m).</w:t>
      </w:r>
    </w:p>
    <w:p w14:paraId="4D6DB8BD" w14:textId="77777777" w:rsidR="00C85640" w:rsidRPr="00AD735E" w:rsidRDefault="00C85640" w:rsidP="00C85640">
      <w:pPr>
        <w:pStyle w:val="Heading3"/>
        <w:rPr>
          <w:rFonts w:ascii="Times New Roman" w:hAnsi="Times New Roman" w:cs="Times New Roman"/>
          <w:color w:val="auto"/>
        </w:rPr>
      </w:pPr>
      <w:bookmarkStart w:id="21" w:name="_Toc243612760"/>
      <w:r w:rsidRPr="00AD735E">
        <w:rPr>
          <w:rFonts w:ascii="Times New Roman" w:hAnsi="Times New Roman" w:cs="Times New Roman"/>
          <w:color w:val="auto"/>
        </w:rPr>
        <w:t xml:space="preserve">2.2.9 Financing the investment </w:t>
      </w:r>
      <w:proofErr w:type="spellStart"/>
      <w:r w:rsidRPr="00AD735E">
        <w:rPr>
          <w:rFonts w:ascii="Times New Roman" w:hAnsi="Times New Roman" w:cs="Times New Roman"/>
          <w:color w:val="auto"/>
        </w:rPr>
        <w:t>programme</w:t>
      </w:r>
      <w:bookmarkEnd w:id="21"/>
      <w:proofErr w:type="spellEnd"/>
    </w:p>
    <w:p w14:paraId="055517D6"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No financing source can be identified as best or cheapest as the balance sheet, ownership and facilities of Beard are not available. Cash reserves, working capital, leverage, security and covenants and debt service are all tests on financing. While there may be information gaps that are </w:t>
      </w:r>
      <w:proofErr w:type="spellStart"/>
      <w:r w:rsidRPr="00AD735E">
        <w:rPr>
          <w:rFonts w:ascii="Times New Roman" w:hAnsi="Times New Roman" w:cs="Times New Roman"/>
          <w:color w:val="auto"/>
        </w:rPr>
        <w:t>favourable</w:t>
      </w:r>
      <w:proofErr w:type="spellEnd"/>
      <w:r w:rsidRPr="00AD735E">
        <w:rPr>
          <w:rFonts w:ascii="Times New Roman" w:hAnsi="Times New Roman" w:cs="Times New Roman"/>
          <w:color w:val="auto"/>
        </w:rPr>
        <w:t xml:space="preserve"> to internal funds, and then debt and equity (Myers and Majluf, 1984), the end product is a mix between information and risk and flexibility.</w:t>
      </w:r>
    </w:p>
    <w:p w14:paraId="2C8012CF"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9. Critical comparison of financing sources</w:t>
      </w:r>
    </w:p>
    <w:tbl>
      <w:tblPr>
        <w:tblStyle w:val="TableGrid"/>
        <w:tblW w:w="9010" w:type="dxa"/>
        <w:tblLayout w:type="fixed"/>
        <w:tblLook w:val="04A0" w:firstRow="1" w:lastRow="0" w:firstColumn="1" w:lastColumn="0" w:noHBand="0" w:noVBand="1"/>
      </w:tblPr>
      <w:tblGrid>
        <w:gridCol w:w="1564"/>
        <w:gridCol w:w="2565"/>
        <w:gridCol w:w="2691"/>
        <w:gridCol w:w="2190"/>
      </w:tblGrid>
      <w:tr w:rsidR="00C85640" w:rsidRPr="00AD735E" w14:paraId="26322099" w14:textId="77777777" w:rsidTr="00C85640">
        <w:trPr>
          <w:trHeight w:val="468"/>
        </w:trPr>
        <w:tc>
          <w:tcPr>
            <w:tcW w:w="1564" w:type="dxa"/>
          </w:tcPr>
          <w:p w14:paraId="485E4D2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Source</w:t>
            </w:r>
          </w:p>
        </w:tc>
        <w:tc>
          <w:tcPr>
            <w:tcW w:w="2565" w:type="dxa"/>
          </w:tcPr>
          <w:p w14:paraId="64C3266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Advantages</w:t>
            </w:r>
          </w:p>
        </w:tc>
        <w:tc>
          <w:tcPr>
            <w:tcW w:w="2691" w:type="dxa"/>
          </w:tcPr>
          <w:p w14:paraId="2DA5886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Disadvantages</w:t>
            </w:r>
          </w:p>
        </w:tc>
        <w:tc>
          <w:tcPr>
            <w:tcW w:w="2190" w:type="dxa"/>
          </w:tcPr>
          <w:p w14:paraId="426E8D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Application to Beard</w:t>
            </w:r>
          </w:p>
        </w:tc>
      </w:tr>
      <w:tr w:rsidR="00C85640" w:rsidRPr="00AD735E" w14:paraId="6A64D798" w14:textId="77777777" w:rsidTr="00C85640">
        <w:trPr>
          <w:trHeight w:val="868"/>
        </w:trPr>
        <w:tc>
          <w:tcPr>
            <w:tcW w:w="1564" w:type="dxa"/>
          </w:tcPr>
          <w:p w14:paraId="6C19521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Retained earnings</w:t>
            </w:r>
          </w:p>
        </w:tc>
        <w:tc>
          <w:tcPr>
            <w:tcW w:w="2565" w:type="dxa"/>
          </w:tcPr>
          <w:p w14:paraId="226E30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No issue cost or dilution; flexible.</w:t>
            </w:r>
          </w:p>
        </w:tc>
        <w:tc>
          <w:tcPr>
            <w:tcW w:w="2691" w:type="dxa"/>
          </w:tcPr>
          <w:p w14:paraId="785199E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Reduces liquidity and may constrain working capital.</w:t>
            </w:r>
          </w:p>
        </w:tc>
        <w:tc>
          <w:tcPr>
            <w:tcW w:w="2190" w:type="dxa"/>
          </w:tcPr>
          <w:p w14:paraId="6D8A36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Use only verified surplus above contingency needs.</w:t>
            </w:r>
          </w:p>
        </w:tc>
      </w:tr>
      <w:tr w:rsidR="00C85640" w:rsidRPr="00AD735E" w14:paraId="008FD537" w14:textId="77777777" w:rsidTr="00C85640">
        <w:trPr>
          <w:trHeight w:val="868"/>
        </w:trPr>
        <w:tc>
          <w:tcPr>
            <w:tcW w:w="1564" w:type="dxa"/>
          </w:tcPr>
          <w:p w14:paraId="39AFD7E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Bank term loan</w:t>
            </w:r>
          </w:p>
        </w:tc>
        <w:tc>
          <w:tcPr>
            <w:tcW w:w="2565" w:type="dxa"/>
          </w:tcPr>
          <w:p w14:paraId="29FBAD0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Matches multi-year assets and preserves ownership.</w:t>
            </w:r>
          </w:p>
        </w:tc>
        <w:tc>
          <w:tcPr>
            <w:tcW w:w="2691" w:type="dxa"/>
          </w:tcPr>
          <w:p w14:paraId="372926F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Repayments, security, covenants and rate risk.</w:t>
            </w:r>
          </w:p>
        </w:tc>
        <w:tc>
          <w:tcPr>
            <w:tcW w:w="2190" w:type="dxa"/>
          </w:tcPr>
          <w:p w14:paraId="40C92B5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Require stressed debt-service headroom.</w:t>
            </w:r>
          </w:p>
        </w:tc>
      </w:tr>
      <w:tr w:rsidR="00C85640" w:rsidRPr="00AD735E" w14:paraId="6218AF1B" w14:textId="77777777" w:rsidTr="00C85640">
        <w:trPr>
          <w:trHeight w:val="868"/>
        </w:trPr>
        <w:tc>
          <w:tcPr>
            <w:tcW w:w="1564" w:type="dxa"/>
          </w:tcPr>
          <w:p w14:paraId="28F34C1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New equity</w:t>
            </w:r>
          </w:p>
        </w:tc>
        <w:tc>
          <w:tcPr>
            <w:tcW w:w="2565" w:type="dxa"/>
          </w:tcPr>
          <w:p w14:paraId="18BACF2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No mandatory repayment; absorbs risk.</w:t>
            </w:r>
          </w:p>
        </w:tc>
        <w:tc>
          <w:tcPr>
            <w:tcW w:w="2691" w:type="dxa"/>
          </w:tcPr>
          <w:p w14:paraId="51AA8E8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Dilution, valuation, issue cost and possible control loss.</w:t>
            </w:r>
          </w:p>
        </w:tc>
        <w:tc>
          <w:tcPr>
            <w:tcW w:w="2190" w:type="dxa"/>
          </w:tcPr>
          <w:p w14:paraId="172ADAC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Consider if leverage or project risk is high.</w:t>
            </w:r>
          </w:p>
        </w:tc>
      </w:tr>
      <w:tr w:rsidR="00C85640" w:rsidRPr="00AD735E" w14:paraId="13C87C8D" w14:textId="77777777" w:rsidTr="00C85640">
        <w:trPr>
          <w:trHeight w:val="868"/>
        </w:trPr>
        <w:tc>
          <w:tcPr>
            <w:tcW w:w="1564" w:type="dxa"/>
          </w:tcPr>
          <w:p w14:paraId="6802875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Asset finance or leasing</w:t>
            </w:r>
          </w:p>
        </w:tc>
        <w:tc>
          <w:tcPr>
            <w:tcW w:w="2565" w:type="dxa"/>
          </w:tcPr>
          <w:p w14:paraId="440EB0A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Matches payment to asset use and protects cash.</w:t>
            </w:r>
          </w:p>
        </w:tc>
        <w:tc>
          <w:tcPr>
            <w:tcW w:w="2691" w:type="dxa"/>
          </w:tcPr>
          <w:p w14:paraId="029AE7C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Overall cost, restrictions and residual-value terms.</w:t>
            </w:r>
          </w:p>
        </w:tc>
        <w:tc>
          <w:tcPr>
            <w:tcW w:w="2190" w:type="dxa"/>
          </w:tcPr>
          <w:p w14:paraId="0BBAAE9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Use for eligible assets, not operating losses.</w:t>
            </w:r>
          </w:p>
        </w:tc>
      </w:tr>
      <w:tr w:rsidR="00C85640" w:rsidRPr="00AD735E" w14:paraId="67581055" w14:textId="77777777" w:rsidTr="00C85640">
        <w:trPr>
          <w:trHeight w:val="868"/>
        </w:trPr>
        <w:tc>
          <w:tcPr>
            <w:tcW w:w="1564" w:type="dxa"/>
          </w:tcPr>
          <w:p w14:paraId="0D5EDF5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lastRenderedPageBreak/>
              <w:t>Government-backed lending</w:t>
            </w:r>
          </w:p>
        </w:tc>
        <w:tc>
          <w:tcPr>
            <w:tcW w:w="2565" w:type="dxa"/>
          </w:tcPr>
          <w:p w14:paraId="0BAAEB0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Guarantee may improve eligible firms’ access.</w:t>
            </w:r>
          </w:p>
        </w:tc>
        <w:tc>
          <w:tcPr>
            <w:tcW w:w="2691" w:type="dxa"/>
          </w:tcPr>
          <w:p w14:paraId="37083D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Still debt; eligibility, fees and assessment apply.</w:t>
            </w:r>
          </w:p>
        </w:tc>
        <w:tc>
          <w:tcPr>
            <w:tcW w:w="2190" w:type="dxa"/>
          </w:tcPr>
          <w:p w14:paraId="521E16A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Check the Growth Guarantee Scheme.</w:t>
            </w:r>
          </w:p>
        </w:tc>
      </w:tr>
      <w:tr w:rsidR="00C85640" w:rsidRPr="00AD735E" w14:paraId="611C3823" w14:textId="77777777" w:rsidTr="00C85640">
        <w:trPr>
          <w:trHeight w:val="868"/>
        </w:trPr>
        <w:tc>
          <w:tcPr>
            <w:tcW w:w="1564" w:type="dxa"/>
          </w:tcPr>
          <w:p w14:paraId="38777CE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Staged or partner finance</w:t>
            </w:r>
          </w:p>
        </w:tc>
        <w:tc>
          <w:tcPr>
            <w:tcW w:w="2565" w:type="dxa"/>
          </w:tcPr>
          <w:p w14:paraId="5AFF4C3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Limits exposure and permits learning.</w:t>
            </w:r>
          </w:p>
        </w:tc>
        <w:tc>
          <w:tcPr>
            <w:tcW w:w="2691" w:type="dxa"/>
          </w:tcPr>
          <w:p w14:paraId="0F1C7AF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May delay benefits or share control and returns.</w:t>
            </w:r>
          </w:p>
        </w:tc>
        <w:tc>
          <w:tcPr>
            <w:tcW w:w="2190" w:type="dxa"/>
          </w:tcPr>
          <w:p w14:paraId="52A6B93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Useful for pilots or weak demand evidence.</w:t>
            </w:r>
          </w:p>
        </w:tc>
      </w:tr>
    </w:tbl>
    <w:p w14:paraId="12A289A8"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The tax and agency/distress effects are not identical for debt and equity. While in a frictionless benchmark, financing is irrelevant, when there are taxes, information and distress, financing is important (Modigliani and Miller, 1958; Myers, 1984; Frank and Goyal, 2009). Access is influenced by size, age and information, and leasing can help to alleviate constraints (Berger and Udell, 1998; Cassar, 2004; Sharpe and Nguyen, 1995).</w:t>
      </w:r>
    </w:p>
    <w:p w14:paraId="0087BDF0"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Smaller businesses in the UK rely on finance from banks, assets and equity, though the costs and availability of these types of finance do vary (British Business Bank, 2025; British Business Bank, 2026; OECD, 2024). Extension of rationing can be achieved without the loss of assessment or repayment risk, for example through guarantees. (Cowling, 2010). The Growth Guarantee Scheme can be used to support eligible lending but Beard will still be liable (Department for Business and Trade, 2024).</w:t>
      </w:r>
    </w:p>
    <w:p w14:paraId="728E53BC"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Beard should invest after performing due diligence: if it has surplus cash, then it should be used for a pilot; term debt should finance long-term assets only if stressed cash flows support repayments and covenant compliance. Equity or partner finance may be appropriate where leverage or demand risk is high. All the proposed facilities must be assessed with regard to overall costs, repayment terms, security, covenants and resilience taken into account in the same downside scenario as the project. This is, of course, to ensure that liquidity is not created without capacity.</w:t>
      </w:r>
    </w:p>
    <w:p w14:paraId="592F524D"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Approval should include original assumptions, mandatory monthly delivery and cash reporting and review for completion. Variances in volume, price, cost, delay and financing separate out to better enable accountability and provide a measurement of the benefits promised.</w:t>
      </w:r>
    </w:p>
    <w:p w14:paraId="077534DC" w14:textId="77777777" w:rsidR="00C85640" w:rsidRPr="00AD735E" w:rsidRDefault="00C85640" w:rsidP="00C85640">
      <w:pPr>
        <w:pStyle w:val="Heading2"/>
        <w:rPr>
          <w:rFonts w:ascii="Times New Roman" w:hAnsi="Times New Roman" w:cs="Times New Roman"/>
          <w:color w:val="auto"/>
        </w:rPr>
      </w:pPr>
      <w:bookmarkStart w:id="22" w:name="_Toc243612761"/>
      <w:r w:rsidRPr="00AD735E">
        <w:rPr>
          <w:rFonts w:ascii="Times New Roman" w:hAnsi="Times New Roman" w:cs="Times New Roman"/>
          <w:color w:val="auto"/>
        </w:rPr>
        <w:t>2.2.10 Recommendation to the Board</w:t>
      </w:r>
      <w:bookmarkEnd w:id="22"/>
    </w:p>
    <w:p w14:paraId="36798A14"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Beard Plc should go for option C as it is the best investment with the highest positive NPV of £91.23 thousand and an estimated IRR of around 8.57%, which is higher than the required rate of 5%. Given that the capital is limited to £1.5 million, Beard should invest in 100% of Option C and 55.56% in Option B. The total NPV of this portfolio is expected to be around £132.31 thousand. The NPV of option A is negative at around £3.26 thousand so it should be rejected. However, the recommendation is still subject to proper diligence related to demand, operational expenses, timing of implementation, taxation and the feasibility of splitting the implementation of Option B.</w:t>
      </w:r>
    </w:p>
    <w:p w14:paraId="6FB2F6E8"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It has been impossible to identify any financing source as the best or cheapest as Beard's balance sheet, ownership structure, cash reserves, borrowing capacity and finance facilities are not provided. Internal finance could be considered if there is verified surplus cash in excess of working-capital and contingency needs for a staged pilot. Only a term loan or an asset finance is recommended if there are stressed cash-flow projections that there is enough capacity to repay and covenant headroom. If leverage and/or project risk are high, equity finance or a business partner might be more appropriate. Thus, the Board should consider the cost of financing, the repayment schedule, the security requirements, the dilution of ownership, the flexibility and downside resistance of the financing before taking its final decision. The process of approval should also involve documented assumptions, staged decision points and monthly delivery/cash-flow reporting and regular investigation of cost, revenue and timing variances.</w:t>
      </w:r>
    </w:p>
    <w:p w14:paraId="3FB713B9" w14:textId="77777777" w:rsidR="00C85640" w:rsidRPr="00AD735E" w:rsidRDefault="00C85640" w:rsidP="00C85640">
      <w:pPr>
        <w:pStyle w:val="Heading1"/>
        <w:rPr>
          <w:rFonts w:ascii="Times New Roman" w:hAnsi="Times New Roman" w:cs="Times New Roman"/>
          <w:color w:val="auto"/>
        </w:rPr>
      </w:pPr>
      <w:bookmarkStart w:id="23" w:name="_Toc243612762"/>
      <w:r w:rsidRPr="00AD735E">
        <w:rPr>
          <w:rFonts w:ascii="Times New Roman" w:hAnsi="Times New Roman" w:cs="Times New Roman"/>
          <w:color w:val="auto"/>
        </w:rPr>
        <w:lastRenderedPageBreak/>
        <w:t>3. Conclusion</w:t>
      </w:r>
      <w:bookmarkEnd w:id="23"/>
    </w:p>
    <w:p w14:paraId="6D7C7A58"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Overall AstraZeneca showed improvement of its 2025 performance. The increase in revenue was accompanied by higher profit growth and lower restructuring charges which positively contributed to the hike in operating margin from 18.50% to 23.40% and ROCE from 13.63% to 17.22%. The ROE, EPS and dividend cover all went up while the </w:t>
      </w:r>
      <w:proofErr w:type="gramStart"/>
      <w:r w:rsidRPr="00AD735E">
        <w:rPr>
          <w:rFonts w:ascii="Times New Roman" w:hAnsi="Times New Roman" w:cs="Times New Roman"/>
          <w:color w:val="auto"/>
        </w:rPr>
        <w:t>debt to equity</w:t>
      </w:r>
      <w:proofErr w:type="gramEnd"/>
      <w:r w:rsidRPr="00AD735E">
        <w:rPr>
          <w:rFonts w:ascii="Times New Roman" w:hAnsi="Times New Roman" w:cs="Times New Roman"/>
          <w:color w:val="auto"/>
        </w:rPr>
        <w:t xml:space="preserve"> ratio went down and the interest cover went up. So, the financing resilience and the earning ability also increased.</w:t>
      </w:r>
    </w:p>
    <w:p w14:paraId="5B6E6F83"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But liquidity remained constrained as the current ratio remained below 1.0, the quick ratio decreased and inventory and receivables turnover slowed. Good operating cash flow means immediate concerns are reduced but not eliminated, as good cash flow does not equate to control. AstraZeneca ought to focus on the working capital by market segment, push for stock reduction and debt recovery, correlate growth with cash conversion and ROCE, and test their debt and payout policy.</w:t>
      </w:r>
    </w:p>
    <w:p w14:paraId="36B8E402"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For Beard Plc, Option A’s NPV is −£3.26 thousand, B’s is £73.95 thousand and C’s is £91.23 thousand. The best single investment is option C (purses and wallets) with an IRR of approximately 8.6%, exceeding the 5% cost of capital. If the £1.5 M projects can be divided, then NPV is </w:t>
      </w:r>
      <w:proofErr w:type="spellStart"/>
      <w:r w:rsidRPr="00AD735E">
        <w:rPr>
          <w:rFonts w:ascii="Times New Roman" w:hAnsi="Times New Roman" w:cs="Times New Roman"/>
          <w:color w:val="auto"/>
        </w:rPr>
        <w:t>maximised</w:t>
      </w:r>
      <w:proofErr w:type="spellEnd"/>
      <w:r w:rsidRPr="00AD735E">
        <w:rPr>
          <w:rFonts w:ascii="Times New Roman" w:hAnsi="Times New Roman" w:cs="Times New Roman"/>
          <w:color w:val="auto"/>
        </w:rPr>
        <w:t xml:space="preserve"> at £132.31 thousand with an investment of £1.0 million in C and a 55.56% investment in B.</w:t>
      </w:r>
    </w:p>
    <w:p w14:paraId="6E0FFE62"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t xml:space="preserve">Primary is NPV, as it treats all incremental cash flows, risk and timing, but still the quality of the forecasts is important. Beard needs to run a demand, cost, delay and downside analysis, and then use payback as a liquidity filter. If there are no financial statements then no funding source is final. Staged approach may be more appropriate when internal cash surplus and term debt are appropriate when liquidity and stressed debt service are satisfactory; equity, partnership or asset finance may be more appropriate for absorbing risk. Approval should not be based on tax treatment </w:t>
      </w:r>
      <w:proofErr w:type="gramStart"/>
      <w:r w:rsidRPr="00AD735E">
        <w:rPr>
          <w:rFonts w:ascii="Times New Roman" w:hAnsi="Times New Roman" w:cs="Times New Roman"/>
          <w:color w:val="auto"/>
        </w:rPr>
        <w:t>alone,</w:t>
      </w:r>
      <w:proofErr w:type="gramEnd"/>
      <w:r w:rsidRPr="00AD735E">
        <w:rPr>
          <w:rFonts w:ascii="Times New Roman" w:hAnsi="Times New Roman" w:cs="Times New Roman"/>
          <w:color w:val="auto"/>
        </w:rPr>
        <w:t xml:space="preserve"> project divisibility and sufficient financing headroom should be considered.</w:t>
      </w:r>
    </w:p>
    <w:p w14:paraId="769EF7C0" w14:textId="77777777" w:rsidR="00C85640" w:rsidRPr="00AD735E" w:rsidRDefault="00C85640" w:rsidP="00C85640">
      <w:pPr>
        <w:pStyle w:val="Heading1"/>
        <w:pageBreakBefore/>
        <w:rPr>
          <w:rFonts w:ascii="Times New Roman" w:hAnsi="Times New Roman" w:cs="Times New Roman"/>
          <w:color w:val="auto"/>
        </w:rPr>
      </w:pPr>
      <w:bookmarkStart w:id="24" w:name="_Toc243612763"/>
      <w:r w:rsidRPr="00AD735E">
        <w:rPr>
          <w:rFonts w:ascii="Times New Roman" w:hAnsi="Times New Roman" w:cs="Times New Roman"/>
          <w:color w:val="auto"/>
        </w:rPr>
        <w:lastRenderedPageBreak/>
        <w:t>References</w:t>
      </w:r>
      <w:bookmarkEnd w:id="24"/>
    </w:p>
    <w:p w14:paraId="4B936E38"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Journal articles are linked through their DOI where one is available; official and book sources use publisher links.</w:t>
      </w:r>
    </w:p>
    <w:p w14:paraId="71F842B7"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Aktas, N., Croci, E. and Petmezas, D. (2015) ‘Is working capital management value-enhancing? Evidence from firm performance and investments’, Journal of Corporate Finance, 30, pp. 98–113. </w:t>
      </w:r>
      <w:hyperlink r:id="rId9">
        <w:r w:rsidRPr="00AD735E">
          <w:rPr>
            <w:rFonts w:ascii="Times New Roman" w:hAnsi="Times New Roman" w:cs="Times New Roman"/>
            <w:u w:val="single"/>
          </w:rPr>
          <w:t>https://doi.org/10.1016/j.jcorpfin.2014.12.008</w:t>
        </w:r>
      </w:hyperlink>
    </w:p>
    <w:p w14:paraId="5C2467A8"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Aldubhani</w:t>
      </w:r>
      <w:proofErr w:type="spellEnd"/>
      <w:r w:rsidRPr="00AD735E">
        <w:rPr>
          <w:rFonts w:ascii="Times New Roman" w:hAnsi="Times New Roman" w:cs="Times New Roman"/>
        </w:rPr>
        <w:t xml:space="preserve">, M.A.Q., Wang, J., Gong, T. and </w:t>
      </w:r>
      <w:proofErr w:type="spellStart"/>
      <w:r w:rsidRPr="00AD735E">
        <w:rPr>
          <w:rFonts w:ascii="Times New Roman" w:hAnsi="Times New Roman" w:cs="Times New Roman"/>
        </w:rPr>
        <w:t>Maudhah</w:t>
      </w:r>
      <w:proofErr w:type="spellEnd"/>
      <w:r w:rsidRPr="00AD735E">
        <w:rPr>
          <w:rFonts w:ascii="Times New Roman" w:hAnsi="Times New Roman" w:cs="Times New Roman"/>
        </w:rPr>
        <w:t xml:space="preserve">, R.A. (2022) ‘Impact of working capital management on profitability: evidence from listed companies in Qatar’, Journal of Money and Business, 2(1), pp. 70–81. </w:t>
      </w:r>
      <w:hyperlink r:id="rId10">
        <w:r w:rsidRPr="00AD735E">
          <w:rPr>
            <w:rFonts w:ascii="Times New Roman" w:hAnsi="Times New Roman" w:cs="Times New Roman"/>
            <w:u w:val="single"/>
          </w:rPr>
          <w:t>https://doi.org/10.1108/JMB-08-2021-0032</w:t>
        </w:r>
      </w:hyperlink>
    </w:p>
    <w:p w14:paraId="7BA97790"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Altman, E.I. (1968) ‘Financial ratios, discriminant analysis and the prediction of corporate bankruptcy’, Journal of Finance, 23(4), pp. 589–609. </w:t>
      </w:r>
      <w:hyperlink r:id="rId11">
        <w:r w:rsidRPr="00AD735E">
          <w:rPr>
            <w:rFonts w:ascii="Times New Roman" w:hAnsi="Times New Roman" w:cs="Times New Roman"/>
            <w:u w:val="single"/>
          </w:rPr>
          <w:t>https://doi.org/10.1111/j.1540-6261.1968.tb00843.x</w:t>
        </w:r>
      </w:hyperlink>
    </w:p>
    <w:p w14:paraId="2F5CBFDB"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Anton, S.G. and </w:t>
      </w:r>
      <w:proofErr w:type="spellStart"/>
      <w:r w:rsidRPr="00AD735E">
        <w:rPr>
          <w:rFonts w:ascii="Times New Roman" w:hAnsi="Times New Roman" w:cs="Times New Roman"/>
        </w:rPr>
        <w:t>Nucu</w:t>
      </w:r>
      <w:proofErr w:type="spellEnd"/>
      <w:r w:rsidRPr="00AD735E">
        <w:rPr>
          <w:rFonts w:ascii="Times New Roman" w:hAnsi="Times New Roman" w:cs="Times New Roman"/>
        </w:rPr>
        <w:t xml:space="preserve">, A.E.A. (2021) ‘The impact of working capital management on firm profitability: empirical evidence from the Polish listed firms’, Journal of Risk and Financial Management, 14(1), 9. </w:t>
      </w:r>
      <w:hyperlink r:id="rId12">
        <w:r w:rsidRPr="00AD735E">
          <w:rPr>
            <w:rFonts w:ascii="Times New Roman" w:hAnsi="Times New Roman" w:cs="Times New Roman"/>
            <w:u w:val="single"/>
          </w:rPr>
          <w:t>https://doi.org/10.3390/jrfm14010009</w:t>
        </w:r>
      </w:hyperlink>
    </w:p>
    <w:p w14:paraId="143907CF"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Arnold, G. and Lewis, D. (2019) Corporate Financial Management. 6th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Harlow: Pearson. </w:t>
      </w:r>
      <w:hyperlink r:id="rId13">
        <w:r w:rsidRPr="00AD735E">
          <w:rPr>
            <w:rFonts w:ascii="Times New Roman" w:hAnsi="Times New Roman" w:cs="Times New Roman"/>
            <w:u w:val="single"/>
          </w:rPr>
          <w:t>https://www.pearson.com/en-gb/subject-catalog/p/corporate-financial-management/P200000006284</w:t>
        </w:r>
      </w:hyperlink>
    </w:p>
    <w:p w14:paraId="6AED3C1B"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AstraZeneca Plc (2024) Annual Report and Form 20-F Information 2024: Financial Statements. </w:t>
      </w:r>
      <w:hyperlink r:id="rId14">
        <w:r w:rsidRPr="00AD735E">
          <w:rPr>
            <w:rFonts w:ascii="Times New Roman" w:hAnsi="Times New Roman" w:cs="Times New Roman"/>
            <w:u w:val="single"/>
          </w:rPr>
          <w:t>https://www.astrazeneca.com/content/dam/az/Investor_Relations/annual-report-2024/pdf/AstraZeneca_AR_2024_Financial_Statements.pdf</w:t>
        </w:r>
      </w:hyperlink>
    </w:p>
    <w:p w14:paraId="2A27C295"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AstraZeneca Plc (2025a) Annual Report and Form 20-F Information 2025: Financial Statements. </w:t>
      </w:r>
      <w:hyperlink r:id="rId15">
        <w:r w:rsidRPr="00AD735E">
          <w:rPr>
            <w:rFonts w:ascii="Times New Roman" w:hAnsi="Times New Roman" w:cs="Times New Roman"/>
            <w:u w:val="single"/>
          </w:rPr>
          <w:t>https://www.astrazeneca.com/content/dam/az/Investor_Relations/annual-report-2025/pdf/AstraZeneca_AR_2025_Financial_Statements.pdf</w:t>
        </w:r>
      </w:hyperlink>
    </w:p>
    <w:p w14:paraId="5260A1D3"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AstraZeneca Plc (2026) Full-year and Q4 2025 results announcement. </w:t>
      </w:r>
      <w:hyperlink r:id="rId16">
        <w:r w:rsidRPr="00AD735E">
          <w:rPr>
            <w:rFonts w:ascii="Times New Roman" w:hAnsi="Times New Roman" w:cs="Times New Roman"/>
            <w:u w:val="single"/>
          </w:rPr>
          <w:t>https://www.astrazeneca.com/content/dam/az/PDF/2025/Q4-FY/Full-year-Q4-2025-results-announcement.pdf</w:t>
        </w:r>
      </w:hyperlink>
    </w:p>
    <w:p w14:paraId="602CF15E"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Atrill</w:t>
      </w:r>
      <w:proofErr w:type="spellEnd"/>
      <w:r w:rsidRPr="00AD735E">
        <w:rPr>
          <w:rFonts w:ascii="Times New Roman" w:hAnsi="Times New Roman" w:cs="Times New Roman"/>
        </w:rPr>
        <w:t xml:space="preserve">, P. (2020) Financial Management for Decision Makers. 9th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Harlow: Pearson. </w:t>
      </w:r>
      <w:hyperlink r:id="rId17">
        <w:r w:rsidRPr="00AD735E">
          <w:rPr>
            <w:rFonts w:ascii="Times New Roman" w:hAnsi="Times New Roman" w:cs="Times New Roman"/>
            <w:u w:val="single"/>
          </w:rPr>
          <w:t>https://www.pearson.com/se/Nordics-Higher-Education/subject-catalogue/finance/Atrill-Financial-Management-for-Decision-Makers-9th-edition.html</w:t>
        </w:r>
      </w:hyperlink>
    </w:p>
    <w:p w14:paraId="37349B8F"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Atrill</w:t>
      </w:r>
      <w:proofErr w:type="spellEnd"/>
      <w:r w:rsidRPr="00AD735E">
        <w:rPr>
          <w:rFonts w:ascii="Times New Roman" w:hAnsi="Times New Roman" w:cs="Times New Roman"/>
        </w:rPr>
        <w:t xml:space="preserve">, P. and McLaney, E. (2022) Accounting and Finance for Non-Specialists. 12th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Harlow: Pearson. </w:t>
      </w:r>
      <w:hyperlink r:id="rId18">
        <w:r w:rsidRPr="00AD735E">
          <w:rPr>
            <w:rFonts w:ascii="Times New Roman" w:hAnsi="Times New Roman" w:cs="Times New Roman"/>
            <w:u w:val="single"/>
          </w:rPr>
          <w:t>https://www.pearson.com/nl/en_NL/higher-education/subject-catalogue/accounting-and-taxation/Atrill-McClaney-Financial-Accounting-and-finance-for-non-specialists-12e.html</w:t>
        </w:r>
      </w:hyperlink>
    </w:p>
    <w:p w14:paraId="784092D0"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Balcaen</w:t>
      </w:r>
      <w:proofErr w:type="spellEnd"/>
      <w:r w:rsidRPr="00AD735E">
        <w:rPr>
          <w:rFonts w:ascii="Times New Roman" w:hAnsi="Times New Roman" w:cs="Times New Roman"/>
        </w:rPr>
        <w:t xml:space="preserve">, S. and </w:t>
      </w:r>
      <w:proofErr w:type="spellStart"/>
      <w:r w:rsidRPr="00AD735E">
        <w:rPr>
          <w:rFonts w:ascii="Times New Roman" w:hAnsi="Times New Roman" w:cs="Times New Roman"/>
        </w:rPr>
        <w:t>Ooghe</w:t>
      </w:r>
      <w:proofErr w:type="spellEnd"/>
      <w:r w:rsidRPr="00AD735E">
        <w:rPr>
          <w:rFonts w:ascii="Times New Roman" w:hAnsi="Times New Roman" w:cs="Times New Roman"/>
        </w:rPr>
        <w:t xml:space="preserve">, H. (2006) ‘35 years of studies on business failure: an overview of the classic statistical methodologies and their related problems’, British Accounting Review, 38(1), pp. 63–93. </w:t>
      </w:r>
      <w:hyperlink r:id="rId19">
        <w:r w:rsidRPr="00AD735E">
          <w:rPr>
            <w:rFonts w:ascii="Times New Roman" w:hAnsi="Times New Roman" w:cs="Times New Roman"/>
            <w:u w:val="single"/>
          </w:rPr>
          <w:t>https://doi.org/10.1016/j.bar.2005.09.001</w:t>
        </w:r>
      </w:hyperlink>
    </w:p>
    <w:p w14:paraId="604D3BE8"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Barnes, P. (1987) ‘The analysis and use of financial ratios: a review article’, Journal of Business Finance &amp; Accounting, 14(4), pp. 449–461. </w:t>
      </w:r>
      <w:hyperlink r:id="rId20">
        <w:r w:rsidRPr="00AD735E">
          <w:rPr>
            <w:rFonts w:ascii="Times New Roman" w:hAnsi="Times New Roman" w:cs="Times New Roman"/>
            <w:u w:val="single"/>
          </w:rPr>
          <w:t>https://doi.org/10.1111/j.1468-5957.1987.tb00106.x</w:t>
        </w:r>
      </w:hyperlink>
    </w:p>
    <w:p w14:paraId="0E002759"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Baños-Caballero, S., García-Teruel, P.J. and Martínez-Solano, P. (2012) ‘How does working capital management affect the profitability of Spanish SMEs?’, Small Business Economics, 39, pp. 517–529. </w:t>
      </w:r>
      <w:hyperlink r:id="rId21">
        <w:r w:rsidRPr="00AD735E">
          <w:rPr>
            <w:rFonts w:ascii="Times New Roman" w:hAnsi="Times New Roman" w:cs="Times New Roman"/>
            <w:u w:val="single"/>
          </w:rPr>
          <w:t>https://doi.org/10.1007/s11187-011-9317-8</w:t>
        </w:r>
      </w:hyperlink>
    </w:p>
    <w:p w14:paraId="36F242AC"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Bennouna, K., Meredith, G.G. and Marchant, T. (2010) ‘Improved capital budgeting decision making: evidence from Canada’, Management Decision, 48(2), pp. 225–247. </w:t>
      </w:r>
      <w:hyperlink r:id="rId22">
        <w:r w:rsidRPr="00AD735E">
          <w:rPr>
            <w:rFonts w:ascii="Times New Roman" w:hAnsi="Times New Roman" w:cs="Times New Roman"/>
            <w:u w:val="single"/>
          </w:rPr>
          <w:t>https://doi.org/10.1108/00251741011022590</w:t>
        </w:r>
      </w:hyperlink>
    </w:p>
    <w:p w14:paraId="06F482F3"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Berger, A.N. and Udell, G.F. (1998) ‘The economics of small business finance’, Journal of Banking &amp; Finance, 22(6–8), pp. 613–673. </w:t>
      </w:r>
      <w:hyperlink r:id="rId23">
        <w:r w:rsidRPr="00AD735E">
          <w:rPr>
            <w:rFonts w:ascii="Times New Roman" w:hAnsi="Times New Roman" w:cs="Times New Roman"/>
            <w:u w:val="single"/>
          </w:rPr>
          <w:t>https://doi.org/10.1016/S0378-4266(98)00038-7</w:t>
        </w:r>
      </w:hyperlink>
    </w:p>
    <w:p w14:paraId="6D505C2C"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Boisjoly, R.P., Conine, T.E. and McDonald, M.B. (2020) ‘Working capital management: financial and valuation impacts’, Journal of Business Research, 108, pp. 1–8. </w:t>
      </w:r>
      <w:hyperlink r:id="rId24">
        <w:r w:rsidRPr="00AD735E">
          <w:rPr>
            <w:rFonts w:ascii="Times New Roman" w:hAnsi="Times New Roman" w:cs="Times New Roman"/>
            <w:u w:val="single"/>
          </w:rPr>
          <w:t>https://doi.org/10.1016/j.jbusres.2019.09.025</w:t>
        </w:r>
      </w:hyperlink>
    </w:p>
    <w:p w14:paraId="3EECF128"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Brealey, R.A., Myers, S.C., Allen, F. and Edmans, A. (2023) Principles of Corporate Finance. 14th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New York: McGraw Hill. </w:t>
      </w:r>
      <w:hyperlink r:id="rId25">
        <w:r w:rsidRPr="00AD735E">
          <w:rPr>
            <w:rFonts w:ascii="Times New Roman" w:hAnsi="Times New Roman" w:cs="Times New Roman"/>
            <w:u w:val="single"/>
          </w:rPr>
          <w:t>https://www.mheducation.com/highered/product/principles-of-corporate-finance-brealey.html</w:t>
        </w:r>
      </w:hyperlink>
    </w:p>
    <w:p w14:paraId="22EC5809"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British Business Bank (2025) Small Business Finance Markets Report 2025. </w:t>
      </w:r>
      <w:hyperlink r:id="rId26">
        <w:r w:rsidRPr="00AD735E">
          <w:rPr>
            <w:rFonts w:ascii="Times New Roman" w:hAnsi="Times New Roman" w:cs="Times New Roman"/>
            <w:u w:val="single"/>
          </w:rPr>
          <w:t>https://www.british-business-bank.co.uk/about/research-and-publications/small-business-finance-markets-report-2025</w:t>
        </w:r>
      </w:hyperlink>
    </w:p>
    <w:p w14:paraId="5FFA1634"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British Business Bank (2026) Small Business Finance Markets Report 2026. </w:t>
      </w:r>
      <w:hyperlink r:id="rId27">
        <w:r w:rsidRPr="00AD735E">
          <w:rPr>
            <w:rFonts w:ascii="Times New Roman" w:hAnsi="Times New Roman" w:cs="Times New Roman"/>
            <w:u w:val="single"/>
          </w:rPr>
          <w:t>https://www.british-business-bank.co.uk/about/research-and-publications/small-business-finance-markets-report-2026</w:t>
        </w:r>
      </w:hyperlink>
    </w:p>
    <w:p w14:paraId="1832A6EE"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Cassar, G. (2004) ‘The financing of business start-ups’, Journal of Business Venturing, 19(2), pp. 261–283. </w:t>
      </w:r>
      <w:hyperlink r:id="rId28">
        <w:r w:rsidRPr="00AD735E">
          <w:rPr>
            <w:rFonts w:ascii="Times New Roman" w:hAnsi="Times New Roman" w:cs="Times New Roman"/>
            <w:u w:val="single"/>
          </w:rPr>
          <w:t>https://doi.org/10.1016/S0883-9026(03)00029-6</w:t>
        </w:r>
      </w:hyperlink>
    </w:p>
    <w:p w14:paraId="6A3AAA5C"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Cowling, M. (2010) ‘The role of loan guarantee schemes in alleviating credit rationing in the UK’, Journal of Financial Stability, 6(1), pp. 36–44. </w:t>
      </w:r>
      <w:hyperlink r:id="rId29">
        <w:r w:rsidRPr="00AD735E">
          <w:rPr>
            <w:rFonts w:ascii="Times New Roman" w:hAnsi="Times New Roman" w:cs="Times New Roman"/>
            <w:u w:val="single"/>
          </w:rPr>
          <w:t>https://doi.org/10.1016/j.jfs.2009.05.007</w:t>
        </w:r>
      </w:hyperlink>
    </w:p>
    <w:p w14:paraId="67A68A93"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Darmansyah</w:t>
      </w:r>
      <w:proofErr w:type="spellEnd"/>
      <w:r w:rsidRPr="00AD735E">
        <w:rPr>
          <w:rFonts w:ascii="Times New Roman" w:hAnsi="Times New Roman" w:cs="Times New Roman"/>
        </w:rPr>
        <w:t xml:space="preserve">, A., Ali, Q. and Parveen, S. (2025) ‘Sophisticated capital budgeting decisions for financial performance and risk management: a tale of two business entities’, Journal of Risk and Financial Management, 18(6), 297. </w:t>
      </w:r>
      <w:hyperlink r:id="rId30">
        <w:r w:rsidRPr="00AD735E">
          <w:rPr>
            <w:rFonts w:ascii="Times New Roman" w:hAnsi="Times New Roman" w:cs="Times New Roman"/>
            <w:u w:val="single"/>
          </w:rPr>
          <w:t>https://doi.org/10.3390/jrfm18060297</w:t>
        </w:r>
      </w:hyperlink>
    </w:p>
    <w:p w14:paraId="7B1F0C9B"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lastRenderedPageBreak/>
        <w:t xml:space="preserve">de Andrés, P., de Fuente, G. and San Martín, P. (2015) ‘Capital budgeting practices in Spain’, BRQ Business Research Quarterly, 18(1), pp. 37–56. </w:t>
      </w:r>
      <w:hyperlink r:id="rId31">
        <w:r w:rsidRPr="00AD735E">
          <w:rPr>
            <w:rFonts w:ascii="Times New Roman" w:hAnsi="Times New Roman" w:cs="Times New Roman"/>
            <w:u w:val="single"/>
          </w:rPr>
          <w:t>https://doi.org/10.1016/j.brq.2014.08.002</w:t>
        </w:r>
      </w:hyperlink>
    </w:p>
    <w:p w14:paraId="71338307"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Delen, D., Kuzey, C. and Uyar, A. (2013) ‘Measuring firm performance using financial ratios’, Expert Systems with Applications, 40(10), pp. 3970–3983. </w:t>
      </w:r>
      <w:hyperlink r:id="rId32">
        <w:r w:rsidRPr="00AD735E">
          <w:rPr>
            <w:rFonts w:ascii="Times New Roman" w:hAnsi="Times New Roman" w:cs="Times New Roman"/>
            <w:u w:val="single"/>
          </w:rPr>
          <w:t>https://doi.org/10.1016/j.eswa.2013.01.012</w:t>
        </w:r>
      </w:hyperlink>
    </w:p>
    <w:p w14:paraId="603692F6"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Deloof, M. (2003) ‘Does working capital management affect profitability of Belgian firms?’, Journal of Business Finance &amp; Accounting, 30(3–4), pp. 573–588. </w:t>
      </w:r>
      <w:hyperlink r:id="rId33">
        <w:r w:rsidRPr="00AD735E">
          <w:rPr>
            <w:rFonts w:ascii="Times New Roman" w:hAnsi="Times New Roman" w:cs="Times New Roman"/>
            <w:u w:val="single"/>
          </w:rPr>
          <w:t>https://doi.org/10.1111/1468-5957.00008</w:t>
        </w:r>
      </w:hyperlink>
    </w:p>
    <w:p w14:paraId="28B0C51B"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Demiraj, R., Dsouza, S. and Abiad, M. (2022) ‘Working capital management impact on profitability: pre-pandemic and pandemic evidence from the European automotive industry’, Risks, 10(12), 236. </w:t>
      </w:r>
      <w:hyperlink r:id="rId34">
        <w:r w:rsidRPr="00AD735E">
          <w:rPr>
            <w:rFonts w:ascii="Times New Roman" w:hAnsi="Times New Roman" w:cs="Times New Roman"/>
            <w:u w:val="single"/>
          </w:rPr>
          <w:t>https://doi.org/10.3390/risks10120236</w:t>
        </w:r>
      </w:hyperlink>
    </w:p>
    <w:p w14:paraId="20865934"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Department for Business and Trade (2024) Growth Guarantee Scheme. </w:t>
      </w:r>
      <w:hyperlink r:id="rId35">
        <w:r w:rsidRPr="00AD735E">
          <w:rPr>
            <w:rFonts w:ascii="Times New Roman" w:hAnsi="Times New Roman" w:cs="Times New Roman"/>
            <w:u w:val="single"/>
          </w:rPr>
          <w:t>https://www.gov.uk/guidance/growth-guarantee-scheme</w:t>
        </w:r>
      </w:hyperlink>
    </w:p>
    <w:p w14:paraId="5D18E2CD"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Drury, C. and </w:t>
      </w:r>
      <w:proofErr w:type="spellStart"/>
      <w:r w:rsidRPr="00AD735E">
        <w:rPr>
          <w:rFonts w:ascii="Times New Roman" w:hAnsi="Times New Roman" w:cs="Times New Roman"/>
        </w:rPr>
        <w:t>Tayles</w:t>
      </w:r>
      <w:proofErr w:type="spellEnd"/>
      <w:r w:rsidRPr="00AD735E">
        <w:rPr>
          <w:rFonts w:ascii="Times New Roman" w:hAnsi="Times New Roman" w:cs="Times New Roman"/>
        </w:rPr>
        <w:t xml:space="preserve">, M. (1997) ‘The misapplication of capital investment appraisal techniques’, Management Decision, 35(2), pp. 86–93. </w:t>
      </w:r>
      <w:hyperlink r:id="rId36">
        <w:r w:rsidRPr="00AD735E">
          <w:rPr>
            <w:rFonts w:ascii="Times New Roman" w:hAnsi="Times New Roman" w:cs="Times New Roman"/>
            <w:u w:val="single"/>
          </w:rPr>
          <w:t>https://doi.org/10.1108/00251749710160223</w:t>
        </w:r>
      </w:hyperlink>
    </w:p>
    <w:p w14:paraId="1EC1B42E"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Drury, C. and </w:t>
      </w:r>
      <w:proofErr w:type="spellStart"/>
      <w:r w:rsidRPr="00AD735E">
        <w:rPr>
          <w:rFonts w:ascii="Times New Roman" w:hAnsi="Times New Roman" w:cs="Times New Roman"/>
        </w:rPr>
        <w:t>Tayles</w:t>
      </w:r>
      <w:proofErr w:type="spellEnd"/>
      <w:r w:rsidRPr="00AD735E">
        <w:rPr>
          <w:rFonts w:ascii="Times New Roman" w:hAnsi="Times New Roman" w:cs="Times New Roman"/>
        </w:rPr>
        <w:t xml:space="preserve">, M. (2021) Management and Cost Accounting. 11th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Andover: Cengage. </w:t>
      </w:r>
      <w:hyperlink r:id="rId37">
        <w:r w:rsidRPr="00AD735E">
          <w:rPr>
            <w:rFonts w:ascii="Times New Roman" w:hAnsi="Times New Roman" w:cs="Times New Roman"/>
            <w:u w:val="single"/>
          </w:rPr>
          <w:t>https://www.cengageasia.com/title/default/detail?isbn=9781473773615</w:t>
        </w:r>
      </w:hyperlink>
    </w:p>
    <w:p w14:paraId="082A1D29"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Enqvist, J., Graham, M. and Nikkinen, J. (2014) ‘The impact of working capital management on firm profitability in different business cycles’, Research in International Business and Finance, 32, pp. 36–49. </w:t>
      </w:r>
      <w:hyperlink r:id="rId38">
        <w:r w:rsidRPr="00AD735E">
          <w:rPr>
            <w:rFonts w:ascii="Times New Roman" w:hAnsi="Times New Roman" w:cs="Times New Roman"/>
            <w:u w:val="single"/>
          </w:rPr>
          <w:t>https://doi.org/10.1016/j.ribaf.2014.03.005</w:t>
        </w:r>
      </w:hyperlink>
    </w:p>
    <w:p w14:paraId="52AD5635"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Fairfield, P.M. and Yohn, T.L. (2001) ‘Using asset turnover and profit margin to forecast changes in profitability’, Review of Accounting Studies, 6, pp. 371–385. </w:t>
      </w:r>
      <w:hyperlink r:id="rId39">
        <w:r w:rsidRPr="00AD735E">
          <w:rPr>
            <w:rFonts w:ascii="Times New Roman" w:hAnsi="Times New Roman" w:cs="Times New Roman"/>
            <w:u w:val="single"/>
          </w:rPr>
          <w:t>https://doi.org/10.1023/A:1012430513430</w:t>
        </w:r>
      </w:hyperlink>
    </w:p>
    <w:p w14:paraId="5ED0FE74"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Financial Reporting Council (2024) UK Corporate Governance Code 2024. </w:t>
      </w:r>
      <w:hyperlink r:id="rId40">
        <w:r w:rsidRPr="00AD735E">
          <w:rPr>
            <w:rFonts w:ascii="Times New Roman" w:hAnsi="Times New Roman" w:cs="Times New Roman"/>
            <w:u w:val="single"/>
          </w:rPr>
          <w:t>https://www.frc.org.uk/library/standards-codes-policy/corporate-governance/uk-corporate-governance-code/</w:t>
        </w:r>
      </w:hyperlink>
    </w:p>
    <w:p w14:paraId="12BE81C2"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Frank, M.Z. and Goyal, V.K. (2009) ‘Capital structure decisions: which factors are reliably important?’, Financial Management, 38(1), pp. 1–37. </w:t>
      </w:r>
      <w:hyperlink r:id="rId41">
        <w:r w:rsidRPr="00AD735E">
          <w:rPr>
            <w:rFonts w:ascii="Times New Roman" w:hAnsi="Times New Roman" w:cs="Times New Roman"/>
            <w:u w:val="single"/>
          </w:rPr>
          <w:t>https://doi.org/10.1111/j.1755-053X.2009.01026.x</w:t>
        </w:r>
      </w:hyperlink>
    </w:p>
    <w:p w14:paraId="3184AC3F"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García-Teruel, P.J. and Martínez-Solano, P. (2007) ‘Effects of working capital management on SME profitability’, International Journal of Managerial Finance, 3(2), pp. 164–177. </w:t>
      </w:r>
      <w:hyperlink r:id="rId42">
        <w:r w:rsidRPr="00AD735E">
          <w:rPr>
            <w:rFonts w:ascii="Times New Roman" w:hAnsi="Times New Roman" w:cs="Times New Roman"/>
            <w:u w:val="single"/>
          </w:rPr>
          <w:t>https://doi.org/10.1108/17439130710738718</w:t>
        </w:r>
      </w:hyperlink>
    </w:p>
    <w:p w14:paraId="49D0AC47"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Graham, J.R. and Harvey, C.R. (2001) ‘The theory and practice of corporate finance: evidence from the field’, Journal of Financial Economics, 60(2–3), pp. 187–243. </w:t>
      </w:r>
      <w:hyperlink r:id="rId43">
        <w:r w:rsidRPr="00AD735E">
          <w:rPr>
            <w:rFonts w:ascii="Times New Roman" w:hAnsi="Times New Roman" w:cs="Times New Roman"/>
            <w:u w:val="single"/>
          </w:rPr>
          <w:t>https://doi.org/10.1016/S0304-405X(01)00044-7</w:t>
        </w:r>
      </w:hyperlink>
    </w:p>
    <w:p w14:paraId="656DECE4"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Graham, J.R., Lemmon, M.L. and </w:t>
      </w:r>
      <w:proofErr w:type="spellStart"/>
      <w:r w:rsidRPr="00AD735E">
        <w:rPr>
          <w:rFonts w:ascii="Times New Roman" w:hAnsi="Times New Roman" w:cs="Times New Roman"/>
        </w:rPr>
        <w:t>Schallheim</w:t>
      </w:r>
      <w:proofErr w:type="spellEnd"/>
      <w:r w:rsidRPr="00AD735E">
        <w:rPr>
          <w:rFonts w:ascii="Times New Roman" w:hAnsi="Times New Roman" w:cs="Times New Roman"/>
        </w:rPr>
        <w:t xml:space="preserve">, J.S. (1998) ‘Debt, leases, taxes, and the endogeneity of corporate tax status’, Journal of Finance, 53(1), pp. 131–162. </w:t>
      </w:r>
      <w:hyperlink r:id="rId44">
        <w:r w:rsidRPr="00AD735E">
          <w:rPr>
            <w:rFonts w:ascii="Times New Roman" w:hAnsi="Times New Roman" w:cs="Times New Roman"/>
            <w:u w:val="single"/>
          </w:rPr>
          <w:t>https://doi.org/10.1111/0022-1082.55404</w:t>
        </w:r>
      </w:hyperlink>
    </w:p>
    <w:p w14:paraId="4525E382"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Götze, U., Northcott, D. and Schuster, P. (2015) Investment Appraisal: Methods and Models. 2nd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Berlin: Springer. </w:t>
      </w:r>
      <w:hyperlink r:id="rId45">
        <w:r w:rsidRPr="00AD735E">
          <w:rPr>
            <w:rFonts w:ascii="Times New Roman" w:hAnsi="Times New Roman" w:cs="Times New Roman"/>
            <w:u w:val="single"/>
          </w:rPr>
          <w:t>https://doi.org/10.1007/978-3-662-45851-8</w:t>
        </w:r>
      </w:hyperlink>
    </w:p>
    <w:p w14:paraId="5995D5A8"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HM Treasury (2026) The Green Book: appraisal and evaluation in central government. </w:t>
      </w:r>
      <w:hyperlink r:id="rId46">
        <w:r w:rsidRPr="00AD735E">
          <w:rPr>
            <w:rFonts w:ascii="Times New Roman" w:hAnsi="Times New Roman" w:cs="Times New Roman"/>
            <w:u w:val="single"/>
          </w:rPr>
          <w:t>https://www.gov.uk/government/publications/the-green-book-appraisal-and-evaluation-in-central-government</w:t>
        </w:r>
      </w:hyperlink>
    </w:p>
    <w:p w14:paraId="6432694B"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IFRS Foundation (2018) Conceptual Framework for Financial Reporting. </w:t>
      </w:r>
      <w:hyperlink r:id="rId47">
        <w:r w:rsidRPr="00AD735E">
          <w:rPr>
            <w:rFonts w:ascii="Times New Roman" w:hAnsi="Times New Roman" w:cs="Times New Roman"/>
            <w:u w:val="single"/>
          </w:rPr>
          <w:t>https://www.ifrs.org/issued-standards/list-of-standards/conceptual-framework/</w:t>
        </w:r>
      </w:hyperlink>
    </w:p>
    <w:p w14:paraId="7CFE4539"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IFRS Foundation (2021a) IAS 33 Earnings per Share. </w:t>
      </w:r>
      <w:hyperlink r:id="rId48">
        <w:r w:rsidRPr="00AD735E">
          <w:rPr>
            <w:rFonts w:ascii="Times New Roman" w:hAnsi="Times New Roman" w:cs="Times New Roman"/>
            <w:u w:val="single"/>
          </w:rPr>
          <w:t>https://www.ifrs.org/issued-standards/list-of-standards/ias-33-earnings-per-share/</w:t>
        </w:r>
      </w:hyperlink>
    </w:p>
    <w:p w14:paraId="41B299E3"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IFRS Foundation (2021b) IFRS 16 Leases. </w:t>
      </w:r>
      <w:hyperlink r:id="rId49">
        <w:r w:rsidRPr="00AD735E">
          <w:rPr>
            <w:rFonts w:ascii="Times New Roman" w:hAnsi="Times New Roman" w:cs="Times New Roman"/>
            <w:u w:val="single"/>
          </w:rPr>
          <w:t>https://www.ifrs.org/issued-standards/list-of-standards/ifrs-16-leases/</w:t>
        </w:r>
      </w:hyperlink>
    </w:p>
    <w:p w14:paraId="7BC66ECE"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IFRS Foundation (2021c) IFRS 9 Financial Instruments. </w:t>
      </w:r>
      <w:hyperlink r:id="rId50">
        <w:r w:rsidRPr="00AD735E">
          <w:rPr>
            <w:rFonts w:ascii="Times New Roman" w:hAnsi="Times New Roman" w:cs="Times New Roman"/>
            <w:u w:val="single"/>
          </w:rPr>
          <w:t>https://www.ifrs.org/issued-standards/list-of-standards/ifrs-9-financial-instruments/</w:t>
        </w:r>
      </w:hyperlink>
    </w:p>
    <w:p w14:paraId="0695D0C5"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IFRS Foundation (2022a) IAS 1 Presentation of Financial Statements. </w:t>
      </w:r>
      <w:hyperlink r:id="rId51">
        <w:r w:rsidRPr="00AD735E">
          <w:rPr>
            <w:rFonts w:ascii="Times New Roman" w:hAnsi="Times New Roman" w:cs="Times New Roman"/>
            <w:u w:val="single"/>
          </w:rPr>
          <w:t>https://www.ifrs.org/issued-standards/list-of-standards/ias-1-presentation-of-financial-statements/</w:t>
        </w:r>
      </w:hyperlink>
    </w:p>
    <w:p w14:paraId="3C76D9D4"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IFRS Foundation (2022b) IAS 7 Statement of Cash Flows. </w:t>
      </w:r>
      <w:hyperlink r:id="rId52">
        <w:r w:rsidRPr="00AD735E">
          <w:rPr>
            <w:rFonts w:ascii="Times New Roman" w:hAnsi="Times New Roman" w:cs="Times New Roman"/>
            <w:u w:val="single"/>
          </w:rPr>
          <w:t>https://www.ifrs.org/issued-standards/list-of-standards/ias-7-statement-of-cash-flows/</w:t>
        </w:r>
      </w:hyperlink>
    </w:p>
    <w:p w14:paraId="368F5FB3"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Jensen, M.C. (1986) ‘Agency costs of free cash flow, corporate finance, and takeovers’, American Economic Review, 76(2), pp. 323–329. </w:t>
      </w:r>
      <w:hyperlink r:id="rId53">
        <w:r w:rsidRPr="00AD735E">
          <w:rPr>
            <w:rFonts w:ascii="Times New Roman" w:hAnsi="Times New Roman" w:cs="Times New Roman"/>
            <w:u w:val="single"/>
          </w:rPr>
          <w:t>https://www.jstor.org/stable/1818789</w:t>
        </w:r>
      </w:hyperlink>
    </w:p>
    <w:p w14:paraId="35572D05"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Kim, T., Lee, H., Park, K. and Waggle, D. (2021) ‘Capital budgeting practices: evidence from Korea’, Managerial Finance, 47(2), pp. 189–208. </w:t>
      </w:r>
      <w:hyperlink r:id="rId54">
        <w:r w:rsidRPr="00AD735E">
          <w:rPr>
            <w:rFonts w:ascii="Times New Roman" w:hAnsi="Times New Roman" w:cs="Times New Roman"/>
            <w:u w:val="single"/>
          </w:rPr>
          <w:t>https://doi.org/10.1108/MF-05-2020-0238</w:t>
        </w:r>
      </w:hyperlink>
    </w:p>
    <w:p w14:paraId="6C66EE3B"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Linares-</w:t>
      </w:r>
      <w:proofErr w:type="spellStart"/>
      <w:r w:rsidRPr="00AD735E">
        <w:rPr>
          <w:rFonts w:ascii="Times New Roman" w:hAnsi="Times New Roman" w:cs="Times New Roman"/>
        </w:rPr>
        <w:t>Mustarós</w:t>
      </w:r>
      <w:proofErr w:type="spellEnd"/>
      <w:r w:rsidRPr="00AD735E">
        <w:rPr>
          <w:rFonts w:ascii="Times New Roman" w:hAnsi="Times New Roman" w:cs="Times New Roman"/>
        </w:rPr>
        <w:t xml:space="preserve">, S., Farreras-Noguer, M.À., Arimany-Serrat, N. and </w:t>
      </w:r>
      <w:proofErr w:type="spellStart"/>
      <w:r w:rsidRPr="00AD735E">
        <w:rPr>
          <w:rFonts w:ascii="Times New Roman" w:hAnsi="Times New Roman" w:cs="Times New Roman"/>
        </w:rPr>
        <w:t>Coenders</w:t>
      </w:r>
      <w:proofErr w:type="spellEnd"/>
      <w:r w:rsidRPr="00AD735E">
        <w:rPr>
          <w:rFonts w:ascii="Times New Roman" w:hAnsi="Times New Roman" w:cs="Times New Roman"/>
        </w:rPr>
        <w:t xml:space="preserve">, G. (2022) ‘New Financial Ratios Based on the Compositional Data Methodology’, Axioms, 11(12), 694. https://doi.org/10.3390/axioms11120694London Stock Exchange (2026) FTSE 100 constituents. </w:t>
      </w:r>
      <w:hyperlink r:id="rId55">
        <w:r w:rsidRPr="00AD735E">
          <w:rPr>
            <w:rFonts w:ascii="Times New Roman" w:hAnsi="Times New Roman" w:cs="Times New Roman"/>
            <w:u w:val="single"/>
          </w:rPr>
          <w:t>https://www.londonstockexchange.com/indices/ftse-100/constituents/table</w:t>
        </w:r>
      </w:hyperlink>
    </w:p>
    <w:p w14:paraId="43CE5055"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Modigliani, F. and Miller, M.H. (1958) ‘The cost of capital, corporation finance and the theory of investment’, American Economic Review, 48(3), pp. 261–297. </w:t>
      </w:r>
      <w:hyperlink r:id="rId56">
        <w:r w:rsidRPr="00AD735E">
          <w:rPr>
            <w:rFonts w:ascii="Times New Roman" w:hAnsi="Times New Roman" w:cs="Times New Roman"/>
            <w:u w:val="single"/>
          </w:rPr>
          <w:t>https://doi.org/10.2307/1809766</w:t>
        </w:r>
      </w:hyperlink>
    </w:p>
    <w:p w14:paraId="5CECB34E"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lastRenderedPageBreak/>
        <w:t xml:space="preserve">Myers, S.C. (1984) ‘The capital structure puzzle’, Journal of Finance, 39(3), pp. 575–592. </w:t>
      </w:r>
      <w:hyperlink r:id="rId57">
        <w:r w:rsidRPr="00AD735E">
          <w:rPr>
            <w:rFonts w:ascii="Times New Roman" w:hAnsi="Times New Roman" w:cs="Times New Roman"/>
            <w:u w:val="single"/>
          </w:rPr>
          <w:t>https://doi.org/10.1111/j.1540-6261.1984.tb03646.x</w:t>
        </w:r>
      </w:hyperlink>
    </w:p>
    <w:p w14:paraId="7FA79CC9"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Myers, S.C. and Majluf, N.S. (1984) ‘Corporate financing and investment decisions when firms have information that investors do not have’, Journal of Financial Economics, 13(2), pp. 187–221. </w:t>
      </w:r>
      <w:hyperlink r:id="rId58">
        <w:r w:rsidRPr="00AD735E">
          <w:rPr>
            <w:rFonts w:ascii="Times New Roman" w:hAnsi="Times New Roman" w:cs="Times New Roman"/>
            <w:u w:val="single"/>
          </w:rPr>
          <w:t>https://doi.org/10.1016/0304-405X(84)90023-0</w:t>
        </w:r>
      </w:hyperlink>
    </w:p>
    <w:p w14:paraId="5C36C8F9"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Nissim, D. and Penman, S.H. (2001) ‘Ratio analysis and equity valuation’, Review of Accounting Studies, 6, pp. 109–154. </w:t>
      </w:r>
      <w:hyperlink r:id="rId59">
        <w:r w:rsidRPr="00AD735E">
          <w:rPr>
            <w:rFonts w:ascii="Times New Roman" w:hAnsi="Times New Roman" w:cs="Times New Roman"/>
            <w:u w:val="single"/>
          </w:rPr>
          <w:t>https://doi.org/10.1023/A:1011338221623</w:t>
        </w:r>
      </w:hyperlink>
    </w:p>
    <w:p w14:paraId="3CC8DF56"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OECD (2024) Financing SMEs and Entrepreneurs 2024: An OECD Scoreboard. Paris: OECD Publishing. </w:t>
      </w:r>
      <w:hyperlink r:id="rId60">
        <w:r w:rsidRPr="00AD735E">
          <w:rPr>
            <w:rFonts w:ascii="Times New Roman" w:hAnsi="Times New Roman" w:cs="Times New Roman"/>
            <w:u w:val="single"/>
          </w:rPr>
          <w:t>https://doi.org/10.1787/fa521246-en</w:t>
        </w:r>
      </w:hyperlink>
    </w:p>
    <w:p w14:paraId="012CA8C8"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Palepu, K.G., Healy, P.M. and Peek, E. (2020) Business Analysis and Valuation: IFRS Edition. 5th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Andover: Cengage. </w:t>
      </w:r>
      <w:hyperlink r:id="rId61">
        <w:r w:rsidRPr="00AD735E">
          <w:rPr>
            <w:rFonts w:ascii="Times New Roman" w:hAnsi="Times New Roman" w:cs="Times New Roman"/>
            <w:u w:val="single"/>
          </w:rPr>
          <w:t>https://www.cengage.uk/c/business-analysis-and-valuation-ifrs-edition-5e-palepu-healy-peek/9781473779075/</w:t>
        </w:r>
      </w:hyperlink>
    </w:p>
    <w:p w14:paraId="2953BF86"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Penman, S.H. (2013) Financial Statement Analysis and Security Valuation. 5th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New York: McGraw Hill. </w:t>
      </w:r>
      <w:hyperlink r:id="rId62">
        <w:r w:rsidRPr="00AD735E">
          <w:rPr>
            <w:rFonts w:ascii="Times New Roman" w:hAnsi="Times New Roman" w:cs="Times New Roman"/>
            <w:u w:val="single"/>
          </w:rPr>
          <w:t>https://www.mheducation.com/highered/product/financial-statement-analysis-security-valuation-penman.html</w:t>
        </w:r>
      </w:hyperlink>
    </w:p>
    <w:p w14:paraId="0CE73A5F"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Piotroski, J.D. (2000) ‘Value investing: the use of historical financial statement information to separate winners from losers’, Journal of Accounting Research, 38, pp. 1–41. </w:t>
      </w:r>
      <w:hyperlink r:id="rId63">
        <w:r w:rsidRPr="00AD735E">
          <w:rPr>
            <w:rFonts w:ascii="Times New Roman" w:hAnsi="Times New Roman" w:cs="Times New Roman"/>
            <w:u w:val="single"/>
          </w:rPr>
          <w:t>https://doi.org/10.2307/2672906</w:t>
        </w:r>
      </w:hyperlink>
    </w:p>
    <w:p w14:paraId="1DB70074"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Purnamasari</w:t>
      </w:r>
      <w:proofErr w:type="spellEnd"/>
      <w:r w:rsidRPr="00AD735E">
        <w:rPr>
          <w:rFonts w:ascii="Times New Roman" w:hAnsi="Times New Roman" w:cs="Times New Roman"/>
        </w:rPr>
        <w:t xml:space="preserve">, P. and </w:t>
      </w:r>
      <w:proofErr w:type="spellStart"/>
      <w:r w:rsidRPr="00AD735E">
        <w:rPr>
          <w:rFonts w:ascii="Times New Roman" w:hAnsi="Times New Roman" w:cs="Times New Roman"/>
        </w:rPr>
        <w:t>Adriza</w:t>
      </w:r>
      <w:proofErr w:type="spellEnd"/>
      <w:r w:rsidRPr="00AD735E">
        <w:rPr>
          <w:rFonts w:ascii="Times New Roman" w:hAnsi="Times New Roman" w:cs="Times New Roman"/>
        </w:rPr>
        <w:t xml:space="preserve"> (2024) ‘Capital budgeting techniques and financial performance: a comparison between SMEs and large listed firms’, Cogent Economics &amp; Finance, 12(1), 2404707. </w:t>
      </w:r>
      <w:hyperlink r:id="rId64">
        <w:r w:rsidRPr="00AD735E">
          <w:rPr>
            <w:rFonts w:ascii="Times New Roman" w:hAnsi="Times New Roman" w:cs="Times New Roman"/>
            <w:u w:val="single"/>
          </w:rPr>
          <w:t>https://doi.org/10.1080/23322039.2024.2404707</w:t>
        </w:r>
      </w:hyperlink>
    </w:p>
    <w:p w14:paraId="10992B3D"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Ross, S.A., </w:t>
      </w:r>
      <w:proofErr w:type="spellStart"/>
      <w:r w:rsidRPr="00AD735E">
        <w:rPr>
          <w:rFonts w:ascii="Times New Roman" w:hAnsi="Times New Roman" w:cs="Times New Roman"/>
        </w:rPr>
        <w:t>Westerfield</w:t>
      </w:r>
      <w:proofErr w:type="spellEnd"/>
      <w:r w:rsidRPr="00AD735E">
        <w:rPr>
          <w:rFonts w:ascii="Times New Roman" w:hAnsi="Times New Roman" w:cs="Times New Roman"/>
        </w:rPr>
        <w:t xml:space="preserve">, R.W., Jaffe, J.F. and Jordan, B.D. (2022) Corporate Finance. 13th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New York: McGraw Hill. </w:t>
      </w:r>
      <w:hyperlink r:id="rId65">
        <w:r w:rsidRPr="00AD735E">
          <w:rPr>
            <w:rFonts w:ascii="Times New Roman" w:hAnsi="Times New Roman" w:cs="Times New Roman"/>
            <w:u w:val="single"/>
          </w:rPr>
          <w:t>https://www.mheducation.com/highered/product/corporate-finance-ross.html</w:t>
        </w:r>
      </w:hyperlink>
    </w:p>
    <w:p w14:paraId="5F1C6AC2"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Sandahl, G. and Sjögren, S. (2003) ‘Capital budgeting methods among Sweden’s largest groups of companies’, International Journal of Production Economics, 84(1), pp. 51–69. </w:t>
      </w:r>
      <w:hyperlink r:id="rId66">
        <w:r w:rsidRPr="00AD735E">
          <w:rPr>
            <w:rFonts w:ascii="Times New Roman" w:hAnsi="Times New Roman" w:cs="Times New Roman"/>
            <w:u w:val="single"/>
          </w:rPr>
          <w:t>https://doi.org/10.1016/S0925-5273(02)00379-1</w:t>
        </w:r>
      </w:hyperlink>
    </w:p>
    <w:p w14:paraId="60388162"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Sharpe, S.A. and Nguyen, H.H. (1995) ‘Capital market imperfections and the incentive to lease’, Journal of Financial Economics, 39(2–3), pp. 271–294. </w:t>
      </w:r>
      <w:hyperlink r:id="rId67">
        <w:r w:rsidRPr="00AD735E">
          <w:rPr>
            <w:rFonts w:ascii="Times New Roman" w:hAnsi="Times New Roman" w:cs="Times New Roman"/>
            <w:u w:val="single"/>
          </w:rPr>
          <w:t>https://doi.org/10.1016/0304-405X(95)00830-8</w:t>
        </w:r>
      </w:hyperlink>
    </w:p>
    <w:p w14:paraId="72C87A25"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Siziba, S. and Hall, J.H. (2021) ‘The evolution of the application of capital budgeting techniques in enterprises’, Global Finance Journal, 47, 100504. </w:t>
      </w:r>
      <w:hyperlink r:id="rId68">
        <w:r w:rsidRPr="00AD735E">
          <w:rPr>
            <w:rFonts w:ascii="Times New Roman" w:hAnsi="Times New Roman" w:cs="Times New Roman"/>
            <w:u w:val="single"/>
          </w:rPr>
          <w:t>https://doi.org/10.1016/j.gfj.2019.100504</w:t>
        </w:r>
      </w:hyperlink>
    </w:p>
    <w:p w14:paraId="1002CCB7" w14:textId="77777777" w:rsidR="00C85640" w:rsidRPr="00AD735E" w:rsidRDefault="00C85640" w:rsidP="00C85640">
      <w:pPr>
        <w:pStyle w:val="ReferenceEntry"/>
        <w:jc w:val="both"/>
        <w:rPr>
          <w:rFonts w:ascii="Times New Roman" w:hAnsi="Times New Roman" w:cs="Times New Roman"/>
        </w:rPr>
      </w:pPr>
      <w:r w:rsidRPr="00AD735E">
        <w:rPr>
          <w:rFonts w:ascii="Times New Roman" w:hAnsi="Times New Roman" w:cs="Times New Roman"/>
        </w:rPr>
        <w:t xml:space="preserve">Subramanyam, K.R. (2014) Financial Statement Analysis. 11th </w:t>
      </w:r>
      <w:proofErr w:type="spellStart"/>
      <w:r w:rsidRPr="00AD735E">
        <w:rPr>
          <w:rFonts w:ascii="Times New Roman" w:hAnsi="Times New Roman" w:cs="Times New Roman"/>
        </w:rPr>
        <w:t>edn</w:t>
      </w:r>
      <w:proofErr w:type="spellEnd"/>
      <w:r w:rsidRPr="00AD735E">
        <w:rPr>
          <w:rFonts w:ascii="Times New Roman" w:hAnsi="Times New Roman" w:cs="Times New Roman"/>
        </w:rPr>
        <w:t xml:space="preserve">. New York: McGraw Hill. </w:t>
      </w:r>
      <w:hyperlink r:id="rId69">
        <w:r w:rsidRPr="00AD735E">
          <w:rPr>
            <w:rFonts w:ascii="Times New Roman" w:hAnsi="Times New Roman" w:cs="Times New Roman"/>
            <w:u w:val="single"/>
          </w:rPr>
          <w:t>https://www.mheducation.com/highered/product/financial-statement-analysis-subramanyam.html</w:t>
        </w:r>
      </w:hyperlink>
    </w:p>
    <w:p w14:paraId="567431EA"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Trigeorgis</w:t>
      </w:r>
      <w:proofErr w:type="spellEnd"/>
      <w:r w:rsidRPr="00AD735E">
        <w:rPr>
          <w:rFonts w:ascii="Times New Roman" w:hAnsi="Times New Roman" w:cs="Times New Roman"/>
        </w:rPr>
        <w:t xml:space="preserve">, L. (1993) ‘Real options and interactions with financial flexibility’, Financial Management, 22(3), pp. 202–224. </w:t>
      </w:r>
      <w:hyperlink r:id="rId70">
        <w:r w:rsidRPr="00AD735E">
          <w:rPr>
            <w:rFonts w:ascii="Times New Roman" w:hAnsi="Times New Roman" w:cs="Times New Roman"/>
            <w:u w:val="single"/>
          </w:rPr>
          <w:t>https://doi.org/10.2307/3665939</w:t>
        </w:r>
      </w:hyperlink>
    </w:p>
    <w:p w14:paraId="42ABC901" w14:textId="77777777" w:rsidR="00C85640" w:rsidRPr="00AD735E" w:rsidRDefault="00C85640" w:rsidP="00C85640">
      <w:pPr>
        <w:pStyle w:val="ReferenceEntry"/>
        <w:jc w:val="both"/>
        <w:rPr>
          <w:rFonts w:ascii="Times New Roman" w:hAnsi="Times New Roman" w:cs="Times New Roman"/>
        </w:rPr>
      </w:pPr>
      <w:proofErr w:type="spellStart"/>
      <w:r w:rsidRPr="00AD735E">
        <w:rPr>
          <w:rFonts w:ascii="Times New Roman" w:hAnsi="Times New Roman" w:cs="Times New Roman"/>
        </w:rPr>
        <w:t>Verbeeten</w:t>
      </w:r>
      <w:proofErr w:type="spellEnd"/>
      <w:r w:rsidRPr="00AD735E">
        <w:rPr>
          <w:rFonts w:ascii="Times New Roman" w:hAnsi="Times New Roman" w:cs="Times New Roman"/>
        </w:rPr>
        <w:t xml:space="preserve">, F.H.M. (2006) ‘Do organizations adopt sophisticated capital budgeting practices to deal with uncertainty in the investment decision?’, Management Accounting Research, 17(1), pp. 106–120. </w:t>
      </w:r>
      <w:hyperlink r:id="rId71">
        <w:r w:rsidRPr="00AD735E">
          <w:rPr>
            <w:rFonts w:ascii="Times New Roman" w:hAnsi="Times New Roman" w:cs="Times New Roman"/>
            <w:u w:val="single"/>
          </w:rPr>
          <w:t>https://doi.org/10.1016/j.mar.2005.07.002</w:t>
        </w:r>
      </w:hyperlink>
    </w:p>
    <w:p w14:paraId="534B13E3"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br w:type="page"/>
      </w:r>
    </w:p>
    <w:p w14:paraId="0246D438" w14:textId="77777777" w:rsidR="00C85640" w:rsidRPr="00AD735E" w:rsidRDefault="00C85640" w:rsidP="00C85640">
      <w:pPr>
        <w:pStyle w:val="Heading1"/>
        <w:rPr>
          <w:rFonts w:ascii="Times New Roman" w:hAnsi="Times New Roman" w:cs="Times New Roman"/>
          <w:color w:val="auto"/>
        </w:rPr>
      </w:pPr>
      <w:bookmarkStart w:id="25" w:name="_Toc243612764"/>
      <w:r w:rsidRPr="00AD735E">
        <w:rPr>
          <w:rFonts w:ascii="Times New Roman" w:hAnsi="Times New Roman" w:cs="Times New Roman"/>
          <w:color w:val="auto"/>
        </w:rPr>
        <w:lastRenderedPageBreak/>
        <w:t>Appendices</w:t>
      </w:r>
      <w:bookmarkEnd w:id="25"/>
    </w:p>
    <w:p w14:paraId="72481945" w14:textId="77777777" w:rsidR="00C85640" w:rsidRPr="00AD735E" w:rsidRDefault="00C85640" w:rsidP="00C85640">
      <w:pPr>
        <w:pStyle w:val="Heading2"/>
        <w:rPr>
          <w:rFonts w:ascii="Times New Roman" w:hAnsi="Times New Roman" w:cs="Times New Roman"/>
          <w:color w:val="auto"/>
        </w:rPr>
      </w:pPr>
      <w:bookmarkStart w:id="26" w:name="_Toc243612765"/>
      <w:r w:rsidRPr="00AD735E">
        <w:rPr>
          <w:rFonts w:ascii="Times New Roman" w:hAnsi="Times New Roman" w:cs="Times New Roman"/>
          <w:color w:val="auto"/>
        </w:rPr>
        <w:t>Appendix A: AstraZeneca key financial data</w:t>
      </w:r>
      <w:bookmarkEnd w:id="26"/>
    </w:p>
    <w:p w14:paraId="52FE5D5C" w14:textId="77777777" w:rsidR="00C85640" w:rsidRPr="00AD735E" w:rsidRDefault="00C85640" w:rsidP="00C85640">
      <w:pPr>
        <w:spacing w:after="20"/>
        <w:rPr>
          <w:rFonts w:ascii="Times New Roman" w:hAnsi="Times New Roman" w:cs="Times New Roman"/>
          <w:color w:val="auto"/>
        </w:rPr>
      </w:pPr>
    </w:p>
    <w:p w14:paraId="0350758E" w14:textId="77777777" w:rsidR="00C85640" w:rsidRPr="00AD735E" w:rsidRDefault="00C85640" w:rsidP="00C85640">
      <w:pPr>
        <w:spacing w:after="20"/>
        <w:rPr>
          <w:rFonts w:ascii="Times New Roman" w:hAnsi="Times New Roman" w:cs="Times New Roman"/>
          <w:color w:val="auto"/>
        </w:rPr>
      </w:pPr>
      <w:r w:rsidRPr="00AD735E">
        <w:rPr>
          <w:rFonts w:ascii="Times New Roman" w:hAnsi="Times New Roman" w:cs="Times New Roman"/>
          <w:noProof/>
          <w:color w:val="auto"/>
        </w:rPr>
        <w:drawing>
          <wp:inline distT="0" distB="0" distL="0" distR="0" wp14:anchorId="2D7E45F3" wp14:editId="604E447B">
            <wp:extent cx="4657793" cy="6332717"/>
            <wp:effectExtent l="171450" t="171450" r="200025" b="201930"/>
            <wp:docPr id="1883487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487413" name=""/>
                    <pic:cNvPicPr/>
                  </pic:nvPicPr>
                  <pic:blipFill>
                    <a:blip r:embed="rId72"/>
                    <a:stretch>
                      <a:fillRect/>
                    </a:stretch>
                  </pic:blipFill>
                  <pic:spPr>
                    <a:xfrm>
                      <a:off x="0" y="0"/>
                      <a:ext cx="4657793" cy="633271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0BA87FA" w14:textId="77777777" w:rsidR="00C85640" w:rsidRPr="00AD735E" w:rsidRDefault="00C85640" w:rsidP="00C85640">
      <w:pPr>
        <w:spacing w:after="20"/>
        <w:rPr>
          <w:rFonts w:ascii="Times New Roman" w:hAnsi="Times New Roman" w:cs="Times New Roman"/>
          <w:color w:val="auto"/>
        </w:rPr>
      </w:pPr>
      <w:r w:rsidRPr="00AD735E">
        <w:rPr>
          <w:rFonts w:ascii="Times New Roman" w:hAnsi="Times New Roman" w:cs="Times New Roman"/>
          <w:noProof/>
          <w:color w:val="auto"/>
        </w:rPr>
        <w:lastRenderedPageBreak/>
        <w:drawing>
          <wp:inline distT="0" distB="0" distL="0" distR="0" wp14:anchorId="35A60E48" wp14:editId="3E7EB3B4">
            <wp:extent cx="4849350" cy="4408501"/>
            <wp:effectExtent l="171450" t="171450" r="199390" b="201930"/>
            <wp:docPr id="2116241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41904" name=""/>
                    <pic:cNvPicPr/>
                  </pic:nvPicPr>
                  <pic:blipFill>
                    <a:blip r:embed="rId73"/>
                    <a:stretch>
                      <a:fillRect/>
                    </a:stretch>
                  </pic:blipFill>
                  <pic:spPr>
                    <a:xfrm>
                      <a:off x="0" y="0"/>
                      <a:ext cx="4854594" cy="441326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AD735E">
        <w:rPr>
          <w:rFonts w:ascii="Times New Roman" w:hAnsi="Times New Roman" w:cs="Times New Roman"/>
          <w:noProof/>
          <w:color w:val="auto"/>
        </w:rPr>
        <w:lastRenderedPageBreak/>
        <w:drawing>
          <wp:inline distT="0" distB="0" distL="0" distR="0" wp14:anchorId="1DC0C82D" wp14:editId="07CC1A47">
            <wp:extent cx="4877481" cy="6544588"/>
            <wp:effectExtent l="171450" t="171450" r="189865" b="199390"/>
            <wp:docPr id="643974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74111" name=""/>
                    <pic:cNvPicPr/>
                  </pic:nvPicPr>
                  <pic:blipFill>
                    <a:blip r:embed="rId74"/>
                    <a:stretch>
                      <a:fillRect/>
                    </a:stretch>
                  </pic:blipFill>
                  <pic:spPr>
                    <a:xfrm>
                      <a:off x="0" y="0"/>
                      <a:ext cx="4877481" cy="654458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AD735E">
        <w:rPr>
          <w:rFonts w:ascii="Times New Roman" w:hAnsi="Times New Roman" w:cs="Times New Roman"/>
          <w:noProof/>
          <w:color w:val="auto"/>
        </w:rPr>
        <w:lastRenderedPageBreak/>
        <w:drawing>
          <wp:inline distT="0" distB="0" distL="0" distR="0" wp14:anchorId="3C18C48C" wp14:editId="1D3915E3">
            <wp:extent cx="4219575" cy="4419600"/>
            <wp:effectExtent l="171450" t="171450" r="180975" b="190500"/>
            <wp:docPr id="1436148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148851" name=""/>
                    <pic:cNvPicPr/>
                  </pic:nvPicPr>
                  <pic:blipFill>
                    <a:blip r:embed="rId75"/>
                    <a:stretch>
                      <a:fillRect/>
                    </a:stretch>
                  </pic:blipFill>
                  <pic:spPr>
                    <a:xfrm>
                      <a:off x="0" y="0"/>
                      <a:ext cx="4220488" cy="442055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EFF4EEC"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Source: AstraZeneca (2025a), Consolidated Statement of Comprehensive Income and Consolidated Statement of Financial Position. Parentheses indicate expenses or liabilities.</w:t>
      </w:r>
    </w:p>
    <w:p w14:paraId="3383A10E" w14:textId="77777777" w:rsidR="00C85640" w:rsidRPr="00AD735E" w:rsidRDefault="00C85640" w:rsidP="00C85640">
      <w:pPr>
        <w:rPr>
          <w:rFonts w:ascii="Times New Roman" w:hAnsi="Times New Roman" w:cs="Times New Roman"/>
          <w:color w:val="auto"/>
        </w:rPr>
      </w:pPr>
    </w:p>
    <w:p w14:paraId="5BC67073"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A1. Extracted consolidated financial data</w:t>
      </w:r>
    </w:p>
    <w:tbl>
      <w:tblPr>
        <w:tblStyle w:val="TableGrid"/>
        <w:tblW w:w="0" w:type="auto"/>
        <w:tblLayout w:type="fixed"/>
        <w:tblLook w:val="04A0" w:firstRow="1" w:lastRow="0" w:firstColumn="1" w:lastColumn="0" w:noHBand="0" w:noVBand="1"/>
      </w:tblPr>
      <w:tblGrid>
        <w:gridCol w:w="4680"/>
        <w:gridCol w:w="2664"/>
        <w:gridCol w:w="2664"/>
      </w:tblGrid>
      <w:tr w:rsidR="00C85640" w:rsidRPr="00AD735E" w14:paraId="3EE3EDC5" w14:textId="77777777" w:rsidTr="00B63CD5">
        <w:tc>
          <w:tcPr>
            <w:tcW w:w="4680" w:type="dxa"/>
          </w:tcPr>
          <w:p w14:paraId="66D4C7D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Item</w:t>
            </w:r>
          </w:p>
        </w:tc>
        <w:tc>
          <w:tcPr>
            <w:tcW w:w="2664" w:type="dxa"/>
          </w:tcPr>
          <w:p w14:paraId="0C044C3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2024 ($m unless stated)</w:t>
            </w:r>
          </w:p>
        </w:tc>
        <w:tc>
          <w:tcPr>
            <w:tcW w:w="2664" w:type="dxa"/>
          </w:tcPr>
          <w:p w14:paraId="1BEBC4A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2025 ($m unless stated)</w:t>
            </w:r>
          </w:p>
        </w:tc>
      </w:tr>
      <w:tr w:rsidR="00C85640" w:rsidRPr="00AD735E" w14:paraId="5B36690F" w14:textId="77777777" w:rsidTr="00B63CD5">
        <w:tc>
          <w:tcPr>
            <w:tcW w:w="4680" w:type="dxa"/>
          </w:tcPr>
          <w:p w14:paraId="492573C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Revenue</w:t>
            </w:r>
          </w:p>
        </w:tc>
        <w:tc>
          <w:tcPr>
            <w:tcW w:w="2664" w:type="dxa"/>
          </w:tcPr>
          <w:p w14:paraId="3CD6C77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54,073</w:t>
            </w:r>
          </w:p>
        </w:tc>
        <w:tc>
          <w:tcPr>
            <w:tcW w:w="2664" w:type="dxa"/>
          </w:tcPr>
          <w:p w14:paraId="16AF395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58,739</w:t>
            </w:r>
          </w:p>
        </w:tc>
      </w:tr>
      <w:tr w:rsidR="00C85640" w:rsidRPr="00AD735E" w14:paraId="185F44B5" w14:textId="77777777" w:rsidTr="00B63CD5">
        <w:tc>
          <w:tcPr>
            <w:tcW w:w="4680" w:type="dxa"/>
          </w:tcPr>
          <w:p w14:paraId="51694AB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Cost of sales</w:t>
            </w:r>
          </w:p>
        </w:tc>
        <w:tc>
          <w:tcPr>
            <w:tcW w:w="2664" w:type="dxa"/>
          </w:tcPr>
          <w:p w14:paraId="4F64991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10,207</w:t>
            </w:r>
          </w:p>
        </w:tc>
        <w:tc>
          <w:tcPr>
            <w:tcW w:w="2664" w:type="dxa"/>
          </w:tcPr>
          <w:p w14:paraId="6151C0D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10,633</w:t>
            </w:r>
          </w:p>
        </w:tc>
      </w:tr>
      <w:tr w:rsidR="00C85640" w:rsidRPr="00AD735E" w14:paraId="2CF540B6" w14:textId="77777777" w:rsidTr="00B63CD5">
        <w:tc>
          <w:tcPr>
            <w:tcW w:w="4680" w:type="dxa"/>
          </w:tcPr>
          <w:p w14:paraId="19DB96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profit</w:t>
            </w:r>
          </w:p>
        </w:tc>
        <w:tc>
          <w:tcPr>
            <w:tcW w:w="2664" w:type="dxa"/>
          </w:tcPr>
          <w:p w14:paraId="182459F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43,866</w:t>
            </w:r>
          </w:p>
        </w:tc>
        <w:tc>
          <w:tcPr>
            <w:tcW w:w="2664" w:type="dxa"/>
          </w:tcPr>
          <w:p w14:paraId="459CD71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48,106</w:t>
            </w:r>
          </w:p>
        </w:tc>
      </w:tr>
      <w:tr w:rsidR="00C85640" w:rsidRPr="00AD735E" w14:paraId="028BECB7" w14:textId="77777777" w:rsidTr="00B63CD5">
        <w:tc>
          <w:tcPr>
            <w:tcW w:w="4680" w:type="dxa"/>
          </w:tcPr>
          <w:p w14:paraId="57C0636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Operating profit</w:t>
            </w:r>
          </w:p>
        </w:tc>
        <w:tc>
          <w:tcPr>
            <w:tcW w:w="2664" w:type="dxa"/>
          </w:tcPr>
          <w:p w14:paraId="0AB245B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10,003</w:t>
            </w:r>
          </w:p>
        </w:tc>
        <w:tc>
          <w:tcPr>
            <w:tcW w:w="2664" w:type="dxa"/>
          </w:tcPr>
          <w:p w14:paraId="7429CC3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13,743</w:t>
            </w:r>
          </w:p>
        </w:tc>
      </w:tr>
      <w:tr w:rsidR="00C85640" w:rsidRPr="00AD735E" w14:paraId="28B0D2AC" w14:textId="77777777" w:rsidTr="00B63CD5">
        <w:tc>
          <w:tcPr>
            <w:tcW w:w="4680" w:type="dxa"/>
          </w:tcPr>
          <w:p w14:paraId="4D04EBD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Finance expense</w:t>
            </w:r>
          </w:p>
        </w:tc>
        <w:tc>
          <w:tcPr>
            <w:tcW w:w="2664" w:type="dxa"/>
          </w:tcPr>
          <w:p w14:paraId="50D87C4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1,742</w:t>
            </w:r>
          </w:p>
        </w:tc>
        <w:tc>
          <w:tcPr>
            <w:tcW w:w="2664" w:type="dxa"/>
          </w:tcPr>
          <w:p w14:paraId="1C23E91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1,694</w:t>
            </w:r>
          </w:p>
        </w:tc>
      </w:tr>
      <w:tr w:rsidR="00C85640" w:rsidRPr="00AD735E" w14:paraId="5E54437A" w14:textId="77777777" w:rsidTr="00B63CD5">
        <w:tc>
          <w:tcPr>
            <w:tcW w:w="4680" w:type="dxa"/>
          </w:tcPr>
          <w:p w14:paraId="228ECB6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Profit for the period</w:t>
            </w:r>
          </w:p>
        </w:tc>
        <w:tc>
          <w:tcPr>
            <w:tcW w:w="2664" w:type="dxa"/>
          </w:tcPr>
          <w:p w14:paraId="5B1D193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7,041</w:t>
            </w:r>
          </w:p>
        </w:tc>
        <w:tc>
          <w:tcPr>
            <w:tcW w:w="2664" w:type="dxa"/>
          </w:tcPr>
          <w:p w14:paraId="065DFA3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10,233</w:t>
            </w:r>
          </w:p>
        </w:tc>
      </w:tr>
      <w:tr w:rsidR="00C85640" w:rsidRPr="00AD735E" w14:paraId="262F09FA" w14:textId="77777777" w:rsidTr="00B63CD5">
        <w:tc>
          <w:tcPr>
            <w:tcW w:w="4680" w:type="dxa"/>
          </w:tcPr>
          <w:p w14:paraId="61AD8E1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Current assets</w:t>
            </w:r>
          </w:p>
        </w:tc>
        <w:tc>
          <w:tcPr>
            <w:tcW w:w="2664" w:type="dxa"/>
          </w:tcPr>
          <w:p w14:paraId="5A2FE77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25,827</w:t>
            </w:r>
          </w:p>
        </w:tc>
        <w:tc>
          <w:tcPr>
            <w:tcW w:w="2664" w:type="dxa"/>
          </w:tcPr>
          <w:p w14:paraId="7AD05A8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28,723</w:t>
            </w:r>
          </w:p>
        </w:tc>
      </w:tr>
      <w:tr w:rsidR="00C85640" w:rsidRPr="00AD735E" w14:paraId="5C764A42" w14:textId="77777777" w:rsidTr="00B63CD5">
        <w:tc>
          <w:tcPr>
            <w:tcW w:w="4680" w:type="dxa"/>
          </w:tcPr>
          <w:p w14:paraId="759E703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Inventories</w:t>
            </w:r>
          </w:p>
        </w:tc>
        <w:tc>
          <w:tcPr>
            <w:tcW w:w="2664" w:type="dxa"/>
          </w:tcPr>
          <w:p w14:paraId="5A4306B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5,288</w:t>
            </w:r>
          </w:p>
        </w:tc>
        <w:tc>
          <w:tcPr>
            <w:tcW w:w="2664" w:type="dxa"/>
          </w:tcPr>
          <w:p w14:paraId="5866026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6,557</w:t>
            </w:r>
          </w:p>
        </w:tc>
      </w:tr>
      <w:tr w:rsidR="00C85640" w:rsidRPr="00AD735E" w14:paraId="4BD0639B" w14:textId="77777777" w:rsidTr="00B63CD5">
        <w:tc>
          <w:tcPr>
            <w:tcW w:w="4680" w:type="dxa"/>
          </w:tcPr>
          <w:p w14:paraId="410BABF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trade receivables</w:t>
            </w:r>
          </w:p>
        </w:tc>
        <w:tc>
          <w:tcPr>
            <w:tcW w:w="2664" w:type="dxa"/>
          </w:tcPr>
          <w:p w14:paraId="77D091A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8,335</w:t>
            </w:r>
          </w:p>
        </w:tc>
        <w:tc>
          <w:tcPr>
            <w:tcW w:w="2664" w:type="dxa"/>
          </w:tcPr>
          <w:p w14:paraId="1770574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10,289</w:t>
            </w:r>
          </w:p>
        </w:tc>
      </w:tr>
      <w:tr w:rsidR="00C85640" w:rsidRPr="00AD735E" w14:paraId="2E420D77" w14:textId="77777777" w:rsidTr="00B63CD5">
        <w:tc>
          <w:tcPr>
            <w:tcW w:w="4680" w:type="dxa"/>
          </w:tcPr>
          <w:p w14:paraId="148A08F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Cash and cash equivalents</w:t>
            </w:r>
          </w:p>
        </w:tc>
        <w:tc>
          <w:tcPr>
            <w:tcW w:w="2664" w:type="dxa"/>
          </w:tcPr>
          <w:p w14:paraId="0E87263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5,488</w:t>
            </w:r>
          </w:p>
        </w:tc>
        <w:tc>
          <w:tcPr>
            <w:tcW w:w="2664" w:type="dxa"/>
          </w:tcPr>
          <w:p w14:paraId="71D25CE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5,711</w:t>
            </w:r>
          </w:p>
        </w:tc>
      </w:tr>
      <w:tr w:rsidR="00C85640" w:rsidRPr="00AD735E" w14:paraId="4E398AF5" w14:textId="77777777" w:rsidTr="00B63CD5">
        <w:tc>
          <w:tcPr>
            <w:tcW w:w="4680" w:type="dxa"/>
          </w:tcPr>
          <w:p w14:paraId="370B4D1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Total assets</w:t>
            </w:r>
          </w:p>
        </w:tc>
        <w:tc>
          <w:tcPr>
            <w:tcW w:w="2664" w:type="dxa"/>
          </w:tcPr>
          <w:p w14:paraId="47997AC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104,035</w:t>
            </w:r>
          </w:p>
        </w:tc>
        <w:tc>
          <w:tcPr>
            <w:tcW w:w="2664" w:type="dxa"/>
          </w:tcPr>
          <w:p w14:paraId="6607A4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114,074</w:t>
            </w:r>
          </w:p>
        </w:tc>
      </w:tr>
      <w:tr w:rsidR="00C85640" w:rsidRPr="00AD735E" w14:paraId="3FF21891" w14:textId="77777777" w:rsidTr="00B63CD5">
        <w:tc>
          <w:tcPr>
            <w:tcW w:w="4680" w:type="dxa"/>
          </w:tcPr>
          <w:p w14:paraId="1094A68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Current liabilities</w:t>
            </w:r>
          </w:p>
        </w:tc>
        <w:tc>
          <w:tcPr>
            <w:tcW w:w="2664" w:type="dxa"/>
          </w:tcPr>
          <w:p w14:paraId="31C66F5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27,866</w:t>
            </w:r>
          </w:p>
        </w:tc>
        <w:tc>
          <w:tcPr>
            <w:tcW w:w="2664" w:type="dxa"/>
          </w:tcPr>
          <w:p w14:paraId="24AA9A6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30,617</w:t>
            </w:r>
          </w:p>
        </w:tc>
      </w:tr>
      <w:tr w:rsidR="00C85640" w:rsidRPr="00AD735E" w14:paraId="0748B9D0" w14:textId="77777777" w:rsidTr="00B63CD5">
        <w:tc>
          <w:tcPr>
            <w:tcW w:w="4680" w:type="dxa"/>
          </w:tcPr>
          <w:p w14:paraId="45A5408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Interest-bearing loans incl. leases</w:t>
            </w:r>
          </w:p>
        </w:tc>
        <w:tc>
          <w:tcPr>
            <w:tcW w:w="2664" w:type="dxa"/>
          </w:tcPr>
          <w:p w14:paraId="6FA94A5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30,295</w:t>
            </w:r>
          </w:p>
        </w:tc>
        <w:tc>
          <w:tcPr>
            <w:tcW w:w="2664" w:type="dxa"/>
          </w:tcPr>
          <w:p w14:paraId="4C94E60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29,622</w:t>
            </w:r>
          </w:p>
        </w:tc>
      </w:tr>
      <w:tr w:rsidR="00C85640" w:rsidRPr="00AD735E" w14:paraId="15F0F40F" w14:textId="77777777" w:rsidTr="00B63CD5">
        <w:tc>
          <w:tcPr>
            <w:tcW w:w="4680" w:type="dxa"/>
          </w:tcPr>
          <w:p w14:paraId="0C0D274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Total equity</w:t>
            </w:r>
          </w:p>
        </w:tc>
        <w:tc>
          <w:tcPr>
            <w:tcW w:w="2664" w:type="dxa"/>
          </w:tcPr>
          <w:p w14:paraId="6FA9541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40,871</w:t>
            </w:r>
          </w:p>
        </w:tc>
        <w:tc>
          <w:tcPr>
            <w:tcW w:w="2664" w:type="dxa"/>
          </w:tcPr>
          <w:p w14:paraId="4E0AF8A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48,719</w:t>
            </w:r>
          </w:p>
        </w:tc>
      </w:tr>
      <w:tr w:rsidR="00C85640" w:rsidRPr="00AD735E" w14:paraId="67303033" w14:textId="77777777" w:rsidTr="00B63CD5">
        <w:tc>
          <w:tcPr>
            <w:tcW w:w="4680" w:type="dxa"/>
          </w:tcPr>
          <w:p w14:paraId="57CFA66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Net cash inflow from operating activities</w:t>
            </w:r>
          </w:p>
        </w:tc>
        <w:tc>
          <w:tcPr>
            <w:tcW w:w="2664" w:type="dxa"/>
          </w:tcPr>
          <w:p w14:paraId="5430D90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11,861</w:t>
            </w:r>
          </w:p>
        </w:tc>
        <w:tc>
          <w:tcPr>
            <w:tcW w:w="2664" w:type="dxa"/>
          </w:tcPr>
          <w:p w14:paraId="7101A55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14,575</w:t>
            </w:r>
          </w:p>
        </w:tc>
      </w:tr>
      <w:tr w:rsidR="00C85640" w:rsidRPr="00AD735E" w14:paraId="3E03D522" w14:textId="77777777" w:rsidTr="00B63CD5">
        <w:tc>
          <w:tcPr>
            <w:tcW w:w="4680" w:type="dxa"/>
          </w:tcPr>
          <w:p w14:paraId="3EB606A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Net debt</w:t>
            </w:r>
          </w:p>
        </w:tc>
        <w:tc>
          <w:tcPr>
            <w:tcW w:w="2664" w:type="dxa"/>
          </w:tcPr>
          <w:p w14:paraId="6829B3E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24,570</w:t>
            </w:r>
          </w:p>
        </w:tc>
        <w:tc>
          <w:tcPr>
            <w:tcW w:w="2664" w:type="dxa"/>
          </w:tcPr>
          <w:p w14:paraId="22E81F4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23,374</w:t>
            </w:r>
          </w:p>
        </w:tc>
      </w:tr>
      <w:tr w:rsidR="00C85640" w:rsidRPr="00AD735E" w14:paraId="60429833" w14:textId="77777777" w:rsidTr="00B63CD5">
        <w:tc>
          <w:tcPr>
            <w:tcW w:w="4680" w:type="dxa"/>
          </w:tcPr>
          <w:p w14:paraId="34144EF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Basic EPS ($)</w:t>
            </w:r>
          </w:p>
        </w:tc>
        <w:tc>
          <w:tcPr>
            <w:tcW w:w="2664" w:type="dxa"/>
          </w:tcPr>
          <w:p w14:paraId="0A2757B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4.54</w:t>
            </w:r>
          </w:p>
        </w:tc>
        <w:tc>
          <w:tcPr>
            <w:tcW w:w="2664" w:type="dxa"/>
          </w:tcPr>
          <w:p w14:paraId="225CE17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6.60</w:t>
            </w:r>
          </w:p>
        </w:tc>
      </w:tr>
      <w:tr w:rsidR="00C85640" w:rsidRPr="00AD735E" w14:paraId="6B5F0B78" w14:textId="77777777" w:rsidTr="00B63CD5">
        <w:tc>
          <w:tcPr>
            <w:tcW w:w="4680" w:type="dxa"/>
          </w:tcPr>
          <w:p w14:paraId="75D5D40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Dividend declared per share ($)</w:t>
            </w:r>
          </w:p>
        </w:tc>
        <w:tc>
          <w:tcPr>
            <w:tcW w:w="2664" w:type="dxa"/>
          </w:tcPr>
          <w:p w14:paraId="2734529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3.10</w:t>
            </w:r>
          </w:p>
        </w:tc>
        <w:tc>
          <w:tcPr>
            <w:tcW w:w="2664" w:type="dxa"/>
          </w:tcPr>
          <w:p w14:paraId="1D51EF8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3.20</w:t>
            </w:r>
          </w:p>
        </w:tc>
      </w:tr>
    </w:tbl>
    <w:p w14:paraId="3847FD58" w14:textId="77777777" w:rsidR="00C85640" w:rsidRPr="00AD735E" w:rsidRDefault="00C85640" w:rsidP="00C85640">
      <w:pPr>
        <w:spacing w:after="20"/>
        <w:rPr>
          <w:rFonts w:ascii="Times New Roman" w:hAnsi="Times New Roman" w:cs="Times New Roman"/>
          <w:color w:val="auto"/>
        </w:rPr>
      </w:pPr>
    </w:p>
    <w:p w14:paraId="3CCEF176"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lastRenderedPageBreak/>
        <w:t>Source: AstraZeneca (2024; 2025a), including notes to the financial statements.</w:t>
      </w:r>
    </w:p>
    <w:p w14:paraId="6A120332" w14:textId="77777777" w:rsidR="00C85640" w:rsidRPr="00AD735E" w:rsidRDefault="00C85640" w:rsidP="00C85640">
      <w:pPr>
        <w:pStyle w:val="Heading2"/>
        <w:rPr>
          <w:rFonts w:ascii="Times New Roman" w:hAnsi="Times New Roman" w:cs="Times New Roman"/>
          <w:color w:val="auto"/>
        </w:rPr>
      </w:pPr>
      <w:bookmarkStart w:id="27" w:name="_Toc243612766"/>
      <w:r w:rsidRPr="00AD735E">
        <w:rPr>
          <w:rFonts w:ascii="Times New Roman" w:hAnsi="Times New Roman" w:cs="Times New Roman"/>
          <w:color w:val="auto"/>
        </w:rPr>
        <w:t>Appendix B: AstraZeneca ratio workings</w:t>
      </w:r>
      <w:bookmarkEnd w:id="27"/>
    </w:p>
    <w:p w14:paraId="5011925E"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B1. Ratio calculations</w:t>
      </w:r>
    </w:p>
    <w:tbl>
      <w:tblPr>
        <w:tblStyle w:val="TableGrid"/>
        <w:tblW w:w="0" w:type="auto"/>
        <w:tblLayout w:type="fixed"/>
        <w:tblLook w:val="04A0" w:firstRow="1" w:lastRow="0" w:firstColumn="1" w:lastColumn="0" w:noHBand="0" w:noVBand="1"/>
      </w:tblPr>
      <w:tblGrid>
        <w:gridCol w:w="2088"/>
        <w:gridCol w:w="3096"/>
        <w:gridCol w:w="936"/>
        <w:gridCol w:w="3096"/>
        <w:gridCol w:w="936"/>
      </w:tblGrid>
      <w:tr w:rsidR="00C85640" w:rsidRPr="00AD735E" w14:paraId="0D7EF840" w14:textId="77777777" w:rsidTr="00B63CD5">
        <w:tc>
          <w:tcPr>
            <w:tcW w:w="2088" w:type="dxa"/>
          </w:tcPr>
          <w:p w14:paraId="4D290DF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Ratio</w:t>
            </w:r>
          </w:p>
        </w:tc>
        <w:tc>
          <w:tcPr>
            <w:tcW w:w="3096" w:type="dxa"/>
          </w:tcPr>
          <w:p w14:paraId="3B0AAE0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2024 calculation</w:t>
            </w:r>
          </w:p>
        </w:tc>
        <w:tc>
          <w:tcPr>
            <w:tcW w:w="936" w:type="dxa"/>
          </w:tcPr>
          <w:p w14:paraId="23C40E5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2024</w:t>
            </w:r>
          </w:p>
        </w:tc>
        <w:tc>
          <w:tcPr>
            <w:tcW w:w="3096" w:type="dxa"/>
          </w:tcPr>
          <w:p w14:paraId="33666BA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2025 calculation</w:t>
            </w:r>
          </w:p>
        </w:tc>
        <w:tc>
          <w:tcPr>
            <w:tcW w:w="936" w:type="dxa"/>
          </w:tcPr>
          <w:p w14:paraId="7B3DD0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2025</w:t>
            </w:r>
          </w:p>
        </w:tc>
      </w:tr>
      <w:tr w:rsidR="00C85640" w:rsidRPr="00AD735E" w14:paraId="64C17E46" w14:textId="77777777" w:rsidTr="00B63CD5">
        <w:tc>
          <w:tcPr>
            <w:tcW w:w="2088" w:type="dxa"/>
          </w:tcPr>
          <w:p w14:paraId="5B066B4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profit margin</w:t>
            </w:r>
          </w:p>
        </w:tc>
        <w:tc>
          <w:tcPr>
            <w:tcW w:w="3096" w:type="dxa"/>
          </w:tcPr>
          <w:p w14:paraId="204DFC8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43,866 ÷ 54,073 × 100</w:t>
            </w:r>
          </w:p>
        </w:tc>
        <w:tc>
          <w:tcPr>
            <w:tcW w:w="936" w:type="dxa"/>
          </w:tcPr>
          <w:p w14:paraId="6ADC8A7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81.12%</w:t>
            </w:r>
          </w:p>
        </w:tc>
        <w:tc>
          <w:tcPr>
            <w:tcW w:w="3096" w:type="dxa"/>
          </w:tcPr>
          <w:p w14:paraId="29B8305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48,106 ÷ 58,739 × 100</w:t>
            </w:r>
          </w:p>
        </w:tc>
        <w:tc>
          <w:tcPr>
            <w:tcW w:w="936" w:type="dxa"/>
          </w:tcPr>
          <w:p w14:paraId="1A23A6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81.90%</w:t>
            </w:r>
          </w:p>
        </w:tc>
      </w:tr>
      <w:tr w:rsidR="00C85640" w:rsidRPr="00AD735E" w14:paraId="6CAD563F" w14:textId="77777777" w:rsidTr="00B63CD5">
        <w:tc>
          <w:tcPr>
            <w:tcW w:w="2088" w:type="dxa"/>
          </w:tcPr>
          <w:p w14:paraId="6E1631C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Operating margin</w:t>
            </w:r>
          </w:p>
        </w:tc>
        <w:tc>
          <w:tcPr>
            <w:tcW w:w="3096" w:type="dxa"/>
          </w:tcPr>
          <w:p w14:paraId="64814E4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10,003 ÷ 54,073 × 100</w:t>
            </w:r>
          </w:p>
        </w:tc>
        <w:tc>
          <w:tcPr>
            <w:tcW w:w="936" w:type="dxa"/>
          </w:tcPr>
          <w:p w14:paraId="4FA5CF1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18.50%</w:t>
            </w:r>
          </w:p>
        </w:tc>
        <w:tc>
          <w:tcPr>
            <w:tcW w:w="3096" w:type="dxa"/>
          </w:tcPr>
          <w:p w14:paraId="27068D8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13,743 ÷ 58,739 × 100</w:t>
            </w:r>
          </w:p>
        </w:tc>
        <w:tc>
          <w:tcPr>
            <w:tcW w:w="936" w:type="dxa"/>
          </w:tcPr>
          <w:p w14:paraId="416F7A2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23.40%</w:t>
            </w:r>
          </w:p>
        </w:tc>
      </w:tr>
      <w:tr w:rsidR="00C85640" w:rsidRPr="00AD735E" w14:paraId="6EC81D91" w14:textId="77777777" w:rsidTr="00B63CD5">
        <w:tc>
          <w:tcPr>
            <w:tcW w:w="2088" w:type="dxa"/>
          </w:tcPr>
          <w:p w14:paraId="50D29E4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ROCE</w:t>
            </w:r>
          </w:p>
        </w:tc>
        <w:tc>
          <w:tcPr>
            <w:tcW w:w="3096" w:type="dxa"/>
          </w:tcPr>
          <w:p w14:paraId="3B0FF41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10,003 ÷ [(70,577 + 76,169) ÷ 2] × 100</w:t>
            </w:r>
          </w:p>
        </w:tc>
        <w:tc>
          <w:tcPr>
            <w:tcW w:w="936" w:type="dxa"/>
          </w:tcPr>
          <w:p w14:paraId="6E13394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13.63%</w:t>
            </w:r>
          </w:p>
        </w:tc>
        <w:tc>
          <w:tcPr>
            <w:tcW w:w="3096" w:type="dxa"/>
          </w:tcPr>
          <w:p w14:paraId="7289DB8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13,743 ÷ [(76,169 + 83,457) ÷ 2] × 100</w:t>
            </w:r>
          </w:p>
        </w:tc>
        <w:tc>
          <w:tcPr>
            <w:tcW w:w="936" w:type="dxa"/>
          </w:tcPr>
          <w:p w14:paraId="2DB75F1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17.22%</w:t>
            </w:r>
          </w:p>
        </w:tc>
      </w:tr>
      <w:tr w:rsidR="00C85640" w:rsidRPr="00AD735E" w14:paraId="15FED97A" w14:textId="77777777" w:rsidTr="00B63CD5">
        <w:tc>
          <w:tcPr>
            <w:tcW w:w="2088" w:type="dxa"/>
          </w:tcPr>
          <w:p w14:paraId="0E233B9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Current ratio</w:t>
            </w:r>
          </w:p>
        </w:tc>
        <w:tc>
          <w:tcPr>
            <w:tcW w:w="3096" w:type="dxa"/>
          </w:tcPr>
          <w:p w14:paraId="78B0CEC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25,827 ÷ 27,866</w:t>
            </w:r>
          </w:p>
        </w:tc>
        <w:tc>
          <w:tcPr>
            <w:tcW w:w="936" w:type="dxa"/>
          </w:tcPr>
          <w:p w14:paraId="31F90BA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0.93x</w:t>
            </w:r>
          </w:p>
        </w:tc>
        <w:tc>
          <w:tcPr>
            <w:tcW w:w="3096" w:type="dxa"/>
          </w:tcPr>
          <w:p w14:paraId="3A4190A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28,723 ÷ 30,617</w:t>
            </w:r>
          </w:p>
        </w:tc>
        <w:tc>
          <w:tcPr>
            <w:tcW w:w="936" w:type="dxa"/>
          </w:tcPr>
          <w:p w14:paraId="00569E2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0.94x</w:t>
            </w:r>
          </w:p>
        </w:tc>
      </w:tr>
      <w:tr w:rsidR="00C85640" w:rsidRPr="00AD735E" w14:paraId="114B3420" w14:textId="77777777" w:rsidTr="00B63CD5">
        <w:tc>
          <w:tcPr>
            <w:tcW w:w="2088" w:type="dxa"/>
          </w:tcPr>
          <w:p w14:paraId="6CE9C87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Quick ratio</w:t>
            </w:r>
          </w:p>
        </w:tc>
        <w:tc>
          <w:tcPr>
            <w:tcW w:w="3096" w:type="dxa"/>
          </w:tcPr>
          <w:p w14:paraId="5FBCF08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(25,827 − 5,288) ÷ 27,866</w:t>
            </w:r>
          </w:p>
        </w:tc>
        <w:tc>
          <w:tcPr>
            <w:tcW w:w="936" w:type="dxa"/>
          </w:tcPr>
          <w:p w14:paraId="6E635E6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0.74x</w:t>
            </w:r>
          </w:p>
        </w:tc>
        <w:tc>
          <w:tcPr>
            <w:tcW w:w="3096" w:type="dxa"/>
          </w:tcPr>
          <w:p w14:paraId="7529719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(28,723 − 6,557) ÷ 30,617</w:t>
            </w:r>
          </w:p>
        </w:tc>
        <w:tc>
          <w:tcPr>
            <w:tcW w:w="936" w:type="dxa"/>
          </w:tcPr>
          <w:p w14:paraId="51F724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0.72x</w:t>
            </w:r>
          </w:p>
        </w:tc>
      </w:tr>
      <w:tr w:rsidR="00C85640" w:rsidRPr="00AD735E" w14:paraId="43623A89" w14:textId="77777777" w:rsidTr="00B63CD5">
        <w:tc>
          <w:tcPr>
            <w:tcW w:w="2088" w:type="dxa"/>
          </w:tcPr>
          <w:p w14:paraId="0D1B61D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Gross debt/equity</w:t>
            </w:r>
          </w:p>
        </w:tc>
        <w:tc>
          <w:tcPr>
            <w:tcW w:w="3096" w:type="dxa"/>
          </w:tcPr>
          <w:p w14:paraId="6E84D05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30,295 ÷ 40,871 × 100</w:t>
            </w:r>
          </w:p>
        </w:tc>
        <w:tc>
          <w:tcPr>
            <w:tcW w:w="936" w:type="dxa"/>
          </w:tcPr>
          <w:p w14:paraId="7838862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74.12%</w:t>
            </w:r>
          </w:p>
        </w:tc>
        <w:tc>
          <w:tcPr>
            <w:tcW w:w="3096" w:type="dxa"/>
          </w:tcPr>
          <w:p w14:paraId="2B7F27A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29,622 ÷ 48,719 × 100</w:t>
            </w:r>
          </w:p>
        </w:tc>
        <w:tc>
          <w:tcPr>
            <w:tcW w:w="936" w:type="dxa"/>
          </w:tcPr>
          <w:p w14:paraId="48215FB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60.80%</w:t>
            </w:r>
          </w:p>
        </w:tc>
      </w:tr>
      <w:tr w:rsidR="00C85640" w:rsidRPr="00AD735E" w14:paraId="1B067AA4" w14:textId="77777777" w:rsidTr="00B63CD5">
        <w:tc>
          <w:tcPr>
            <w:tcW w:w="2088" w:type="dxa"/>
          </w:tcPr>
          <w:p w14:paraId="2A6C7D0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Interest cover</w:t>
            </w:r>
          </w:p>
        </w:tc>
        <w:tc>
          <w:tcPr>
            <w:tcW w:w="3096" w:type="dxa"/>
          </w:tcPr>
          <w:p w14:paraId="1F06290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10,003 ÷ 1,742</w:t>
            </w:r>
          </w:p>
        </w:tc>
        <w:tc>
          <w:tcPr>
            <w:tcW w:w="936" w:type="dxa"/>
          </w:tcPr>
          <w:p w14:paraId="4A619C9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5.74x</w:t>
            </w:r>
          </w:p>
        </w:tc>
        <w:tc>
          <w:tcPr>
            <w:tcW w:w="3096" w:type="dxa"/>
          </w:tcPr>
          <w:p w14:paraId="1DC0D73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13,743 ÷ 1,694</w:t>
            </w:r>
          </w:p>
        </w:tc>
        <w:tc>
          <w:tcPr>
            <w:tcW w:w="936" w:type="dxa"/>
          </w:tcPr>
          <w:p w14:paraId="0A0C758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8.11x</w:t>
            </w:r>
          </w:p>
        </w:tc>
      </w:tr>
      <w:tr w:rsidR="00C85640" w:rsidRPr="00AD735E" w14:paraId="2607E2E0" w14:textId="77777777" w:rsidTr="00B63CD5">
        <w:tc>
          <w:tcPr>
            <w:tcW w:w="2088" w:type="dxa"/>
          </w:tcPr>
          <w:p w14:paraId="629BA5F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Inventory turnover</w:t>
            </w:r>
          </w:p>
        </w:tc>
        <w:tc>
          <w:tcPr>
            <w:tcW w:w="3096" w:type="dxa"/>
          </w:tcPr>
          <w:p w14:paraId="0839E98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10,207 ÷ [(5,424 + 5,288) ÷ 2]</w:t>
            </w:r>
          </w:p>
        </w:tc>
        <w:tc>
          <w:tcPr>
            <w:tcW w:w="936" w:type="dxa"/>
          </w:tcPr>
          <w:p w14:paraId="30C0341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1.91x</w:t>
            </w:r>
          </w:p>
        </w:tc>
        <w:tc>
          <w:tcPr>
            <w:tcW w:w="3096" w:type="dxa"/>
          </w:tcPr>
          <w:p w14:paraId="589A0BC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10,633 ÷ [(5,288 + 6,557) ÷ 2]</w:t>
            </w:r>
          </w:p>
        </w:tc>
        <w:tc>
          <w:tcPr>
            <w:tcW w:w="936" w:type="dxa"/>
          </w:tcPr>
          <w:p w14:paraId="28C1989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1.80x</w:t>
            </w:r>
          </w:p>
        </w:tc>
      </w:tr>
      <w:tr w:rsidR="00C85640" w:rsidRPr="00AD735E" w14:paraId="775CCA68" w14:textId="77777777" w:rsidTr="00B63CD5">
        <w:tc>
          <w:tcPr>
            <w:tcW w:w="2088" w:type="dxa"/>
          </w:tcPr>
          <w:p w14:paraId="1797752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Trade receivables turnover</w:t>
            </w:r>
          </w:p>
        </w:tc>
        <w:tc>
          <w:tcPr>
            <w:tcW w:w="3096" w:type="dxa"/>
          </w:tcPr>
          <w:p w14:paraId="28773C5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54,073 ÷ [(8,452 + 8,335) ÷ 2]</w:t>
            </w:r>
          </w:p>
        </w:tc>
        <w:tc>
          <w:tcPr>
            <w:tcW w:w="936" w:type="dxa"/>
          </w:tcPr>
          <w:p w14:paraId="01523B7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6.44x</w:t>
            </w:r>
          </w:p>
        </w:tc>
        <w:tc>
          <w:tcPr>
            <w:tcW w:w="3096" w:type="dxa"/>
          </w:tcPr>
          <w:p w14:paraId="4ABFC24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58,739 ÷ [(8,335 + 10,289) ÷ 2]</w:t>
            </w:r>
          </w:p>
        </w:tc>
        <w:tc>
          <w:tcPr>
            <w:tcW w:w="936" w:type="dxa"/>
          </w:tcPr>
          <w:p w14:paraId="398D28A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6.31x</w:t>
            </w:r>
          </w:p>
        </w:tc>
      </w:tr>
      <w:tr w:rsidR="00C85640" w:rsidRPr="00AD735E" w14:paraId="275E170A" w14:textId="77777777" w:rsidTr="00B63CD5">
        <w:tc>
          <w:tcPr>
            <w:tcW w:w="2088" w:type="dxa"/>
          </w:tcPr>
          <w:p w14:paraId="3DCDE5C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ROE</w:t>
            </w:r>
          </w:p>
        </w:tc>
        <w:tc>
          <w:tcPr>
            <w:tcW w:w="3096" w:type="dxa"/>
          </w:tcPr>
          <w:p w14:paraId="1EF4CFA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7,041 ÷ [(39,166 + 40,871) ÷ 2] × 100</w:t>
            </w:r>
          </w:p>
        </w:tc>
        <w:tc>
          <w:tcPr>
            <w:tcW w:w="936" w:type="dxa"/>
          </w:tcPr>
          <w:p w14:paraId="30CECA4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17.59%</w:t>
            </w:r>
          </w:p>
        </w:tc>
        <w:tc>
          <w:tcPr>
            <w:tcW w:w="3096" w:type="dxa"/>
          </w:tcPr>
          <w:p w14:paraId="0833D24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10,233 ÷ [(40,871 + 48,719) ÷ 2] × 100</w:t>
            </w:r>
          </w:p>
        </w:tc>
        <w:tc>
          <w:tcPr>
            <w:tcW w:w="936" w:type="dxa"/>
          </w:tcPr>
          <w:p w14:paraId="4715B8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22.84%</w:t>
            </w:r>
          </w:p>
        </w:tc>
      </w:tr>
      <w:tr w:rsidR="00C85640" w:rsidRPr="00AD735E" w14:paraId="070EAEAE" w14:textId="77777777" w:rsidTr="00B63CD5">
        <w:tc>
          <w:tcPr>
            <w:tcW w:w="2088" w:type="dxa"/>
          </w:tcPr>
          <w:p w14:paraId="5FA69A5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Dividend cover</w:t>
            </w:r>
          </w:p>
        </w:tc>
        <w:tc>
          <w:tcPr>
            <w:tcW w:w="3096" w:type="dxa"/>
          </w:tcPr>
          <w:p w14:paraId="157B24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4.54 ÷ 3.10</w:t>
            </w:r>
          </w:p>
        </w:tc>
        <w:tc>
          <w:tcPr>
            <w:tcW w:w="936" w:type="dxa"/>
          </w:tcPr>
          <w:p w14:paraId="303E390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1.46x</w:t>
            </w:r>
          </w:p>
        </w:tc>
        <w:tc>
          <w:tcPr>
            <w:tcW w:w="3096" w:type="dxa"/>
          </w:tcPr>
          <w:p w14:paraId="5E1EF33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6.60 ÷ 3.20</w:t>
            </w:r>
          </w:p>
        </w:tc>
        <w:tc>
          <w:tcPr>
            <w:tcW w:w="936" w:type="dxa"/>
          </w:tcPr>
          <w:p w14:paraId="6464B8B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2.06x</w:t>
            </w:r>
          </w:p>
        </w:tc>
      </w:tr>
    </w:tbl>
    <w:p w14:paraId="59500228" w14:textId="77777777" w:rsidR="00C85640" w:rsidRPr="00AD735E" w:rsidRDefault="00C85640" w:rsidP="00C85640">
      <w:pPr>
        <w:spacing w:after="20"/>
        <w:rPr>
          <w:rFonts w:ascii="Times New Roman" w:hAnsi="Times New Roman" w:cs="Times New Roman"/>
          <w:color w:val="auto"/>
        </w:rPr>
      </w:pPr>
    </w:p>
    <w:p w14:paraId="6D6F942B"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Capital employed = total assets − current liabilities. The 2023 figures used in average balances are: capital employed $70,577m; inventory $5,424m; gross trade receivables $8,452m; and total equity $39,166m.</w:t>
      </w:r>
    </w:p>
    <w:p w14:paraId="6C941514" w14:textId="77777777" w:rsidR="00C85640" w:rsidRPr="00AD735E" w:rsidRDefault="00C85640" w:rsidP="00C85640">
      <w:pPr>
        <w:pStyle w:val="Heading2"/>
        <w:rPr>
          <w:rFonts w:ascii="Times New Roman" w:hAnsi="Times New Roman" w:cs="Times New Roman"/>
          <w:color w:val="auto"/>
        </w:rPr>
      </w:pPr>
      <w:bookmarkStart w:id="28" w:name="_Toc243612767"/>
      <w:r w:rsidRPr="00AD735E">
        <w:rPr>
          <w:rFonts w:ascii="Times New Roman" w:hAnsi="Times New Roman" w:cs="Times New Roman"/>
          <w:color w:val="auto"/>
        </w:rPr>
        <w:t>Appendix C: Beard Plc after-tax cash-flow workings</w:t>
      </w:r>
      <w:bookmarkEnd w:id="28"/>
    </w:p>
    <w:p w14:paraId="07F989FE"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C1. Tax-adjusted cash flows (£000)</w:t>
      </w:r>
    </w:p>
    <w:tbl>
      <w:tblPr>
        <w:tblStyle w:val="TableGrid"/>
        <w:tblW w:w="9978" w:type="dxa"/>
        <w:tblLayout w:type="fixed"/>
        <w:tblLook w:val="04A0" w:firstRow="1" w:lastRow="0" w:firstColumn="1" w:lastColumn="0" w:noHBand="0" w:noVBand="1"/>
      </w:tblPr>
      <w:tblGrid>
        <w:gridCol w:w="669"/>
        <w:gridCol w:w="852"/>
        <w:gridCol w:w="913"/>
        <w:gridCol w:w="1886"/>
        <w:gridCol w:w="1886"/>
        <w:gridCol w:w="1886"/>
        <w:gridCol w:w="1886"/>
      </w:tblGrid>
      <w:tr w:rsidR="00C85640" w:rsidRPr="00AD735E" w14:paraId="21585178" w14:textId="77777777" w:rsidTr="00B63CD5">
        <w:trPr>
          <w:trHeight w:val="378"/>
        </w:trPr>
        <w:tc>
          <w:tcPr>
            <w:tcW w:w="669" w:type="dxa"/>
          </w:tcPr>
          <w:p w14:paraId="0B2F942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Option</w:t>
            </w:r>
          </w:p>
        </w:tc>
        <w:tc>
          <w:tcPr>
            <w:tcW w:w="852" w:type="dxa"/>
          </w:tcPr>
          <w:p w14:paraId="3B52EBC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Cost</w:t>
            </w:r>
          </w:p>
        </w:tc>
        <w:tc>
          <w:tcPr>
            <w:tcW w:w="913" w:type="dxa"/>
          </w:tcPr>
          <w:p w14:paraId="772B8B0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Allowance</w:t>
            </w:r>
          </w:p>
        </w:tc>
        <w:tc>
          <w:tcPr>
            <w:tcW w:w="1886" w:type="dxa"/>
          </w:tcPr>
          <w:p w14:paraId="5C80862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1</w:t>
            </w:r>
          </w:p>
        </w:tc>
        <w:tc>
          <w:tcPr>
            <w:tcW w:w="1886" w:type="dxa"/>
          </w:tcPr>
          <w:p w14:paraId="49A8138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2</w:t>
            </w:r>
          </w:p>
        </w:tc>
        <w:tc>
          <w:tcPr>
            <w:tcW w:w="1886" w:type="dxa"/>
          </w:tcPr>
          <w:p w14:paraId="5002488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3</w:t>
            </w:r>
          </w:p>
        </w:tc>
        <w:tc>
          <w:tcPr>
            <w:tcW w:w="1886" w:type="dxa"/>
          </w:tcPr>
          <w:p w14:paraId="02A57A7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4</w:t>
            </w:r>
          </w:p>
        </w:tc>
      </w:tr>
      <w:tr w:rsidR="00C85640" w:rsidRPr="00AD735E" w14:paraId="6BCE3D3B" w14:textId="77777777" w:rsidTr="00B63CD5">
        <w:trPr>
          <w:trHeight w:val="738"/>
        </w:trPr>
        <w:tc>
          <w:tcPr>
            <w:tcW w:w="669" w:type="dxa"/>
          </w:tcPr>
          <w:p w14:paraId="543A367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w:t>
            </w:r>
          </w:p>
        </w:tc>
        <w:tc>
          <w:tcPr>
            <w:tcW w:w="852" w:type="dxa"/>
          </w:tcPr>
          <w:p w14:paraId="584799B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600.00</w:t>
            </w:r>
          </w:p>
        </w:tc>
        <w:tc>
          <w:tcPr>
            <w:tcW w:w="913" w:type="dxa"/>
          </w:tcPr>
          <w:p w14:paraId="4DDFF2D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120.00</w:t>
            </w:r>
          </w:p>
        </w:tc>
        <w:tc>
          <w:tcPr>
            <w:tcW w:w="1886" w:type="dxa"/>
          </w:tcPr>
          <w:p w14:paraId="23731BC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100×0.75 + 120×0.25 = 105.00</w:t>
            </w:r>
          </w:p>
        </w:tc>
        <w:tc>
          <w:tcPr>
            <w:tcW w:w="1886" w:type="dxa"/>
          </w:tcPr>
          <w:p w14:paraId="11FCC78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180×0.75 + 120×0.25 = 165.00</w:t>
            </w:r>
          </w:p>
        </w:tc>
        <w:tc>
          <w:tcPr>
            <w:tcW w:w="1886" w:type="dxa"/>
          </w:tcPr>
          <w:p w14:paraId="297F6F0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210×0.75 + 120×0.25 = 187.50</w:t>
            </w:r>
          </w:p>
        </w:tc>
        <w:tc>
          <w:tcPr>
            <w:tcW w:w="1886" w:type="dxa"/>
          </w:tcPr>
          <w:p w14:paraId="18D2D8A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260×0.75 + 120×0.25 = 225.00</w:t>
            </w:r>
          </w:p>
        </w:tc>
      </w:tr>
      <w:tr w:rsidR="00C85640" w:rsidRPr="00AD735E" w14:paraId="49FFAE2E" w14:textId="77777777" w:rsidTr="00B63CD5">
        <w:trPr>
          <w:trHeight w:val="718"/>
        </w:trPr>
        <w:tc>
          <w:tcPr>
            <w:tcW w:w="669" w:type="dxa"/>
          </w:tcPr>
          <w:p w14:paraId="620FF3F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w:t>
            </w:r>
          </w:p>
        </w:tc>
        <w:tc>
          <w:tcPr>
            <w:tcW w:w="852" w:type="dxa"/>
          </w:tcPr>
          <w:p w14:paraId="190F74E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900.00</w:t>
            </w:r>
          </w:p>
        </w:tc>
        <w:tc>
          <w:tcPr>
            <w:tcW w:w="913" w:type="dxa"/>
          </w:tcPr>
          <w:p w14:paraId="01043C1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180.00</w:t>
            </w:r>
          </w:p>
        </w:tc>
        <w:tc>
          <w:tcPr>
            <w:tcW w:w="1886" w:type="dxa"/>
          </w:tcPr>
          <w:p w14:paraId="1A81784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220×0.75 + 180×0.25 = 210.00</w:t>
            </w:r>
          </w:p>
        </w:tc>
        <w:tc>
          <w:tcPr>
            <w:tcW w:w="1886" w:type="dxa"/>
          </w:tcPr>
          <w:p w14:paraId="73F0DBD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270×0.75 + 180×0.25 = 247.50</w:t>
            </w:r>
          </w:p>
        </w:tc>
        <w:tc>
          <w:tcPr>
            <w:tcW w:w="1886" w:type="dxa"/>
          </w:tcPr>
          <w:p w14:paraId="7A2DCEF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350×0.75 + 180×0.25 = 307.50</w:t>
            </w:r>
          </w:p>
        </w:tc>
        <w:tc>
          <w:tcPr>
            <w:tcW w:w="1886" w:type="dxa"/>
          </w:tcPr>
          <w:p w14:paraId="4A6970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400×0.75 + 180×0.25 = 345.00</w:t>
            </w:r>
          </w:p>
        </w:tc>
      </w:tr>
      <w:tr w:rsidR="00C85640" w:rsidRPr="00AD735E" w14:paraId="6B71498F" w14:textId="77777777" w:rsidTr="00B63CD5">
        <w:trPr>
          <w:trHeight w:val="718"/>
        </w:trPr>
        <w:tc>
          <w:tcPr>
            <w:tcW w:w="669" w:type="dxa"/>
          </w:tcPr>
          <w:p w14:paraId="70C9EEC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w:t>
            </w:r>
          </w:p>
        </w:tc>
        <w:tc>
          <w:tcPr>
            <w:tcW w:w="852" w:type="dxa"/>
          </w:tcPr>
          <w:p w14:paraId="0DDA40D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913" w:type="dxa"/>
          </w:tcPr>
          <w:p w14:paraId="08F6CF1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200.00</w:t>
            </w:r>
          </w:p>
        </w:tc>
        <w:tc>
          <w:tcPr>
            <w:tcW w:w="1886" w:type="dxa"/>
          </w:tcPr>
          <w:p w14:paraId="7F72EA9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250×0.75 + 200×0.25 = 237.50</w:t>
            </w:r>
          </w:p>
        </w:tc>
        <w:tc>
          <w:tcPr>
            <w:tcW w:w="1886" w:type="dxa"/>
          </w:tcPr>
          <w:p w14:paraId="769F534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310×0.75 + 200×0.25 = 282.50</w:t>
            </w:r>
          </w:p>
        </w:tc>
        <w:tc>
          <w:tcPr>
            <w:tcW w:w="1886" w:type="dxa"/>
          </w:tcPr>
          <w:p w14:paraId="594B180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400×0.75 + 200×0.25 = 350.00</w:t>
            </w:r>
          </w:p>
        </w:tc>
        <w:tc>
          <w:tcPr>
            <w:tcW w:w="1886" w:type="dxa"/>
          </w:tcPr>
          <w:p w14:paraId="30E5657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430×0.75 + 200×0.25 = 372.50</w:t>
            </w:r>
          </w:p>
        </w:tc>
      </w:tr>
    </w:tbl>
    <w:p w14:paraId="741FE4EA" w14:textId="77777777" w:rsidR="00C85640" w:rsidRPr="00AD735E" w:rsidRDefault="00C85640" w:rsidP="00C85640">
      <w:pPr>
        <w:spacing w:after="20"/>
        <w:rPr>
          <w:rFonts w:ascii="Times New Roman" w:hAnsi="Times New Roman" w:cs="Times New Roman"/>
          <w:color w:val="auto"/>
        </w:rPr>
      </w:pPr>
    </w:p>
    <w:p w14:paraId="069DC97E" w14:textId="77777777" w:rsidR="00C85640" w:rsidRPr="00AD735E" w:rsidRDefault="00C85640" w:rsidP="00C85640">
      <w:pPr>
        <w:rPr>
          <w:rFonts w:ascii="Times New Roman" w:hAnsi="Times New Roman" w:cs="Times New Roman"/>
          <w:color w:val="auto"/>
        </w:rPr>
      </w:pPr>
      <w:r w:rsidRPr="00AD735E">
        <w:rPr>
          <w:rFonts w:ascii="Times New Roman" w:hAnsi="Times New Roman" w:cs="Times New Roman"/>
          <w:color w:val="auto"/>
        </w:rPr>
        <w:br w:type="page"/>
      </w:r>
    </w:p>
    <w:p w14:paraId="6E478A36" w14:textId="77777777" w:rsidR="00C85640" w:rsidRPr="00AD735E" w:rsidRDefault="00C85640" w:rsidP="00C85640">
      <w:pPr>
        <w:pStyle w:val="Heading2"/>
        <w:rPr>
          <w:rFonts w:ascii="Times New Roman" w:hAnsi="Times New Roman" w:cs="Times New Roman"/>
          <w:color w:val="auto"/>
        </w:rPr>
      </w:pPr>
      <w:bookmarkStart w:id="29" w:name="_Toc243612768"/>
      <w:r w:rsidRPr="00AD735E">
        <w:rPr>
          <w:rFonts w:ascii="Times New Roman" w:hAnsi="Times New Roman" w:cs="Times New Roman"/>
          <w:color w:val="auto"/>
        </w:rPr>
        <w:lastRenderedPageBreak/>
        <w:t>Appendix D: Beard Plc NPV workings at 5%</w:t>
      </w:r>
      <w:bookmarkEnd w:id="29"/>
    </w:p>
    <w:p w14:paraId="498E3699"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 xml:space="preserve">Table D1. Option </w:t>
      </w:r>
      <w:proofErr w:type="gramStart"/>
      <w:r w:rsidRPr="00AD735E">
        <w:rPr>
          <w:rFonts w:ascii="Times New Roman" w:hAnsi="Times New Roman" w:cs="Times New Roman"/>
          <w:color w:val="auto"/>
        </w:rPr>
        <w:t>A</w:t>
      </w:r>
      <w:proofErr w:type="gramEnd"/>
      <w:r w:rsidRPr="00AD735E">
        <w:rPr>
          <w:rFonts w:ascii="Times New Roman" w:hAnsi="Times New Roman" w:cs="Times New Roman"/>
          <w:color w:val="auto"/>
        </w:rPr>
        <w:t xml:space="preserve"> NPV</w:t>
      </w:r>
    </w:p>
    <w:tbl>
      <w:tblPr>
        <w:tblStyle w:val="TableGrid"/>
        <w:tblW w:w="0" w:type="auto"/>
        <w:tblLayout w:type="fixed"/>
        <w:tblLook w:val="04A0" w:firstRow="1" w:lastRow="0" w:firstColumn="1" w:lastColumn="0" w:noHBand="0" w:noVBand="1"/>
      </w:tblPr>
      <w:tblGrid>
        <w:gridCol w:w="1080"/>
        <w:gridCol w:w="3024"/>
        <w:gridCol w:w="2304"/>
        <w:gridCol w:w="2664"/>
      </w:tblGrid>
      <w:tr w:rsidR="00C85640" w:rsidRPr="00AD735E" w14:paraId="3A994B39" w14:textId="77777777" w:rsidTr="00B63CD5">
        <w:tc>
          <w:tcPr>
            <w:tcW w:w="1080" w:type="dxa"/>
          </w:tcPr>
          <w:p w14:paraId="6FD1648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w:t>
            </w:r>
          </w:p>
        </w:tc>
        <w:tc>
          <w:tcPr>
            <w:tcW w:w="3024" w:type="dxa"/>
          </w:tcPr>
          <w:p w14:paraId="4F0A337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After-tax cash flow (£000)</w:t>
            </w:r>
          </w:p>
        </w:tc>
        <w:tc>
          <w:tcPr>
            <w:tcW w:w="2304" w:type="dxa"/>
          </w:tcPr>
          <w:p w14:paraId="5564F4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Discount factor 5%</w:t>
            </w:r>
          </w:p>
        </w:tc>
        <w:tc>
          <w:tcPr>
            <w:tcW w:w="2664" w:type="dxa"/>
          </w:tcPr>
          <w:p w14:paraId="1CF6940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Present value (£000)</w:t>
            </w:r>
          </w:p>
        </w:tc>
      </w:tr>
      <w:tr w:rsidR="00C85640" w:rsidRPr="00AD735E" w14:paraId="7C0ABE8C" w14:textId="77777777" w:rsidTr="00B63CD5">
        <w:tc>
          <w:tcPr>
            <w:tcW w:w="1080" w:type="dxa"/>
          </w:tcPr>
          <w:p w14:paraId="25E7A78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w:t>
            </w:r>
          </w:p>
        </w:tc>
        <w:tc>
          <w:tcPr>
            <w:tcW w:w="3024" w:type="dxa"/>
          </w:tcPr>
          <w:p w14:paraId="43125CA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-600.00</w:t>
            </w:r>
          </w:p>
        </w:tc>
        <w:tc>
          <w:tcPr>
            <w:tcW w:w="2304" w:type="dxa"/>
          </w:tcPr>
          <w:p w14:paraId="327A3E0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1.000000</w:t>
            </w:r>
          </w:p>
        </w:tc>
        <w:tc>
          <w:tcPr>
            <w:tcW w:w="2664" w:type="dxa"/>
          </w:tcPr>
          <w:p w14:paraId="16A9681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-600.00</w:t>
            </w:r>
          </w:p>
        </w:tc>
      </w:tr>
      <w:tr w:rsidR="00C85640" w:rsidRPr="00AD735E" w14:paraId="0525F570" w14:textId="77777777" w:rsidTr="00B63CD5">
        <w:tc>
          <w:tcPr>
            <w:tcW w:w="1080" w:type="dxa"/>
          </w:tcPr>
          <w:p w14:paraId="433D07A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w:t>
            </w:r>
          </w:p>
        </w:tc>
        <w:tc>
          <w:tcPr>
            <w:tcW w:w="3024" w:type="dxa"/>
          </w:tcPr>
          <w:p w14:paraId="175B892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105.00</w:t>
            </w:r>
          </w:p>
        </w:tc>
        <w:tc>
          <w:tcPr>
            <w:tcW w:w="2304" w:type="dxa"/>
          </w:tcPr>
          <w:p w14:paraId="2DAA78B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0.952381</w:t>
            </w:r>
          </w:p>
        </w:tc>
        <w:tc>
          <w:tcPr>
            <w:tcW w:w="2664" w:type="dxa"/>
          </w:tcPr>
          <w:p w14:paraId="7FE4BCA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w:t>
            </w:r>
          </w:p>
        </w:tc>
      </w:tr>
      <w:tr w:rsidR="00C85640" w:rsidRPr="00AD735E" w14:paraId="0F248920" w14:textId="77777777" w:rsidTr="00B63CD5">
        <w:tc>
          <w:tcPr>
            <w:tcW w:w="1080" w:type="dxa"/>
          </w:tcPr>
          <w:p w14:paraId="1C4587F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w:t>
            </w:r>
          </w:p>
        </w:tc>
        <w:tc>
          <w:tcPr>
            <w:tcW w:w="3024" w:type="dxa"/>
          </w:tcPr>
          <w:p w14:paraId="327D734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165.00</w:t>
            </w:r>
          </w:p>
        </w:tc>
        <w:tc>
          <w:tcPr>
            <w:tcW w:w="2304" w:type="dxa"/>
          </w:tcPr>
          <w:p w14:paraId="11BD651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0.907029</w:t>
            </w:r>
          </w:p>
        </w:tc>
        <w:tc>
          <w:tcPr>
            <w:tcW w:w="2664" w:type="dxa"/>
          </w:tcPr>
          <w:p w14:paraId="29DC9A9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149.66</w:t>
            </w:r>
          </w:p>
        </w:tc>
      </w:tr>
      <w:tr w:rsidR="00C85640" w:rsidRPr="00AD735E" w14:paraId="044E66A6" w14:textId="77777777" w:rsidTr="00B63CD5">
        <w:tc>
          <w:tcPr>
            <w:tcW w:w="1080" w:type="dxa"/>
          </w:tcPr>
          <w:p w14:paraId="07AD4F6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w:t>
            </w:r>
          </w:p>
        </w:tc>
        <w:tc>
          <w:tcPr>
            <w:tcW w:w="3024" w:type="dxa"/>
          </w:tcPr>
          <w:p w14:paraId="1ECC779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187.50</w:t>
            </w:r>
          </w:p>
        </w:tc>
        <w:tc>
          <w:tcPr>
            <w:tcW w:w="2304" w:type="dxa"/>
          </w:tcPr>
          <w:p w14:paraId="2514ACC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0.863838</w:t>
            </w:r>
          </w:p>
        </w:tc>
        <w:tc>
          <w:tcPr>
            <w:tcW w:w="2664" w:type="dxa"/>
          </w:tcPr>
          <w:p w14:paraId="25352EB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161.97</w:t>
            </w:r>
          </w:p>
        </w:tc>
      </w:tr>
      <w:tr w:rsidR="00C85640" w:rsidRPr="00AD735E" w14:paraId="3F6BA14F" w14:textId="77777777" w:rsidTr="00B63CD5">
        <w:tc>
          <w:tcPr>
            <w:tcW w:w="1080" w:type="dxa"/>
          </w:tcPr>
          <w:p w14:paraId="4EC48FF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w:t>
            </w:r>
          </w:p>
        </w:tc>
        <w:tc>
          <w:tcPr>
            <w:tcW w:w="3024" w:type="dxa"/>
          </w:tcPr>
          <w:p w14:paraId="65D3261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225.00</w:t>
            </w:r>
          </w:p>
        </w:tc>
        <w:tc>
          <w:tcPr>
            <w:tcW w:w="2304" w:type="dxa"/>
          </w:tcPr>
          <w:p w14:paraId="7069C8ED"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0.822702</w:t>
            </w:r>
          </w:p>
        </w:tc>
        <w:tc>
          <w:tcPr>
            <w:tcW w:w="2664" w:type="dxa"/>
          </w:tcPr>
          <w:p w14:paraId="254E144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185.11</w:t>
            </w:r>
          </w:p>
        </w:tc>
      </w:tr>
      <w:tr w:rsidR="00C85640" w:rsidRPr="00AD735E" w14:paraId="703C7FFF" w14:textId="77777777" w:rsidTr="00B63CD5">
        <w:tc>
          <w:tcPr>
            <w:tcW w:w="1080" w:type="dxa"/>
          </w:tcPr>
          <w:p w14:paraId="1F18272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NPV</w:t>
            </w:r>
          </w:p>
        </w:tc>
        <w:tc>
          <w:tcPr>
            <w:tcW w:w="3024" w:type="dxa"/>
          </w:tcPr>
          <w:p w14:paraId="7CA383C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304" w:type="dxa"/>
          </w:tcPr>
          <w:p w14:paraId="2804078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664" w:type="dxa"/>
          </w:tcPr>
          <w:p w14:paraId="3DA14E1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-3.26</w:t>
            </w:r>
          </w:p>
        </w:tc>
      </w:tr>
    </w:tbl>
    <w:p w14:paraId="5C073EB7" w14:textId="77777777" w:rsidR="00C85640" w:rsidRPr="00AD735E" w:rsidRDefault="00C85640" w:rsidP="00C85640">
      <w:pPr>
        <w:spacing w:after="20"/>
        <w:rPr>
          <w:rFonts w:ascii="Times New Roman" w:hAnsi="Times New Roman" w:cs="Times New Roman"/>
          <w:color w:val="auto"/>
        </w:rPr>
      </w:pPr>
    </w:p>
    <w:p w14:paraId="1CFDCDAC"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D2. Option B NPV</w:t>
      </w:r>
    </w:p>
    <w:tbl>
      <w:tblPr>
        <w:tblStyle w:val="TableGrid"/>
        <w:tblW w:w="0" w:type="auto"/>
        <w:tblLayout w:type="fixed"/>
        <w:tblLook w:val="04A0" w:firstRow="1" w:lastRow="0" w:firstColumn="1" w:lastColumn="0" w:noHBand="0" w:noVBand="1"/>
      </w:tblPr>
      <w:tblGrid>
        <w:gridCol w:w="1080"/>
        <w:gridCol w:w="3024"/>
        <w:gridCol w:w="2304"/>
        <w:gridCol w:w="2664"/>
      </w:tblGrid>
      <w:tr w:rsidR="00C85640" w:rsidRPr="00AD735E" w14:paraId="5F4B093C" w14:textId="77777777" w:rsidTr="00B63CD5">
        <w:tc>
          <w:tcPr>
            <w:tcW w:w="1080" w:type="dxa"/>
          </w:tcPr>
          <w:p w14:paraId="4FC7F5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w:t>
            </w:r>
          </w:p>
        </w:tc>
        <w:tc>
          <w:tcPr>
            <w:tcW w:w="3024" w:type="dxa"/>
          </w:tcPr>
          <w:p w14:paraId="4513F54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After-tax cash flow (£000)</w:t>
            </w:r>
          </w:p>
        </w:tc>
        <w:tc>
          <w:tcPr>
            <w:tcW w:w="2304" w:type="dxa"/>
          </w:tcPr>
          <w:p w14:paraId="29B5ECD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Discount factor 5%</w:t>
            </w:r>
          </w:p>
        </w:tc>
        <w:tc>
          <w:tcPr>
            <w:tcW w:w="2664" w:type="dxa"/>
          </w:tcPr>
          <w:p w14:paraId="434C404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Present value (£000)</w:t>
            </w:r>
          </w:p>
        </w:tc>
      </w:tr>
      <w:tr w:rsidR="00C85640" w:rsidRPr="00AD735E" w14:paraId="59FA3094" w14:textId="77777777" w:rsidTr="00B63CD5">
        <w:tc>
          <w:tcPr>
            <w:tcW w:w="1080" w:type="dxa"/>
          </w:tcPr>
          <w:p w14:paraId="5CAE1F0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w:t>
            </w:r>
          </w:p>
        </w:tc>
        <w:tc>
          <w:tcPr>
            <w:tcW w:w="3024" w:type="dxa"/>
          </w:tcPr>
          <w:p w14:paraId="1EE966C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-900.00</w:t>
            </w:r>
          </w:p>
        </w:tc>
        <w:tc>
          <w:tcPr>
            <w:tcW w:w="2304" w:type="dxa"/>
          </w:tcPr>
          <w:p w14:paraId="7B179C5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1.000000</w:t>
            </w:r>
          </w:p>
        </w:tc>
        <w:tc>
          <w:tcPr>
            <w:tcW w:w="2664" w:type="dxa"/>
          </w:tcPr>
          <w:p w14:paraId="53D6294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-900.00</w:t>
            </w:r>
          </w:p>
        </w:tc>
      </w:tr>
      <w:tr w:rsidR="00C85640" w:rsidRPr="00AD735E" w14:paraId="3A24115F" w14:textId="77777777" w:rsidTr="00B63CD5">
        <w:tc>
          <w:tcPr>
            <w:tcW w:w="1080" w:type="dxa"/>
          </w:tcPr>
          <w:p w14:paraId="6E2688E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w:t>
            </w:r>
          </w:p>
        </w:tc>
        <w:tc>
          <w:tcPr>
            <w:tcW w:w="3024" w:type="dxa"/>
          </w:tcPr>
          <w:p w14:paraId="575F491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210.00</w:t>
            </w:r>
          </w:p>
        </w:tc>
        <w:tc>
          <w:tcPr>
            <w:tcW w:w="2304" w:type="dxa"/>
          </w:tcPr>
          <w:p w14:paraId="7D84716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0.952381</w:t>
            </w:r>
          </w:p>
        </w:tc>
        <w:tc>
          <w:tcPr>
            <w:tcW w:w="2664" w:type="dxa"/>
          </w:tcPr>
          <w:p w14:paraId="5CFEE85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200.00</w:t>
            </w:r>
          </w:p>
        </w:tc>
      </w:tr>
      <w:tr w:rsidR="00C85640" w:rsidRPr="00AD735E" w14:paraId="4F38F21A" w14:textId="77777777" w:rsidTr="00B63CD5">
        <w:tc>
          <w:tcPr>
            <w:tcW w:w="1080" w:type="dxa"/>
          </w:tcPr>
          <w:p w14:paraId="14BB331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w:t>
            </w:r>
          </w:p>
        </w:tc>
        <w:tc>
          <w:tcPr>
            <w:tcW w:w="3024" w:type="dxa"/>
          </w:tcPr>
          <w:p w14:paraId="6CA3E16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247.50</w:t>
            </w:r>
          </w:p>
        </w:tc>
        <w:tc>
          <w:tcPr>
            <w:tcW w:w="2304" w:type="dxa"/>
          </w:tcPr>
          <w:p w14:paraId="660C1E4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0.907029</w:t>
            </w:r>
          </w:p>
        </w:tc>
        <w:tc>
          <w:tcPr>
            <w:tcW w:w="2664" w:type="dxa"/>
          </w:tcPr>
          <w:p w14:paraId="79F1E05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224.49</w:t>
            </w:r>
          </w:p>
        </w:tc>
      </w:tr>
      <w:tr w:rsidR="00C85640" w:rsidRPr="00AD735E" w14:paraId="17DB0333" w14:textId="77777777" w:rsidTr="00B63CD5">
        <w:tc>
          <w:tcPr>
            <w:tcW w:w="1080" w:type="dxa"/>
          </w:tcPr>
          <w:p w14:paraId="56ACB0C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w:t>
            </w:r>
          </w:p>
        </w:tc>
        <w:tc>
          <w:tcPr>
            <w:tcW w:w="3024" w:type="dxa"/>
          </w:tcPr>
          <w:p w14:paraId="3A069A4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307.50</w:t>
            </w:r>
          </w:p>
        </w:tc>
        <w:tc>
          <w:tcPr>
            <w:tcW w:w="2304" w:type="dxa"/>
          </w:tcPr>
          <w:p w14:paraId="2A58B94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0.863838</w:t>
            </w:r>
          </w:p>
        </w:tc>
        <w:tc>
          <w:tcPr>
            <w:tcW w:w="2664" w:type="dxa"/>
          </w:tcPr>
          <w:p w14:paraId="28C7E64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265.63</w:t>
            </w:r>
          </w:p>
        </w:tc>
      </w:tr>
      <w:tr w:rsidR="00C85640" w:rsidRPr="00AD735E" w14:paraId="04AF34DE" w14:textId="77777777" w:rsidTr="00B63CD5">
        <w:tc>
          <w:tcPr>
            <w:tcW w:w="1080" w:type="dxa"/>
          </w:tcPr>
          <w:p w14:paraId="48166C3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w:t>
            </w:r>
          </w:p>
        </w:tc>
        <w:tc>
          <w:tcPr>
            <w:tcW w:w="3024" w:type="dxa"/>
          </w:tcPr>
          <w:p w14:paraId="1F42EFD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345.00</w:t>
            </w:r>
          </w:p>
        </w:tc>
        <w:tc>
          <w:tcPr>
            <w:tcW w:w="2304" w:type="dxa"/>
          </w:tcPr>
          <w:p w14:paraId="65F723B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0.822702</w:t>
            </w:r>
          </w:p>
        </w:tc>
        <w:tc>
          <w:tcPr>
            <w:tcW w:w="2664" w:type="dxa"/>
          </w:tcPr>
          <w:p w14:paraId="5521971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283.83</w:t>
            </w:r>
          </w:p>
        </w:tc>
      </w:tr>
      <w:tr w:rsidR="00C85640" w:rsidRPr="00AD735E" w14:paraId="43019293" w14:textId="77777777" w:rsidTr="00B63CD5">
        <w:tc>
          <w:tcPr>
            <w:tcW w:w="1080" w:type="dxa"/>
          </w:tcPr>
          <w:p w14:paraId="508BC96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NPV</w:t>
            </w:r>
          </w:p>
        </w:tc>
        <w:tc>
          <w:tcPr>
            <w:tcW w:w="3024" w:type="dxa"/>
          </w:tcPr>
          <w:p w14:paraId="1DB9E9A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304" w:type="dxa"/>
          </w:tcPr>
          <w:p w14:paraId="0044995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664" w:type="dxa"/>
          </w:tcPr>
          <w:p w14:paraId="62BB358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73.95</w:t>
            </w:r>
          </w:p>
        </w:tc>
      </w:tr>
    </w:tbl>
    <w:p w14:paraId="2E60F668" w14:textId="77777777" w:rsidR="00C85640" w:rsidRPr="00AD735E" w:rsidRDefault="00C85640" w:rsidP="00C85640">
      <w:pPr>
        <w:spacing w:after="20"/>
        <w:rPr>
          <w:rFonts w:ascii="Times New Roman" w:hAnsi="Times New Roman" w:cs="Times New Roman"/>
          <w:color w:val="auto"/>
        </w:rPr>
      </w:pPr>
    </w:p>
    <w:p w14:paraId="58D9C7ED"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D3. Option C NPV</w:t>
      </w:r>
    </w:p>
    <w:tbl>
      <w:tblPr>
        <w:tblStyle w:val="TableGrid"/>
        <w:tblW w:w="0" w:type="auto"/>
        <w:tblLayout w:type="fixed"/>
        <w:tblLook w:val="04A0" w:firstRow="1" w:lastRow="0" w:firstColumn="1" w:lastColumn="0" w:noHBand="0" w:noVBand="1"/>
      </w:tblPr>
      <w:tblGrid>
        <w:gridCol w:w="1080"/>
        <w:gridCol w:w="3024"/>
        <w:gridCol w:w="2304"/>
        <w:gridCol w:w="2664"/>
      </w:tblGrid>
      <w:tr w:rsidR="00C85640" w:rsidRPr="00AD735E" w14:paraId="34B63851" w14:textId="77777777" w:rsidTr="00B63CD5">
        <w:tc>
          <w:tcPr>
            <w:tcW w:w="1080" w:type="dxa"/>
          </w:tcPr>
          <w:p w14:paraId="35D7A84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w:t>
            </w:r>
          </w:p>
        </w:tc>
        <w:tc>
          <w:tcPr>
            <w:tcW w:w="3024" w:type="dxa"/>
          </w:tcPr>
          <w:p w14:paraId="2D5EF20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After-tax cash flow (£000)</w:t>
            </w:r>
          </w:p>
        </w:tc>
        <w:tc>
          <w:tcPr>
            <w:tcW w:w="2304" w:type="dxa"/>
          </w:tcPr>
          <w:p w14:paraId="2E77A84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Discount factor 5%</w:t>
            </w:r>
          </w:p>
        </w:tc>
        <w:tc>
          <w:tcPr>
            <w:tcW w:w="2664" w:type="dxa"/>
          </w:tcPr>
          <w:p w14:paraId="3F80367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Present value (£000)</w:t>
            </w:r>
          </w:p>
        </w:tc>
      </w:tr>
      <w:tr w:rsidR="00C85640" w:rsidRPr="00AD735E" w14:paraId="28502196" w14:textId="77777777" w:rsidTr="00B63CD5">
        <w:tc>
          <w:tcPr>
            <w:tcW w:w="1080" w:type="dxa"/>
          </w:tcPr>
          <w:p w14:paraId="4D9B410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w:t>
            </w:r>
          </w:p>
        </w:tc>
        <w:tc>
          <w:tcPr>
            <w:tcW w:w="3024" w:type="dxa"/>
          </w:tcPr>
          <w:p w14:paraId="581AC64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2304" w:type="dxa"/>
          </w:tcPr>
          <w:p w14:paraId="163604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1.000000</w:t>
            </w:r>
          </w:p>
        </w:tc>
        <w:tc>
          <w:tcPr>
            <w:tcW w:w="2664" w:type="dxa"/>
          </w:tcPr>
          <w:p w14:paraId="31626F2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r>
      <w:tr w:rsidR="00C85640" w:rsidRPr="00AD735E" w14:paraId="3CB1AE85" w14:textId="77777777" w:rsidTr="00B63CD5">
        <w:tc>
          <w:tcPr>
            <w:tcW w:w="1080" w:type="dxa"/>
          </w:tcPr>
          <w:p w14:paraId="252544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w:t>
            </w:r>
          </w:p>
        </w:tc>
        <w:tc>
          <w:tcPr>
            <w:tcW w:w="3024" w:type="dxa"/>
          </w:tcPr>
          <w:p w14:paraId="21B6F22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237.50</w:t>
            </w:r>
          </w:p>
        </w:tc>
        <w:tc>
          <w:tcPr>
            <w:tcW w:w="2304" w:type="dxa"/>
          </w:tcPr>
          <w:p w14:paraId="0275C6C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0.952381</w:t>
            </w:r>
          </w:p>
        </w:tc>
        <w:tc>
          <w:tcPr>
            <w:tcW w:w="2664" w:type="dxa"/>
          </w:tcPr>
          <w:p w14:paraId="7B5666C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226.19</w:t>
            </w:r>
          </w:p>
        </w:tc>
      </w:tr>
      <w:tr w:rsidR="00C85640" w:rsidRPr="00AD735E" w14:paraId="5B4DB981" w14:textId="77777777" w:rsidTr="00B63CD5">
        <w:tc>
          <w:tcPr>
            <w:tcW w:w="1080" w:type="dxa"/>
          </w:tcPr>
          <w:p w14:paraId="0781072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w:t>
            </w:r>
          </w:p>
        </w:tc>
        <w:tc>
          <w:tcPr>
            <w:tcW w:w="3024" w:type="dxa"/>
          </w:tcPr>
          <w:p w14:paraId="7BFC06A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282.50</w:t>
            </w:r>
          </w:p>
        </w:tc>
        <w:tc>
          <w:tcPr>
            <w:tcW w:w="2304" w:type="dxa"/>
          </w:tcPr>
          <w:p w14:paraId="0E99452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0.907029</w:t>
            </w:r>
          </w:p>
        </w:tc>
        <w:tc>
          <w:tcPr>
            <w:tcW w:w="2664" w:type="dxa"/>
          </w:tcPr>
          <w:p w14:paraId="28FF0AC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256.24</w:t>
            </w:r>
          </w:p>
        </w:tc>
      </w:tr>
      <w:tr w:rsidR="00C85640" w:rsidRPr="00AD735E" w14:paraId="2AD6C76A" w14:textId="77777777" w:rsidTr="00B63CD5">
        <w:tc>
          <w:tcPr>
            <w:tcW w:w="1080" w:type="dxa"/>
          </w:tcPr>
          <w:p w14:paraId="4FD266B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w:t>
            </w:r>
          </w:p>
        </w:tc>
        <w:tc>
          <w:tcPr>
            <w:tcW w:w="3024" w:type="dxa"/>
          </w:tcPr>
          <w:p w14:paraId="55BABCE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350.00</w:t>
            </w:r>
          </w:p>
        </w:tc>
        <w:tc>
          <w:tcPr>
            <w:tcW w:w="2304" w:type="dxa"/>
          </w:tcPr>
          <w:p w14:paraId="77ED44D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0.863838</w:t>
            </w:r>
          </w:p>
        </w:tc>
        <w:tc>
          <w:tcPr>
            <w:tcW w:w="2664" w:type="dxa"/>
          </w:tcPr>
          <w:p w14:paraId="6476563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302.34</w:t>
            </w:r>
          </w:p>
        </w:tc>
      </w:tr>
      <w:tr w:rsidR="00C85640" w:rsidRPr="00AD735E" w14:paraId="511FD695" w14:textId="77777777" w:rsidTr="00B63CD5">
        <w:tc>
          <w:tcPr>
            <w:tcW w:w="1080" w:type="dxa"/>
          </w:tcPr>
          <w:p w14:paraId="0CACE6E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4</w:t>
            </w:r>
          </w:p>
        </w:tc>
        <w:tc>
          <w:tcPr>
            <w:tcW w:w="3024" w:type="dxa"/>
          </w:tcPr>
          <w:p w14:paraId="60230B0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372.50</w:t>
            </w:r>
          </w:p>
        </w:tc>
        <w:tc>
          <w:tcPr>
            <w:tcW w:w="2304" w:type="dxa"/>
          </w:tcPr>
          <w:p w14:paraId="3B69EC1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0.822702</w:t>
            </w:r>
          </w:p>
        </w:tc>
        <w:tc>
          <w:tcPr>
            <w:tcW w:w="2664" w:type="dxa"/>
          </w:tcPr>
          <w:p w14:paraId="6993408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306.46</w:t>
            </w:r>
          </w:p>
        </w:tc>
      </w:tr>
      <w:tr w:rsidR="00C85640" w:rsidRPr="00AD735E" w14:paraId="18C5E948" w14:textId="77777777" w:rsidTr="00B63CD5">
        <w:tc>
          <w:tcPr>
            <w:tcW w:w="1080" w:type="dxa"/>
          </w:tcPr>
          <w:p w14:paraId="4D77F3E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NPV</w:t>
            </w:r>
          </w:p>
        </w:tc>
        <w:tc>
          <w:tcPr>
            <w:tcW w:w="3024" w:type="dxa"/>
          </w:tcPr>
          <w:p w14:paraId="0DD50D0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304" w:type="dxa"/>
          </w:tcPr>
          <w:p w14:paraId="4162C30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2664" w:type="dxa"/>
          </w:tcPr>
          <w:p w14:paraId="04DFCCF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91.23</w:t>
            </w:r>
          </w:p>
        </w:tc>
      </w:tr>
    </w:tbl>
    <w:p w14:paraId="7B933DAE" w14:textId="77777777" w:rsidR="00C85640" w:rsidRPr="00AD735E" w:rsidRDefault="00C85640" w:rsidP="00C85640">
      <w:pPr>
        <w:spacing w:after="20"/>
        <w:rPr>
          <w:rFonts w:ascii="Times New Roman" w:hAnsi="Times New Roman" w:cs="Times New Roman"/>
          <w:color w:val="auto"/>
        </w:rPr>
      </w:pPr>
    </w:p>
    <w:p w14:paraId="5AB223D6" w14:textId="77777777" w:rsidR="00C85640" w:rsidRPr="00AD735E" w:rsidRDefault="00C85640" w:rsidP="00C85640">
      <w:pPr>
        <w:rPr>
          <w:rFonts w:ascii="Times New Roman" w:hAnsi="Times New Roman" w:cs="Times New Roman"/>
          <w:color w:val="auto"/>
        </w:rPr>
      </w:pPr>
    </w:p>
    <w:p w14:paraId="7F15AAAC" w14:textId="77777777" w:rsidR="00C85640" w:rsidRPr="00AD735E" w:rsidRDefault="00C85640" w:rsidP="00C85640">
      <w:pPr>
        <w:pStyle w:val="Heading2"/>
        <w:rPr>
          <w:rFonts w:ascii="Times New Roman" w:hAnsi="Times New Roman" w:cs="Times New Roman"/>
          <w:color w:val="auto"/>
        </w:rPr>
      </w:pPr>
      <w:bookmarkStart w:id="30" w:name="_Toc243612769"/>
      <w:r w:rsidRPr="00AD735E">
        <w:rPr>
          <w:rFonts w:ascii="Times New Roman" w:hAnsi="Times New Roman" w:cs="Times New Roman"/>
          <w:color w:val="auto"/>
        </w:rPr>
        <w:t>Appendix E: Option C IRR and capital-rationing workings</w:t>
      </w:r>
      <w:bookmarkEnd w:id="30"/>
    </w:p>
    <w:p w14:paraId="7D4171D5"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E1. Option C interpolation points (£000)</w:t>
      </w:r>
    </w:p>
    <w:tbl>
      <w:tblPr>
        <w:tblStyle w:val="TableGrid"/>
        <w:tblW w:w="0" w:type="auto"/>
        <w:tblLayout w:type="fixed"/>
        <w:tblLook w:val="04A0" w:firstRow="1" w:lastRow="0" w:firstColumn="1" w:lastColumn="0" w:noHBand="0" w:noVBand="1"/>
      </w:tblPr>
      <w:tblGrid>
        <w:gridCol w:w="1008"/>
        <w:gridCol w:w="1512"/>
        <w:gridCol w:w="1512"/>
        <w:gridCol w:w="1512"/>
        <w:gridCol w:w="1512"/>
        <w:gridCol w:w="1800"/>
      </w:tblGrid>
      <w:tr w:rsidR="00C85640" w:rsidRPr="00AD735E" w14:paraId="32617183" w14:textId="77777777" w:rsidTr="00B63CD5">
        <w:tc>
          <w:tcPr>
            <w:tcW w:w="1008" w:type="dxa"/>
          </w:tcPr>
          <w:p w14:paraId="52B8E13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Rate</w:t>
            </w:r>
          </w:p>
        </w:tc>
        <w:tc>
          <w:tcPr>
            <w:tcW w:w="1512" w:type="dxa"/>
          </w:tcPr>
          <w:p w14:paraId="19A4663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1 PV</w:t>
            </w:r>
          </w:p>
        </w:tc>
        <w:tc>
          <w:tcPr>
            <w:tcW w:w="1512" w:type="dxa"/>
          </w:tcPr>
          <w:p w14:paraId="52F28CD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2 PV</w:t>
            </w:r>
          </w:p>
        </w:tc>
        <w:tc>
          <w:tcPr>
            <w:tcW w:w="1512" w:type="dxa"/>
          </w:tcPr>
          <w:p w14:paraId="3E122923"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3 PV</w:t>
            </w:r>
          </w:p>
        </w:tc>
        <w:tc>
          <w:tcPr>
            <w:tcW w:w="1512" w:type="dxa"/>
          </w:tcPr>
          <w:p w14:paraId="59C1086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Year 4 PV</w:t>
            </w:r>
          </w:p>
        </w:tc>
        <w:tc>
          <w:tcPr>
            <w:tcW w:w="1800" w:type="dxa"/>
          </w:tcPr>
          <w:p w14:paraId="5D6CCF8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NPV (£000)</w:t>
            </w:r>
          </w:p>
        </w:tc>
      </w:tr>
      <w:tr w:rsidR="00C85640" w:rsidRPr="00AD735E" w14:paraId="14FF43F3" w14:textId="77777777" w:rsidTr="00B63CD5">
        <w:tc>
          <w:tcPr>
            <w:tcW w:w="1008" w:type="dxa"/>
          </w:tcPr>
          <w:p w14:paraId="5F4C8CC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8%</w:t>
            </w:r>
          </w:p>
        </w:tc>
        <w:tc>
          <w:tcPr>
            <w:tcW w:w="1512" w:type="dxa"/>
          </w:tcPr>
          <w:p w14:paraId="16C16E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219.91</w:t>
            </w:r>
          </w:p>
        </w:tc>
        <w:tc>
          <w:tcPr>
            <w:tcW w:w="1512" w:type="dxa"/>
          </w:tcPr>
          <w:p w14:paraId="15AADEE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242.20</w:t>
            </w:r>
          </w:p>
        </w:tc>
        <w:tc>
          <w:tcPr>
            <w:tcW w:w="1512" w:type="dxa"/>
          </w:tcPr>
          <w:p w14:paraId="5736018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277.84</w:t>
            </w:r>
          </w:p>
        </w:tc>
        <w:tc>
          <w:tcPr>
            <w:tcW w:w="1512" w:type="dxa"/>
          </w:tcPr>
          <w:p w14:paraId="4DE4BDE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273.80</w:t>
            </w:r>
          </w:p>
        </w:tc>
        <w:tc>
          <w:tcPr>
            <w:tcW w:w="1800" w:type="dxa"/>
          </w:tcPr>
          <w:p w14:paraId="5B56336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13.75</w:t>
            </w:r>
          </w:p>
        </w:tc>
      </w:tr>
      <w:tr w:rsidR="00C85640" w:rsidRPr="00AD735E" w14:paraId="0CECFBFC" w14:textId="77777777" w:rsidTr="00B63CD5">
        <w:tc>
          <w:tcPr>
            <w:tcW w:w="1008" w:type="dxa"/>
          </w:tcPr>
          <w:p w14:paraId="1FDE7DF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w:t>
            </w:r>
          </w:p>
        </w:tc>
        <w:tc>
          <w:tcPr>
            <w:tcW w:w="1512" w:type="dxa"/>
          </w:tcPr>
          <w:p w14:paraId="359371E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217.89</w:t>
            </w:r>
          </w:p>
        </w:tc>
        <w:tc>
          <w:tcPr>
            <w:tcW w:w="1512" w:type="dxa"/>
          </w:tcPr>
          <w:p w14:paraId="748495F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237.77</w:t>
            </w:r>
          </w:p>
        </w:tc>
        <w:tc>
          <w:tcPr>
            <w:tcW w:w="1512" w:type="dxa"/>
          </w:tcPr>
          <w:p w14:paraId="1D79D450"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270.26</w:t>
            </w:r>
          </w:p>
        </w:tc>
        <w:tc>
          <w:tcPr>
            <w:tcW w:w="1512" w:type="dxa"/>
          </w:tcPr>
          <w:p w14:paraId="65D2C1B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263.89</w:t>
            </w:r>
          </w:p>
        </w:tc>
        <w:tc>
          <w:tcPr>
            <w:tcW w:w="1800" w:type="dxa"/>
          </w:tcPr>
          <w:p w14:paraId="615ECD0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-10.18</w:t>
            </w:r>
          </w:p>
        </w:tc>
      </w:tr>
    </w:tbl>
    <w:p w14:paraId="7A8BB5FB" w14:textId="77777777" w:rsidR="00C85640" w:rsidRPr="00AD735E" w:rsidRDefault="00C85640" w:rsidP="00C85640">
      <w:pPr>
        <w:spacing w:after="20"/>
        <w:rPr>
          <w:rFonts w:ascii="Times New Roman" w:hAnsi="Times New Roman" w:cs="Times New Roman"/>
          <w:color w:val="auto"/>
        </w:rPr>
      </w:pPr>
    </w:p>
    <w:p w14:paraId="5CD14A4E" w14:textId="77777777" w:rsidR="00C85640" w:rsidRPr="00AD735E" w:rsidRDefault="00C85640" w:rsidP="00C85640">
      <w:pPr>
        <w:pStyle w:val="Caption"/>
        <w:rPr>
          <w:rFonts w:ascii="Times New Roman" w:hAnsi="Times New Roman" w:cs="Times New Roman"/>
          <w:color w:val="auto"/>
        </w:rPr>
      </w:pPr>
      <w:r w:rsidRPr="00AD735E">
        <w:rPr>
          <w:rFonts w:ascii="Times New Roman" w:hAnsi="Times New Roman" w:cs="Times New Roman"/>
          <w:color w:val="auto"/>
        </w:rPr>
        <w:t>Table E2. Capital-rationing calculation</w:t>
      </w:r>
    </w:p>
    <w:tbl>
      <w:tblPr>
        <w:tblStyle w:val="TableGrid"/>
        <w:tblW w:w="0" w:type="auto"/>
        <w:tblLayout w:type="fixed"/>
        <w:tblLook w:val="04A0" w:firstRow="1" w:lastRow="0" w:firstColumn="1" w:lastColumn="0" w:noHBand="0" w:noVBand="1"/>
      </w:tblPr>
      <w:tblGrid>
        <w:gridCol w:w="1080"/>
        <w:gridCol w:w="2232"/>
        <w:gridCol w:w="1008"/>
        <w:gridCol w:w="1944"/>
        <w:gridCol w:w="2952"/>
      </w:tblGrid>
      <w:tr w:rsidR="00C85640" w:rsidRPr="00AD735E" w14:paraId="3511C980" w14:textId="77777777" w:rsidTr="00B63CD5">
        <w:tc>
          <w:tcPr>
            <w:tcW w:w="1080" w:type="dxa"/>
          </w:tcPr>
          <w:p w14:paraId="641C705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Option</w:t>
            </w:r>
          </w:p>
        </w:tc>
        <w:tc>
          <w:tcPr>
            <w:tcW w:w="2232" w:type="dxa"/>
          </w:tcPr>
          <w:p w14:paraId="320FC4C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PI calculation</w:t>
            </w:r>
          </w:p>
        </w:tc>
        <w:tc>
          <w:tcPr>
            <w:tcW w:w="1008" w:type="dxa"/>
          </w:tcPr>
          <w:p w14:paraId="21FCDF1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PI</w:t>
            </w:r>
          </w:p>
        </w:tc>
        <w:tc>
          <w:tcPr>
            <w:tcW w:w="1944" w:type="dxa"/>
          </w:tcPr>
          <w:p w14:paraId="7D070BD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Capital (£000)</w:t>
            </w:r>
          </w:p>
        </w:tc>
        <w:tc>
          <w:tcPr>
            <w:tcW w:w="2952" w:type="dxa"/>
          </w:tcPr>
          <w:p w14:paraId="125DD71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8"/>
              </w:rPr>
              <w:t>NPV contribution (£000)</w:t>
            </w:r>
          </w:p>
        </w:tc>
      </w:tr>
      <w:tr w:rsidR="00C85640" w:rsidRPr="00AD735E" w14:paraId="3DB186C7" w14:textId="77777777" w:rsidTr="00B63CD5">
        <w:tc>
          <w:tcPr>
            <w:tcW w:w="1080" w:type="dxa"/>
          </w:tcPr>
          <w:p w14:paraId="066C112A"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C</w:t>
            </w:r>
          </w:p>
        </w:tc>
        <w:tc>
          <w:tcPr>
            <w:tcW w:w="2232" w:type="dxa"/>
          </w:tcPr>
          <w:p w14:paraId="7ADB2DA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1,091.23 ÷ 1,000.00</w:t>
            </w:r>
          </w:p>
        </w:tc>
        <w:tc>
          <w:tcPr>
            <w:tcW w:w="1008" w:type="dxa"/>
          </w:tcPr>
          <w:p w14:paraId="4574599B"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1.0912</w:t>
            </w:r>
          </w:p>
        </w:tc>
        <w:tc>
          <w:tcPr>
            <w:tcW w:w="1944" w:type="dxa"/>
          </w:tcPr>
          <w:p w14:paraId="1B9E70A5"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1,000.00</w:t>
            </w:r>
          </w:p>
        </w:tc>
        <w:tc>
          <w:tcPr>
            <w:tcW w:w="2952" w:type="dxa"/>
          </w:tcPr>
          <w:p w14:paraId="28541B8C"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91.23</w:t>
            </w:r>
          </w:p>
        </w:tc>
      </w:tr>
      <w:tr w:rsidR="00C85640" w:rsidRPr="00AD735E" w14:paraId="21E2B91C" w14:textId="77777777" w:rsidTr="00B63CD5">
        <w:tc>
          <w:tcPr>
            <w:tcW w:w="1080" w:type="dxa"/>
          </w:tcPr>
          <w:p w14:paraId="5E8C4D9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B</w:t>
            </w:r>
          </w:p>
        </w:tc>
        <w:tc>
          <w:tcPr>
            <w:tcW w:w="2232" w:type="dxa"/>
          </w:tcPr>
          <w:p w14:paraId="478A919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973.95 ÷ 900.00</w:t>
            </w:r>
          </w:p>
        </w:tc>
        <w:tc>
          <w:tcPr>
            <w:tcW w:w="1008" w:type="dxa"/>
          </w:tcPr>
          <w:p w14:paraId="2A0157D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1.0822</w:t>
            </w:r>
          </w:p>
        </w:tc>
        <w:tc>
          <w:tcPr>
            <w:tcW w:w="1944" w:type="dxa"/>
          </w:tcPr>
          <w:p w14:paraId="10933C68"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500.00</w:t>
            </w:r>
          </w:p>
        </w:tc>
        <w:tc>
          <w:tcPr>
            <w:tcW w:w="2952" w:type="dxa"/>
          </w:tcPr>
          <w:p w14:paraId="7B8113D4"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73.95 × 500/900 = 41.08</w:t>
            </w:r>
          </w:p>
        </w:tc>
      </w:tr>
      <w:tr w:rsidR="00C85640" w:rsidRPr="00AD735E" w14:paraId="28992114" w14:textId="77777777" w:rsidTr="00B63CD5">
        <w:tc>
          <w:tcPr>
            <w:tcW w:w="1080" w:type="dxa"/>
          </w:tcPr>
          <w:p w14:paraId="11E41BD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A</w:t>
            </w:r>
          </w:p>
        </w:tc>
        <w:tc>
          <w:tcPr>
            <w:tcW w:w="2232" w:type="dxa"/>
          </w:tcPr>
          <w:p w14:paraId="770D21E7"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596.74 ÷ 600.00</w:t>
            </w:r>
          </w:p>
        </w:tc>
        <w:tc>
          <w:tcPr>
            <w:tcW w:w="1008" w:type="dxa"/>
          </w:tcPr>
          <w:p w14:paraId="4DDAA576"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0.9946</w:t>
            </w:r>
          </w:p>
        </w:tc>
        <w:tc>
          <w:tcPr>
            <w:tcW w:w="1944" w:type="dxa"/>
          </w:tcPr>
          <w:p w14:paraId="580A742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0.00</w:t>
            </w:r>
          </w:p>
        </w:tc>
        <w:tc>
          <w:tcPr>
            <w:tcW w:w="2952" w:type="dxa"/>
          </w:tcPr>
          <w:p w14:paraId="24172FFF"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color w:val="auto"/>
                <w:sz w:val="17"/>
              </w:rPr>
              <w:t>0.00</w:t>
            </w:r>
          </w:p>
        </w:tc>
      </w:tr>
      <w:tr w:rsidR="00C85640" w:rsidRPr="00AD735E" w14:paraId="53649A37" w14:textId="77777777" w:rsidTr="00B63CD5">
        <w:tc>
          <w:tcPr>
            <w:tcW w:w="1080" w:type="dxa"/>
          </w:tcPr>
          <w:p w14:paraId="1596D522"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Total</w:t>
            </w:r>
          </w:p>
        </w:tc>
        <w:tc>
          <w:tcPr>
            <w:tcW w:w="2232" w:type="dxa"/>
          </w:tcPr>
          <w:p w14:paraId="567B3D29"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1008" w:type="dxa"/>
          </w:tcPr>
          <w:p w14:paraId="50E6367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w:t>
            </w:r>
          </w:p>
        </w:tc>
        <w:tc>
          <w:tcPr>
            <w:tcW w:w="1944" w:type="dxa"/>
          </w:tcPr>
          <w:p w14:paraId="2AC56F7E"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1,500.00</w:t>
            </w:r>
          </w:p>
        </w:tc>
        <w:tc>
          <w:tcPr>
            <w:tcW w:w="2952" w:type="dxa"/>
          </w:tcPr>
          <w:p w14:paraId="735307F1" w14:textId="77777777" w:rsidR="00C85640" w:rsidRPr="00AD735E" w:rsidRDefault="00C85640" w:rsidP="00B63CD5">
            <w:pPr>
              <w:spacing w:after="0"/>
              <w:rPr>
                <w:rFonts w:ascii="Times New Roman" w:hAnsi="Times New Roman" w:cs="Times New Roman"/>
                <w:color w:val="auto"/>
              </w:rPr>
            </w:pPr>
            <w:r w:rsidRPr="00AD735E">
              <w:rPr>
                <w:rFonts w:ascii="Times New Roman" w:hAnsi="Times New Roman" w:cs="Times New Roman"/>
                <w:b/>
                <w:color w:val="auto"/>
                <w:sz w:val="17"/>
              </w:rPr>
              <w:t>132.31</w:t>
            </w:r>
          </w:p>
        </w:tc>
      </w:tr>
    </w:tbl>
    <w:p w14:paraId="557D1EF3" w14:textId="77777777" w:rsidR="00C85640" w:rsidRPr="00AD735E" w:rsidRDefault="00C85640" w:rsidP="00C85640">
      <w:pPr>
        <w:spacing w:after="20"/>
        <w:rPr>
          <w:rFonts w:ascii="Times New Roman" w:hAnsi="Times New Roman" w:cs="Times New Roman"/>
          <w:color w:val="auto"/>
        </w:rPr>
      </w:pPr>
    </w:p>
    <w:p w14:paraId="3C192A7E" w14:textId="77777777" w:rsidR="00C85640" w:rsidRPr="00AD735E" w:rsidRDefault="00C85640" w:rsidP="00C85640">
      <w:pPr>
        <w:rPr>
          <w:rFonts w:ascii="Times New Roman" w:hAnsi="Times New Roman" w:cs="Times New Roman"/>
          <w:color w:val="auto"/>
        </w:rPr>
      </w:pPr>
    </w:p>
    <w:p w14:paraId="2C7FF1ED" w14:textId="77777777" w:rsidR="00C85640" w:rsidRPr="00AD735E" w:rsidRDefault="00C85640" w:rsidP="00C85640">
      <w:pPr>
        <w:rPr>
          <w:rFonts w:ascii="Times New Roman" w:hAnsi="Times New Roman" w:cs="Times New Roman"/>
        </w:rPr>
      </w:pPr>
    </w:p>
    <w:p w14:paraId="3057D804" w14:textId="77777777" w:rsidR="00ED2BFE" w:rsidRDefault="00ED2BFE"/>
    <w:sectPr w:rsidR="00ED2BFE" w:rsidSect="007D1947">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12BBD" w14:textId="77777777" w:rsidR="000D50CC" w:rsidRDefault="000D50CC">
      <w:pPr>
        <w:spacing w:after="0" w:line="240" w:lineRule="auto"/>
      </w:pPr>
      <w:r>
        <w:separator/>
      </w:r>
    </w:p>
  </w:endnote>
  <w:endnote w:type="continuationSeparator" w:id="0">
    <w:p w14:paraId="2F4880ED" w14:textId="77777777" w:rsidR="000D50CC" w:rsidRDefault="000D5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320975F0" w14:textId="77777777" w:rsidR="00000000" w:rsidRDefault="00C856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E552D"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DFADC" w14:textId="77777777" w:rsidR="000D50CC" w:rsidRDefault="000D50CC">
      <w:pPr>
        <w:spacing w:after="0" w:line="240" w:lineRule="auto"/>
      </w:pPr>
      <w:r>
        <w:separator/>
      </w:r>
    </w:p>
  </w:footnote>
  <w:footnote w:type="continuationSeparator" w:id="0">
    <w:p w14:paraId="5CB43F7F" w14:textId="77777777" w:rsidR="000D50CC" w:rsidRDefault="000D5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1041618">
    <w:abstractNumId w:val="8"/>
  </w:num>
  <w:num w:numId="2" w16cid:durableId="1482113519">
    <w:abstractNumId w:val="6"/>
  </w:num>
  <w:num w:numId="3" w16cid:durableId="958414492">
    <w:abstractNumId w:val="5"/>
  </w:num>
  <w:num w:numId="4" w16cid:durableId="345447497">
    <w:abstractNumId w:val="4"/>
  </w:num>
  <w:num w:numId="5" w16cid:durableId="21633599">
    <w:abstractNumId w:val="7"/>
  </w:num>
  <w:num w:numId="6" w16cid:durableId="470908708">
    <w:abstractNumId w:val="3"/>
  </w:num>
  <w:num w:numId="7" w16cid:durableId="80179507">
    <w:abstractNumId w:val="2"/>
  </w:num>
  <w:num w:numId="8" w16cid:durableId="1739203156">
    <w:abstractNumId w:val="1"/>
  </w:num>
  <w:num w:numId="9" w16cid:durableId="2111120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640"/>
    <w:rsid w:val="00006C25"/>
    <w:rsid w:val="000D50CC"/>
    <w:rsid w:val="001745F9"/>
    <w:rsid w:val="005C1DD0"/>
    <w:rsid w:val="00AB0197"/>
    <w:rsid w:val="00C85640"/>
    <w:rsid w:val="00ED2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136F1"/>
  <w15:chartTrackingRefBased/>
  <w15:docId w15:val="{531B3FF1-927A-4F41-8595-E56C4BBD1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640"/>
    <w:pPr>
      <w:spacing w:after="140" w:line="276" w:lineRule="auto"/>
      <w:jc w:val="both"/>
    </w:pPr>
    <w:rPr>
      <w:rFonts w:ascii="Calibri" w:eastAsiaTheme="minorEastAsia" w:hAnsi="Calibri"/>
      <w:color w:val="1F1F1F"/>
    </w:rPr>
  </w:style>
  <w:style w:type="paragraph" w:styleId="Heading1">
    <w:name w:val="heading 1"/>
    <w:basedOn w:val="Normal"/>
    <w:next w:val="Normal"/>
    <w:link w:val="Heading1Char"/>
    <w:uiPriority w:val="9"/>
    <w:qFormat/>
    <w:rsid w:val="00C856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56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5640"/>
    <w:pPr>
      <w:keepNext/>
      <w:keepLines/>
      <w:spacing w:before="160" w:after="80"/>
      <w:outlineLvl w:val="2"/>
    </w:pPr>
    <w:rPr>
      <w:rFonts w:asciiTheme="majorHAnsi" w:eastAsiaTheme="majorEastAsia" w:hAnsiTheme="majorHAnsi" w:cstheme="majorBidi"/>
      <w:b/>
      <w:bCs/>
      <w:color w:val="1F4E79"/>
      <w:sz w:val="23"/>
    </w:rPr>
  </w:style>
  <w:style w:type="paragraph" w:styleId="Heading4">
    <w:name w:val="heading 4"/>
    <w:basedOn w:val="Normal"/>
    <w:next w:val="Normal"/>
    <w:link w:val="Heading4Char"/>
    <w:uiPriority w:val="9"/>
    <w:semiHidden/>
    <w:unhideWhenUsed/>
    <w:qFormat/>
    <w:rsid w:val="00C85640"/>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C85640"/>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C85640"/>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C8564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85640"/>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C8564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6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56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5640"/>
    <w:rPr>
      <w:rFonts w:asciiTheme="majorHAnsi" w:eastAsiaTheme="majorEastAsia" w:hAnsiTheme="majorHAnsi" w:cstheme="majorBidi"/>
      <w:b/>
      <w:bCs/>
      <w:color w:val="1F4E79"/>
      <w:sz w:val="23"/>
    </w:rPr>
  </w:style>
  <w:style w:type="character" w:customStyle="1" w:styleId="Heading4Char">
    <w:name w:val="Heading 4 Char"/>
    <w:basedOn w:val="DefaultParagraphFont"/>
    <w:link w:val="Heading4"/>
    <w:uiPriority w:val="9"/>
    <w:semiHidden/>
    <w:rsid w:val="00C85640"/>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C85640"/>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C85640"/>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C8564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85640"/>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C85640"/>
    <w:rPr>
      <w:rFonts w:asciiTheme="majorHAnsi" w:eastAsiaTheme="majorEastAsia" w:hAnsiTheme="majorHAnsi" w:cstheme="majorBidi"/>
      <w:i/>
      <w:iCs/>
      <w:color w:val="404040" w:themeColor="text1" w:themeTint="BF"/>
      <w:sz w:val="20"/>
      <w:szCs w:val="20"/>
    </w:rPr>
  </w:style>
  <w:style w:type="paragraph" w:styleId="NoSpacing">
    <w:name w:val="No Spacing"/>
    <w:link w:val="NoSpacingChar"/>
    <w:uiPriority w:val="1"/>
    <w:qFormat/>
    <w:rsid w:val="00C85640"/>
    <w:pPr>
      <w:spacing w:after="0" w:line="240" w:lineRule="auto"/>
    </w:pPr>
    <w:rPr>
      <w:rFonts w:eastAsiaTheme="minorEastAsia"/>
    </w:rPr>
  </w:style>
  <w:style w:type="character" w:customStyle="1" w:styleId="NoSpacingChar">
    <w:name w:val="No Spacing Char"/>
    <w:basedOn w:val="DefaultParagraphFont"/>
    <w:link w:val="NoSpacing"/>
    <w:uiPriority w:val="1"/>
    <w:rsid w:val="00C85640"/>
    <w:rPr>
      <w:rFonts w:eastAsiaTheme="minorEastAsia"/>
    </w:rPr>
  </w:style>
  <w:style w:type="paragraph" w:styleId="TOCHeading">
    <w:name w:val="TOC Heading"/>
    <w:basedOn w:val="Heading1"/>
    <w:next w:val="Normal"/>
    <w:uiPriority w:val="39"/>
    <w:unhideWhenUsed/>
    <w:qFormat/>
    <w:rsid w:val="00C85640"/>
    <w:pPr>
      <w:outlineLvl w:val="9"/>
    </w:pPr>
  </w:style>
  <w:style w:type="paragraph" w:styleId="TOC1">
    <w:name w:val="toc 1"/>
    <w:basedOn w:val="Normal"/>
    <w:next w:val="Normal"/>
    <w:autoRedefine/>
    <w:uiPriority w:val="39"/>
    <w:unhideWhenUsed/>
    <w:rsid w:val="00C85640"/>
    <w:pPr>
      <w:spacing w:after="100"/>
    </w:pPr>
  </w:style>
  <w:style w:type="character" w:styleId="Hyperlink">
    <w:name w:val="Hyperlink"/>
    <w:basedOn w:val="DefaultParagraphFont"/>
    <w:uiPriority w:val="99"/>
    <w:unhideWhenUsed/>
    <w:rsid w:val="00C85640"/>
    <w:rPr>
      <w:color w:val="0563C1" w:themeColor="hyperlink"/>
      <w:u w:val="single"/>
    </w:rPr>
  </w:style>
  <w:style w:type="paragraph" w:styleId="TOC2">
    <w:name w:val="toc 2"/>
    <w:basedOn w:val="Normal"/>
    <w:next w:val="Normal"/>
    <w:autoRedefine/>
    <w:uiPriority w:val="39"/>
    <w:unhideWhenUsed/>
    <w:rsid w:val="00C85640"/>
    <w:pPr>
      <w:spacing w:after="100"/>
      <w:ind w:left="220"/>
    </w:pPr>
  </w:style>
  <w:style w:type="paragraph" w:styleId="Header">
    <w:name w:val="header"/>
    <w:basedOn w:val="Normal"/>
    <w:link w:val="HeaderChar"/>
    <w:uiPriority w:val="99"/>
    <w:unhideWhenUsed/>
    <w:rsid w:val="00C85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640"/>
    <w:rPr>
      <w:rFonts w:ascii="Calibri" w:eastAsiaTheme="minorEastAsia" w:hAnsi="Calibri"/>
      <w:color w:val="1F1F1F"/>
    </w:rPr>
  </w:style>
  <w:style w:type="paragraph" w:styleId="Footer">
    <w:name w:val="footer"/>
    <w:basedOn w:val="Normal"/>
    <w:link w:val="FooterChar"/>
    <w:uiPriority w:val="99"/>
    <w:unhideWhenUsed/>
    <w:rsid w:val="00C85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640"/>
    <w:rPr>
      <w:rFonts w:ascii="Calibri" w:eastAsiaTheme="minorEastAsia" w:hAnsi="Calibri"/>
      <w:color w:val="1F1F1F"/>
    </w:rPr>
  </w:style>
  <w:style w:type="paragraph" w:styleId="TOC3">
    <w:name w:val="toc 3"/>
    <w:basedOn w:val="Normal"/>
    <w:next w:val="Normal"/>
    <w:autoRedefine/>
    <w:uiPriority w:val="39"/>
    <w:unhideWhenUsed/>
    <w:rsid w:val="00C85640"/>
    <w:pPr>
      <w:spacing w:after="100"/>
      <w:ind w:left="440"/>
    </w:pPr>
  </w:style>
  <w:style w:type="paragraph" w:styleId="Title">
    <w:name w:val="Title"/>
    <w:basedOn w:val="Normal"/>
    <w:next w:val="Normal"/>
    <w:link w:val="TitleChar"/>
    <w:uiPriority w:val="10"/>
    <w:qFormat/>
    <w:rsid w:val="00C85640"/>
    <w:pPr>
      <w:keepNext/>
      <w:pBdr>
        <w:bottom w:val="single" w:sz="8" w:space="4" w:color="4472C4" w:themeColor="accent1"/>
      </w:pBdr>
      <w:spacing w:after="280" w:line="240" w:lineRule="auto"/>
      <w:contextualSpacing/>
    </w:pPr>
    <w:rPr>
      <w:rFonts w:asciiTheme="majorHAnsi" w:eastAsiaTheme="majorEastAsia" w:hAnsiTheme="majorHAnsi" w:cstheme="majorBidi"/>
      <w:b/>
      <w:color w:val="1F4E79"/>
      <w:spacing w:val="5"/>
      <w:kern w:val="28"/>
      <w:sz w:val="48"/>
      <w:szCs w:val="52"/>
    </w:rPr>
  </w:style>
  <w:style w:type="character" w:customStyle="1" w:styleId="TitleChar">
    <w:name w:val="Title Char"/>
    <w:basedOn w:val="DefaultParagraphFont"/>
    <w:link w:val="Title"/>
    <w:uiPriority w:val="10"/>
    <w:rsid w:val="00C85640"/>
    <w:rPr>
      <w:rFonts w:asciiTheme="majorHAnsi" w:eastAsiaTheme="majorEastAsia" w:hAnsiTheme="majorHAnsi" w:cstheme="majorBidi"/>
      <w:b/>
      <w:color w:val="1F4E79"/>
      <w:spacing w:val="5"/>
      <w:kern w:val="28"/>
      <w:sz w:val="48"/>
      <w:szCs w:val="52"/>
    </w:rPr>
  </w:style>
  <w:style w:type="paragraph" w:styleId="Subtitle">
    <w:name w:val="Subtitle"/>
    <w:basedOn w:val="Normal"/>
    <w:next w:val="Normal"/>
    <w:link w:val="SubtitleChar"/>
    <w:uiPriority w:val="11"/>
    <w:qFormat/>
    <w:rsid w:val="00C85640"/>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C85640"/>
    <w:rPr>
      <w:rFonts w:asciiTheme="majorHAnsi" w:eastAsiaTheme="majorEastAsia" w:hAnsiTheme="majorHAnsi" w:cstheme="majorBidi"/>
      <w:i/>
      <w:iCs/>
      <w:color w:val="4472C4" w:themeColor="accent1"/>
      <w:spacing w:val="15"/>
      <w:sz w:val="24"/>
      <w:szCs w:val="24"/>
    </w:rPr>
  </w:style>
  <w:style w:type="paragraph" w:styleId="ListParagraph">
    <w:name w:val="List Paragraph"/>
    <w:basedOn w:val="Normal"/>
    <w:uiPriority w:val="34"/>
    <w:qFormat/>
    <w:rsid w:val="00C85640"/>
    <w:pPr>
      <w:ind w:left="720"/>
      <w:contextualSpacing/>
    </w:pPr>
  </w:style>
  <w:style w:type="paragraph" w:styleId="BodyText">
    <w:name w:val="Body Text"/>
    <w:basedOn w:val="Normal"/>
    <w:link w:val="BodyTextChar"/>
    <w:uiPriority w:val="99"/>
    <w:unhideWhenUsed/>
    <w:rsid w:val="00C85640"/>
    <w:pPr>
      <w:spacing w:after="120"/>
    </w:pPr>
  </w:style>
  <w:style w:type="character" w:customStyle="1" w:styleId="BodyTextChar">
    <w:name w:val="Body Text Char"/>
    <w:basedOn w:val="DefaultParagraphFont"/>
    <w:link w:val="BodyText"/>
    <w:uiPriority w:val="99"/>
    <w:rsid w:val="00C85640"/>
    <w:rPr>
      <w:rFonts w:ascii="Calibri" w:eastAsiaTheme="minorEastAsia" w:hAnsi="Calibri"/>
      <w:color w:val="1F1F1F"/>
    </w:rPr>
  </w:style>
  <w:style w:type="paragraph" w:styleId="BodyText2">
    <w:name w:val="Body Text 2"/>
    <w:basedOn w:val="Normal"/>
    <w:link w:val="BodyText2Char"/>
    <w:uiPriority w:val="99"/>
    <w:unhideWhenUsed/>
    <w:rsid w:val="00C85640"/>
    <w:pPr>
      <w:spacing w:after="120" w:line="480" w:lineRule="auto"/>
    </w:pPr>
  </w:style>
  <w:style w:type="character" w:customStyle="1" w:styleId="BodyText2Char">
    <w:name w:val="Body Text 2 Char"/>
    <w:basedOn w:val="DefaultParagraphFont"/>
    <w:link w:val="BodyText2"/>
    <w:uiPriority w:val="99"/>
    <w:rsid w:val="00C85640"/>
    <w:rPr>
      <w:rFonts w:ascii="Calibri" w:eastAsiaTheme="minorEastAsia" w:hAnsi="Calibri"/>
      <w:color w:val="1F1F1F"/>
    </w:rPr>
  </w:style>
  <w:style w:type="paragraph" w:styleId="BodyText3">
    <w:name w:val="Body Text 3"/>
    <w:basedOn w:val="Normal"/>
    <w:link w:val="BodyText3Char"/>
    <w:uiPriority w:val="99"/>
    <w:unhideWhenUsed/>
    <w:rsid w:val="00C85640"/>
    <w:pPr>
      <w:spacing w:after="120"/>
    </w:pPr>
    <w:rPr>
      <w:sz w:val="16"/>
      <w:szCs w:val="16"/>
    </w:rPr>
  </w:style>
  <w:style w:type="character" w:customStyle="1" w:styleId="BodyText3Char">
    <w:name w:val="Body Text 3 Char"/>
    <w:basedOn w:val="DefaultParagraphFont"/>
    <w:link w:val="BodyText3"/>
    <w:uiPriority w:val="99"/>
    <w:rsid w:val="00C85640"/>
    <w:rPr>
      <w:rFonts w:ascii="Calibri" w:eastAsiaTheme="minorEastAsia" w:hAnsi="Calibri"/>
      <w:color w:val="1F1F1F"/>
      <w:sz w:val="16"/>
      <w:szCs w:val="16"/>
    </w:rPr>
  </w:style>
  <w:style w:type="paragraph" w:styleId="List">
    <w:name w:val="List"/>
    <w:basedOn w:val="Normal"/>
    <w:uiPriority w:val="99"/>
    <w:unhideWhenUsed/>
    <w:rsid w:val="00C85640"/>
    <w:pPr>
      <w:ind w:left="360" w:hanging="360"/>
      <w:contextualSpacing/>
    </w:pPr>
  </w:style>
  <w:style w:type="paragraph" w:styleId="List2">
    <w:name w:val="List 2"/>
    <w:basedOn w:val="Normal"/>
    <w:uiPriority w:val="99"/>
    <w:unhideWhenUsed/>
    <w:rsid w:val="00C85640"/>
    <w:pPr>
      <w:ind w:left="720" w:hanging="360"/>
      <w:contextualSpacing/>
    </w:pPr>
  </w:style>
  <w:style w:type="paragraph" w:styleId="List3">
    <w:name w:val="List 3"/>
    <w:basedOn w:val="Normal"/>
    <w:uiPriority w:val="99"/>
    <w:unhideWhenUsed/>
    <w:rsid w:val="00C85640"/>
    <w:pPr>
      <w:ind w:left="1080" w:hanging="360"/>
      <w:contextualSpacing/>
    </w:pPr>
  </w:style>
  <w:style w:type="paragraph" w:styleId="ListBullet">
    <w:name w:val="List Bullet"/>
    <w:basedOn w:val="Normal"/>
    <w:uiPriority w:val="99"/>
    <w:unhideWhenUsed/>
    <w:rsid w:val="00C85640"/>
    <w:pPr>
      <w:numPr>
        <w:numId w:val="1"/>
      </w:numPr>
      <w:contextualSpacing/>
    </w:pPr>
  </w:style>
  <w:style w:type="paragraph" w:styleId="ListBullet2">
    <w:name w:val="List Bullet 2"/>
    <w:basedOn w:val="Normal"/>
    <w:uiPriority w:val="99"/>
    <w:unhideWhenUsed/>
    <w:rsid w:val="00C85640"/>
    <w:pPr>
      <w:numPr>
        <w:numId w:val="2"/>
      </w:numPr>
      <w:contextualSpacing/>
    </w:pPr>
  </w:style>
  <w:style w:type="paragraph" w:styleId="ListBullet3">
    <w:name w:val="List Bullet 3"/>
    <w:basedOn w:val="Normal"/>
    <w:uiPriority w:val="99"/>
    <w:unhideWhenUsed/>
    <w:rsid w:val="00C85640"/>
    <w:pPr>
      <w:numPr>
        <w:numId w:val="3"/>
      </w:numPr>
      <w:contextualSpacing/>
    </w:pPr>
  </w:style>
  <w:style w:type="paragraph" w:styleId="ListNumber">
    <w:name w:val="List Number"/>
    <w:basedOn w:val="Normal"/>
    <w:uiPriority w:val="99"/>
    <w:unhideWhenUsed/>
    <w:rsid w:val="00C85640"/>
    <w:pPr>
      <w:numPr>
        <w:numId w:val="5"/>
      </w:numPr>
      <w:contextualSpacing/>
    </w:pPr>
  </w:style>
  <w:style w:type="paragraph" w:styleId="ListNumber2">
    <w:name w:val="List Number 2"/>
    <w:basedOn w:val="Normal"/>
    <w:uiPriority w:val="99"/>
    <w:unhideWhenUsed/>
    <w:rsid w:val="00C85640"/>
    <w:pPr>
      <w:numPr>
        <w:numId w:val="6"/>
      </w:numPr>
      <w:contextualSpacing/>
    </w:pPr>
  </w:style>
  <w:style w:type="paragraph" w:styleId="ListNumber3">
    <w:name w:val="List Number 3"/>
    <w:basedOn w:val="Normal"/>
    <w:uiPriority w:val="99"/>
    <w:unhideWhenUsed/>
    <w:rsid w:val="00C85640"/>
    <w:pPr>
      <w:numPr>
        <w:numId w:val="7"/>
      </w:numPr>
      <w:contextualSpacing/>
    </w:pPr>
  </w:style>
  <w:style w:type="paragraph" w:styleId="ListContinue">
    <w:name w:val="List Continue"/>
    <w:basedOn w:val="Normal"/>
    <w:uiPriority w:val="99"/>
    <w:unhideWhenUsed/>
    <w:rsid w:val="00C85640"/>
    <w:pPr>
      <w:spacing w:after="120"/>
      <w:ind w:left="360"/>
      <w:contextualSpacing/>
    </w:pPr>
  </w:style>
  <w:style w:type="paragraph" w:styleId="ListContinue2">
    <w:name w:val="List Continue 2"/>
    <w:basedOn w:val="Normal"/>
    <w:uiPriority w:val="99"/>
    <w:unhideWhenUsed/>
    <w:rsid w:val="00C85640"/>
    <w:pPr>
      <w:spacing w:after="120"/>
      <w:ind w:left="720"/>
      <w:contextualSpacing/>
    </w:pPr>
  </w:style>
  <w:style w:type="paragraph" w:styleId="ListContinue3">
    <w:name w:val="List Continue 3"/>
    <w:basedOn w:val="Normal"/>
    <w:uiPriority w:val="99"/>
    <w:unhideWhenUsed/>
    <w:rsid w:val="00C85640"/>
    <w:pPr>
      <w:spacing w:after="120"/>
      <w:ind w:left="1080"/>
      <w:contextualSpacing/>
    </w:pPr>
  </w:style>
  <w:style w:type="paragraph" w:styleId="MacroText">
    <w:name w:val="macro"/>
    <w:link w:val="MacroTextChar"/>
    <w:uiPriority w:val="99"/>
    <w:unhideWhenUsed/>
    <w:rsid w:val="00C85640"/>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rPr>
  </w:style>
  <w:style w:type="character" w:customStyle="1" w:styleId="MacroTextChar">
    <w:name w:val="Macro Text Char"/>
    <w:basedOn w:val="DefaultParagraphFont"/>
    <w:link w:val="MacroText"/>
    <w:uiPriority w:val="99"/>
    <w:rsid w:val="00C85640"/>
    <w:rPr>
      <w:rFonts w:ascii="Courier" w:eastAsiaTheme="minorEastAsia" w:hAnsi="Courier"/>
      <w:sz w:val="20"/>
      <w:szCs w:val="20"/>
    </w:rPr>
  </w:style>
  <w:style w:type="paragraph" w:styleId="Quote">
    <w:name w:val="Quote"/>
    <w:basedOn w:val="Normal"/>
    <w:next w:val="Normal"/>
    <w:link w:val="QuoteChar"/>
    <w:uiPriority w:val="29"/>
    <w:qFormat/>
    <w:rsid w:val="00C85640"/>
    <w:rPr>
      <w:i/>
      <w:iCs/>
      <w:color w:val="000000" w:themeColor="text1"/>
    </w:rPr>
  </w:style>
  <w:style w:type="character" w:customStyle="1" w:styleId="QuoteChar">
    <w:name w:val="Quote Char"/>
    <w:basedOn w:val="DefaultParagraphFont"/>
    <w:link w:val="Quote"/>
    <w:uiPriority w:val="29"/>
    <w:rsid w:val="00C85640"/>
    <w:rPr>
      <w:rFonts w:ascii="Calibri" w:eastAsiaTheme="minorEastAsia" w:hAnsi="Calibri"/>
      <w:i/>
      <w:iCs/>
      <w:color w:val="000000" w:themeColor="text1"/>
    </w:rPr>
  </w:style>
  <w:style w:type="paragraph" w:styleId="Caption">
    <w:name w:val="caption"/>
    <w:basedOn w:val="Normal"/>
    <w:next w:val="Normal"/>
    <w:uiPriority w:val="35"/>
    <w:semiHidden/>
    <w:unhideWhenUsed/>
    <w:qFormat/>
    <w:rsid w:val="00C85640"/>
    <w:pPr>
      <w:keepNext/>
      <w:spacing w:before="100" w:after="80" w:line="240" w:lineRule="auto"/>
    </w:pPr>
    <w:rPr>
      <w:b/>
      <w:bCs/>
      <w:color w:val="5B6573"/>
      <w:sz w:val="18"/>
      <w:szCs w:val="18"/>
    </w:rPr>
  </w:style>
  <w:style w:type="character" w:styleId="Strong">
    <w:name w:val="Strong"/>
    <w:basedOn w:val="DefaultParagraphFont"/>
    <w:uiPriority w:val="22"/>
    <w:qFormat/>
    <w:rsid w:val="00C85640"/>
    <w:rPr>
      <w:b/>
      <w:bCs/>
    </w:rPr>
  </w:style>
  <w:style w:type="character" w:styleId="Emphasis">
    <w:name w:val="Emphasis"/>
    <w:basedOn w:val="DefaultParagraphFont"/>
    <w:uiPriority w:val="20"/>
    <w:qFormat/>
    <w:rsid w:val="00C85640"/>
    <w:rPr>
      <w:i/>
      <w:iCs/>
    </w:rPr>
  </w:style>
  <w:style w:type="paragraph" w:styleId="IntenseQuote">
    <w:name w:val="Intense Quote"/>
    <w:basedOn w:val="Normal"/>
    <w:next w:val="Normal"/>
    <w:link w:val="IntenseQuoteChar"/>
    <w:uiPriority w:val="30"/>
    <w:qFormat/>
    <w:rsid w:val="00C85640"/>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C85640"/>
    <w:rPr>
      <w:rFonts w:ascii="Calibri" w:eastAsiaTheme="minorEastAsia" w:hAnsi="Calibri"/>
      <w:b/>
      <w:bCs/>
      <w:i/>
      <w:iCs/>
      <w:color w:val="4472C4" w:themeColor="accent1"/>
    </w:rPr>
  </w:style>
  <w:style w:type="character" w:styleId="SubtleEmphasis">
    <w:name w:val="Subtle Emphasis"/>
    <w:basedOn w:val="DefaultParagraphFont"/>
    <w:uiPriority w:val="19"/>
    <w:qFormat/>
    <w:rsid w:val="00C85640"/>
    <w:rPr>
      <w:i/>
      <w:iCs/>
      <w:color w:val="808080" w:themeColor="text1" w:themeTint="7F"/>
    </w:rPr>
  </w:style>
  <w:style w:type="character" w:styleId="IntenseEmphasis">
    <w:name w:val="Intense Emphasis"/>
    <w:basedOn w:val="DefaultParagraphFont"/>
    <w:uiPriority w:val="21"/>
    <w:qFormat/>
    <w:rsid w:val="00C85640"/>
    <w:rPr>
      <w:b/>
      <w:bCs/>
      <w:i/>
      <w:iCs/>
      <w:color w:val="4472C4" w:themeColor="accent1"/>
    </w:rPr>
  </w:style>
  <w:style w:type="character" w:styleId="SubtleReference">
    <w:name w:val="Subtle Reference"/>
    <w:basedOn w:val="DefaultParagraphFont"/>
    <w:uiPriority w:val="31"/>
    <w:qFormat/>
    <w:rsid w:val="00C85640"/>
    <w:rPr>
      <w:smallCaps/>
      <w:color w:val="ED7D31" w:themeColor="accent2"/>
      <w:u w:val="single"/>
    </w:rPr>
  </w:style>
  <w:style w:type="character" w:styleId="IntenseReference">
    <w:name w:val="Intense Reference"/>
    <w:basedOn w:val="DefaultParagraphFont"/>
    <w:uiPriority w:val="32"/>
    <w:qFormat/>
    <w:rsid w:val="00C85640"/>
    <w:rPr>
      <w:b/>
      <w:bCs/>
      <w:smallCaps/>
      <w:color w:val="ED7D31" w:themeColor="accent2"/>
      <w:spacing w:val="5"/>
      <w:u w:val="single"/>
    </w:rPr>
  </w:style>
  <w:style w:type="character" w:styleId="BookTitle">
    <w:name w:val="Book Title"/>
    <w:basedOn w:val="DefaultParagraphFont"/>
    <w:uiPriority w:val="33"/>
    <w:qFormat/>
    <w:rsid w:val="00C85640"/>
    <w:rPr>
      <w:b/>
      <w:bCs/>
      <w:smallCaps/>
      <w:spacing w:val="5"/>
    </w:rPr>
  </w:style>
  <w:style w:type="table" w:styleId="TableGrid">
    <w:name w:val="Table Grid"/>
    <w:basedOn w:val="TableNormal"/>
    <w:uiPriority w:val="59"/>
    <w:rsid w:val="00C85640"/>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C85640"/>
    <w:pPr>
      <w:spacing w:after="0" w:line="240" w:lineRule="auto"/>
    </w:pPr>
    <w:rPr>
      <w:rFonts w:eastAsiaTheme="minorEastAsia"/>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C85640"/>
    <w:pPr>
      <w:spacing w:after="0" w:line="240" w:lineRule="auto"/>
    </w:pPr>
    <w:rPr>
      <w:rFonts w:eastAsiaTheme="minorEastAsia"/>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C85640"/>
    <w:pPr>
      <w:spacing w:after="0" w:line="240" w:lineRule="auto"/>
    </w:pPr>
    <w:rPr>
      <w:rFonts w:eastAsiaTheme="minorEastAsia"/>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C85640"/>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C85640"/>
    <w:pPr>
      <w:spacing w:after="0" w:line="240" w:lineRule="auto"/>
    </w:pPr>
    <w:rPr>
      <w:rFonts w:eastAsiaTheme="minorEastAsia"/>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C85640"/>
    <w:pPr>
      <w:spacing w:after="0" w:line="240" w:lineRule="auto"/>
    </w:pPr>
    <w:rPr>
      <w:rFonts w:eastAsiaTheme="minorEastAsia"/>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C85640"/>
    <w:pPr>
      <w:spacing w:after="0" w:line="240" w:lineRule="auto"/>
    </w:pPr>
    <w:rPr>
      <w:rFonts w:eastAsiaTheme="minorEastAsia"/>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C85640"/>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C85640"/>
    <w:pPr>
      <w:spacing w:after="0" w:line="240" w:lineRule="auto"/>
    </w:pPr>
    <w:rPr>
      <w:rFonts w:eastAsiaTheme="minorEastAsi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C85640"/>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C85640"/>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C85640"/>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C85640"/>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C85640"/>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C85640"/>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85640"/>
    <w:pPr>
      <w:spacing w:after="0" w:line="240" w:lineRule="auto"/>
    </w:pPr>
    <w:rPr>
      <w:rFonts w:eastAsiaTheme="minorEastAsi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C85640"/>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C85640"/>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C85640"/>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C85640"/>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C85640"/>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C85640"/>
    <w:pPr>
      <w:spacing w:after="0" w:line="240" w:lineRule="auto"/>
    </w:pPr>
    <w:rPr>
      <w:rFonts w:eastAsiaTheme="minorEastAsi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85640"/>
    <w:pPr>
      <w:spacing w:after="0" w:line="240" w:lineRule="auto"/>
    </w:pPr>
    <w:rPr>
      <w:rFonts w:eastAsiaTheme="minorEastAsi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85640"/>
    <w:pPr>
      <w:spacing w:after="0" w:line="240" w:lineRule="auto"/>
    </w:pPr>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85640"/>
    <w:pPr>
      <w:spacing w:after="0" w:line="240" w:lineRule="auto"/>
    </w:pPr>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85640"/>
    <w:pPr>
      <w:spacing w:after="0" w:line="240" w:lineRule="auto"/>
    </w:pPr>
    <w:rPr>
      <w:rFonts w:eastAsiaTheme="minorEastAsi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85640"/>
    <w:pPr>
      <w:spacing w:after="0" w:line="240" w:lineRule="auto"/>
    </w:pPr>
    <w:rPr>
      <w:rFonts w:eastAsiaTheme="minorEastAsi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85640"/>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85640"/>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C85640"/>
    <w:pPr>
      <w:spacing w:after="0" w:line="240" w:lineRule="auto"/>
    </w:pPr>
    <w:rPr>
      <w:rFonts w:eastAsiaTheme="minorEastAsia"/>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85640"/>
    <w:pPr>
      <w:spacing w:after="0" w:line="240" w:lineRule="auto"/>
    </w:pPr>
    <w:rPr>
      <w:rFonts w:eastAsiaTheme="minorEastAsi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85640"/>
    <w:pPr>
      <w:spacing w:after="0" w:line="240" w:lineRule="auto"/>
    </w:pPr>
    <w:rPr>
      <w:rFonts w:eastAsiaTheme="minorEastAsi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C85640"/>
    <w:pPr>
      <w:spacing w:after="0" w:line="240" w:lineRule="auto"/>
    </w:pPr>
    <w:rPr>
      <w:rFonts w:eastAsiaTheme="minorEastAsi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C85640"/>
    <w:pPr>
      <w:spacing w:after="0" w:line="240" w:lineRule="auto"/>
    </w:pPr>
    <w:rPr>
      <w:rFonts w:eastAsiaTheme="minorEastAsi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C85640"/>
    <w:pPr>
      <w:spacing w:after="0" w:line="240" w:lineRule="auto"/>
    </w:pPr>
    <w:rPr>
      <w:rFonts w:eastAsiaTheme="minorEastAsi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C85640"/>
    <w:pPr>
      <w:spacing w:after="0" w:line="240" w:lineRule="auto"/>
    </w:pPr>
    <w:rPr>
      <w:rFonts w:eastAsiaTheme="minorEastAsi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C85640"/>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8564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C85640"/>
    <w:pPr>
      <w:spacing w:after="0" w:line="240" w:lineRule="auto"/>
    </w:pPr>
    <w:rPr>
      <w:rFonts w:eastAsiaTheme="minorEastAsi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C85640"/>
    <w:pPr>
      <w:spacing w:after="0" w:line="240" w:lineRule="auto"/>
    </w:pPr>
    <w:rPr>
      <w:rFonts w:eastAsiaTheme="minorEastAsia"/>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85640"/>
    <w:pPr>
      <w:spacing w:after="0" w:line="240" w:lineRule="auto"/>
    </w:pPr>
    <w:rPr>
      <w:rFonts w:eastAsiaTheme="minorEastAsia"/>
      <w:color w:val="000000" w:themeColor="text1"/>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C85640"/>
    <w:pPr>
      <w:spacing w:after="0" w:line="240" w:lineRule="auto"/>
    </w:pPr>
    <w:rPr>
      <w:rFonts w:eastAsiaTheme="minorEastAsia"/>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C85640"/>
    <w:pPr>
      <w:spacing w:after="0" w:line="240" w:lineRule="auto"/>
    </w:pPr>
    <w:rPr>
      <w:rFonts w:eastAsiaTheme="minorEastAsia"/>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customStyle="1" w:styleId="ReferenceEntry">
    <w:name w:val="Reference Entry"/>
    <w:rsid w:val="00C85640"/>
    <w:pPr>
      <w:spacing w:after="100" w:line="240" w:lineRule="auto"/>
      <w:ind w:left="403" w:hanging="403"/>
    </w:pPr>
    <w:rPr>
      <w:rFonts w:ascii="Calibri" w:eastAsiaTheme="minorEastAsia" w:hAnsi="Calibr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ritish-business-bank.co.uk/about/research-and-publications/small-business-finance-markets-report-2025" TargetMode="External"/><Relationship Id="rId21" Type="http://schemas.openxmlformats.org/officeDocument/2006/relationships/hyperlink" Target="https://doi.org/10.1007/s11187-011-9317-8" TargetMode="External"/><Relationship Id="rId42" Type="http://schemas.openxmlformats.org/officeDocument/2006/relationships/hyperlink" Target="https://doi.org/10.1108/17439130710738718" TargetMode="External"/><Relationship Id="rId47" Type="http://schemas.openxmlformats.org/officeDocument/2006/relationships/hyperlink" Target="https://www.ifrs.org/issued-standards/list-of-standards/conceptual-framework/" TargetMode="External"/><Relationship Id="rId63" Type="http://schemas.openxmlformats.org/officeDocument/2006/relationships/hyperlink" Target="https://doi.org/10.2307/2672906" TargetMode="External"/><Relationship Id="rId68" Type="http://schemas.openxmlformats.org/officeDocument/2006/relationships/hyperlink" Target="https://doi.org/10.1016/j.gfj.2019.100504" TargetMode="External"/><Relationship Id="rId16" Type="http://schemas.openxmlformats.org/officeDocument/2006/relationships/hyperlink" Target="https://www.astrazeneca.com/content/dam/az/PDF/2025/Q4-FY/Full-year-Q4-2025-results-announcement.pdf" TargetMode="External"/><Relationship Id="rId11" Type="http://schemas.openxmlformats.org/officeDocument/2006/relationships/hyperlink" Target="https://doi.org/10.1111/j.1540-6261.1968.tb00843.x" TargetMode="External"/><Relationship Id="rId24" Type="http://schemas.openxmlformats.org/officeDocument/2006/relationships/hyperlink" Target="https://doi.org/10.1016/j.jbusres.2019.09.025" TargetMode="External"/><Relationship Id="rId32" Type="http://schemas.openxmlformats.org/officeDocument/2006/relationships/hyperlink" Target="https://doi.org/10.1016/j.eswa.2013.01.012" TargetMode="External"/><Relationship Id="rId37" Type="http://schemas.openxmlformats.org/officeDocument/2006/relationships/hyperlink" Target="https://www.cengageasia.com/title/default/detail?isbn=9781473773615" TargetMode="External"/><Relationship Id="rId40" Type="http://schemas.openxmlformats.org/officeDocument/2006/relationships/hyperlink" Target="https://www.frc.org.uk/library/standards-codes-policy/corporate-governance/uk-corporate-governance-code/" TargetMode="External"/><Relationship Id="rId45" Type="http://schemas.openxmlformats.org/officeDocument/2006/relationships/hyperlink" Target="https://doi.org/10.1007/978-3-662-45851-8" TargetMode="External"/><Relationship Id="rId53" Type="http://schemas.openxmlformats.org/officeDocument/2006/relationships/hyperlink" Target="https://www.jstor.org/stable/1818789" TargetMode="External"/><Relationship Id="rId58" Type="http://schemas.openxmlformats.org/officeDocument/2006/relationships/hyperlink" Target="https://doi.org/10.1016/0304-405X(84)90023-0" TargetMode="External"/><Relationship Id="rId66" Type="http://schemas.openxmlformats.org/officeDocument/2006/relationships/hyperlink" Target="https://doi.org/10.1016/S0925-5273(02)00379-1" TargetMode="External"/><Relationship Id="rId74" Type="http://schemas.openxmlformats.org/officeDocument/2006/relationships/image" Target="media/image5.png"/><Relationship Id="rId5" Type="http://schemas.openxmlformats.org/officeDocument/2006/relationships/footnotes" Target="footnotes.xml"/><Relationship Id="rId61" Type="http://schemas.openxmlformats.org/officeDocument/2006/relationships/hyperlink" Target="https://www.cengage.uk/c/business-analysis-and-valuation-ifrs-edition-5e-palepu-healy-peek/9781473779075/" TargetMode="External"/><Relationship Id="rId19" Type="http://schemas.openxmlformats.org/officeDocument/2006/relationships/hyperlink" Target="https://doi.org/10.1016/j.bar.2005.09.001" TargetMode="External"/><Relationship Id="rId14" Type="http://schemas.openxmlformats.org/officeDocument/2006/relationships/hyperlink" Target="https://www.astrazeneca.com/content/dam/az/Investor_Relations/annual-report-2024/pdf/AstraZeneca_AR_2024_Financial_Statements.pdf" TargetMode="External"/><Relationship Id="rId22" Type="http://schemas.openxmlformats.org/officeDocument/2006/relationships/hyperlink" Target="https://doi.org/10.1108/00251741011022590" TargetMode="External"/><Relationship Id="rId27" Type="http://schemas.openxmlformats.org/officeDocument/2006/relationships/hyperlink" Target="https://www.british-business-bank.co.uk/about/research-and-publications/small-business-finance-markets-report-2026" TargetMode="External"/><Relationship Id="rId30" Type="http://schemas.openxmlformats.org/officeDocument/2006/relationships/hyperlink" Target="https://doi.org/10.3390/jrfm18060297" TargetMode="External"/><Relationship Id="rId35" Type="http://schemas.openxmlformats.org/officeDocument/2006/relationships/hyperlink" Target="https://www.gov.uk/guidance/growth-guarantee-scheme" TargetMode="External"/><Relationship Id="rId43" Type="http://schemas.openxmlformats.org/officeDocument/2006/relationships/hyperlink" Target="https://doi.org/10.1016/S0304-405X(01)00044-7" TargetMode="External"/><Relationship Id="rId48" Type="http://schemas.openxmlformats.org/officeDocument/2006/relationships/hyperlink" Target="https://www.ifrs.org/issued-standards/list-of-standards/ias-33-earnings-per-share/" TargetMode="External"/><Relationship Id="rId56" Type="http://schemas.openxmlformats.org/officeDocument/2006/relationships/hyperlink" Target="https://doi.org/10.2307/1809766" TargetMode="External"/><Relationship Id="rId64" Type="http://schemas.openxmlformats.org/officeDocument/2006/relationships/hyperlink" Target="https://doi.org/10.1080/23322039.2024.2404707" TargetMode="External"/><Relationship Id="rId69" Type="http://schemas.openxmlformats.org/officeDocument/2006/relationships/hyperlink" Target="https://www.mheducation.com/highered/product/financial-statement-analysis-subramanyam.html" TargetMode="External"/><Relationship Id="rId77"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ifrs.org/issued-standards/list-of-standards/ias-1-presentation-of-financial-statements/" TargetMode="External"/><Relationship Id="rId72"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doi.org/10.3390/jrfm14010009" TargetMode="External"/><Relationship Id="rId17" Type="http://schemas.openxmlformats.org/officeDocument/2006/relationships/hyperlink" Target="https://www.pearson.com/se/Nordics-Higher-Education/subject-catalogue/finance/Atrill-Financial-Management-for-Decision-Makers-9th-edition.html" TargetMode="External"/><Relationship Id="rId25" Type="http://schemas.openxmlformats.org/officeDocument/2006/relationships/hyperlink" Target="https://www.mheducation.com/highered/product/principles-of-corporate-finance-brealey.html" TargetMode="External"/><Relationship Id="rId33" Type="http://schemas.openxmlformats.org/officeDocument/2006/relationships/hyperlink" Target="https://doi.org/10.1111/1468-5957.00008" TargetMode="External"/><Relationship Id="rId38" Type="http://schemas.openxmlformats.org/officeDocument/2006/relationships/hyperlink" Target="https://doi.org/10.1016/j.ribaf.2014.03.005" TargetMode="External"/><Relationship Id="rId46" Type="http://schemas.openxmlformats.org/officeDocument/2006/relationships/hyperlink" Target="https://www.gov.uk/government/publications/the-green-book-appraisal-and-evaluation-in-central-government" TargetMode="External"/><Relationship Id="rId59" Type="http://schemas.openxmlformats.org/officeDocument/2006/relationships/hyperlink" Target="https://doi.org/10.1023/A:1011338221623" TargetMode="External"/><Relationship Id="rId67" Type="http://schemas.openxmlformats.org/officeDocument/2006/relationships/hyperlink" Target="https://doi.org/10.1016/0304-405X(95)00830-8" TargetMode="External"/><Relationship Id="rId20" Type="http://schemas.openxmlformats.org/officeDocument/2006/relationships/hyperlink" Target="https://doi.org/10.1111/j.1468-5957.1987.tb00106.x" TargetMode="External"/><Relationship Id="rId41" Type="http://schemas.openxmlformats.org/officeDocument/2006/relationships/hyperlink" Target="https://doi.org/10.1111/j.1755-053X.2009.01026.x" TargetMode="External"/><Relationship Id="rId54" Type="http://schemas.openxmlformats.org/officeDocument/2006/relationships/hyperlink" Target="https://doi.org/10.1108/MF-05-2020-0238" TargetMode="External"/><Relationship Id="rId62" Type="http://schemas.openxmlformats.org/officeDocument/2006/relationships/hyperlink" Target="https://www.mheducation.com/highered/product/financial-statement-analysis-security-valuation-penman.html" TargetMode="External"/><Relationship Id="rId70" Type="http://schemas.openxmlformats.org/officeDocument/2006/relationships/hyperlink" Target="https://doi.org/10.2307/3665939" TargetMode="External"/><Relationship Id="rId75"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strazeneca.com/content/dam/az/Investor_Relations/annual-report-2025/pdf/AstraZeneca_AR_2025_Financial_Statements.pdf" TargetMode="External"/><Relationship Id="rId23" Type="http://schemas.openxmlformats.org/officeDocument/2006/relationships/hyperlink" Target="https://doi.org/10.1016/S0378-4266(98)00038-7" TargetMode="External"/><Relationship Id="rId28" Type="http://schemas.openxmlformats.org/officeDocument/2006/relationships/hyperlink" Target="https://doi.org/10.1016/S0883-9026(03)00029-6" TargetMode="External"/><Relationship Id="rId36" Type="http://schemas.openxmlformats.org/officeDocument/2006/relationships/hyperlink" Target="https://doi.org/10.1108/00251749710160223" TargetMode="External"/><Relationship Id="rId49" Type="http://schemas.openxmlformats.org/officeDocument/2006/relationships/hyperlink" Target="https://www.ifrs.org/issued-standards/list-of-standards/ifrs-16-leases/" TargetMode="External"/><Relationship Id="rId57" Type="http://schemas.openxmlformats.org/officeDocument/2006/relationships/hyperlink" Target="https://doi.org/10.1111/j.1540-6261.1984.tb03646.x" TargetMode="External"/><Relationship Id="rId10" Type="http://schemas.openxmlformats.org/officeDocument/2006/relationships/hyperlink" Target="https://doi.org/10.1108/JMB-08-2021-0032" TargetMode="External"/><Relationship Id="rId31" Type="http://schemas.openxmlformats.org/officeDocument/2006/relationships/hyperlink" Target="https://doi.org/10.1016/j.brq.2014.08.002" TargetMode="External"/><Relationship Id="rId44" Type="http://schemas.openxmlformats.org/officeDocument/2006/relationships/hyperlink" Target="https://doi.org/10.1111/0022-1082.55404" TargetMode="External"/><Relationship Id="rId52" Type="http://schemas.openxmlformats.org/officeDocument/2006/relationships/hyperlink" Target="https://www.ifrs.org/issued-standards/list-of-standards/ias-7-statement-of-cash-flows/" TargetMode="External"/><Relationship Id="rId60" Type="http://schemas.openxmlformats.org/officeDocument/2006/relationships/hyperlink" Target="https://doi.org/10.1787/fa521246-en" TargetMode="External"/><Relationship Id="rId65" Type="http://schemas.openxmlformats.org/officeDocument/2006/relationships/hyperlink" Target="https://www.mheducation.com/highered/product/corporate-finance-ross.html" TargetMode="External"/><Relationship Id="rId73" Type="http://schemas.openxmlformats.org/officeDocument/2006/relationships/image" Target="media/image4.pn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jcorpfin.2014.12.008" TargetMode="External"/><Relationship Id="rId13" Type="http://schemas.openxmlformats.org/officeDocument/2006/relationships/hyperlink" Target="https://www.pearson.com/en-gb/subject-catalog/p/corporate-financial-management/P200000006284" TargetMode="External"/><Relationship Id="rId18" Type="http://schemas.openxmlformats.org/officeDocument/2006/relationships/hyperlink" Target="https://www.pearson.com/nl/en_NL/higher-education/subject-catalogue/accounting-and-taxation/Atrill-McClaney-Financial-Accounting-and-finance-for-non-specialists-12e.html" TargetMode="External"/><Relationship Id="rId39" Type="http://schemas.openxmlformats.org/officeDocument/2006/relationships/hyperlink" Target="https://doi.org/10.1023/A:1012430513430" TargetMode="External"/><Relationship Id="rId34" Type="http://schemas.openxmlformats.org/officeDocument/2006/relationships/hyperlink" Target="https://doi.org/10.3390/risks10120236" TargetMode="External"/><Relationship Id="rId50" Type="http://schemas.openxmlformats.org/officeDocument/2006/relationships/hyperlink" Target="https://www.ifrs.org/issued-standards/list-of-standards/ifrs-9-financial-instruments/" TargetMode="External"/><Relationship Id="rId55" Type="http://schemas.openxmlformats.org/officeDocument/2006/relationships/hyperlink" Target="https://www.londonstockexchange.com/indices/ftse-100/constituents/table" TargetMode="External"/><Relationship Id="rId76"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doi.org/10.1016/j.mar.2005.07.002" TargetMode="External"/><Relationship Id="rId2" Type="http://schemas.openxmlformats.org/officeDocument/2006/relationships/styles" Target="styles.xml"/><Relationship Id="rId29" Type="http://schemas.openxmlformats.org/officeDocument/2006/relationships/hyperlink" Target="https://doi.org/10.1016/j.jfs.2009.05.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22</Pages>
  <Words>8915</Words>
  <Characters>50817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Shahed Rayhan</dc:creator>
  <cp:keywords/>
  <dc:description/>
  <cp:lastModifiedBy>Shahed Rayhan</cp:lastModifiedBy>
  <cp:revision>5</cp:revision>
  <dcterms:created xsi:type="dcterms:W3CDTF">2026-10-22T19:50:00Z</dcterms:created>
  <dcterms:modified xsi:type="dcterms:W3CDTF">2026-10-23T08:23:00Z</dcterms:modified>
</cp:coreProperties>
</file>