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822C79" w14:textId="77777777" w:rsidR="00474395" w:rsidRDefault="00474395" w:rsidP="00474395">
      <w:pPr>
        <w:jc w:val="center"/>
        <w:rPr>
          <w:rFonts w:ascii="Arial" w:hAnsi="Arial"/>
          <w:b/>
          <w:bCs/>
          <w:sz w:val="52"/>
          <w:szCs w:val="52"/>
        </w:rPr>
      </w:pPr>
    </w:p>
    <w:p w14:paraId="0F481FD2" w14:textId="77777777" w:rsidR="00474395" w:rsidRDefault="00474395" w:rsidP="00474395">
      <w:pPr>
        <w:jc w:val="center"/>
        <w:rPr>
          <w:rFonts w:ascii="Arial" w:hAnsi="Arial"/>
          <w:b/>
          <w:bCs/>
          <w:sz w:val="52"/>
          <w:szCs w:val="52"/>
        </w:rPr>
      </w:pPr>
    </w:p>
    <w:p w14:paraId="301798A0" w14:textId="38F0F733" w:rsidR="00474395" w:rsidRPr="00B554E3" w:rsidRDefault="00474395" w:rsidP="00474395">
      <w:pPr>
        <w:jc w:val="center"/>
        <w:rPr>
          <w:rFonts w:ascii="Arial" w:hAnsi="Arial"/>
          <w:b/>
          <w:bCs/>
          <w:sz w:val="52"/>
          <w:szCs w:val="52"/>
        </w:rPr>
      </w:pPr>
      <w:r w:rsidRPr="00B554E3">
        <w:rPr>
          <w:rFonts w:ascii="Arial" w:hAnsi="Arial"/>
          <w:b/>
          <w:bCs/>
          <w:sz w:val="52"/>
          <w:szCs w:val="52"/>
        </w:rPr>
        <w:t>Assignment 1</w:t>
      </w:r>
    </w:p>
    <w:p w14:paraId="0180D87D" w14:textId="77777777" w:rsidR="00474395" w:rsidRPr="00B554E3" w:rsidRDefault="00474395" w:rsidP="00474395">
      <w:pPr>
        <w:rPr>
          <w:rFonts w:ascii="Arial" w:hAnsi="Arial"/>
          <w:b/>
          <w:bCs/>
          <w:sz w:val="52"/>
          <w:szCs w:val="52"/>
          <w:lang w:val="fr-FR"/>
        </w:rPr>
      </w:pPr>
      <w:r w:rsidRPr="00B554E3">
        <w:rPr>
          <w:rFonts w:ascii="Arial" w:hAnsi="Arial"/>
          <w:b/>
          <w:bCs/>
          <w:sz w:val="52"/>
          <w:szCs w:val="52"/>
          <w:lang w:val="fr-FR"/>
        </w:rPr>
        <w:t>International Financial Management</w:t>
      </w:r>
    </w:p>
    <w:p w14:paraId="46FDE550" w14:textId="7DA1816F" w:rsidR="00474395" w:rsidRPr="00B554E3" w:rsidRDefault="00474395" w:rsidP="00474395">
      <w:pPr>
        <w:jc w:val="center"/>
        <w:rPr>
          <w:rFonts w:ascii="Arial" w:hAnsi="Arial"/>
          <w:sz w:val="44"/>
          <w:szCs w:val="44"/>
          <w:lang w:val="fr-FR"/>
        </w:rPr>
      </w:pPr>
      <w:r>
        <w:rPr>
          <w:rFonts w:ascii="Arial" w:hAnsi="Arial"/>
          <w:sz w:val="44"/>
          <w:szCs w:val="44"/>
          <w:lang w:val="fr-FR"/>
        </w:rPr>
        <w:t>Report</w:t>
      </w:r>
    </w:p>
    <w:p w14:paraId="673AF0F6" w14:textId="77777777" w:rsidR="00474395" w:rsidRDefault="00474395" w:rsidP="00474395">
      <w:pPr>
        <w:rPr>
          <w:rFonts w:ascii="Arial" w:hAnsi="Arial"/>
          <w:sz w:val="44"/>
          <w:szCs w:val="44"/>
          <w:lang w:val="fr-FR"/>
        </w:rPr>
      </w:pPr>
    </w:p>
    <w:p w14:paraId="29C095DD" w14:textId="77777777" w:rsidR="00474395" w:rsidRDefault="00474395" w:rsidP="00474395">
      <w:pPr>
        <w:rPr>
          <w:rFonts w:ascii="Arial" w:hAnsi="Arial"/>
          <w:sz w:val="44"/>
          <w:szCs w:val="44"/>
          <w:lang w:val="fr-FR"/>
        </w:rPr>
      </w:pPr>
    </w:p>
    <w:p w14:paraId="6B77D893" w14:textId="77777777" w:rsidR="00474395" w:rsidRPr="00B554E3" w:rsidRDefault="00474395" w:rsidP="00474395">
      <w:pPr>
        <w:rPr>
          <w:rFonts w:ascii="Arial" w:hAnsi="Arial"/>
          <w:sz w:val="44"/>
          <w:szCs w:val="44"/>
          <w:lang w:val="fr-FR"/>
        </w:rPr>
      </w:pPr>
    </w:p>
    <w:p w14:paraId="3046C18C" w14:textId="37EF7689" w:rsidR="00474395" w:rsidRPr="00474395" w:rsidRDefault="00474395" w:rsidP="00474395">
      <w:pPr>
        <w:rPr>
          <w:rFonts w:cstheme="minorHAnsi"/>
          <w:b/>
          <w:bCs/>
          <w:sz w:val="40"/>
          <w:szCs w:val="40"/>
          <w:lang w:val="fr-FR"/>
        </w:rPr>
      </w:pPr>
      <w:r w:rsidRPr="00474395">
        <w:rPr>
          <w:rFonts w:cstheme="minorHAnsi"/>
          <w:b/>
          <w:bCs/>
          <w:sz w:val="40"/>
          <w:szCs w:val="40"/>
          <w:lang w:val="fr-FR"/>
        </w:rPr>
        <w:t>Module Name: International Financial Management</w:t>
      </w:r>
    </w:p>
    <w:p w14:paraId="257BDB26" w14:textId="77777777" w:rsidR="00474395" w:rsidRPr="00474395" w:rsidRDefault="00474395" w:rsidP="00474395">
      <w:pPr>
        <w:rPr>
          <w:rFonts w:cstheme="minorHAnsi"/>
          <w:b/>
          <w:bCs/>
          <w:sz w:val="40"/>
          <w:szCs w:val="40"/>
          <w:lang w:val="fr-FR"/>
        </w:rPr>
      </w:pPr>
      <w:r w:rsidRPr="00474395">
        <w:rPr>
          <w:rFonts w:cstheme="minorHAnsi"/>
          <w:b/>
          <w:bCs/>
          <w:sz w:val="40"/>
          <w:szCs w:val="40"/>
          <w:lang w:val="fr-FR"/>
        </w:rPr>
        <w:t>Module code: LCBB6002</w:t>
      </w:r>
    </w:p>
    <w:p w14:paraId="1B92F8A1" w14:textId="77777777" w:rsidR="00474395" w:rsidRPr="00B554E3" w:rsidRDefault="00474395" w:rsidP="00474395">
      <w:pPr>
        <w:rPr>
          <w:rFonts w:ascii="Arial" w:hAnsi="Arial"/>
          <w:b/>
          <w:bCs/>
          <w:sz w:val="40"/>
          <w:szCs w:val="40"/>
          <w:lang w:val="fr-FR"/>
        </w:rPr>
      </w:pPr>
    </w:p>
    <w:p w14:paraId="7058F853" w14:textId="77777777" w:rsidR="00474395" w:rsidRPr="00B554E3" w:rsidRDefault="00474395" w:rsidP="00474395">
      <w:pPr>
        <w:rPr>
          <w:rFonts w:ascii="Arial" w:hAnsi="Arial"/>
          <w:b/>
          <w:bCs/>
          <w:sz w:val="40"/>
          <w:szCs w:val="40"/>
          <w:lang w:val="fr-FR"/>
        </w:rPr>
      </w:pPr>
    </w:p>
    <w:p w14:paraId="203B7F11" w14:textId="77777777" w:rsidR="00474395" w:rsidRPr="00B554E3" w:rsidRDefault="00474395" w:rsidP="00474395">
      <w:pPr>
        <w:rPr>
          <w:rFonts w:ascii="Arial" w:hAnsi="Arial"/>
          <w:b/>
          <w:bCs/>
          <w:sz w:val="40"/>
          <w:szCs w:val="40"/>
          <w:lang w:val="fr-FR"/>
        </w:rPr>
      </w:pPr>
    </w:p>
    <w:p w14:paraId="730F3C6F" w14:textId="77777777" w:rsidR="00474395" w:rsidRPr="00B554E3" w:rsidRDefault="00474395" w:rsidP="00474395">
      <w:pPr>
        <w:rPr>
          <w:rFonts w:ascii="Arial" w:hAnsi="Arial"/>
          <w:b/>
          <w:bCs/>
          <w:sz w:val="40"/>
          <w:szCs w:val="40"/>
          <w:lang w:val="fr-FR"/>
        </w:rPr>
      </w:pPr>
    </w:p>
    <w:p w14:paraId="2A8E7439" w14:textId="77777777" w:rsidR="00474395" w:rsidRPr="00B554E3" w:rsidRDefault="00474395" w:rsidP="00474395">
      <w:pPr>
        <w:rPr>
          <w:rFonts w:ascii="Arial" w:hAnsi="Arial"/>
          <w:b/>
          <w:bCs/>
          <w:sz w:val="40"/>
          <w:szCs w:val="40"/>
          <w:lang w:val="fr-FR"/>
        </w:rPr>
      </w:pPr>
    </w:p>
    <w:p w14:paraId="360D78F6" w14:textId="7723B794" w:rsidR="00474395" w:rsidRPr="00B554E3" w:rsidRDefault="00474395" w:rsidP="00474395">
      <w:pPr>
        <w:jc w:val="right"/>
        <w:rPr>
          <w:rFonts w:ascii="Arial" w:hAnsi="Arial"/>
          <w:b/>
          <w:bCs/>
          <w:sz w:val="40"/>
          <w:szCs w:val="40"/>
          <w:lang w:val="fr-FR"/>
        </w:rPr>
      </w:pPr>
      <w:proofErr w:type="spellStart"/>
      <w:r w:rsidRPr="00B554E3">
        <w:rPr>
          <w:rFonts w:ascii="Arial" w:hAnsi="Arial"/>
          <w:b/>
          <w:bCs/>
          <w:sz w:val="40"/>
          <w:szCs w:val="40"/>
          <w:lang w:val="fr-FR"/>
        </w:rPr>
        <w:t>Student</w:t>
      </w:r>
      <w:proofErr w:type="spellEnd"/>
      <w:r w:rsidRPr="00B554E3">
        <w:rPr>
          <w:rFonts w:ascii="Arial" w:hAnsi="Arial"/>
          <w:b/>
          <w:bCs/>
          <w:sz w:val="40"/>
          <w:szCs w:val="40"/>
          <w:lang w:val="fr-FR"/>
        </w:rPr>
        <w:t xml:space="preserve">: </w:t>
      </w:r>
      <w:r>
        <w:rPr>
          <w:rFonts w:ascii="Arial" w:hAnsi="Arial"/>
          <w:b/>
          <w:bCs/>
          <w:sz w:val="40"/>
          <w:szCs w:val="40"/>
          <w:lang w:val="fr-FR"/>
        </w:rPr>
        <w:t>Mariana Larisa Neagoe</w:t>
      </w:r>
      <w:r w:rsidRPr="00B554E3">
        <w:rPr>
          <w:rFonts w:ascii="Arial" w:hAnsi="Arial"/>
          <w:b/>
          <w:bCs/>
          <w:sz w:val="40"/>
          <w:szCs w:val="40"/>
          <w:lang w:val="fr-FR"/>
        </w:rPr>
        <w:t xml:space="preserve"> (192188</w:t>
      </w:r>
      <w:r>
        <w:rPr>
          <w:rFonts w:ascii="Arial" w:hAnsi="Arial"/>
          <w:b/>
          <w:bCs/>
          <w:sz w:val="40"/>
          <w:szCs w:val="40"/>
          <w:lang w:val="fr-FR"/>
        </w:rPr>
        <w:t>5</w:t>
      </w:r>
      <w:r w:rsidRPr="00B554E3">
        <w:rPr>
          <w:rFonts w:ascii="Arial" w:hAnsi="Arial"/>
          <w:b/>
          <w:bCs/>
          <w:sz w:val="40"/>
          <w:szCs w:val="40"/>
          <w:lang w:val="fr-FR"/>
        </w:rPr>
        <w:t xml:space="preserve">) </w:t>
      </w:r>
    </w:p>
    <w:p w14:paraId="3DE64F6E" w14:textId="77777777" w:rsidR="00474395" w:rsidRDefault="00474395" w:rsidP="00474395">
      <w:pPr>
        <w:jc w:val="right"/>
        <w:rPr>
          <w:rFonts w:ascii="Arial" w:hAnsi="Arial"/>
          <w:b/>
          <w:bCs/>
          <w:sz w:val="40"/>
          <w:szCs w:val="40"/>
        </w:rPr>
      </w:pPr>
      <w:r w:rsidRPr="006274AA">
        <w:rPr>
          <w:rFonts w:ascii="Arial" w:hAnsi="Arial"/>
          <w:b/>
          <w:bCs/>
          <w:sz w:val="40"/>
          <w:szCs w:val="40"/>
        </w:rPr>
        <w:t xml:space="preserve">Lecturer: </w:t>
      </w:r>
      <w:r>
        <w:rPr>
          <w:rFonts w:ascii="Arial" w:hAnsi="Arial"/>
          <w:b/>
          <w:bCs/>
          <w:sz w:val="40"/>
          <w:szCs w:val="40"/>
        </w:rPr>
        <w:t>Dr.</w:t>
      </w:r>
      <w:r w:rsidRPr="006274AA">
        <w:rPr>
          <w:rFonts w:ascii="Arial" w:hAnsi="Arial"/>
          <w:b/>
          <w:bCs/>
          <w:sz w:val="40"/>
          <w:szCs w:val="40"/>
        </w:rPr>
        <w:t xml:space="preserve"> </w:t>
      </w:r>
      <w:r>
        <w:rPr>
          <w:rFonts w:ascii="Arial" w:hAnsi="Arial"/>
          <w:b/>
          <w:bCs/>
          <w:sz w:val="40"/>
          <w:szCs w:val="40"/>
        </w:rPr>
        <w:t>Thomas Adeyemi</w:t>
      </w:r>
    </w:p>
    <w:sdt>
      <w:sdtPr>
        <w:id w:val="459079710"/>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B7EAC3B" w14:textId="3F49CF9E" w:rsidR="00474395" w:rsidRDefault="00474395">
          <w:pPr>
            <w:pStyle w:val="TOCHeading"/>
          </w:pPr>
          <w:r>
            <w:t>Contents</w:t>
          </w:r>
        </w:p>
        <w:p w14:paraId="5B8DEB0D" w14:textId="1805F487" w:rsidR="001D06DA" w:rsidRDefault="0047439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62989177" w:history="1">
            <w:r w:rsidR="001D06DA" w:rsidRPr="00662146">
              <w:rPr>
                <w:rStyle w:val="Hyperlink"/>
                <w:rFonts w:eastAsia="Times New Roman"/>
                <w:noProof/>
              </w:rPr>
              <w:t>Introduction</w:t>
            </w:r>
            <w:r w:rsidR="001D06DA">
              <w:rPr>
                <w:noProof/>
                <w:webHidden/>
              </w:rPr>
              <w:tab/>
            </w:r>
            <w:r w:rsidR="001D06DA">
              <w:rPr>
                <w:noProof/>
                <w:webHidden/>
              </w:rPr>
              <w:fldChar w:fldCharType="begin"/>
            </w:r>
            <w:r w:rsidR="001D06DA">
              <w:rPr>
                <w:noProof/>
                <w:webHidden/>
              </w:rPr>
              <w:instrText xml:space="preserve"> PAGEREF _Toc162989177 \h </w:instrText>
            </w:r>
            <w:r w:rsidR="001D06DA">
              <w:rPr>
                <w:noProof/>
                <w:webHidden/>
              </w:rPr>
            </w:r>
            <w:r w:rsidR="001D06DA">
              <w:rPr>
                <w:noProof/>
                <w:webHidden/>
              </w:rPr>
              <w:fldChar w:fldCharType="separate"/>
            </w:r>
            <w:r w:rsidR="001D06DA">
              <w:rPr>
                <w:noProof/>
                <w:webHidden/>
              </w:rPr>
              <w:t>3</w:t>
            </w:r>
            <w:r w:rsidR="001D06DA">
              <w:rPr>
                <w:noProof/>
                <w:webHidden/>
              </w:rPr>
              <w:fldChar w:fldCharType="end"/>
            </w:r>
          </w:hyperlink>
        </w:p>
        <w:p w14:paraId="6E7F2F02" w14:textId="4AD8CBB4" w:rsidR="001D06DA" w:rsidRDefault="001D06DA">
          <w:pPr>
            <w:pStyle w:val="TOC1"/>
            <w:tabs>
              <w:tab w:val="right" w:leader="dot" w:pos="9350"/>
            </w:tabs>
            <w:rPr>
              <w:rFonts w:eastAsiaTheme="minorEastAsia"/>
              <w:noProof/>
            </w:rPr>
          </w:pPr>
          <w:hyperlink w:anchor="_Toc162989178" w:history="1">
            <w:r w:rsidRPr="00662146">
              <w:rPr>
                <w:rStyle w:val="Hyperlink"/>
                <w:rFonts w:eastAsia="Times New Roman"/>
                <w:noProof/>
              </w:rPr>
              <w:t>Theories and Models in International Financial Management</w:t>
            </w:r>
            <w:r>
              <w:rPr>
                <w:noProof/>
                <w:webHidden/>
              </w:rPr>
              <w:tab/>
            </w:r>
            <w:r>
              <w:rPr>
                <w:noProof/>
                <w:webHidden/>
              </w:rPr>
              <w:fldChar w:fldCharType="begin"/>
            </w:r>
            <w:r>
              <w:rPr>
                <w:noProof/>
                <w:webHidden/>
              </w:rPr>
              <w:instrText xml:space="preserve"> PAGEREF _Toc162989178 \h </w:instrText>
            </w:r>
            <w:r>
              <w:rPr>
                <w:noProof/>
                <w:webHidden/>
              </w:rPr>
            </w:r>
            <w:r>
              <w:rPr>
                <w:noProof/>
                <w:webHidden/>
              </w:rPr>
              <w:fldChar w:fldCharType="separate"/>
            </w:r>
            <w:r>
              <w:rPr>
                <w:noProof/>
                <w:webHidden/>
              </w:rPr>
              <w:t>4</w:t>
            </w:r>
            <w:r>
              <w:rPr>
                <w:noProof/>
                <w:webHidden/>
              </w:rPr>
              <w:fldChar w:fldCharType="end"/>
            </w:r>
          </w:hyperlink>
        </w:p>
        <w:p w14:paraId="203B3F0A" w14:textId="553F881B" w:rsidR="001D06DA" w:rsidRDefault="001D06DA">
          <w:pPr>
            <w:pStyle w:val="TOC1"/>
            <w:tabs>
              <w:tab w:val="right" w:leader="dot" w:pos="9350"/>
            </w:tabs>
            <w:rPr>
              <w:rFonts w:eastAsiaTheme="minorEastAsia"/>
              <w:noProof/>
            </w:rPr>
          </w:pPr>
          <w:hyperlink w:anchor="_Toc162989179" w:history="1">
            <w:r w:rsidRPr="00662146">
              <w:rPr>
                <w:rStyle w:val="Hyperlink"/>
                <w:rFonts w:eastAsia="Times New Roman"/>
                <w:noProof/>
              </w:rPr>
              <w:t>Foreign Exchange Risk Exposure</w:t>
            </w:r>
            <w:r>
              <w:rPr>
                <w:noProof/>
                <w:webHidden/>
              </w:rPr>
              <w:tab/>
            </w:r>
            <w:r>
              <w:rPr>
                <w:noProof/>
                <w:webHidden/>
              </w:rPr>
              <w:fldChar w:fldCharType="begin"/>
            </w:r>
            <w:r>
              <w:rPr>
                <w:noProof/>
                <w:webHidden/>
              </w:rPr>
              <w:instrText xml:space="preserve"> PAGEREF _Toc162989179 \h </w:instrText>
            </w:r>
            <w:r>
              <w:rPr>
                <w:noProof/>
                <w:webHidden/>
              </w:rPr>
            </w:r>
            <w:r>
              <w:rPr>
                <w:noProof/>
                <w:webHidden/>
              </w:rPr>
              <w:fldChar w:fldCharType="separate"/>
            </w:r>
            <w:r>
              <w:rPr>
                <w:noProof/>
                <w:webHidden/>
              </w:rPr>
              <w:t>5</w:t>
            </w:r>
            <w:r>
              <w:rPr>
                <w:noProof/>
                <w:webHidden/>
              </w:rPr>
              <w:fldChar w:fldCharType="end"/>
            </w:r>
          </w:hyperlink>
        </w:p>
        <w:p w14:paraId="1BEE17E9" w14:textId="261F00B5" w:rsidR="001D06DA" w:rsidRDefault="001D06DA">
          <w:pPr>
            <w:pStyle w:val="TOC1"/>
            <w:tabs>
              <w:tab w:val="right" w:leader="dot" w:pos="9350"/>
            </w:tabs>
            <w:rPr>
              <w:rFonts w:eastAsiaTheme="minorEastAsia"/>
              <w:noProof/>
            </w:rPr>
          </w:pPr>
          <w:hyperlink w:anchor="_Toc162989180" w:history="1">
            <w:r w:rsidRPr="00662146">
              <w:rPr>
                <w:rStyle w:val="Hyperlink"/>
                <w:rFonts w:eastAsia="Times New Roman"/>
                <w:noProof/>
              </w:rPr>
              <w:t>Strategies to manage the foreign exchange risk exposure</w:t>
            </w:r>
            <w:r>
              <w:rPr>
                <w:noProof/>
                <w:webHidden/>
              </w:rPr>
              <w:tab/>
            </w:r>
            <w:r>
              <w:rPr>
                <w:noProof/>
                <w:webHidden/>
              </w:rPr>
              <w:fldChar w:fldCharType="begin"/>
            </w:r>
            <w:r>
              <w:rPr>
                <w:noProof/>
                <w:webHidden/>
              </w:rPr>
              <w:instrText xml:space="preserve"> PAGEREF _Toc162989180 \h </w:instrText>
            </w:r>
            <w:r>
              <w:rPr>
                <w:noProof/>
                <w:webHidden/>
              </w:rPr>
            </w:r>
            <w:r>
              <w:rPr>
                <w:noProof/>
                <w:webHidden/>
              </w:rPr>
              <w:fldChar w:fldCharType="separate"/>
            </w:r>
            <w:r>
              <w:rPr>
                <w:noProof/>
                <w:webHidden/>
              </w:rPr>
              <w:t>6</w:t>
            </w:r>
            <w:r>
              <w:rPr>
                <w:noProof/>
                <w:webHidden/>
              </w:rPr>
              <w:fldChar w:fldCharType="end"/>
            </w:r>
          </w:hyperlink>
        </w:p>
        <w:p w14:paraId="1817FEBE" w14:textId="612639D7" w:rsidR="001D06DA" w:rsidRDefault="001D06DA">
          <w:pPr>
            <w:pStyle w:val="TOC2"/>
            <w:tabs>
              <w:tab w:val="right" w:leader="dot" w:pos="9350"/>
            </w:tabs>
            <w:rPr>
              <w:rFonts w:eastAsiaTheme="minorEastAsia"/>
              <w:noProof/>
            </w:rPr>
          </w:pPr>
          <w:hyperlink w:anchor="_Toc162989181" w:history="1">
            <w:r w:rsidRPr="00662146">
              <w:rPr>
                <w:rStyle w:val="Hyperlink"/>
                <w:rFonts w:eastAsia="Times New Roman"/>
                <w:noProof/>
              </w:rPr>
              <w:t>Transact in your own currency</w:t>
            </w:r>
            <w:r>
              <w:rPr>
                <w:noProof/>
                <w:webHidden/>
              </w:rPr>
              <w:tab/>
            </w:r>
            <w:r>
              <w:rPr>
                <w:noProof/>
                <w:webHidden/>
              </w:rPr>
              <w:fldChar w:fldCharType="begin"/>
            </w:r>
            <w:r>
              <w:rPr>
                <w:noProof/>
                <w:webHidden/>
              </w:rPr>
              <w:instrText xml:space="preserve"> PAGEREF _Toc162989181 \h </w:instrText>
            </w:r>
            <w:r>
              <w:rPr>
                <w:noProof/>
                <w:webHidden/>
              </w:rPr>
            </w:r>
            <w:r>
              <w:rPr>
                <w:noProof/>
                <w:webHidden/>
              </w:rPr>
              <w:fldChar w:fldCharType="separate"/>
            </w:r>
            <w:r>
              <w:rPr>
                <w:noProof/>
                <w:webHidden/>
              </w:rPr>
              <w:t>6</w:t>
            </w:r>
            <w:r>
              <w:rPr>
                <w:noProof/>
                <w:webHidden/>
              </w:rPr>
              <w:fldChar w:fldCharType="end"/>
            </w:r>
          </w:hyperlink>
        </w:p>
        <w:p w14:paraId="6B94823B" w14:textId="120DA50B" w:rsidR="001D06DA" w:rsidRDefault="001D06DA">
          <w:pPr>
            <w:pStyle w:val="TOC2"/>
            <w:tabs>
              <w:tab w:val="right" w:leader="dot" w:pos="9350"/>
            </w:tabs>
            <w:rPr>
              <w:rFonts w:eastAsiaTheme="minorEastAsia"/>
              <w:noProof/>
            </w:rPr>
          </w:pPr>
          <w:hyperlink w:anchor="_Toc162989182" w:history="1">
            <w:r w:rsidRPr="00662146">
              <w:rPr>
                <w:rStyle w:val="Hyperlink"/>
                <w:rFonts w:eastAsia="Times New Roman"/>
                <w:noProof/>
              </w:rPr>
              <w:t>Expand the Security of Your Business Contracts and Relationships</w:t>
            </w:r>
            <w:r>
              <w:rPr>
                <w:noProof/>
                <w:webHidden/>
              </w:rPr>
              <w:tab/>
            </w:r>
            <w:r>
              <w:rPr>
                <w:noProof/>
                <w:webHidden/>
              </w:rPr>
              <w:fldChar w:fldCharType="begin"/>
            </w:r>
            <w:r>
              <w:rPr>
                <w:noProof/>
                <w:webHidden/>
              </w:rPr>
              <w:instrText xml:space="preserve"> PAGEREF _Toc162989182 \h </w:instrText>
            </w:r>
            <w:r>
              <w:rPr>
                <w:noProof/>
                <w:webHidden/>
              </w:rPr>
            </w:r>
            <w:r>
              <w:rPr>
                <w:noProof/>
                <w:webHidden/>
              </w:rPr>
              <w:fldChar w:fldCharType="separate"/>
            </w:r>
            <w:r>
              <w:rPr>
                <w:noProof/>
                <w:webHidden/>
              </w:rPr>
              <w:t>6</w:t>
            </w:r>
            <w:r>
              <w:rPr>
                <w:noProof/>
                <w:webHidden/>
              </w:rPr>
              <w:fldChar w:fldCharType="end"/>
            </w:r>
          </w:hyperlink>
        </w:p>
        <w:p w14:paraId="3B550F04" w14:textId="5FBE609F" w:rsidR="001D06DA" w:rsidRDefault="001D06DA">
          <w:pPr>
            <w:pStyle w:val="TOC2"/>
            <w:tabs>
              <w:tab w:val="right" w:leader="dot" w:pos="9350"/>
            </w:tabs>
            <w:rPr>
              <w:rFonts w:eastAsiaTheme="minorEastAsia"/>
              <w:noProof/>
            </w:rPr>
          </w:pPr>
          <w:hyperlink w:anchor="_Toc162989183" w:history="1">
            <w:r w:rsidRPr="00662146">
              <w:rPr>
                <w:rStyle w:val="Hyperlink"/>
                <w:noProof/>
              </w:rPr>
              <w:t>Natural Foreign Exchange Hedging</w:t>
            </w:r>
            <w:r>
              <w:rPr>
                <w:noProof/>
                <w:webHidden/>
              </w:rPr>
              <w:tab/>
            </w:r>
            <w:r>
              <w:rPr>
                <w:noProof/>
                <w:webHidden/>
              </w:rPr>
              <w:fldChar w:fldCharType="begin"/>
            </w:r>
            <w:r>
              <w:rPr>
                <w:noProof/>
                <w:webHidden/>
              </w:rPr>
              <w:instrText xml:space="preserve"> PAGEREF _Toc162989183 \h </w:instrText>
            </w:r>
            <w:r>
              <w:rPr>
                <w:noProof/>
                <w:webHidden/>
              </w:rPr>
            </w:r>
            <w:r>
              <w:rPr>
                <w:noProof/>
                <w:webHidden/>
              </w:rPr>
              <w:fldChar w:fldCharType="separate"/>
            </w:r>
            <w:r>
              <w:rPr>
                <w:noProof/>
                <w:webHidden/>
              </w:rPr>
              <w:t>7</w:t>
            </w:r>
            <w:r>
              <w:rPr>
                <w:noProof/>
                <w:webHidden/>
              </w:rPr>
              <w:fldChar w:fldCharType="end"/>
            </w:r>
          </w:hyperlink>
        </w:p>
        <w:p w14:paraId="492DD06A" w14:textId="7CD3DC6C" w:rsidR="001D06DA" w:rsidRDefault="001D06DA">
          <w:pPr>
            <w:pStyle w:val="TOC2"/>
            <w:tabs>
              <w:tab w:val="right" w:leader="dot" w:pos="9350"/>
            </w:tabs>
            <w:rPr>
              <w:rFonts w:eastAsiaTheme="minorEastAsia"/>
              <w:noProof/>
            </w:rPr>
          </w:pPr>
          <w:hyperlink w:anchor="_Toc162989184" w:history="1">
            <w:r w:rsidRPr="00662146">
              <w:rPr>
                <w:rStyle w:val="Hyperlink"/>
                <w:rFonts w:eastAsia="Times New Roman"/>
                <w:noProof/>
              </w:rPr>
              <w:t>Financial Instruments for Hedging Arrangements</w:t>
            </w:r>
            <w:r>
              <w:rPr>
                <w:noProof/>
                <w:webHidden/>
              </w:rPr>
              <w:tab/>
            </w:r>
            <w:r>
              <w:rPr>
                <w:noProof/>
                <w:webHidden/>
              </w:rPr>
              <w:fldChar w:fldCharType="begin"/>
            </w:r>
            <w:r>
              <w:rPr>
                <w:noProof/>
                <w:webHidden/>
              </w:rPr>
              <w:instrText xml:space="preserve"> PAGEREF _Toc162989184 \h </w:instrText>
            </w:r>
            <w:r>
              <w:rPr>
                <w:noProof/>
                <w:webHidden/>
              </w:rPr>
            </w:r>
            <w:r>
              <w:rPr>
                <w:noProof/>
                <w:webHidden/>
              </w:rPr>
              <w:fldChar w:fldCharType="separate"/>
            </w:r>
            <w:r>
              <w:rPr>
                <w:noProof/>
                <w:webHidden/>
              </w:rPr>
              <w:t>8</w:t>
            </w:r>
            <w:r>
              <w:rPr>
                <w:noProof/>
                <w:webHidden/>
              </w:rPr>
              <w:fldChar w:fldCharType="end"/>
            </w:r>
          </w:hyperlink>
        </w:p>
        <w:p w14:paraId="7DA142AD" w14:textId="244E80E2" w:rsidR="001D06DA" w:rsidRDefault="001D06DA">
          <w:pPr>
            <w:pStyle w:val="TOC3"/>
            <w:tabs>
              <w:tab w:val="right" w:leader="dot" w:pos="9350"/>
            </w:tabs>
            <w:rPr>
              <w:rFonts w:eastAsiaTheme="minorEastAsia"/>
              <w:noProof/>
            </w:rPr>
          </w:pPr>
          <w:hyperlink w:anchor="_Toc162989185" w:history="1">
            <w:r w:rsidRPr="00662146">
              <w:rPr>
                <w:rStyle w:val="Hyperlink"/>
                <w:rFonts w:eastAsia="Times New Roman"/>
                <w:noProof/>
              </w:rPr>
              <w:t>The Forward Contract</w:t>
            </w:r>
            <w:r>
              <w:rPr>
                <w:noProof/>
                <w:webHidden/>
              </w:rPr>
              <w:tab/>
            </w:r>
            <w:r>
              <w:rPr>
                <w:noProof/>
                <w:webHidden/>
              </w:rPr>
              <w:fldChar w:fldCharType="begin"/>
            </w:r>
            <w:r>
              <w:rPr>
                <w:noProof/>
                <w:webHidden/>
              </w:rPr>
              <w:instrText xml:space="preserve"> PAGEREF _Toc162989185 \h </w:instrText>
            </w:r>
            <w:r>
              <w:rPr>
                <w:noProof/>
                <w:webHidden/>
              </w:rPr>
            </w:r>
            <w:r>
              <w:rPr>
                <w:noProof/>
                <w:webHidden/>
              </w:rPr>
              <w:fldChar w:fldCharType="separate"/>
            </w:r>
            <w:r>
              <w:rPr>
                <w:noProof/>
                <w:webHidden/>
              </w:rPr>
              <w:t>8</w:t>
            </w:r>
            <w:r>
              <w:rPr>
                <w:noProof/>
                <w:webHidden/>
              </w:rPr>
              <w:fldChar w:fldCharType="end"/>
            </w:r>
          </w:hyperlink>
        </w:p>
        <w:p w14:paraId="2E87F4B0" w14:textId="077E7670" w:rsidR="001D06DA" w:rsidRDefault="001D06DA">
          <w:pPr>
            <w:pStyle w:val="TOC3"/>
            <w:tabs>
              <w:tab w:val="right" w:leader="dot" w:pos="9350"/>
            </w:tabs>
            <w:rPr>
              <w:rFonts w:eastAsiaTheme="minorEastAsia"/>
              <w:noProof/>
            </w:rPr>
          </w:pPr>
          <w:hyperlink w:anchor="_Toc162989186" w:history="1">
            <w:r w:rsidRPr="00662146">
              <w:rPr>
                <w:rStyle w:val="Hyperlink"/>
                <w:noProof/>
                <w:shd w:val="clear" w:color="auto" w:fill="FFFFFF"/>
              </w:rPr>
              <w:t>Currency Option</w:t>
            </w:r>
            <w:r>
              <w:rPr>
                <w:noProof/>
                <w:webHidden/>
              </w:rPr>
              <w:tab/>
            </w:r>
            <w:r>
              <w:rPr>
                <w:noProof/>
                <w:webHidden/>
              </w:rPr>
              <w:fldChar w:fldCharType="begin"/>
            </w:r>
            <w:r>
              <w:rPr>
                <w:noProof/>
                <w:webHidden/>
              </w:rPr>
              <w:instrText xml:space="preserve"> PAGEREF _Toc162989186 \h </w:instrText>
            </w:r>
            <w:r>
              <w:rPr>
                <w:noProof/>
                <w:webHidden/>
              </w:rPr>
            </w:r>
            <w:r>
              <w:rPr>
                <w:noProof/>
                <w:webHidden/>
              </w:rPr>
              <w:fldChar w:fldCharType="separate"/>
            </w:r>
            <w:r>
              <w:rPr>
                <w:noProof/>
                <w:webHidden/>
              </w:rPr>
              <w:t>9</w:t>
            </w:r>
            <w:r>
              <w:rPr>
                <w:noProof/>
                <w:webHidden/>
              </w:rPr>
              <w:fldChar w:fldCharType="end"/>
            </w:r>
          </w:hyperlink>
        </w:p>
        <w:p w14:paraId="30C2D7EF" w14:textId="46DD1E85" w:rsidR="001D06DA" w:rsidRDefault="001D06DA">
          <w:pPr>
            <w:pStyle w:val="TOC1"/>
            <w:tabs>
              <w:tab w:val="right" w:leader="dot" w:pos="9350"/>
            </w:tabs>
            <w:rPr>
              <w:rFonts w:eastAsiaTheme="minorEastAsia"/>
              <w:noProof/>
            </w:rPr>
          </w:pPr>
          <w:hyperlink w:anchor="_Toc162989187" w:history="1">
            <w:r w:rsidRPr="00662146">
              <w:rPr>
                <w:rStyle w:val="Hyperlink"/>
                <w:rFonts w:eastAsia="Times New Roman"/>
                <w:noProof/>
              </w:rPr>
              <w:t>Conclusion</w:t>
            </w:r>
            <w:r>
              <w:rPr>
                <w:noProof/>
                <w:webHidden/>
              </w:rPr>
              <w:tab/>
            </w:r>
            <w:r>
              <w:rPr>
                <w:noProof/>
                <w:webHidden/>
              </w:rPr>
              <w:fldChar w:fldCharType="begin"/>
            </w:r>
            <w:r>
              <w:rPr>
                <w:noProof/>
                <w:webHidden/>
              </w:rPr>
              <w:instrText xml:space="preserve"> PAGEREF _Toc162989187 \h </w:instrText>
            </w:r>
            <w:r>
              <w:rPr>
                <w:noProof/>
                <w:webHidden/>
              </w:rPr>
            </w:r>
            <w:r>
              <w:rPr>
                <w:noProof/>
                <w:webHidden/>
              </w:rPr>
              <w:fldChar w:fldCharType="separate"/>
            </w:r>
            <w:r>
              <w:rPr>
                <w:noProof/>
                <w:webHidden/>
              </w:rPr>
              <w:t>10</w:t>
            </w:r>
            <w:r>
              <w:rPr>
                <w:noProof/>
                <w:webHidden/>
              </w:rPr>
              <w:fldChar w:fldCharType="end"/>
            </w:r>
          </w:hyperlink>
        </w:p>
        <w:p w14:paraId="3DE2B70D" w14:textId="363E5498" w:rsidR="001D06DA" w:rsidRDefault="001D06DA">
          <w:pPr>
            <w:pStyle w:val="TOC1"/>
            <w:tabs>
              <w:tab w:val="right" w:leader="dot" w:pos="9350"/>
            </w:tabs>
            <w:rPr>
              <w:rFonts w:eastAsiaTheme="minorEastAsia"/>
              <w:noProof/>
            </w:rPr>
          </w:pPr>
          <w:hyperlink w:anchor="_Toc162989188" w:history="1">
            <w:r w:rsidRPr="00662146">
              <w:rPr>
                <w:rStyle w:val="Hyperlink"/>
                <w:rFonts w:eastAsia="Times New Roman"/>
                <w:noProof/>
              </w:rPr>
              <w:t>REFERENCES</w:t>
            </w:r>
            <w:r>
              <w:rPr>
                <w:noProof/>
                <w:webHidden/>
              </w:rPr>
              <w:tab/>
            </w:r>
            <w:r>
              <w:rPr>
                <w:noProof/>
                <w:webHidden/>
              </w:rPr>
              <w:fldChar w:fldCharType="begin"/>
            </w:r>
            <w:r>
              <w:rPr>
                <w:noProof/>
                <w:webHidden/>
              </w:rPr>
              <w:instrText xml:space="preserve"> PAGEREF _Toc162989188 \h </w:instrText>
            </w:r>
            <w:r>
              <w:rPr>
                <w:noProof/>
                <w:webHidden/>
              </w:rPr>
            </w:r>
            <w:r>
              <w:rPr>
                <w:noProof/>
                <w:webHidden/>
              </w:rPr>
              <w:fldChar w:fldCharType="separate"/>
            </w:r>
            <w:r>
              <w:rPr>
                <w:noProof/>
                <w:webHidden/>
              </w:rPr>
              <w:t>11</w:t>
            </w:r>
            <w:r>
              <w:rPr>
                <w:noProof/>
                <w:webHidden/>
              </w:rPr>
              <w:fldChar w:fldCharType="end"/>
            </w:r>
          </w:hyperlink>
        </w:p>
        <w:p w14:paraId="35A21DD7" w14:textId="3D9555A6" w:rsidR="00474395" w:rsidRDefault="00474395">
          <w:r>
            <w:rPr>
              <w:b/>
              <w:bCs/>
              <w:noProof/>
            </w:rPr>
            <w:fldChar w:fldCharType="end"/>
          </w:r>
        </w:p>
      </w:sdtContent>
    </w:sdt>
    <w:p w14:paraId="66CABEA0" w14:textId="77777777" w:rsidR="00474395" w:rsidRDefault="00474395" w:rsidP="00C855D2">
      <w:pPr>
        <w:pStyle w:val="Heading1"/>
        <w:rPr>
          <w:rFonts w:eastAsia="Times New Roman"/>
        </w:rPr>
      </w:pPr>
    </w:p>
    <w:p w14:paraId="16BDEEDC" w14:textId="77777777" w:rsidR="00474395" w:rsidRDefault="00474395" w:rsidP="00C855D2">
      <w:pPr>
        <w:pStyle w:val="Heading1"/>
        <w:rPr>
          <w:rFonts w:eastAsia="Times New Roman"/>
        </w:rPr>
      </w:pPr>
    </w:p>
    <w:p w14:paraId="6889309D" w14:textId="77777777" w:rsidR="00474395" w:rsidRDefault="00474395" w:rsidP="00C855D2">
      <w:pPr>
        <w:pStyle w:val="Heading1"/>
        <w:rPr>
          <w:rFonts w:eastAsia="Times New Roman"/>
        </w:rPr>
      </w:pPr>
    </w:p>
    <w:p w14:paraId="2580DBC0" w14:textId="77777777" w:rsidR="00474395" w:rsidRDefault="00474395" w:rsidP="00C855D2">
      <w:pPr>
        <w:pStyle w:val="Heading1"/>
        <w:rPr>
          <w:rFonts w:eastAsia="Times New Roman"/>
        </w:rPr>
      </w:pPr>
    </w:p>
    <w:p w14:paraId="1A81648A" w14:textId="77777777" w:rsidR="00474395" w:rsidRDefault="00474395" w:rsidP="00474395"/>
    <w:p w14:paraId="5C1EBE77" w14:textId="77777777" w:rsidR="00474395" w:rsidRDefault="00474395" w:rsidP="00474395"/>
    <w:p w14:paraId="4CE5B635" w14:textId="77777777" w:rsidR="00474395" w:rsidRPr="00474395" w:rsidRDefault="00474395" w:rsidP="00474395"/>
    <w:p w14:paraId="7B4688E4" w14:textId="1C4BDD98" w:rsidR="005642C5" w:rsidRPr="005642C5" w:rsidRDefault="005642C5" w:rsidP="00C855D2">
      <w:pPr>
        <w:pStyle w:val="Heading1"/>
        <w:rPr>
          <w:rFonts w:eastAsia="Times New Roman"/>
        </w:rPr>
      </w:pPr>
      <w:bookmarkStart w:id="0" w:name="_Toc162989177"/>
      <w:r w:rsidRPr="005642C5">
        <w:rPr>
          <w:rFonts w:eastAsia="Times New Roman"/>
        </w:rPr>
        <w:lastRenderedPageBreak/>
        <w:t>Introduction</w:t>
      </w:r>
      <w:bookmarkEnd w:id="0"/>
    </w:p>
    <w:p w14:paraId="0B2D2EEB" w14:textId="5F6D9E99" w:rsidR="00C855D2" w:rsidRDefault="00C855D2" w:rsidP="00C855D2">
      <w:pPr>
        <w:spacing w:after="0" w:line="480" w:lineRule="auto"/>
        <w:ind w:firstLine="720"/>
        <w:rPr>
          <w:rFonts w:ascii="Arial" w:eastAsia="Times New Roman" w:hAnsi="Arial" w:cs="Arial"/>
          <w:kern w:val="0"/>
          <w14:ligatures w14:val="none"/>
        </w:rPr>
      </w:pPr>
      <w:r w:rsidRPr="00C855D2">
        <w:rPr>
          <w:rFonts w:ascii="Arial" w:eastAsia="Times New Roman" w:hAnsi="Arial" w:cs="Arial"/>
          <w:kern w:val="0"/>
          <w14:ligatures w14:val="none"/>
        </w:rPr>
        <w:t>Small companies as well as large multinational corporations (MNCs) with numerous overseas affiliates need to comprehend international financial management, or IFM. It is also crucial for a lot of enterprises that are not aware of the benefits of doing international business. Organizations have to understand how their overseas rivals will affect shifts in inflation, labor costs, and exchange rates. Two economic factors that affect foreign competitors are pricing policy and cost of production</w:t>
      </w:r>
      <w:r>
        <w:rPr>
          <w:rFonts w:ascii="Arial" w:eastAsia="Times New Roman" w:hAnsi="Arial" w:cs="Arial"/>
          <w:kern w:val="0"/>
          <w14:ligatures w14:val="none"/>
        </w:rPr>
        <w:t>.</w:t>
      </w:r>
      <w:r w:rsidRPr="00C855D2">
        <w:rPr>
          <w:rFonts w:ascii="Arial" w:eastAsia="Times New Roman" w:hAnsi="Arial" w:cs="Arial"/>
          <w:kern w:val="0"/>
          <w14:ligatures w14:val="none"/>
        </w:rPr>
        <w:t xml:space="preserve">. To make wise financial and investment decisions, offshore financial managers of multinational corporations (MNCs) that have significant foreign operations that account for a significant portion of their sales must be knowledgeable about the complexities of international finance. </w:t>
      </w:r>
      <w:r>
        <w:rPr>
          <w:rFonts w:ascii="Arial" w:eastAsia="Times New Roman" w:hAnsi="Arial" w:cs="Arial"/>
          <w:kern w:val="0"/>
          <w14:ligatures w14:val="none"/>
        </w:rPr>
        <w:t>(Ragunath, 2019)</w:t>
      </w:r>
    </w:p>
    <w:p w14:paraId="67452681" w14:textId="01072BEF" w:rsidR="005642C5" w:rsidRDefault="005642C5" w:rsidP="00C855D2">
      <w:pPr>
        <w:spacing w:after="0" w:line="480" w:lineRule="auto"/>
        <w:ind w:firstLine="720"/>
        <w:rPr>
          <w:rFonts w:ascii="Arial" w:eastAsia="Times New Roman" w:hAnsi="Arial" w:cs="Arial"/>
          <w:kern w:val="0"/>
          <w14:ligatures w14:val="none"/>
        </w:rPr>
      </w:pPr>
      <w:r w:rsidRPr="005642C5">
        <w:rPr>
          <w:rFonts w:ascii="Arial" w:eastAsia="Times New Roman" w:hAnsi="Arial" w:cs="Arial"/>
          <w:kern w:val="0"/>
          <w14:ligatures w14:val="none"/>
        </w:rPr>
        <w:t>A multinational corporation (MNC) is a completely foreign-owned business that creates subsidiaries or branches all over the world through foreign direct investment (FDI). Because they need to make foreign investments, large multinational companies unavoidably invest and recover substantial amounts of foreign exchange worldwide, receive and remit significant sums of foreign currency, and incur significant foreign currency debt. As a result, for combined businesses, foreign exchange risk is always a major concern and debate point.</w:t>
      </w:r>
      <w:r w:rsidR="0032759F" w:rsidRPr="00C855D2">
        <w:rPr>
          <w:rFonts w:ascii="Arial" w:eastAsia="Times New Roman" w:hAnsi="Arial" w:cs="Arial"/>
          <w:kern w:val="0"/>
          <w14:ligatures w14:val="none"/>
        </w:rPr>
        <w:t>(Wang, 2020)</w:t>
      </w:r>
    </w:p>
    <w:p w14:paraId="4FBEB680" w14:textId="4947576C" w:rsidR="00960CB0" w:rsidRDefault="00960CB0" w:rsidP="00C855D2">
      <w:pPr>
        <w:spacing w:after="0" w:line="480" w:lineRule="auto"/>
        <w:ind w:firstLine="720"/>
        <w:rPr>
          <w:rFonts w:ascii="Arial" w:eastAsia="Times New Roman" w:hAnsi="Arial" w:cs="Arial"/>
          <w:kern w:val="0"/>
          <w14:ligatures w14:val="none"/>
        </w:rPr>
      </w:pPr>
      <w:r>
        <w:rPr>
          <w:rFonts w:ascii="Arial" w:eastAsia="Times New Roman" w:hAnsi="Arial" w:cs="Arial"/>
          <w:kern w:val="0"/>
          <w14:ligatures w14:val="none"/>
        </w:rPr>
        <w:t>This report will briefly introduce some of the International Financial Management theories, which are the exposure risks and what strategies the Multinational Corporations may use in order to manage the foreign exchange risks.</w:t>
      </w:r>
    </w:p>
    <w:p w14:paraId="2F4AB3AE" w14:textId="190E704A" w:rsidR="000A66EA" w:rsidRDefault="000A66EA" w:rsidP="00FC7784">
      <w:pPr>
        <w:pStyle w:val="Heading1"/>
        <w:rPr>
          <w:rFonts w:eastAsia="Times New Roman"/>
        </w:rPr>
      </w:pPr>
      <w:bookmarkStart w:id="1" w:name="_Toc162989178"/>
      <w:r>
        <w:rPr>
          <w:rFonts w:eastAsia="Times New Roman"/>
        </w:rPr>
        <w:lastRenderedPageBreak/>
        <w:t>Theories and Models in International Financial Management</w:t>
      </w:r>
      <w:bookmarkEnd w:id="1"/>
    </w:p>
    <w:p w14:paraId="350EE306" w14:textId="3EC2F806" w:rsidR="00E27A39" w:rsidRPr="00357E3E" w:rsidRDefault="00E27A39" w:rsidP="00357E3E">
      <w:pPr>
        <w:pStyle w:val="ListParagraph"/>
        <w:numPr>
          <w:ilvl w:val="0"/>
          <w:numId w:val="2"/>
        </w:numPr>
        <w:spacing w:line="480" w:lineRule="auto"/>
        <w:rPr>
          <w:rFonts w:ascii="Arial" w:eastAsia="Times New Roman" w:hAnsi="Arial" w:cs="Arial"/>
          <w:kern w:val="0"/>
          <w14:ligatures w14:val="none"/>
        </w:rPr>
      </w:pPr>
      <w:r w:rsidRPr="00E27A39">
        <w:rPr>
          <w:rFonts w:ascii="Arial" w:eastAsia="Times New Roman" w:hAnsi="Arial" w:cs="Arial"/>
          <w:kern w:val="0"/>
          <w14:ligatures w14:val="none"/>
        </w:rPr>
        <w:t xml:space="preserve">Efficient Market Hypothesis (EMH) </w:t>
      </w:r>
      <w:r w:rsidRPr="00E27A39">
        <w:rPr>
          <w:rFonts w:ascii="Arial" w:eastAsia="Times New Roman" w:hAnsi="Arial" w:cs="Arial"/>
          <w:kern w:val="0"/>
          <w14:ligatures w14:val="none"/>
        </w:rPr>
        <w:t xml:space="preserve">also known as efficient market theory, believes that there is no such thing as consistent alpha generation and that share prices are a function of all information available to the market. Stated differently, the Efficient Market hypothesis maintains that a stock's price on an exchange is </w:t>
      </w:r>
      <w:r w:rsidRPr="00357E3E">
        <w:rPr>
          <w:rFonts w:ascii="Arial" w:eastAsia="Times New Roman" w:hAnsi="Arial" w:cs="Arial"/>
          <w:kern w:val="0"/>
          <w14:ligatures w14:val="none"/>
        </w:rPr>
        <w:t>always equal to its fair value. It also means that a shareholder is not permitted to sell a stock at a premium or purchase a stock below its fair value.</w:t>
      </w:r>
    </w:p>
    <w:p w14:paraId="1E54FAE9" w14:textId="313E23D8" w:rsidR="00E27A39" w:rsidRPr="00357E3E" w:rsidRDefault="00E27A39" w:rsidP="00357E3E">
      <w:pPr>
        <w:pStyle w:val="ListParagraph"/>
        <w:numPr>
          <w:ilvl w:val="0"/>
          <w:numId w:val="2"/>
        </w:numPr>
        <w:spacing w:line="480" w:lineRule="auto"/>
        <w:rPr>
          <w:rFonts w:ascii="Arial" w:eastAsia="Times New Roman" w:hAnsi="Arial" w:cs="Arial"/>
          <w:kern w:val="0"/>
          <w14:ligatures w14:val="none"/>
        </w:rPr>
      </w:pPr>
      <w:r w:rsidRPr="00357E3E">
        <w:rPr>
          <w:rFonts w:ascii="Arial" w:eastAsia="Times New Roman" w:hAnsi="Arial" w:cs="Arial"/>
          <w:kern w:val="0"/>
          <w14:ligatures w14:val="none"/>
        </w:rPr>
        <w:t>The Mundell-Fleming Model: the main focus is the interaction that takes place between the market of goods and the money market</w:t>
      </w:r>
      <w:r w:rsidR="00357E3E" w:rsidRPr="00357E3E">
        <w:rPr>
          <w:rFonts w:ascii="Arial" w:eastAsia="Times New Roman" w:hAnsi="Arial" w:cs="Arial"/>
          <w:kern w:val="0"/>
          <w14:ligatures w14:val="none"/>
        </w:rPr>
        <w:t xml:space="preserve"> </w:t>
      </w:r>
      <w:proofErr w:type="spellStart"/>
      <w:r w:rsidR="00357E3E" w:rsidRPr="00357E3E">
        <w:rPr>
          <w:rFonts w:ascii="Arial" w:eastAsia="Times New Roman" w:hAnsi="Arial" w:cs="Arial"/>
          <w:kern w:val="0"/>
          <w14:ligatures w14:val="none"/>
        </w:rPr>
        <w:t>condering</w:t>
      </w:r>
      <w:proofErr w:type="spellEnd"/>
      <w:r w:rsidR="00357E3E" w:rsidRPr="00357E3E">
        <w:rPr>
          <w:rFonts w:ascii="Arial" w:eastAsia="Times New Roman" w:hAnsi="Arial" w:cs="Arial"/>
          <w:kern w:val="0"/>
          <w14:ligatures w14:val="none"/>
        </w:rPr>
        <w:t xml:space="preserve"> that the level of the good’s price stays the same.</w:t>
      </w:r>
    </w:p>
    <w:p w14:paraId="1E51D7F8" w14:textId="096BB885" w:rsidR="00E27A39" w:rsidRPr="00357E3E" w:rsidRDefault="00357E3E" w:rsidP="00357E3E">
      <w:pPr>
        <w:pStyle w:val="ListParagraph"/>
        <w:numPr>
          <w:ilvl w:val="0"/>
          <w:numId w:val="2"/>
        </w:numPr>
        <w:spacing w:line="480" w:lineRule="auto"/>
        <w:rPr>
          <w:rFonts w:ascii="Arial" w:eastAsia="Times New Roman" w:hAnsi="Arial" w:cs="Arial"/>
          <w:kern w:val="0"/>
          <w14:ligatures w14:val="none"/>
        </w:rPr>
      </w:pPr>
      <w:r w:rsidRPr="00357E3E">
        <w:rPr>
          <w:rFonts w:ascii="Arial" w:eastAsia="Times New Roman" w:hAnsi="Arial" w:cs="Arial"/>
          <w:kern w:val="0"/>
          <w14:ligatures w14:val="none"/>
        </w:rPr>
        <w:t xml:space="preserve">International Fisher Effect theory </w:t>
      </w:r>
      <w:r w:rsidRPr="00357E3E">
        <w:rPr>
          <w:rFonts w:ascii="Arial" w:eastAsia="Times New Roman" w:hAnsi="Arial" w:cs="Arial"/>
          <w:kern w:val="0"/>
          <w14:ligatures w14:val="none"/>
        </w:rPr>
        <w:t>makes the supposition that alterations in the spot exchange rate between countries are reflected in nominal interest rates.</w:t>
      </w:r>
    </w:p>
    <w:p w14:paraId="0635BFA8" w14:textId="66CD44F4" w:rsidR="00357E3E" w:rsidRPr="00357E3E" w:rsidRDefault="00357E3E" w:rsidP="00357E3E">
      <w:pPr>
        <w:pStyle w:val="ListParagraph"/>
        <w:numPr>
          <w:ilvl w:val="0"/>
          <w:numId w:val="2"/>
        </w:numPr>
        <w:spacing w:line="480" w:lineRule="auto"/>
        <w:rPr>
          <w:rFonts w:ascii="Arial" w:eastAsia="Times New Roman" w:hAnsi="Arial" w:cs="Arial"/>
          <w:kern w:val="0"/>
          <w14:ligatures w14:val="none"/>
        </w:rPr>
      </w:pPr>
      <w:r w:rsidRPr="00357E3E">
        <w:rPr>
          <w:rFonts w:ascii="Arial" w:eastAsia="Times New Roman" w:hAnsi="Arial" w:cs="Arial"/>
          <w:kern w:val="0"/>
          <w14:ligatures w14:val="none"/>
        </w:rPr>
        <w:t xml:space="preserve">The optimum currency area theory states that </w:t>
      </w:r>
      <w:r w:rsidRPr="00357E3E">
        <w:rPr>
          <w:rFonts w:ascii="Arial" w:eastAsia="Times New Roman" w:hAnsi="Arial" w:cs="Arial"/>
          <w:kern w:val="0"/>
          <w14:ligatures w14:val="none"/>
        </w:rPr>
        <w:t>specific regions would have the highest degree of economic efficiency if each state or country in the area utilized the same currency.</w:t>
      </w:r>
    </w:p>
    <w:p w14:paraId="3DFF2DE0" w14:textId="335FBF43" w:rsidR="00357E3E" w:rsidRPr="00357E3E" w:rsidRDefault="00357E3E" w:rsidP="00357E3E">
      <w:pPr>
        <w:pStyle w:val="ListParagraph"/>
        <w:numPr>
          <w:ilvl w:val="0"/>
          <w:numId w:val="2"/>
        </w:numPr>
        <w:spacing w:line="480" w:lineRule="auto"/>
        <w:rPr>
          <w:rFonts w:ascii="Arial" w:eastAsia="Times New Roman" w:hAnsi="Arial" w:cs="Arial"/>
          <w:kern w:val="0"/>
          <w14:ligatures w14:val="none"/>
        </w:rPr>
      </w:pPr>
      <w:r w:rsidRPr="00357E3E">
        <w:rPr>
          <w:rFonts w:ascii="Arial" w:eastAsia="Times New Roman" w:hAnsi="Arial" w:cs="Arial"/>
          <w:kern w:val="0"/>
          <w14:ligatures w14:val="none"/>
        </w:rPr>
        <w:t>Purchasing Power Parity (PPP) argues that there is a</w:t>
      </w:r>
      <w:r w:rsidRPr="00357E3E">
        <w:rPr>
          <w:rFonts w:ascii="Arial" w:eastAsia="Times New Roman" w:hAnsi="Arial" w:cs="Arial"/>
          <w:kern w:val="0"/>
          <w14:ligatures w14:val="none"/>
        </w:rPr>
        <w:t xml:space="preserve"> contrast of the absolute purchasing power of different currencies through evaluating prices across locations for particular goods.</w:t>
      </w:r>
    </w:p>
    <w:p w14:paraId="33423762" w14:textId="79EFC967" w:rsidR="000A66EA" w:rsidRPr="00357E3E" w:rsidRDefault="00357E3E" w:rsidP="00357E3E">
      <w:pPr>
        <w:pStyle w:val="ListParagraph"/>
        <w:numPr>
          <w:ilvl w:val="0"/>
          <w:numId w:val="2"/>
        </w:numPr>
        <w:spacing w:line="480" w:lineRule="auto"/>
        <w:rPr>
          <w:rFonts w:ascii="Arial" w:eastAsia="Times New Roman" w:hAnsi="Arial" w:cs="Arial"/>
          <w:kern w:val="0"/>
          <w14:ligatures w14:val="none"/>
        </w:rPr>
      </w:pPr>
      <w:r w:rsidRPr="00357E3E">
        <w:rPr>
          <w:rFonts w:ascii="Arial" w:eastAsia="Times New Roman" w:hAnsi="Arial" w:cs="Arial"/>
          <w:kern w:val="0"/>
          <w14:ligatures w14:val="none"/>
        </w:rPr>
        <w:t>Interest Rate Parity (IRP) is the equation that reflects the relation between current exchange rate and interest rate and how to obtain the equilibrium state.</w:t>
      </w:r>
    </w:p>
    <w:p w14:paraId="4C3878BB" w14:textId="24F99C0C" w:rsidR="00F94D9D" w:rsidRPr="00C855D2" w:rsidRDefault="00F94D9D" w:rsidP="00FC7784">
      <w:pPr>
        <w:pStyle w:val="Heading1"/>
        <w:rPr>
          <w:rFonts w:eastAsia="Times New Roman"/>
        </w:rPr>
      </w:pPr>
      <w:bookmarkStart w:id="2" w:name="_Toc162989179"/>
      <w:r>
        <w:rPr>
          <w:rFonts w:eastAsia="Times New Roman"/>
        </w:rPr>
        <w:lastRenderedPageBreak/>
        <w:t>Foreign Exchange Risk Exposure</w:t>
      </w:r>
      <w:bookmarkEnd w:id="2"/>
    </w:p>
    <w:p w14:paraId="49F888BA" w14:textId="2D473FAC" w:rsidR="00357E3E" w:rsidRDefault="00357E3E" w:rsidP="00474395">
      <w:pPr>
        <w:spacing w:after="0" w:line="480" w:lineRule="auto"/>
        <w:ind w:firstLine="360"/>
      </w:pPr>
      <w:r>
        <w:t>There are several risks that MCN’s are facing when they have to tak</w:t>
      </w:r>
      <w:r w:rsidR="00253958">
        <w:t xml:space="preserve">e into consideration the currency exchange rate: </w:t>
      </w:r>
    </w:p>
    <w:p w14:paraId="13614468" w14:textId="77777777" w:rsidR="00253958" w:rsidRPr="00FC7784" w:rsidRDefault="00253958" w:rsidP="00FC7784">
      <w:pPr>
        <w:pStyle w:val="ListParagraph"/>
        <w:numPr>
          <w:ilvl w:val="0"/>
          <w:numId w:val="3"/>
        </w:numPr>
        <w:spacing w:line="480" w:lineRule="auto"/>
        <w:rPr>
          <w:rFonts w:ascii="Arial" w:eastAsia="Times New Roman" w:hAnsi="Arial" w:cs="Arial"/>
          <w:kern w:val="0"/>
          <w14:ligatures w14:val="none"/>
        </w:rPr>
      </w:pPr>
      <w:r w:rsidRPr="00FC7784">
        <w:rPr>
          <w:rFonts w:ascii="Arial" w:hAnsi="Arial" w:cs="Arial"/>
          <w:b/>
          <w:bCs/>
        </w:rPr>
        <w:t xml:space="preserve">Transaction risk - </w:t>
      </w:r>
      <w:r w:rsidRPr="00FC7784">
        <w:rPr>
          <w:rFonts w:ascii="Arial" w:eastAsia="Times New Roman" w:hAnsi="Arial" w:cs="Arial"/>
          <w:kern w:val="0"/>
          <w14:ligatures w14:val="none"/>
        </w:rPr>
        <w:t>c</w:t>
      </w:r>
      <w:r w:rsidRPr="00FC7784">
        <w:rPr>
          <w:rFonts w:ascii="Arial" w:eastAsia="Times New Roman" w:hAnsi="Arial" w:cs="Arial"/>
          <w:kern w:val="0"/>
          <w14:ligatures w14:val="none"/>
        </w:rPr>
        <w:t>ash flow risk is basically what transactional risk is. It describes how shifts in exchange rates impact a company's exposure on its transactional account, be it dividend repatriation, payable (for import contracts), or receivable (for export contracts). The company will be directly susceptible to foreign exchange rate risk in the scenario in which the currency of such a contract changes.</w:t>
      </w:r>
    </w:p>
    <w:p w14:paraId="3C548023" w14:textId="77777777" w:rsidR="00FC7784" w:rsidRPr="00FC7784" w:rsidRDefault="00253958" w:rsidP="00FC7784">
      <w:pPr>
        <w:pStyle w:val="ListParagraph"/>
        <w:numPr>
          <w:ilvl w:val="0"/>
          <w:numId w:val="3"/>
        </w:numPr>
        <w:spacing w:line="480" w:lineRule="auto"/>
        <w:rPr>
          <w:rFonts w:ascii="Arial" w:eastAsia="Times New Roman" w:hAnsi="Arial" w:cs="Arial"/>
          <w:kern w:val="0"/>
          <w14:ligatures w14:val="none"/>
        </w:rPr>
      </w:pPr>
      <w:r w:rsidRPr="00FC7784">
        <w:rPr>
          <w:rFonts w:ascii="Arial" w:hAnsi="Arial" w:cs="Arial"/>
          <w:b/>
          <w:bCs/>
        </w:rPr>
        <w:t xml:space="preserve">Translation risk - </w:t>
      </w:r>
      <w:r w:rsidRPr="00FC7784">
        <w:rPr>
          <w:rFonts w:ascii="Arial" w:eastAsia="Times New Roman" w:hAnsi="Arial" w:cs="Arial"/>
          <w:kern w:val="0"/>
          <w14:ligatures w14:val="none"/>
        </w:rPr>
        <w:t>is simply foreign exchange rate risk on the balance sheet. Modifications in foreign exchange rates have an impact on foreign subsidiary valuations and, consequently, on how foreign subsidiaries are consolidated on the parent company's balance sheet. The extent to which foreign subsidiaries are susceptible to foreign exchange is usually used to calculate their foreign exchange risk (net assets less liabilities). Depending on the accounting rules that apply to that parent company, consolidated financial statements may be translated at the end of the period using either the current exchange rate or the average of the exchange rates during the period. As a result, income statements are usually translated using the period's current exchange rates. Exposures on the balance sheet of foreign subsidiaries are typically translated at the current exchange rates in effect at the time of consolidation.</w:t>
      </w:r>
    </w:p>
    <w:p w14:paraId="19E14D32" w14:textId="693489C8" w:rsidR="00FC7784" w:rsidRPr="00FC7784" w:rsidRDefault="000A66EA" w:rsidP="00FC7784">
      <w:pPr>
        <w:pStyle w:val="ListParagraph"/>
        <w:numPr>
          <w:ilvl w:val="0"/>
          <w:numId w:val="3"/>
        </w:numPr>
        <w:spacing w:line="480" w:lineRule="auto"/>
        <w:rPr>
          <w:rFonts w:ascii="Arial" w:eastAsia="Times New Roman" w:hAnsi="Arial" w:cs="Arial"/>
          <w:kern w:val="0"/>
          <w14:ligatures w14:val="none"/>
        </w:rPr>
      </w:pPr>
      <w:r w:rsidRPr="00FC7784">
        <w:rPr>
          <w:rFonts w:ascii="Arial" w:hAnsi="Arial" w:cs="Arial"/>
        </w:rPr>
        <w:t>Economic risk</w:t>
      </w:r>
      <w:r w:rsidR="00FC7784" w:rsidRPr="00FC7784">
        <w:rPr>
          <w:rFonts w:ascii="Arial" w:hAnsi="Arial" w:cs="Arial"/>
        </w:rPr>
        <w:t xml:space="preserve"> </w:t>
      </w:r>
      <w:r w:rsidR="00FC7784" w:rsidRPr="00FC7784">
        <w:rPr>
          <w:rFonts w:ascii="Arial" w:eastAsia="Times New Roman" w:hAnsi="Arial" w:cs="Arial"/>
          <w:kern w:val="0"/>
          <w14:ligatures w14:val="none"/>
        </w:rPr>
        <w:t xml:space="preserve">Economic risk is essentially the risk that changes in exchange rates may impact on a company's present value of future operating cash flows. </w:t>
      </w:r>
      <w:r w:rsidR="00FC7784" w:rsidRPr="00FC7784">
        <w:rPr>
          <w:rFonts w:ascii="Arial" w:eastAsia="Times New Roman" w:hAnsi="Arial" w:cs="Arial"/>
          <w:kern w:val="0"/>
          <w14:ligatures w14:val="none"/>
        </w:rPr>
        <w:lastRenderedPageBreak/>
        <w:t>Economic risk basically refers to how fluctuations in exchange rates affect a company's exports and domestic sales as well as operating costs (which comprise costs related to imports and domestic inputs). Economic risk is typically associated with the cash flow operations of a company's foreign subsidiaries and parent company. Developing a strategy for managing currency risk requires the recognition and quantification of the various types of currency risk.</w:t>
      </w:r>
      <w:r w:rsidR="00960CB0">
        <w:rPr>
          <w:rFonts w:ascii="Arial" w:eastAsia="Times New Roman" w:hAnsi="Arial" w:cs="Arial"/>
          <w:kern w:val="0"/>
          <w14:ligatures w14:val="none"/>
        </w:rPr>
        <w:t xml:space="preserve"> (Ganti, 2020)</w:t>
      </w:r>
    </w:p>
    <w:p w14:paraId="53DECF5D" w14:textId="00B96031" w:rsidR="0032759F" w:rsidRPr="00FC7784" w:rsidRDefault="00FC7784" w:rsidP="00FC7784">
      <w:pPr>
        <w:pStyle w:val="Heading1"/>
        <w:rPr>
          <w:rFonts w:eastAsia="Times New Roman"/>
        </w:rPr>
      </w:pPr>
      <w:bookmarkStart w:id="3" w:name="_Toc162989180"/>
      <w:r>
        <w:rPr>
          <w:rFonts w:eastAsia="Times New Roman"/>
        </w:rPr>
        <w:t>Strategies to manage the foreign exchange risk exposure</w:t>
      </w:r>
      <w:bookmarkEnd w:id="3"/>
    </w:p>
    <w:p w14:paraId="639BDF04" w14:textId="77777777" w:rsidR="0006578E" w:rsidRDefault="00960CB0" w:rsidP="0006578E">
      <w:pPr>
        <w:spacing w:after="0" w:line="480" w:lineRule="auto"/>
        <w:ind w:firstLine="720"/>
        <w:rPr>
          <w:rFonts w:ascii="Arial" w:eastAsia="Times New Roman" w:hAnsi="Arial" w:cs="Arial"/>
          <w:kern w:val="0"/>
          <w14:ligatures w14:val="none"/>
        </w:rPr>
      </w:pPr>
      <w:r w:rsidRPr="00960CB0">
        <w:rPr>
          <w:rFonts w:ascii="Arial" w:eastAsia="Times New Roman" w:hAnsi="Arial" w:cs="Arial"/>
          <w:kern w:val="0"/>
          <w14:ligatures w14:val="none"/>
        </w:rPr>
        <w:t>There are numerous resources accessible to companies that choose to take control of FX risk, ranging from very simple and affordable options to far more complicated and expensive options.</w:t>
      </w:r>
    </w:p>
    <w:p w14:paraId="7405FEEB" w14:textId="12C3262A" w:rsidR="0006578E" w:rsidRPr="0006578E" w:rsidRDefault="0006578E" w:rsidP="0006578E">
      <w:pPr>
        <w:pStyle w:val="Heading2"/>
        <w:rPr>
          <w:rFonts w:eastAsia="Times New Roman"/>
        </w:rPr>
      </w:pPr>
      <w:bookmarkStart w:id="4" w:name="_Toc162989181"/>
      <w:r w:rsidRPr="0006578E">
        <w:rPr>
          <w:rFonts w:eastAsia="Times New Roman"/>
        </w:rPr>
        <w:t>Transact in your own currency</w:t>
      </w:r>
      <w:bookmarkEnd w:id="4"/>
    </w:p>
    <w:p w14:paraId="69E37320" w14:textId="112186AC" w:rsidR="0006578E" w:rsidRDefault="0006578E" w:rsidP="00474395">
      <w:pPr>
        <w:spacing w:line="480" w:lineRule="auto"/>
        <w:ind w:firstLine="720"/>
        <w:rPr>
          <w:rFonts w:ascii="Arial" w:hAnsi="Arial" w:cs="Arial"/>
          <w:color w:val="333333"/>
          <w:shd w:val="clear" w:color="auto" w:fill="FFFFFF"/>
        </w:rPr>
      </w:pPr>
      <w:r w:rsidRPr="0006578E">
        <w:rPr>
          <w:rFonts w:ascii="Arial" w:hAnsi="Arial" w:cs="Arial"/>
          <w:color w:val="333333"/>
          <w:shd w:val="clear" w:color="auto" w:fill="FFFFFF"/>
        </w:rPr>
        <w:t>Companies with a strong brand can only transact in one currency, passing on exchange risk to local customers. Taxes and salaries need to be paid in local currency. Online companies may not have this issue.</w:t>
      </w:r>
    </w:p>
    <w:p w14:paraId="735C7F2C" w14:textId="77777777" w:rsidR="0006578E" w:rsidRDefault="0006578E" w:rsidP="005852D6">
      <w:pPr>
        <w:pStyle w:val="Heading2"/>
        <w:rPr>
          <w:rFonts w:eastAsia="Times New Roman"/>
        </w:rPr>
      </w:pPr>
      <w:bookmarkStart w:id="5" w:name="_Toc162989182"/>
      <w:r w:rsidRPr="0006578E">
        <w:rPr>
          <w:rFonts w:eastAsia="Times New Roman"/>
        </w:rPr>
        <w:t>Expand the Security of Your Business Contracts and Relationships</w:t>
      </w:r>
      <w:bookmarkEnd w:id="5"/>
    </w:p>
    <w:p w14:paraId="172E6118" w14:textId="77777777" w:rsidR="0006578E" w:rsidRPr="0006578E" w:rsidRDefault="0006578E" w:rsidP="0006578E">
      <w:pPr>
        <w:spacing w:after="0" w:line="240" w:lineRule="auto"/>
        <w:rPr>
          <w:rFonts w:ascii="Times New Roman" w:eastAsia="Times New Roman" w:hAnsi="Times New Roman" w:cs="Times New Roman"/>
          <w:kern w:val="0"/>
          <w14:ligatures w14:val="none"/>
        </w:rPr>
      </w:pPr>
    </w:p>
    <w:p w14:paraId="22319421" w14:textId="4571221A" w:rsidR="0032759F" w:rsidRPr="005852D6" w:rsidRDefault="0006578E" w:rsidP="00474395">
      <w:pPr>
        <w:spacing w:line="480" w:lineRule="auto"/>
        <w:ind w:firstLine="720"/>
        <w:rPr>
          <w:rFonts w:ascii="Arial" w:hAnsi="Arial" w:cs="Arial"/>
          <w:color w:val="333333"/>
          <w:shd w:val="clear" w:color="auto" w:fill="FFFFFF"/>
        </w:rPr>
      </w:pPr>
      <w:r w:rsidRPr="005852D6">
        <w:rPr>
          <w:rFonts w:ascii="Arial" w:hAnsi="Arial" w:cs="Arial"/>
          <w:color w:val="333333"/>
          <w:shd w:val="clear" w:color="auto" w:fill="FFFFFF"/>
        </w:rPr>
        <w:t>Large infrastructure projects have long-term contracts with foreign currency, which can affect profitability due to fluctuating exchange rates. Companies can include a clause to recoup revenue if exchange rates exceed agreed amount, but this carries foreign exchange risk and must be negotiated.</w:t>
      </w:r>
    </w:p>
    <w:p w14:paraId="2E48D291" w14:textId="05BC4DA5" w:rsidR="0006578E" w:rsidRPr="005852D6" w:rsidRDefault="0006578E" w:rsidP="005852D6">
      <w:pPr>
        <w:spacing w:line="480" w:lineRule="auto"/>
        <w:rPr>
          <w:rFonts w:ascii="Arial" w:hAnsi="Arial" w:cs="Arial"/>
          <w:color w:val="333333"/>
          <w:shd w:val="clear" w:color="auto" w:fill="FFFFFF"/>
        </w:rPr>
      </w:pPr>
      <w:r w:rsidRPr="005852D6">
        <w:rPr>
          <w:rFonts w:ascii="Arial" w:hAnsi="Arial" w:cs="Arial"/>
          <w:color w:val="333333"/>
          <w:shd w:val="clear" w:color="auto" w:fill="FFFFFF"/>
        </w:rPr>
        <w:lastRenderedPageBreak/>
        <w:t>Exchange rate clauses in contracts can mitigate foreign exchange risk, but require clear legal wording and disclosure of exchange rate indices. Regular review ensures appropriate steps are taken to recover losses.</w:t>
      </w:r>
      <w:r w:rsidR="005852D6">
        <w:rPr>
          <w:rFonts w:ascii="Arial" w:hAnsi="Arial" w:cs="Arial"/>
          <w:color w:val="333333"/>
          <w:shd w:val="clear" w:color="auto" w:fill="FFFFFF"/>
        </w:rPr>
        <w:t xml:space="preserve"> (Ainsworth, 2019)</w:t>
      </w:r>
    </w:p>
    <w:p w14:paraId="62A35C32" w14:textId="77777777" w:rsidR="0006578E" w:rsidRDefault="0006578E" w:rsidP="0006578E">
      <w:pPr>
        <w:pStyle w:val="Heading2"/>
      </w:pPr>
      <w:bookmarkStart w:id="6" w:name="_Toc162989183"/>
      <w:r>
        <w:t>Natural Foreign Exchange Hedging</w:t>
      </w:r>
      <w:bookmarkEnd w:id="6"/>
    </w:p>
    <w:p w14:paraId="041E58D2" w14:textId="77777777" w:rsidR="0006578E" w:rsidRPr="0006578E" w:rsidRDefault="0006578E" w:rsidP="005852D6">
      <w:pPr>
        <w:spacing w:after="0" w:line="480" w:lineRule="auto"/>
        <w:ind w:firstLine="720"/>
        <w:rPr>
          <w:rFonts w:ascii="Arial" w:eastAsia="Times New Roman" w:hAnsi="Arial" w:cs="Arial"/>
          <w:kern w:val="0"/>
          <w14:ligatures w14:val="none"/>
        </w:rPr>
      </w:pPr>
      <w:r w:rsidRPr="0006578E">
        <w:rPr>
          <w:rFonts w:ascii="Arial" w:eastAsia="Times New Roman" w:hAnsi="Arial" w:cs="Arial"/>
          <w:kern w:val="0"/>
          <w14:ligatures w14:val="none"/>
        </w:rPr>
        <w:t>In order to reduce net exposure, a natural foreign exchange hedge matches revenues and expenses in foreign currencies. The supply chain is made simpler, but finance teams are left to handle multiple currency P&amp;L and balance sheet management.</w:t>
      </w:r>
    </w:p>
    <w:p w14:paraId="61F25758" w14:textId="77777777" w:rsidR="0006578E" w:rsidRDefault="0006578E" w:rsidP="005642C5">
      <w:pPr>
        <w:spacing w:line="480" w:lineRule="auto"/>
        <w:rPr>
          <w:rFonts w:ascii="Arial" w:eastAsia="Times New Roman" w:hAnsi="Arial" w:cs="Arial"/>
          <w:kern w:val="0"/>
          <w14:ligatures w14:val="none"/>
        </w:rPr>
      </w:pPr>
    </w:p>
    <w:p w14:paraId="7E6F8E3B" w14:textId="558FD6EF" w:rsidR="0006578E" w:rsidRDefault="0006578E" w:rsidP="005642C5">
      <w:pPr>
        <w:spacing w:line="480" w:lineRule="auto"/>
        <w:rPr>
          <w:rFonts w:ascii="Arial" w:eastAsia="Times New Roman" w:hAnsi="Arial" w:cs="Arial"/>
          <w:kern w:val="0"/>
          <w14:ligatures w14:val="none"/>
        </w:rPr>
      </w:pPr>
      <w:r w:rsidRPr="0006578E">
        <w:rPr>
          <w:rFonts w:ascii="Arial" w:eastAsia="Times New Roman" w:hAnsi="Arial" w:cs="Arial"/>
          <w:kern w:val="0"/>
          <w14:ligatures w14:val="none"/>
        </w:rPr>
        <w:drawing>
          <wp:inline distT="0" distB="0" distL="0" distR="0" wp14:anchorId="0A357EEC" wp14:editId="7DE50413">
            <wp:extent cx="5943600" cy="4474845"/>
            <wp:effectExtent l="0" t="0" r="0" b="1905"/>
            <wp:docPr id="1608054133" name="Picture 1" descr="A diagram of a currency he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054133" name="Picture 1" descr="A diagram of a currency hedge&#10;&#10;Description automatically generated"/>
                    <pic:cNvPicPr/>
                  </pic:nvPicPr>
                  <pic:blipFill>
                    <a:blip r:embed="rId8"/>
                    <a:stretch>
                      <a:fillRect/>
                    </a:stretch>
                  </pic:blipFill>
                  <pic:spPr>
                    <a:xfrm>
                      <a:off x="0" y="0"/>
                      <a:ext cx="5943600" cy="4474845"/>
                    </a:xfrm>
                    <a:prstGeom prst="rect">
                      <a:avLst/>
                    </a:prstGeom>
                  </pic:spPr>
                </pic:pic>
              </a:graphicData>
            </a:graphic>
          </wp:inline>
        </w:drawing>
      </w:r>
    </w:p>
    <w:p w14:paraId="204DCCC5" w14:textId="1EEB5348" w:rsidR="0032759F" w:rsidRPr="005852D6" w:rsidRDefault="0006578E" w:rsidP="005852D6">
      <w:pPr>
        <w:spacing w:line="480" w:lineRule="auto"/>
        <w:jc w:val="center"/>
        <w:rPr>
          <w:rFonts w:ascii="Arial" w:eastAsia="Times New Roman" w:hAnsi="Arial" w:cs="Arial"/>
          <w:b/>
          <w:bCs/>
          <w:i/>
          <w:iCs/>
          <w:kern w:val="0"/>
          <w14:ligatures w14:val="none"/>
        </w:rPr>
      </w:pPr>
      <w:r w:rsidRPr="0006578E">
        <w:rPr>
          <w:rFonts w:ascii="Arial" w:eastAsia="Times New Roman" w:hAnsi="Arial" w:cs="Arial"/>
          <w:b/>
          <w:bCs/>
          <w:i/>
          <w:iCs/>
          <w:kern w:val="0"/>
          <w14:ligatures w14:val="none"/>
        </w:rPr>
        <w:t>https://www.toptal.com/finance/interim-cfos/foreign-exchange-risk</w:t>
      </w:r>
    </w:p>
    <w:p w14:paraId="3B54A8F7" w14:textId="77777777" w:rsidR="0006578E" w:rsidRPr="0006578E" w:rsidRDefault="0006578E" w:rsidP="005852D6">
      <w:pPr>
        <w:pStyle w:val="Heading2"/>
        <w:rPr>
          <w:rFonts w:eastAsia="Times New Roman"/>
        </w:rPr>
      </w:pPr>
      <w:bookmarkStart w:id="7" w:name="_Toc162989184"/>
      <w:r w:rsidRPr="0006578E">
        <w:rPr>
          <w:rFonts w:eastAsia="Times New Roman"/>
        </w:rPr>
        <w:lastRenderedPageBreak/>
        <w:t>Financial Instruments for Hedging Arrangements</w:t>
      </w:r>
      <w:bookmarkEnd w:id="7"/>
    </w:p>
    <w:p w14:paraId="2CAC804A" w14:textId="77777777" w:rsidR="005852D6" w:rsidRDefault="005852D6" w:rsidP="005852D6">
      <w:pPr>
        <w:spacing w:after="0" w:line="480" w:lineRule="auto"/>
        <w:ind w:firstLine="720"/>
        <w:rPr>
          <w:rFonts w:ascii="Arial" w:eastAsia="Times New Roman" w:hAnsi="Arial" w:cs="Arial"/>
          <w:kern w:val="0"/>
          <w14:ligatures w14:val="none"/>
        </w:rPr>
      </w:pPr>
      <w:r w:rsidRPr="005852D6">
        <w:rPr>
          <w:rFonts w:ascii="Arial" w:eastAsia="Times New Roman" w:hAnsi="Arial" w:cs="Arial"/>
          <w:kern w:val="0"/>
          <w14:ligatures w14:val="none"/>
        </w:rPr>
        <w:t>Trading with hedging instruments is the most intricate, but arguably most well-known, method of forex hedging. A forward contract and a currency option are the two fundamental types of hedging tools.</w:t>
      </w:r>
    </w:p>
    <w:p w14:paraId="7CC8FD3B" w14:textId="0B261309" w:rsidR="005852D6" w:rsidRPr="005852D6" w:rsidRDefault="005852D6" w:rsidP="00474395">
      <w:pPr>
        <w:pStyle w:val="Heading3"/>
        <w:rPr>
          <w:rFonts w:eastAsia="Times New Roman"/>
        </w:rPr>
      </w:pPr>
      <w:bookmarkStart w:id="8" w:name="_Toc162989185"/>
      <w:r>
        <w:rPr>
          <w:rFonts w:eastAsia="Times New Roman"/>
        </w:rPr>
        <w:t>The Forward Contract</w:t>
      </w:r>
      <w:bookmarkEnd w:id="8"/>
      <w:r>
        <w:rPr>
          <w:rFonts w:eastAsia="Times New Roman"/>
        </w:rPr>
        <w:t xml:space="preserve"> </w:t>
      </w:r>
    </w:p>
    <w:p w14:paraId="3302FF33" w14:textId="77777777" w:rsidR="009C11CE" w:rsidRPr="009C11CE" w:rsidRDefault="009C11CE" w:rsidP="009C11CE">
      <w:pPr>
        <w:spacing w:after="0" w:line="480" w:lineRule="auto"/>
        <w:rPr>
          <w:rFonts w:ascii="Arial" w:eastAsia="Times New Roman" w:hAnsi="Arial" w:cs="Arial"/>
          <w:kern w:val="0"/>
          <w14:ligatures w14:val="none"/>
        </w:rPr>
      </w:pPr>
      <w:r w:rsidRPr="009C11CE">
        <w:rPr>
          <w:rFonts w:ascii="Arial" w:eastAsia="Times New Roman" w:hAnsi="Arial" w:cs="Arial"/>
          <w:kern w:val="0"/>
          <w14:ligatures w14:val="none"/>
        </w:rPr>
        <w:t>A forward contract, sometimes just called a "forward," is an agreement to buy or sell an asset at an agreed-upon price on a given future date. A forward contract is a derivative because it is tied to the underlying asset that has been scheduled for delivery on a particular day.</w:t>
      </w:r>
    </w:p>
    <w:p w14:paraId="668C1201" w14:textId="4E343ACF" w:rsidR="009C11CE" w:rsidRPr="009C11CE" w:rsidRDefault="009C11CE" w:rsidP="00474395">
      <w:pPr>
        <w:spacing w:after="0" w:line="480" w:lineRule="auto"/>
        <w:ind w:firstLine="720"/>
        <w:rPr>
          <w:rFonts w:ascii="Arial" w:eastAsia="Times New Roman" w:hAnsi="Arial" w:cs="Arial"/>
          <w:kern w:val="0"/>
          <w14:ligatures w14:val="none"/>
        </w:rPr>
      </w:pPr>
      <w:r w:rsidRPr="009C11CE">
        <w:rPr>
          <w:rFonts w:ascii="Arial" w:eastAsia="Times New Roman" w:hAnsi="Arial" w:cs="Arial"/>
          <w:kern w:val="0"/>
          <w14:ligatures w14:val="none"/>
        </w:rPr>
        <w:t xml:space="preserve">A forward contract is a </w:t>
      </w:r>
      <w:r w:rsidR="00474395">
        <w:rPr>
          <w:rFonts w:ascii="Arial" w:eastAsia="Times New Roman" w:hAnsi="Arial" w:cs="Arial"/>
          <w:kern w:val="0"/>
          <w14:ligatures w14:val="none"/>
        </w:rPr>
        <w:t>sort of contract</w:t>
      </w:r>
      <w:r w:rsidRPr="009C11CE">
        <w:rPr>
          <w:rFonts w:ascii="Arial" w:eastAsia="Times New Roman" w:hAnsi="Arial" w:cs="Arial"/>
          <w:kern w:val="0"/>
          <w14:ligatures w14:val="none"/>
        </w:rPr>
        <w:t xml:space="preserve"> that, in order to minimize price volatility, locks in a price for an established period of time. When a forward contract is signed in, the seller takes a short position and the buyer takes a long position. The contract's buyer gets advantages from rising prices for the underlying asset, while the seller gets value from falling prices for the same asset.</w:t>
      </w:r>
    </w:p>
    <w:p w14:paraId="3E03B08A" w14:textId="77777777" w:rsidR="00B512A3" w:rsidRPr="00474395" w:rsidRDefault="009C11CE" w:rsidP="00B512A3">
      <w:pPr>
        <w:spacing w:after="0" w:line="480" w:lineRule="auto"/>
        <w:rPr>
          <w:rFonts w:ascii="Arial" w:hAnsi="Arial" w:cs="Arial"/>
          <w:shd w:val="clear" w:color="auto" w:fill="FFFFFF"/>
        </w:rPr>
      </w:pPr>
      <w:r w:rsidRPr="009C11CE">
        <w:rPr>
          <w:rFonts w:ascii="Arial" w:eastAsia="Times New Roman" w:hAnsi="Arial" w:cs="Arial"/>
          <w:kern w:val="0"/>
          <w14:ligatures w14:val="none"/>
        </w:rPr>
        <w:t xml:space="preserve">There are four primary factors to keep in mind regarding forward contracts. The four aspects are outlined below: </w:t>
      </w:r>
      <w:r w:rsidRPr="009C11CE">
        <w:rPr>
          <w:rFonts w:ascii="Arial" w:hAnsi="Arial" w:cs="Arial"/>
        </w:rPr>
        <w:br/>
      </w:r>
      <w:r w:rsidR="00B512A3" w:rsidRPr="00474395">
        <w:rPr>
          <w:rFonts w:ascii="Arial" w:hAnsi="Arial" w:cs="Arial"/>
          <w:shd w:val="clear" w:color="auto" w:fill="FFFFFF"/>
        </w:rPr>
        <w:t>There are four main elements that need to be taken into account when creating a forward contract</w:t>
      </w:r>
    </w:p>
    <w:p w14:paraId="211A2E46" w14:textId="77777777" w:rsidR="00B512A3" w:rsidRPr="00474395" w:rsidRDefault="00B512A3" w:rsidP="00B512A3">
      <w:pPr>
        <w:pStyle w:val="ListParagraph"/>
        <w:numPr>
          <w:ilvl w:val="0"/>
          <w:numId w:val="4"/>
        </w:numPr>
        <w:spacing w:after="0" w:line="480" w:lineRule="auto"/>
        <w:rPr>
          <w:rFonts w:ascii="Arial" w:hAnsi="Arial" w:cs="Arial"/>
          <w:shd w:val="clear" w:color="auto" w:fill="FFFFFF"/>
        </w:rPr>
      </w:pPr>
      <w:r w:rsidRPr="00474395">
        <w:rPr>
          <w:rFonts w:ascii="Arial" w:hAnsi="Arial" w:cs="Arial"/>
          <w:shd w:val="clear" w:color="auto" w:fill="FFFFFF"/>
        </w:rPr>
        <w:t>The underlying asset to which the contract refers.</w:t>
      </w:r>
    </w:p>
    <w:p w14:paraId="16F5D261" w14:textId="77777777" w:rsidR="00B512A3" w:rsidRPr="00474395" w:rsidRDefault="00B512A3" w:rsidP="00B512A3">
      <w:pPr>
        <w:pStyle w:val="ListParagraph"/>
        <w:numPr>
          <w:ilvl w:val="0"/>
          <w:numId w:val="4"/>
        </w:numPr>
        <w:spacing w:after="0" w:line="480" w:lineRule="auto"/>
        <w:rPr>
          <w:rFonts w:ascii="Arial" w:hAnsi="Arial" w:cs="Arial"/>
          <w:shd w:val="clear" w:color="auto" w:fill="FFFFFF"/>
        </w:rPr>
      </w:pPr>
      <w:r w:rsidRPr="00474395">
        <w:rPr>
          <w:rFonts w:ascii="Arial" w:hAnsi="Arial" w:cs="Arial"/>
          <w:shd w:val="clear" w:color="auto" w:fill="FFFFFF"/>
        </w:rPr>
        <w:t>T</w:t>
      </w:r>
      <w:r w:rsidRPr="00474395">
        <w:rPr>
          <w:rFonts w:ascii="Arial" w:hAnsi="Arial" w:cs="Arial"/>
          <w:shd w:val="clear" w:color="auto" w:fill="FFFFFF"/>
        </w:rPr>
        <w:t>he contract's end date. This is when the contract is settled with the delivery of the asset and the payment is made by the seller to the buyer.</w:t>
      </w:r>
    </w:p>
    <w:p w14:paraId="256C34BD" w14:textId="77777777" w:rsidR="00B512A3" w:rsidRPr="00474395" w:rsidRDefault="00B512A3" w:rsidP="00B512A3">
      <w:pPr>
        <w:pStyle w:val="ListParagraph"/>
        <w:numPr>
          <w:ilvl w:val="0"/>
          <w:numId w:val="4"/>
        </w:numPr>
        <w:spacing w:after="0" w:line="480" w:lineRule="auto"/>
        <w:rPr>
          <w:rFonts w:ascii="Arial" w:hAnsi="Arial" w:cs="Arial"/>
          <w:shd w:val="clear" w:color="auto" w:fill="FFFFFF"/>
        </w:rPr>
      </w:pPr>
      <w:r w:rsidRPr="00474395">
        <w:rPr>
          <w:rFonts w:ascii="Arial" w:hAnsi="Arial" w:cs="Arial"/>
          <w:shd w:val="clear" w:color="auto" w:fill="FFFFFF"/>
        </w:rPr>
        <w:t>Price. This is the price that the buyer will pay on the maturity/expiry date. This will include the currency in which the payment will be made.</w:t>
      </w:r>
    </w:p>
    <w:p w14:paraId="43BF3CCA" w14:textId="3920410C" w:rsidR="0032759F" w:rsidRPr="00474395" w:rsidRDefault="00B512A3" w:rsidP="00B512A3">
      <w:pPr>
        <w:pStyle w:val="ListParagraph"/>
        <w:numPr>
          <w:ilvl w:val="0"/>
          <w:numId w:val="4"/>
        </w:numPr>
        <w:spacing w:after="0" w:line="480" w:lineRule="auto"/>
        <w:rPr>
          <w:rFonts w:ascii="Arial" w:hAnsi="Arial" w:cs="Arial"/>
          <w:shd w:val="clear" w:color="auto" w:fill="FFFFFF"/>
        </w:rPr>
      </w:pPr>
      <w:r w:rsidRPr="00474395">
        <w:rPr>
          <w:rFonts w:ascii="Arial" w:hAnsi="Arial" w:cs="Arial"/>
          <w:shd w:val="clear" w:color="auto" w:fill="FFFFFF"/>
        </w:rPr>
        <w:lastRenderedPageBreak/>
        <w:t>Quantity. This is the volume of the contract. This will specify the specific amount of the asset to be purchased and sold.</w:t>
      </w:r>
    </w:p>
    <w:p w14:paraId="6ACB2D58" w14:textId="5FCEC8D3" w:rsidR="00333175" w:rsidRPr="00D74B40" w:rsidRDefault="00333175" w:rsidP="00D74B40">
      <w:pPr>
        <w:pStyle w:val="Heading3"/>
        <w:rPr>
          <w:rFonts w:eastAsiaTheme="minorHAnsi"/>
          <w:shd w:val="clear" w:color="auto" w:fill="FFFFFF"/>
        </w:rPr>
      </w:pPr>
      <w:bookmarkStart w:id="9" w:name="_Toc162989186"/>
      <w:r w:rsidRPr="00D74B40">
        <w:rPr>
          <w:shd w:val="clear" w:color="auto" w:fill="FFFFFF"/>
        </w:rPr>
        <w:t>Currency Option</w:t>
      </w:r>
      <w:bookmarkEnd w:id="9"/>
    </w:p>
    <w:p w14:paraId="7A85384B" w14:textId="23BAB530" w:rsidR="00D74B40" w:rsidRPr="00D74B40" w:rsidRDefault="00D74B40" w:rsidP="00D74B40">
      <w:pPr>
        <w:spacing w:after="0" w:line="480" w:lineRule="auto"/>
        <w:ind w:firstLine="720"/>
        <w:rPr>
          <w:rFonts w:ascii="Arial" w:eastAsia="Times New Roman" w:hAnsi="Arial" w:cs="Arial"/>
          <w:kern w:val="0"/>
          <w14:ligatures w14:val="none"/>
        </w:rPr>
      </w:pPr>
      <w:r w:rsidRPr="00D74B40">
        <w:rPr>
          <w:rFonts w:ascii="Arial" w:eastAsia="Times New Roman" w:hAnsi="Arial" w:cs="Arial"/>
          <w:kern w:val="0"/>
          <w14:ligatures w14:val="none"/>
        </w:rPr>
        <w:t>A contract that offers the buyer the right, but not the obligation, to buy or sell a specific currency at a particular exchange rate on or before a specified date is known as a currency option, additionally referred to as a forex option. The seller purchases this right by covering the premium.</w:t>
      </w:r>
      <w:r w:rsidR="00CD4C14">
        <w:rPr>
          <w:rFonts w:ascii="Arial" w:eastAsia="Times New Roman" w:hAnsi="Arial" w:cs="Arial"/>
          <w:color w:val="333333"/>
          <w:kern w:val="0"/>
          <w14:ligatures w14:val="none"/>
        </w:rPr>
        <w:t xml:space="preserve"> (Chen, 2022)</w:t>
      </w:r>
    </w:p>
    <w:p w14:paraId="796D6809" w14:textId="5D57ED1C" w:rsidR="00D74B40" w:rsidRPr="00474395" w:rsidRDefault="00D74B40" w:rsidP="00D74B40">
      <w:pPr>
        <w:shd w:val="clear" w:color="auto" w:fill="FFFFFF"/>
        <w:spacing w:line="480" w:lineRule="auto"/>
        <w:ind w:firstLine="720"/>
        <w:rPr>
          <w:rFonts w:ascii="Arial" w:hAnsi="Arial" w:cs="Arial"/>
          <w:shd w:val="clear" w:color="auto" w:fill="FFFFFF"/>
        </w:rPr>
      </w:pPr>
      <w:r w:rsidRPr="00474395">
        <w:rPr>
          <w:rFonts w:ascii="Arial" w:hAnsi="Arial" w:cs="Arial"/>
          <w:shd w:val="clear" w:color="auto" w:fill="FFFFFF"/>
        </w:rPr>
        <w:t>Currency options are derivatives used by investors to hedge against foreign currency risk. Trading options in forex markets offers various strategies based on the type of option and broker, with decentralized markets having more diverse characteristics than centralized exchanges.</w:t>
      </w:r>
    </w:p>
    <w:p w14:paraId="60E73B5F" w14:textId="7BAC204B" w:rsidR="00D74B40" w:rsidRPr="00474395" w:rsidRDefault="00D74B40" w:rsidP="00D74B40">
      <w:pPr>
        <w:spacing w:after="0" w:line="480" w:lineRule="auto"/>
        <w:ind w:firstLine="720"/>
        <w:rPr>
          <w:rFonts w:ascii="Arial" w:eastAsia="Times New Roman" w:hAnsi="Arial" w:cs="Arial"/>
          <w:kern w:val="0"/>
          <w14:ligatures w14:val="none"/>
        </w:rPr>
      </w:pPr>
      <w:r w:rsidRPr="00D74B40">
        <w:rPr>
          <w:rFonts w:ascii="Arial" w:eastAsia="Times New Roman" w:hAnsi="Arial" w:cs="Arial"/>
          <w:kern w:val="0"/>
          <w14:ligatures w14:val="none"/>
        </w:rPr>
        <w:t>Currency options trading offers forex traders unlimited upside potential with little downside risk. They profit from market forecasts based on news related to the economy, politics, or other subjects, and they hedge open positions in the forex cash market. Securities and commodity deals are settled immediately on the cash market.</w:t>
      </w:r>
    </w:p>
    <w:p w14:paraId="42CB4A7D" w14:textId="3ED3A4FA" w:rsidR="00D74B40" w:rsidRPr="00474395" w:rsidRDefault="00D74B40" w:rsidP="00D74B40">
      <w:pPr>
        <w:shd w:val="clear" w:color="auto" w:fill="FFFFFF"/>
        <w:spacing w:line="480" w:lineRule="auto"/>
        <w:rPr>
          <w:rFonts w:ascii="Arial" w:hAnsi="Arial" w:cs="Arial"/>
          <w:spacing w:val="1"/>
          <w:shd w:val="clear" w:color="auto" w:fill="FFFFFF"/>
        </w:rPr>
      </w:pPr>
      <w:r w:rsidRPr="00474395">
        <w:rPr>
          <w:rFonts w:ascii="Arial" w:hAnsi="Arial" w:cs="Arial"/>
          <w:spacing w:val="1"/>
          <w:shd w:val="clear" w:color="auto" w:fill="FFFFFF"/>
        </w:rPr>
        <w:t>We can distinct</w:t>
      </w:r>
      <w:r w:rsidRPr="00474395">
        <w:rPr>
          <w:rFonts w:ascii="Arial" w:hAnsi="Arial" w:cs="Arial"/>
          <w:spacing w:val="1"/>
          <w:shd w:val="clear" w:color="auto" w:fill="FFFFFF"/>
        </w:rPr>
        <w:t xml:space="preserve"> two types of options, calls and puts</w:t>
      </w:r>
      <w:r w:rsidRPr="00474395">
        <w:rPr>
          <w:rFonts w:ascii="Arial" w:hAnsi="Arial" w:cs="Arial"/>
          <w:spacing w:val="1"/>
          <w:shd w:val="clear" w:color="auto" w:fill="FFFFFF"/>
        </w:rPr>
        <w:t>.</w:t>
      </w:r>
    </w:p>
    <w:p w14:paraId="3B33CE6E" w14:textId="77777777" w:rsidR="00D74B40" w:rsidRPr="00474395" w:rsidRDefault="00D74B40" w:rsidP="00D74B40">
      <w:pPr>
        <w:pStyle w:val="ListParagraph"/>
        <w:numPr>
          <w:ilvl w:val="0"/>
          <w:numId w:val="5"/>
        </w:numPr>
        <w:spacing w:after="0" w:line="480" w:lineRule="auto"/>
        <w:rPr>
          <w:rFonts w:ascii="Arial" w:eastAsia="Times New Roman" w:hAnsi="Arial" w:cs="Arial"/>
          <w:kern w:val="0"/>
          <w14:ligatures w14:val="none"/>
        </w:rPr>
      </w:pPr>
      <w:r w:rsidRPr="00474395">
        <w:rPr>
          <w:rFonts w:ascii="Arial" w:eastAsia="Times New Roman" w:hAnsi="Arial" w:cs="Arial"/>
          <w:b/>
          <w:bCs/>
          <w:kern w:val="0"/>
          <w14:ligatures w14:val="none"/>
        </w:rPr>
        <w:t>Call options</w:t>
      </w:r>
      <w:r w:rsidRPr="00474395">
        <w:rPr>
          <w:rFonts w:ascii="Arial" w:eastAsia="Times New Roman" w:hAnsi="Arial" w:cs="Arial"/>
          <w:kern w:val="0"/>
          <w14:ligatures w14:val="none"/>
        </w:rPr>
        <w:t xml:space="preserve"> give holders the opportunity to buy an asset at a predetermined price; however, the option expires and loses value if the stock falls short of the strike price. When investors anticipate a rise in the share price, they buy calls; when they anticipate a decline, they sell them.</w:t>
      </w:r>
    </w:p>
    <w:p w14:paraId="43C63410" w14:textId="7861E040" w:rsidR="00D74B40" w:rsidRPr="00474395" w:rsidRDefault="00D74B40" w:rsidP="00D74B40">
      <w:pPr>
        <w:pStyle w:val="ListParagraph"/>
        <w:numPr>
          <w:ilvl w:val="0"/>
          <w:numId w:val="6"/>
        </w:numPr>
        <w:shd w:val="clear" w:color="auto" w:fill="FFFFFF"/>
        <w:spacing w:line="480" w:lineRule="auto"/>
        <w:rPr>
          <w:rFonts w:ascii="Arial" w:eastAsia="Times New Roman" w:hAnsi="Arial" w:cs="Arial"/>
          <w:kern w:val="0"/>
          <w14:ligatures w14:val="none"/>
        </w:rPr>
      </w:pPr>
      <w:r w:rsidRPr="00474395">
        <w:rPr>
          <w:rFonts w:ascii="Arial" w:eastAsia="Times New Roman" w:hAnsi="Arial" w:cs="Arial"/>
          <w:kern w:val="0"/>
          <w14:ligatures w14:val="none"/>
        </w:rPr>
        <w:t xml:space="preserve">Put options give the right to sell an underlying asset at a specified price. Investors buy puts if they think the share price of the underlying stock will fall, or </w:t>
      </w:r>
      <w:r w:rsidRPr="00474395">
        <w:rPr>
          <w:rFonts w:ascii="Arial" w:eastAsia="Times New Roman" w:hAnsi="Arial" w:cs="Arial"/>
          <w:kern w:val="0"/>
          <w14:ligatures w14:val="none"/>
        </w:rPr>
        <w:lastRenderedPageBreak/>
        <w:t>sell one if it will rise. Put sellers hold a "short" expecting the market to move upward.</w:t>
      </w:r>
    </w:p>
    <w:p w14:paraId="566968F2" w14:textId="1DA3C94C" w:rsidR="00CD4C14" w:rsidRDefault="00CD4C14" w:rsidP="00474395">
      <w:pPr>
        <w:pStyle w:val="Heading1"/>
        <w:rPr>
          <w:rFonts w:eastAsia="Times New Roman"/>
        </w:rPr>
      </w:pPr>
      <w:bookmarkStart w:id="10" w:name="_Toc162989187"/>
      <w:r>
        <w:rPr>
          <w:rFonts w:eastAsia="Times New Roman"/>
        </w:rPr>
        <w:t>Conclusion</w:t>
      </w:r>
      <w:bookmarkEnd w:id="10"/>
    </w:p>
    <w:p w14:paraId="2EB1043C" w14:textId="42829776" w:rsidR="00CD4C14" w:rsidRPr="00474395" w:rsidRDefault="00CD4C14" w:rsidP="00474395">
      <w:pPr>
        <w:shd w:val="clear" w:color="auto" w:fill="FFFFFF"/>
        <w:spacing w:line="480" w:lineRule="auto"/>
        <w:ind w:firstLine="720"/>
        <w:rPr>
          <w:rFonts w:ascii="Arial" w:eastAsia="Times New Roman" w:hAnsi="Arial" w:cs="Arial"/>
          <w:kern w:val="0"/>
          <w14:ligatures w14:val="none"/>
        </w:rPr>
      </w:pPr>
      <w:r w:rsidRPr="00474395">
        <w:rPr>
          <w:rFonts w:ascii="Arial" w:eastAsia="Times New Roman" w:hAnsi="Arial" w:cs="Arial"/>
          <w:kern w:val="0"/>
          <w14:ligatures w14:val="none"/>
        </w:rPr>
        <w:t xml:space="preserve">The are many strategies that MCN’s can use, on top of the ones that were </w:t>
      </w:r>
      <w:r w:rsidR="00474395" w:rsidRPr="00474395">
        <w:rPr>
          <w:rFonts w:ascii="Arial" w:eastAsia="Times New Roman" w:hAnsi="Arial" w:cs="Arial"/>
          <w:kern w:val="0"/>
          <w14:ligatures w14:val="none"/>
        </w:rPr>
        <w:t>mentioned</w:t>
      </w:r>
      <w:r w:rsidRPr="00474395">
        <w:rPr>
          <w:rFonts w:ascii="Arial" w:eastAsia="Times New Roman" w:hAnsi="Arial" w:cs="Arial"/>
          <w:kern w:val="0"/>
          <w14:ligatures w14:val="none"/>
        </w:rPr>
        <w:t xml:space="preserve"> above, strategies such as : netting, currency swaps, Leading and Lagging etc.</w:t>
      </w:r>
    </w:p>
    <w:p w14:paraId="06583AF1" w14:textId="7DCDE2AE" w:rsidR="00CD4C14" w:rsidRPr="00474395" w:rsidRDefault="00CD4C14" w:rsidP="00474395">
      <w:pPr>
        <w:shd w:val="clear" w:color="auto" w:fill="FFFFFF"/>
        <w:spacing w:line="480" w:lineRule="auto"/>
        <w:ind w:firstLine="720"/>
        <w:rPr>
          <w:rFonts w:ascii="Arial" w:eastAsia="Times New Roman" w:hAnsi="Arial" w:cs="Arial"/>
          <w:kern w:val="0"/>
          <w14:ligatures w14:val="none"/>
        </w:rPr>
      </w:pPr>
      <w:r w:rsidRPr="00474395">
        <w:rPr>
          <w:rFonts w:ascii="Arial" w:eastAsia="Times New Roman" w:hAnsi="Arial" w:cs="Arial"/>
          <w:kern w:val="0"/>
          <w14:ligatures w14:val="none"/>
        </w:rPr>
        <w:t>The primary goal of all MCN’s is to keep their stockholders happy, making sure that through their decision the progress and profit margins are insured.</w:t>
      </w:r>
    </w:p>
    <w:p w14:paraId="28E355CB" w14:textId="4495877A" w:rsidR="00CD4C14" w:rsidRPr="00474395" w:rsidRDefault="00CD4C14" w:rsidP="00474395">
      <w:pPr>
        <w:shd w:val="clear" w:color="auto" w:fill="FFFFFF"/>
        <w:spacing w:line="480" w:lineRule="auto"/>
        <w:ind w:firstLine="720"/>
        <w:rPr>
          <w:rFonts w:ascii="Arial" w:eastAsia="Times New Roman" w:hAnsi="Arial" w:cs="Arial"/>
          <w:kern w:val="0"/>
          <w14:ligatures w14:val="none"/>
        </w:rPr>
      </w:pPr>
      <w:r w:rsidRPr="00474395">
        <w:rPr>
          <w:rFonts w:ascii="Arial" w:eastAsia="Times New Roman" w:hAnsi="Arial" w:cs="Arial"/>
          <w:kern w:val="0"/>
          <w14:ligatures w14:val="none"/>
        </w:rPr>
        <w:t>So when they are developing overseas business they need to use all the tools and strategies that economic environment is providing</w:t>
      </w:r>
      <w:r w:rsidR="00474395" w:rsidRPr="00474395">
        <w:rPr>
          <w:rFonts w:ascii="Arial" w:eastAsia="Times New Roman" w:hAnsi="Arial" w:cs="Arial"/>
          <w:kern w:val="0"/>
          <w14:ligatures w14:val="none"/>
        </w:rPr>
        <w:t xml:space="preserve"> so that the company is protected against undesirable foreign exchange shifts.</w:t>
      </w:r>
    </w:p>
    <w:p w14:paraId="30A39145" w14:textId="77777777" w:rsidR="005852D6" w:rsidRDefault="005852D6" w:rsidP="005642C5">
      <w:pPr>
        <w:spacing w:line="480" w:lineRule="auto"/>
        <w:rPr>
          <w:rFonts w:ascii="Arial" w:eastAsia="Times New Roman" w:hAnsi="Arial" w:cs="Arial"/>
          <w:kern w:val="0"/>
          <w14:ligatures w14:val="none"/>
        </w:rPr>
      </w:pPr>
    </w:p>
    <w:p w14:paraId="033635FA" w14:textId="77777777" w:rsidR="005852D6" w:rsidRDefault="005852D6" w:rsidP="005642C5">
      <w:pPr>
        <w:spacing w:line="480" w:lineRule="auto"/>
        <w:rPr>
          <w:rFonts w:ascii="Arial" w:eastAsia="Times New Roman" w:hAnsi="Arial" w:cs="Arial"/>
          <w:kern w:val="0"/>
          <w14:ligatures w14:val="none"/>
        </w:rPr>
      </w:pPr>
    </w:p>
    <w:p w14:paraId="04DF0D0C" w14:textId="77777777" w:rsidR="005852D6" w:rsidRDefault="005852D6" w:rsidP="005642C5">
      <w:pPr>
        <w:spacing w:line="480" w:lineRule="auto"/>
        <w:rPr>
          <w:rFonts w:ascii="Arial" w:eastAsia="Times New Roman" w:hAnsi="Arial" w:cs="Arial"/>
          <w:kern w:val="0"/>
          <w14:ligatures w14:val="none"/>
        </w:rPr>
      </w:pPr>
    </w:p>
    <w:p w14:paraId="468FB7BC" w14:textId="77777777" w:rsidR="005852D6" w:rsidRDefault="005852D6" w:rsidP="005642C5">
      <w:pPr>
        <w:spacing w:line="480" w:lineRule="auto"/>
        <w:rPr>
          <w:rFonts w:ascii="Arial" w:eastAsia="Times New Roman" w:hAnsi="Arial" w:cs="Arial"/>
          <w:kern w:val="0"/>
          <w14:ligatures w14:val="none"/>
        </w:rPr>
      </w:pPr>
    </w:p>
    <w:p w14:paraId="1CC5CB3F" w14:textId="77777777" w:rsidR="005852D6" w:rsidRDefault="005852D6" w:rsidP="005642C5">
      <w:pPr>
        <w:spacing w:line="480" w:lineRule="auto"/>
        <w:rPr>
          <w:rFonts w:ascii="Arial" w:eastAsia="Times New Roman" w:hAnsi="Arial" w:cs="Arial"/>
          <w:kern w:val="0"/>
          <w14:ligatures w14:val="none"/>
        </w:rPr>
      </w:pPr>
    </w:p>
    <w:p w14:paraId="5246CED0" w14:textId="77777777" w:rsidR="005852D6" w:rsidRDefault="005852D6" w:rsidP="005642C5">
      <w:pPr>
        <w:spacing w:line="480" w:lineRule="auto"/>
        <w:rPr>
          <w:rFonts w:ascii="Arial" w:eastAsia="Times New Roman" w:hAnsi="Arial" w:cs="Arial"/>
          <w:kern w:val="0"/>
          <w14:ligatures w14:val="none"/>
        </w:rPr>
      </w:pPr>
    </w:p>
    <w:p w14:paraId="16D035B6" w14:textId="77777777" w:rsidR="005852D6" w:rsidRDefault="005852D6" w:rsidP="005642C5">
      <w:pPr>
        <w:spacing w:line="480" w:lineRule="auto"/>
        <w:rPr>
          <w:rFonts w:ascii="Arial" w:eastAsia="Times New Roman" w:hAnsi="Arial" w:cs="Arial"/>
          <w:kern w:val="0"/>
          <w14:ligatures w14:val="none"/>
        </w:rPr>
      </w:pPr>
    </w:p>
    <w:p w14:paraId="13A6F17B" w14:textId="77777777" w:rsidR="005852D6" w:rsidRDefault="005852D6" w:rsidP="005642C5">
      <w:pPr>
        <w:spacing w:line="480" w:lineRule="auto"/>
        <w:rPr>
          <w:rFonts w:ascii="Arial" w:eastAsia="Times New Roman" w:hAnsi="Arial" w:cs="Arial"/>
          <w:kern w:val="0"/>
          <w14:ligatures w14:val="none"/>
        </w:rPr>
      </w:pPr>
    </w:p>
    <w:p w14:paraId="6A471417" w14:textId="77777777" w:rsidR="00D74B40" w:rsidRDefault="00D74B40" w:rsidP="005642C5">
      <w:pPr>
        <w:spacing w:line="480" w:lineRule="auto"/>
        <w:rPr>
          <w:rFonts w:ascii="Arial" w:eastAsia="Times New Roman" w:hAnsi="Arial" w:cs="Arial"/>
          <w:kern w:val="0"/>
          <w14:ligatures w14:val="none"/>
        </w:rPr>
      </w:pPr>
    </w:p>
    <w:p w14:paraId="390798B5" w14:textId="2C69276A" w:rsidR="00D74B40" w:rsidRDefault="00474395" w:rsidP="00474395">
      <w:pPr>
        <w:pStyle w:val="Heading1"/>
        <w:rPr>
          <w:rFonts w:eastAsia="Times New Roman"/>
        </w:rPr>
      </w:pPr>
      <w:bookmarkStart w:id="11" w:name="_Toc162989188"/>
      <w:r>
        <w:rPr>
          <w:rFonts w:eastAsia="Times New Roman"/>
        </w:rPr>
        <w:t>REFERENCES</w:t>
      </w:r>
      <w:bookmarkEnd w:id="11"/>
    </w:p>
    <w:p w14:paraId="18229884" w14:textId="715B3A19" w:rsidR="005852D6" w:rsidRPr="00474395" w:rsidRDefault="005852D6" w:rsidP="00474395">
      <w:pPr>
        <w:spacing w:line="480" w:lineRule="auto"/>
        <w:rPr>
          <w:rFonts w:ascii="Arial" w:hAnsi="Arial" w:cs="Arial"/>
        </w:rPr>
      </w:pPr>
      <w:r w:rsidRPr="00474395">
        <w:rPr>
          <w:rFonts w:ascii="Arial" w:hAnsi="Arial" w:cs="Arial"/>
        </w:rPr>
        <w:t>Ainsworth, P. (2019)</w:t>
      </w:r>
      <w:r w:rsidRPr="00474395">
        <w:rPr>
          <w:rFonts w:ascii="Arial" w:hAnsi="Arial" w:cs="Arial"/>
        </w:rPr>
        <w:t xml:space="preserve">, </w:t>
      </w:r>
      <w:r w:rsidRPr="00474395">
        <w:rPr>
          <w:rFonts w:ascii="Arial" w:hAnsi="Arial" w:cs="Arial"/>
        </w:rPr>
        <w:t xml:space="preserve"> </w:t>
      </w:r>
      <w:r w:rsidRPr="00474395">
        <w:rPr>
          <w:rFonts w:ascii="Arial" w:hAnsi="Arial" w:cs="Arial"/>
          <w:i/>
          <w:iCs/>
        </w:rPr>
        <w:t xml:space="preserve">A guide to managing foreign exchange risk: </w:t>
      </w:r>
      <w:proofErr w:type="spellStart"/>
      <w:r w:rsidRPr="00474395">
        <w:rPr>
          <w:rFonts w:ascii="Arial" w:hAnsi="Arial" w:cs="Arial"/>
          <w:i/>
          <w:iCs/>
        </w:rPr>
        <w:t>Toptal</w:t>
      </w:r>
      <w:proofErr w:type="spellEnd"/>
      <w:r w:rsidRPr="00474395">
        <w:rPr>
          <w:rFonts w:ascii="Arial" w:hAnsi="Arial" w:cs="Arial"/>
          <w:i/>
          <w:iCs/>
        </w:rPr>
        <w:t>®</w:t>
      </w:r>
      <w:r w:rsidRPr="00474395">
        <w:rPr>
          <w:rFonts w:ascii="Arial" w:hAnsi="Arial" w:cs="Arial"/>
        </w:rPr>
        <w:t xml:space="preserve">, </w:t>
      </w:r>
      <w:proofErr w:type="spellStart"/>
      <w:r w:rsidRPr="00474395">
        <w:rPr>
          <w:rFonts w:ascii="Arial" w:hAnsi="Arial" w:cs="Arial"/>
          <w:i/>
          <w:iCs/>
        </w:rPr>
        <w:t>Toptal</w:t>
      </w:r>
      <w:proofErr w:type="spellEnd"/>
      <w:r w:rsidRPr="00474395">
        <w:rPr>
          <w:rFonts w:ascii="Arial" w:hAnsi="Arial" w:cs="Arial"/>
          <w:i/>
          <w:iCs/>
        </w:rPr>
        <w:t xml:space="preserve"> Finance Blog</w:t>
      </w:r>
      <w:r w:rsidRPr="00474395">
        <w:rPr>
          <w:rFonts w:ascii="Arial" w:hAnsi="Arial" w:cs="Arial"/>
        </w:rPr>
        <w:t xml:space="preserve">. Available at: </w:t>
      </w:r>
      <w:hyperlink r:id="rId9" w:history="1">
        <w:r w:rsidRPr="00474395">
          <w:rPr>
            <w:rStyle w:val="Hyperlink"/>
            <w:rFonts w:ascii="Arial" w:hAnsi="Arial" w:cs="Arial"/>
          </w:rPr>
          <w:t>https://www.toptal.com/finance/interim-cfos/foreign-exchange-risk</w:t>
        </w:r>
      </w:hyperlink>
      <w:r w:rsidRPr="00474395">
        <w:rPr>
          <w:rFonts w:ascii="Arial" w:hAnsi="Arial" w:cs="Arial"/>
        </w:rPr>
        <w:t xml:space="preserve">, </w:t>
      </w:r>
      <w:r w:rsidRPr="00474395">
        <w:rPr>
          <w:rFonts w:ascii="Arial" w:hAnsi="Arial" w:cs="Arial"/>
        </w:rPr>
        <w:t xml:space="preserve"> (Accessed: 15 March 2024)</w:t>
      </w:r>
    </w:p>
    <w:p w14:paraId="7642E1FC" w14:textId="521B9C5B" w:rsidR="00333175" w:rsidRPr="00474395" w:rsidRDefault="00333175" w:rsidP="00474395">
      <w:pPr>
        <w:spacing w:line="480" w:lineRule="auto"/>
        <w:rPr>
          <w:rFonts w:ascii="Arial" w:hAnsi="Arial" w:cs="Arial"/>
        </w:rPr>
      </w:pPr>
      <w:r w:rsidRPr="00474395">
        <w:rPr>
          <w:rFonts w:ascii="Arial" w:hAnsi="Arial" w:cs="Arial"/>
        </w:rPr>
        <w:t>CFI, (2023),</w:t>
      </w:r>
      <w:r w:rsidRPr="00474395">
        <w:rPr>
          <w:rFonts w:ascii="Arial" w:hAnsi="Arial" w:cs="Arial"/>
          <w:i/>
          <w:iCs/>
        </w:rPr>
        <w:t xml:space="preserve"> </w:t>
      </w:r>
      <w:r w:rsidRPr="00474395">
        <w:rPr>
          <w:rFonts w:ascii="Arial" w:hAnsi="Arial" w:cs="Arial"/>
          <w:i/>
          <w:iCs/>
        </w:rPr>
        <w:t>Forward contract</w:t>
      </w:r>
      <w:r w:rsidRPr="00474395">
        <w:rPr>
          <w:rFonts w:ascii="Arial" w:hAnsi="Arial" w:cs="Arial"/>
        </w:rPr>
        <w:t xml:space="preserve">, </w:t>
      </w:r>
      <w:r w:rsidRPr="00474395">
        <w:rPr>
          <w:rFonts w:ascii="Arial" w:hAnsi="Arial" w:cs="Arial"/>
        </w:rPr>
        <w:t xml:space="preserve">Available at: </w:t>
      </w:r>
      <w:hyperlink r:id="rId10" w:history="1">
        <w:r w:rsidRPr="00474395">
          <w:rPr>
            <w:rStyle w:val="Hyperlink"/>
            <w:rFonts w:ascii="Arial" w:hAnsi="Arial" w:cs="Arial"/>
          </w:rPr>
          <w:t>https://corporatefinanceinstitute.com/resources/derivatives/forward-contract</w:t>
        </w:r>
      </w:hyperlink>
      <w:r w:rsidRPr="00474395">
        <w:rPr>
          <w:rFonts w:ascii="Arial" w:hAnsi="Arial" w:cs="Arial"/>
        </w:rPr>
        <w:t xml:space="preserve">, </w:t>
      </w:r>
      <w:r w:rsidRPr="00474395">
        <w:rPr>
          <w:rFonts w:ascii="Arial" w:hAnsi="Arial" w:cs="Arial"/>
        </w:rPr>
        <w:t xml:space="preserve">(Accessed: 15 March 2024) </w:t>
      </w:r>
    </w:p>
    <w:p w14:paraId="029099F6" w14:textId="0851A22A" w:rsidR="00CD4C14" w:rsidRDefault="00CD4C14" w:rsidP="00474395">
      <w:pPr>
        <w:spacing w:line="480" w:lineRule="auto"/>
        <w:rPr>
          <w:rFonts w:ascii="Arial" w:hAnsi="Arial" w:cs="Arial"/>
        </w:rPr>
      </w:pPr>
      <w:r w:rsidRPr="00474395">
        <w:rPr>
          <w:rFonts w:ascii="Arial" w:hAnsi="Arial" w:cs="Arial"/>
        </w:rPr>
        <w:t>Chen, J. (</w:t>
      </w:r>
      <w:r w:rsidRPr="00474395">
        <w:rPr>
          <w:rFonts w:ascii="Arial" w:hAnsi="Arial" w:cs="Arial"/>
        </w:rPr>
        <w:t>2022</w:t>
      </w:r>
      <w:r w:rsidRPr="00474395">
        <w:rPr>
          <w:rFonts w:ascii="Arial" w:hAnsi="Arial" w:cs="Arial"/>
        </w:rPr>
        <w:t>)</w:t>
      </w:r>
      <w:r w:rsidRPr="00474395">
        <w:rPr>
          <w:rFonts w:ascii="Arial" w:hAnsi="Arial" w:cs="Arial"/>
        </w:rPr>
        <w:t>,</w:t>
      </w:r>
      <w:r w:rsidRPr="00474395">
        <w:rPr>
          <w:rFonts w:ascii="Arial" w:hAnsi="Arial" w:cs="Arial"/>
        </w:rPr>
        <w:t xml:space="preserve"> </w:t>
      </w:r>
      <w:r w:rsidRPr="00474395">
        <w:rPr>
          <w:rFonts w:ascii="Arial" w:hAnsi="Arial" w:cs="Arial"/>
          <w:i/>
          <w:iCs/>
        </w:rPr>
        <w:t>Currency option: Definition, types, features and when to exercise</w:t>
      </w:r>
      <w:r w:rsidRPr="00474395">
        <w:rPr>
          <w:rFonts w:ascii="Arial" w:hAnsi="Arial" w:cs="Arial"/>
        </w:rPr>
        <w:t xml:space="preserve">, </w:t>
      </w:r>
      <w:r w:rsidRPr="00474395">
        <w:rPr>
          <w:rFonts w:ascii="Arial" w:hAnsi="Arial" w:cs="Arial"/>
          <w:i/>
          <w:iCs/>
        </w:rPr>
        <w:t>Investopedia</w:t>
      </w:r>
      <w:r w:rsidRPr="00474395">
        <w:rPr>
          <w:rFonts w:ascii="Arial" w:hAnsi="Arial" w:cs="Arial"/>
        </w:rPr>
        <w:t xml:space="preserve">. Available at: </w:t>
      </w:r>
      <w:hyperlink r:id="rId11" w:history="1">
        <w:r w:rsidRPr="00474395">
          <w:rPr>
            <w:rStyle w:val="Hyperlink"/>
            <w:rFonts w:ascii="Arial" w:hAnsi="Arial" w:cs="Arial"/>
          </w:rPr>
          <w:t>https://www.investopedia.com/terms/c/currencyoption.asp</w:t>
        </w:r>
      </w:hyperlink>
      <w:r w:rsidRPr="00474395">
        <w:rPr>
          <w:rFonts w:ascii="Arial" w:hAnsi="Arial" w:cs="Arial"/>
        </w:rPr>
        <w:t xml:space="preserve">, </w:t>
      </w:r>
      <w:r w:rsidRPr="00474395">
        <w:rPr>
          <w:rFonts w:ascii="Arial" w:hAnsi="Arial" w:cs="Arial"/>
        </w:rPr>
        <w:t xml:space="preserve"> (Accessed: 15 March 2024)</w:t>
      </w:r>
    </w:p>
    <w:p w14:paraId="3B37DE4B" w14:textId="77777777" w:rsidR="00474395" w:rsidRPr="00474395" w:rsidRDefault="00474395" w:rsidP="00474395">
      <w:pPr>
        <w:spacing w:line="480" w:lineRule="auto"/>
        <w:rPr>
          <w:rFonts w:ascii="Arial" w:hAnsi="Arial" w:cs="Arial"/>
        </w:rPr>
      </w:pPr>
      <w:r w:rsidRPr="00474395">
        <w:rPr>
          <w:rFonts w:ascii="Arial" w:hAnsi="Arial" w:cs="Arial"/>
        </w:rPr>
        <w:t xml:space="preserve">Ganti, A. (2020),  </w:t>
      </w:r>
      <w:r w:rsidRPr="00474395">
        <w:rPr>
          <w:rFonts w:ascii="Arial" w:hAnsi="Arial" w:cs="Arial"/>
          <w:i/>
          <w:iCs/>
        </w:rPr>
        <w:t xml:space="preserve">Foreign Exchange Risk: What it is and hedging against it, with examples, Investopedia, </w:t>
      </w:r>
      <w:r w:rsidRPr="00474395">
        <w:rPr>
          <w:rFonts w:ascii="Arial" w:hAnsi="Arial" w:cs="Arial"/>
        </w:rPr>
        <w:t xml:space="preserve">Available at: </w:t>
      </w:r>
      <w:hyperlink r:id="rId12" w:history="1">
        <w:r w:rsidRPr="00474395">
          <w:rPr>
            <w:rStyle w:val="Hyperlink"/>
            <w:rFonts w:ascii="Arial" w:hAnsi="Arial" w:cs="Arial"/>
          </w:rPr>
          <w:t>https://www.investopedia.com/terms/f/foreignexchangerisk.asp</w:t>
        </w:r>
      </w:hyperlink>
      <w:r w:rsidRPr="00474395">
        <w:rPr>
          <w:rFonts w:ascii="Arial" w:hAnsi="Arial" w:cs="Arial"/>
        </w:rPr>
        <w:t>, (Accessed: 15 March 2024)</w:t>
      </w:r>
    </w:p>
    <w:p w14:paraId="640BFEB9" w14:textId="77777777" w:rsidR="00474395" w:rsidRPr="00474395" w:rsidRDefault="00474395" w:rsidP="00474395">
      <w:pPr>
        <w:spacing w:line="480" w:lineRule="auto"/>
        <w:rPr>
          <w:rFonts w:ascii="Arial" w:hAnsi="Arial" w:cs="Arial"/>
        </w:rPr>
      </w:pPr>
    </w:p>
    <w:p w14:paraId="31ED98AD" w14:textId="4023CAB5" w:rsidR="000A66EA" w:rsidRDefault="000A66EA" w:rsidP="00474395">
      <w:pPr>
        <w:spacing w:line="480" w:lineRule="auto"/>
        <w:jc w:val="both"/>
        <w:rPr>
          <w:rFonts w:ascii="Arial" w:hAnsi="Arial" w:cs="Arial"/>
        </w:rPr>
      </w:pPr>
      <w:r w:rsidRPr="00474395">
        <w:rPr>
          <w:rFonts w:ascii="Arial" w:hAnsi="Arial" w:cs="Arial"/>
        </w:rPr>
        <w:t xml:space="preserve">Papaioannou, M.G. (2006) </w:t>
      </w:r>
      <w:r w:rsidRPr="00474395">
        <w:rPr>
          <w:rFonts w:ascii="Arial" w:hAnsi="Arial" w:cs="Arial"/>
          <w:i/>
          <w:iCs/>
        </w:rPr>
        <w:t>‘Exchange rate risk measurement and management: Issues and approaches for firms’,</w:t>
      </w:r>
      <w:r w:rsidRPr="00474395">
        <w:rPr>
          <w:rFonts w:ascii="Arial" w:hAnsi="Arial" w:cs="Arial"/>
        </w:rPr>
        <w:t xml:space="preserve"> </w:t>
      </w:r>
      <w:r w:rsidRPr="00474395">
        <w:rPr>
          <w:rFonts w:ascii="Arial" w:hAnsi="Arial" w:cs="Arial"/>
          <w:i/>
          <w:iCs/>
        </w:rPr>
        <w:t>SSRN Electronic Journal</w:t>
      </w:r>
      <w:r w:rsidRPr="00474395">
        <w:rPr>
          <w:rFonts w:ascii="Arial" w:hAnsi="Arial" w:cs="Arial"/>
        </w:rPr>
        <w:t xml:space="preserve"> [Preprint]. doi:10.2139/ssrn.947372. </w:t>
      </w:r>
    </w:p>
    <w:p w14:paraId="45D2ABC2" w14:textId="244D59B8" w:rsidR="00474395" w:rsidRPr="00474395" w:rsidRDefault="00474395" w:rsidP="00474395">
      <w:pPr>
        <w:spacing w:line="480" w:lineRule="auto"/>
        <w:rPr>
          <w:rFonts w:ascii="Arial" w:hAnsi="Arial" w:cs="Arial"/>
        </w:rPr>
      </w:pPr>
      <w:r w:rsidRPr="00474395">
        <w:rPr>
          <w:rFonts w:ascii="Arial" w:hAnsi="Arial" w:cs="Arial"/>
        </w:rPr>
        <w:t xml:space="preserve">Ragunath, G. (2019), </w:t>
      </w:r>
      <w:r w:rsidRPr="00474395">
        <w:rPr>
          <w:rFonts w:ascii="Arial" w:hAnsi="Arial" w:cs="Arial"/>
          <w:i/>
          <w:iCs/>
        </w:rPr>
        <w:t>International Financial Management</w:t>
      </w:r>
      <w:r w:rsidRPr="00474395">
        <w:rPr>
          <w:rFonts w:ascii="Arial" w:hAnsi="Arial" w:cs="Arial"/>
        </w:rPr>
        <w:t xml:space="preserve">. Available at: </w:t>
      </w:r>
      <w:hyperlink r:id="rId13" w:history="1">
        <w:r w:rsidRPr="00474395">
          <w:rPr>
            <w:rStyle w:val="Hyperlink"/>
            <w:rFonts w:ascii="Arial" w:hAnsi="Arial" w:cs="Arial"/>
          </w:rPr>
          <w:t>https://www.researchgate.net/publication/350236381_International_Financial_Management</w:t>
        </w:r>
      </w:hyperlink>
      <w:r w:rsidRPr="00474395">
        <w:rPr>
          <w:rFonts w:ascii="Arial" w:hAnsi="Arial" w:cs="Arial"/>
        </w:rPr>
        <w:t xml:space="preserve">,  (Accessed: 15 March 2024) </w:t>
      </w:r>
    </w:p>
    <w:p w14:paraId="073E3A57" w14:textId="2E13940F" w:rsidR="00474395" w:rsidRPr="00474395" w:rsidRDefault="000A66EA" w:rsidP="00474395">
      <w:pPr>
        <w:pStyle w:val="NormalWeb"/>
        <w:spacing w:before="0" w:beforeAutospacing="0" w:after="0" w:afterAutospacing="0" w:line="480" w:lineRule="auto"/>
        <w:rPr>
          <w:rFonts w:ascii="Arial" w:hAnsi="Arial" w:cs="Arial"/>
        </w:rPr>
      </w:pPr>
      <w:r w:rsidRPr="00474395">
        <w:rPr>
          <w:rFonts w:ascii="Arial" w:hAnsi="Arial" w:cs="Arial"/>
          <w:color w:val="000000"/>
        </w:rPr>
        <w:lastRenderedPageBreak/>
        <w:t>University of Wolverhampton</w:t>
      </w:r>
      <w:r w:rsidRPr="00474395">
        <w:rPr>
          <w:rFonts w:ascii="Arial" w:hAnsi="Arial" w:cs="Arial"/>
          <w:color w:val="000000"/>
        </w:rPr>
        <w:t xml:space="preserve">, </w:t>
      </w:r>
      <w:r w:rsidRPr="00474395">
        <w:rPr>
          <w:rFonts w:ascii="Arial" w:hAnsi="Arial" w:cs="Arial"/>
          <w:color w:val="000000"/>
        </w:rPr>
        <w:t>(2021). </w:t>
      </w:r>
      <w:r w:rsidRPr="00474395">
        <w:rPr>
          <w:rFonts w:ascii="Arial" w:hAnsi="Arial" w:cs="Arial"/>
          <w:i/>
          <w:iCs/>
          <w:color w:val="000000"/>
        </w:rPr>
        <w:t xml:space="preserve">What is international finance? </w:t>
      </w:r>
      <w:r w:rsidRPr="00474395">
        <w:rPr>
          <w:rFonts w:ascii="Arial" w:hAnsi="Arial" w:cs="Arial"/>
          <w:color w:val="000000"/>
        </w:rPr>
        <w:t xml:space="preserve">Available at: </w:t>
      </w:r>
      <w:hyperlink r:id="rId14" w:history="1">
        <w:r w:rsidRPr="00474395">
          <w:rPr>
            <w:rStyle w:val="Hyperlink"/>
            <w:rFonts w:ascii="Arial" w:hAnsi="Arial" w:cs="Arial"/>
          </w:rPr>
          <w:t>https://online.wlv.ac.uk/what-is-international-finance/</w:t>
        </w:r>
      </w:hyperlink>
      <w:r w:rsidRPr="00474395">
        <w:rPr>
          <w:rFonts w:ascii="Arial" w:hAnsi="Arial" w:cs="Arial"/>
          <w:color w:val="000000"/>
        </w:rPr>
        <w:t>.</w:t>
      </w:r>
      <w:r w:rsidRPr="00474395">
        <w:rPr>
          <w:rFonts w:ascii="Arial" w:hAnsi="Arial" w:cs="Arial"/>
          <w:color w:val="000000"/>
        </w:rPr>
        <w:t xml:space="preserve">, </w:t>
      </w:r>
      <w:r w:rsidRPr="00474395">
        <w:rPr>
          <w:rFonts w:ascii="Arial" w:hAnsi="Arial" w:cs="Arial"/>
        </w:rPr>
        <w:t>(Accessed: 15 March 2024)</w:t>
      </w:r>
    </w:p>
    <w:p w14:paraId="7950DBF7" w14:textId="77777777" w:rsidR="00474395" w:rsidRPr="00474395" w:rsidRDefault="00474395" w:rsidP="00474395">
      <w:pPr>
        <w:spacing w:line="480" w:lineRule="auto"/>
        <w:rPr>
          <w:rFonts w:ascii="Arial" w:hAnsi="Arial" w:cs="Arial"/>
        </w:rPr>
      </w:pPr>
      <w:r w:rsidRPr="00474395">
        <w:rPr>
          <w:rFonts w:ascii="Arial" w:hAnsi="Arial" w:cs="Arial"/>
        </w:rPr>
        <w:t xml:space="preserve">Wang, Y. (2020), </w:t>
      </w:r>
      <w:r w:rsidRPr="00474395">
        <w:rPr>
          <w:rFonts w:ascii="Arial" w:hAnsi="Arial" w:cs="Arial"/>
          <w:i/>
          <w:iCs/>
        </w:rPr>
        <w:t>Foreign Exchange Risk Management of multinational companies</w:t>
      </w:r>
      <w:r w:rsidRPr="00474395">
        <w:rPr>
          <w:rFonts w:ascii="Arial" w:hAnsi="Arial" w:cs="Arial"/>
        </w:rPr>
        <w:t xml:space="preserve">, Available at: </w:t>
      </w:r>
      <w:hyperlink r:id="rId15" w:history="1">
        <w:r w:rsidRPr="00474395">
          <w:rPr>
            <w:rStyle w:val="Hyperlink"/>
            <w:rFonts w:ascii="Arial" w:hAnsi="Arial" w:cs="Arial"/>
          </w:rPr>
          <w:t>https://www.researchgate.net/publication/347093546_Foreign_Exchange_Risk_Management_of_Multinational_Companies</w:t>
        </w:r>
      </w:hyperlink>
      <w:r w:rsidRPr="00474395">
        <w:rPr>
          <w:rFonts w:ascii="Arial" w:hAnsi="Arial" w:cs="Arial"/>
        </w:rPr>
        <w:t>, (Accessed: 15 March 2024)</w:t>
      </w:r>
    </w:p>
    <w:p w14:paraId="7AE390FD" w14:textId="77777777" w:rsidR="00474395" w:rsidRPr="00474395" w:rsidRDefault="00474395" w:rsidP="00474395">
      <w:pPr>
        <w:pStyle w:val="NormalWeb"/>
        <w:spacing w:before="0" w:beforeAutospacing="0" w:after="0" w:afterAutospacing="0" w:line="480" w:lineRule="auto"/>
        <w:rPr>
          <w:rFonts w:ascii="Arial" w:hAnsi="Arial" w:cs="Arial"/>
          <w:color w:val="000000"/>
        </w:rPr>
      </w:pPr>
    </w:p>
    <w:p w14:paraId="42F91B2B" w14:textId="77777777" w:rsidR="00FC7784" w:rsidRPr="00474395" w:rsidRDefault="00FC7784" w:rsidP="00474395">
      <w:pPr>
        <w:pStyle w:val="NormalWeb"/>
        <w:spacing w:before="0" w:beforeAutospacing="0" w:after="0" w:afterAutospacing="0" w:line="480" w:lineRule="auto"/>
        <w:rPr>
          <w:rFonts w:ascii="Arial" w:hAnsi="Arial" w:cs="Arial"/>
          <w:color w:val="000000"/>
        </w:rPr>
      </w:pPr>
    </w:p>
    <w:p w14:paraId="3B0ABEA8" w14:textId="36FB6B18" w:rsidR="000A66EA" w:rsidRDefault="000A66EA" w:rsidP="000A66EA">
      <w:pPr>
        <w:pStyle w:val="NormalWeb"/>
        <w:rPr>
          <w:rFonts w:ascii="Calibri" w:hAnsi="Calibri" w:cs="Calibri"/>
          <w:color w:val="000000"/>
          <w:sz w:val="27"/>
          <w:szCs w:val="27"/>
        </w:rPr>
      </w:pPr>
    </w:p>
    <w:p w14:paraId="3D504F8C" w14:textId="58C996D4" w:rsidR="00C855D2" w:rsidRPr="005642C5" w:rsidRDefault="00C855D2" w:rsidP="005642C5">
      <w:pPr>
        <w:spacing w:line="480" w:lineRule="auto"/>
        <w:rPr>
          <w:rFonts w:ascii="Arial" w:hAnsi="Arial" w:cs="Arial"/>
        </w:rPr>
      </w:pPr>
    </w:p>
    <w:p w14:paraId="3C18F3A1" w14:textId="77777777" w:rsidR="005642C5" w:rsidRDefault="005642C5"/>
    <w:sectPr w:rsidR="005642C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9AB6E4" w14:textId="77777777" w:rsidR="00A51620" w:rsidRDefault="00A51620" w:rsidP="00474395">
      <w:pPr>
        <w:spacing w:after="0" w:line="240" w:lineRule="auto"/>
      </w:pPr>
      <w:r>
        <w:separator/>
      </w:r>
    </w:p>
  </w:endnote>
  <w:endnote w:type="continuationSeparator" w:id="0">
    <w:p w14:paraId="4108FE8C" w14:textId="77777777" w:rsidR="00A51620" w:rsidRDefault="00A51620" w:rsidP="00474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7151810"/>
      <w:docPartObj>
        <w:docPartGallery w:val="Page Numbers (Bottom of Page)"/>
        <w:docPartUnique/>
      </w:docPartObj>
    </w:sdtPr>
    <w:sdtEndPr>
      <w:rPr>
        <w:noProof/>
      </w:rPr>
    </w:sdtEndPr>
    <w:sdtContent>
      <w:p w14:paraId="1718A651" w14:textId="040703FA" w:rsidR="00474395" w:rsidRDefault="004743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F836E1" w14:textId="77777777" w:rsidR="00474395" w:rsidRDefault="00474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128204" w14:textId="77777777" w:rsidR="00A51620" w:rsidRDefault="00A51620" w:rsidP="00474395">
      <w:pPr>
        <w:spacing w:after="0" w:line="240" w:lineRule="auto"/>
      </w:pPr>
      <w:r>
        <w:separator/>
      </w:r>
    </w:p>
  </w:footnote>
  <w:footnote w:type="continuationSeparator" w:id="0">
    <w:p w14:paraId="755D30A3" w14:textId="77777777" w:rsidR="00A51620" w:rsidRDefault="00A51620" w:rsidP="00474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53437"/>
    <w:multiLevelType w:val="multilevel"/>
    <w:tmpl w:val="E4E6E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C03372"/>
    <w:multiLevelType w:val="hybridMultilevel"/>
    <w:tmpl w:val="A2621C44"/>
    <w:lvl w:ilvl="0" w:tplc="9CB20658">
      <w:start w:val="1"/>
      <w:numFmt w:val="bullet"/>
      <w:lvlText w:val=""/>
      <w:lvlJc w:val="left"/>
      <w:pPr>
        <w:ind w:left="720" w:hanging="360"/>
      </w:pPr>
      <w:rPr>
        <w:rFonts w:ascii="Symbol" w:eastAsia="Times New Roman" w:hAnsi="Symbo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5676C8"/>
    <w:multiLevelType w:val="hybridMultilevel"/>
    <w:tmpl w:val="315E6A6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A850E1"/>
    <w:multiLevelType w:val="hybridMultilevel"/>
    <w:tmpl w:val="4E8843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1B2705"/>
    <w:multiLevelType w:val="hybridMultilevel"/>
    <w:tmpl w:val="50AC38F4"/>
    <w:lvl w:ilvl="0" w:tplc="75268E16">
      <w:start w:val="1"/>
      <w:numFmt w:val="decimal"/>
      <w:lvlText w:val="%1."/>
      <w:lvlJc w:val="left"/>
      <w:pPr>
        <w:ind w:left="720" w:hanging="360"/>
      </w:pPr>
      <w:rPr>
        <w:rFonts w:asciiTheme="minorHAnsi" w:eastAsiaTheme="minorHAnsi" w:hAnsiTheme="minorHAnsi" w:cstheme="minorBidi"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9812BA7"/>
    <w:multiLevelType w:val="hybridMultilevel"/>
    <w:tmpl w:val="D62282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4733865">
    <w:abstractNumId w:val="0"/>
  </w:num>
  <w:num w:numId="2" w16cid:durableId="767312962">
    <w:abstractNumId w:val="1"/>
  </w:num>
  <w:num w:numId="3" w16cid:durableId="1561941819">
    <w:abstractNumId w:val="4"/>
  </w:num>
  <w:num w:numId="4" w16cid:durableId="520321760">
    <w:abstractNumId w:val="3"/>
  </w:num>
  <w:num w:numId="5" w16cid:durableId="2019695300">
    <w:abstractNumId w:val="5"/>
  </w:num>
  <w:num w:numId="6" w16cid:durableId="19112291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934"/>
    <w:rsid w:val="0006578E"/>
    <w:rsid w:val="000A66EA"/>
    <w:rsid w:val="001D06DA"/>
    <w:rsid w:val="00253958"/>
    <w:rsid w:val="0032759F"/>
    <w:rsid w:val="00333175"/>
    <w:rsid w:val="00357E3E"/>
    <w:rsid w:val="00474395"/>
    <w:rsid w:val="005642C5"/>
    <w:rsid w:val="005852D6"/>
    <w:rsid w:val="008D5934"/>
    <w:rsid w:val="00960CB0"/>
    <w:rsid w:val="009C11CE"/>
    <w:rsid w:val="00A01380"/>
    <w:rsid w:val="00A51620"/>
    <w:rsid w:val="00B512A3"/>
    <w:rsid w:val="00C855D2"/>
    <w:rsid w:val="00CD4C14"/>
    <w:rsid w:val="00D74B40"/>
    <w:rsid w:val="00E27A39"/>
    <w:rsid w:val="00F94D9D"/>
    <w:rsid w:val="00FC7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AF7B1"/>
  <w15:chartTrackingRefBased/>
  <w15:docId w15:val="{3DD64928-5F9B-43EB-8269-D4FD96BE1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59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59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D59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59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59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59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59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59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59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59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D59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D59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59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59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59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59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59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5934"/>
    <w:rPr>
      <w:rFonts w:eastAsiaTheme="majorEastAsia" w:cstheme="majorBidi"/>
      <w:color w:val="272727" w:themeColor="text1" w:themeTint="D8"/>
    </w:rPr>
  </w:style>
  <w:style w:type="paragraph" w:styleId="Title">
    <w:name w:val="Title"/>
    <w:basedOn w:val="Normal"/>
    <w:next w:val="Normal"/>
    <w:link w:val="TitleChar"/>
    <w:uiPriority w:val="10"/>
    <w:qFormat/>
    <w:rsid w:val="008D59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59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59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59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5934"/>
    <w:pPr>
      <w:spacing w:before="160"/>
      <w:jc w:val="center"/>
    </w:pPr>
    <w:rPr>
      <w:i/>
      <w:iCs/>
      <w:color w:val="404040" w:themeColor="text1" w:themeTint="BF"/>
    </w:rPr>
  </w:style>
  <w:style w:type="character" w:customStyle="1" w:styleId="QuoteChar">
    <w:name w:val="Quote Char"/>
    <w:basedOn w:val="DefaultParagraphFont"/>
    <w:link w:val="Quote"/>
    <w:uiPriority w:val="29"/>
    <w:rsid w:val="008D5934"/>
    <w:rPr>
      <w:i/>
      <w:iCs/>
      <w:color w:val="404040" w:themeColor="text1" w:themeTint="BF"/>
    </w:rPr>
  </w:style>
  <w:style w:type="paragraph" w:styleId="ListParagraph">
    <w:name w:val="List Paragraph"/>
    <w:basedOn w:val="Normal"/>
    <w:uiPriority w:val="34"/>
    <w:qFormat/>
    <w:rsid w:val="008D5934"/>
    <w:pPr>
      <w:ind w:left="720"/>
      <w:contextualSpacing/>
    </w:pPr>
  </w:style>
  <w:style w:type="character" w:styleId="IntenseEmphasis">
    <w:name w:val="Intense Emphasis"/>
    <w:basedOn w:val="DefaultParagraphFont"/>
    <w:uiPriority w:val="21"/>
    <w:qFormat/>
    <w:rsid w:val="008D5934"/>
    <w:rPr>
      <w:i/>
      <w:iCs/>
      <w:color w:val="0F4761" w:themeColor="accent1" w:themeShade="BF"/>
    </w:rPr>
  </w:style>
  <w:style w:type="paragraph" w:styleId="IntenseQuote">
    <w:name w:val="Intense Quote"/>
    <w:basedOn w:val="Normal"/>
    <w:next w:val="Normal"/>
    <w:link w:val="IntenseQuoteChar"/>
    <w:uiPriority w:val="30"/>
    <w:qFormat/>
    <w:rsid w:val="008D59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5934"/>
    <w:rPr>
      <w:i/>
      <w:iCs/>
      <w:color w:val="0F4761" w:themeColor="accent1" w:themeShade="BF"/>
    </w:rPr>
  </w:style>
  <w:style w:type="character" w:styleId="IntenseReference">
    <w:name w:val="Intense Reference"/>
    <w:basedOn w:val="DefaultParagraphFont"/>
    <w:uiPriority w:val="32"/>
    <w:qFormat/>
    <w:rsid w:val="008D5934"/>
    <w:rPr>
      <w:b/>
      <w:bCs/>
      <w:smallCaps/>
      <w:color w:val="0F4761" w:themeColor="accent1" w:themeShade="BF"/>
      <w:spacing w:val="5"/>
    </w:rPr>
  </w:style>
  <w:style w:type="paragraph" w:styleId="NormalWeb">
    <w:name w:val="Normal (Web)"/>
    <w:basedOn w:val="Normal"/>
    <w:uiPriority w:val="99"/>
    <w:unhideWhenUsed/>
    <w:rsid w:val="005642C5"/>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5642C5"/>
    <w:rPr>
      <w:color w:val="467886" w:themeColor="hyperlink"/>
      <w:u w:val="single"/>
    </w:rPr>
  </w:style>
  <w:style w:type="character" w:styleId="UnresolvedMention">
    <w:name w:val="Unresolved Mention"/>
    <w:basedOn w:val="DefaultParagraphFont"/>
    <w:uiPriority w:val="99"/>
    <w:semiHidden/>
    <w:unhideWhenUsed/>
    <w:rsid w:val="005642C5"/>
    <w:rPr>
      <w:color w:val="605E5C"/>
      <w:shd w:val="clear" w:color="auto" w:fill="E1DFDD"/>
    </w:rPr>
  </w:style>
  <w:style w:type="character" w:customStyle="1" w:styleId="sizemceutegg">
    <w:name w:val="_size_m_ceute_gg_"/>
    <w:basedOn w:val="DefaultParagraphFont"/>
    <w:rsid w:val="00D74B40"/>
  </w:style>
  <w:style w:type="paragraph" w:customStyle="1" w:styleId="stext1875kgg">
    <w:name w:val="___stext_1875k_gg_"/>
    <w:basedOn w:val="Normal"/>
    <w:rsid w:val="00D74B4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4743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4395"/>
  </w:style>
  <w:style w:type="paragraph" w:styleId="Footer">
    <w:name w:val="footer"/>
    <w:basedOn w:val="Normal"/>
    <w:link w:val="FooterChar"/>
    <w:uiPriority w:val="99"/>
    <w:unhideWhenUsed/>
    <w:rsid w:val="004743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395"/>
  </w:style>
  <w:style w:type="paragraph" w:styleId="TOCHeading">
    <w:name w:val="TOC Heading"/>
    <w:basedOn w:val="Heading1"/>
    <w:next w:val="Normal"/>
    <w:uiPriority w:val="39"/>
    <w:unhideWhenUsed/>
    <w:qFormat/>
    <w:rsid w:val="0047439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474395"/>
    <w:pPr>
      <w:spacing w:after="100"/>
    </w:pPr>
  </w:style>
  <w:style w:type="paragraph" w:styleId="TOC2">
    <w:name w:val="toc 2"/>
    <w:basedOn w:val="Normal"/>
    <w:next w:val="Normal"/>
    <w:autoRedefine/>
    <w:uiPriority w:val="39"/>
    <w:unhideWhenUsed/>
    <w:rsid w:val="00474395"/>
    <w:pPr>
      <w:spacing w:after="100"/>
      <w:ind w:left="240"/>
    </w:pPr>
  </w:style>
  <w:style w:type="paragraph" w:styleId="TOC3">
    <w:name w:val="toc 3"/>
    <w:basedOn w:val="Normal"/>
    <w:next w:val="Normal"/>
    <w:autoRedefine/>
    <w:uiPriority w:val="39"/>
    <w:unhideWhenUsed/>
    <w:rsid w:val="0047439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788488">
      <w:bodyDiv w:val="1"/>
      <w:marLeft w:val="0"/>
      <w:marRight w:val="0"/>
      <w:marTop w:val="0"/>
      <w:marBottom w:val="0"/>
      <w:divBdr>
        <w:top w:val="none" w:sz="0" w:space="0" w:color="auto"/>
        <w:left w:val="none" w:sz="0" w:space="0" w:color="auto"/>
        <w:bottom w:val="none" w:sz="0" w:space="0" w:color="auto"/>
        <w:right w:val="none" w:sz="0" w:space="0" w:color="auto"/>
      </w:divBdr>
      <w:divsChild>
        <w:div w:id="1925651209">
          <w:marLeft w:val="0"/>
          <w:marRight w:val="0"/>
          <w:marTop w:val="0"/>
          <w:marBottom w:val="0"/>
          <w:divBdr>
            <w:top w:val="none" w:sz="0" w:space="0" w:color="auto"/>
            <w:left w:val="none" w:sz="0" w:space="0" w:color="auto"/>
            <w:bottom w:val="none" w:sz="0" w:space="0" w:color="auto"/>
            <w:right w:val="none" w:sz="0" w:space="0" w:color="auto"/>
          </w:divBdr>
        </w:div>
        <w:div w:id="830413576">
          <w:marLeft w:val="0"/>
          <w:marRight w:val="0"/>
          <w:marTop w:val="180"/>
          <w:marBottom w:val="270"/>
          <w:divBdr>
            <w:top w:val="single" w:sz="6" w:space="0" w:color="B5BAC4"/>
            <w:left w:val="single" w:sz="6" w:space="0" w:color="B5BAC4"/>
            <w:bottom w:val="single" w:sz="6" w:space="0" w:color="B5BAC4"/>
            <w:right w:val="single" w:sz="6" w:space="0" w:color="B5BAC4"/>
          </w:divBdr>
          <w:divsChild>
            <w:div w:id="95009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36392">
      <w:bodyDiv w:val="1"/>
      <w:marLeft w:val="0"/>
      <w:marRight w:val="0"/>
      <w:marTop w:val="0"/>
      <w:marBottom w:val="0"/>
      <w:divBdr>
        <w:top w:val="none" w:sz="0" w:space="0" w:color="auto"/>
        <w:left w:val="none" w:sz="0" w:space="0" w:color="auto"/>
        <w:bottom w:val="none" w:sz="0" w:space="0" w:color="auto"/>
        <w:right w:val="none" w:sz="0" w:space="0" w:color="auto"/>
      </w:divBdr>
    </w:div>
    <w:div w:id="142284530">
      <w:bodyDiv w:val="1"/>
      <w:marLeft w:val="0"/>
      <w:marRight w:val="0"/>
      <w:marTop w:val="0"/>
      <w:marBottom w:val="0"/>
      <w:divBdr>
        <w:top w:val="none" w:sz="0" w:space="0" w:color="auto"/>
        <w:left w:val="none" w:sz="0" w:space="0" w:color="auto"/>
        <w:bottom w:val="none" w:sz="0" w:space="0" w:color="auto"/>
        <w:right w:val="none" w:sz="0" w:space="0" w:color="auto"/>
      </w:divBdr>
    </w:div>
    <w:div w:id="185680143">
      <w:bodyDiv w:val="1"/>
      <w:marLeft w:val="0"/>
      <w:marRight w:val="0"/>
      <w:marTop w:val="0"/>
      <w:marBottom w:val="0"/>
      <w:divBdr>
        <w:top w:val="none" w:sz="0" w:space="0" w:color="auto"/>
        <w:left w:val="none" w:sz="0" w:space="0" w:color="auto"/>
        <w:bottom w:val="none" w:sz="0" w:space="0" w:color="auto"/>
        <w:right w:val="none" w:sz="0" w:space="0" w:color="auto"/>
      </w:divBdr>
    </w:div>
    <w:div w:id="314532724">
      <w:bodyDiv w:val="1"/>
      <w:marLeft w:val="0"/>
      <w:marRight w:val="0"/>
      <w:marTop w:val="0"/>
      <w:marBottom w:val="0"/>
      <w:divBdr>
        <w:top w:val="none" w:sz="0" w:space="0" w:color="auto"/>
        <w:left w:val="none" w:sz="0" w:space="0" w:color="auto"/>
        <w:bottom w:val="none" w:sz="0" w:space="0" w:color="auto"/>
        <w:right w:val="none" w:sz="0" w:space="0" w:color="auto"/>
      </w:divBdr>
    </w:div>
    <w:div w:id="315884309">
      <w:bodyDiv w:val="1"/>
      <w:marLeft w:val="0"/>
      <w:marRight w:val="0"/>
      <w:marTop w:val="0"/>
      <w:marBottom w:val="0"/>
      <w:divBdr>
        <w:top w:val="none" w:sz="0" w:space="0" w:color="auto"/>
        <w:left w:val="none" w:sz="0" w:space="0" w:color="auto"/>
        <w:bottom w:val="none" w:sz="0" w:space="0" w:color="auto"/>
        <w:right w:val="none" w:sz="0" w:space="0" w:color="auto"/>
      </w:divBdr>
    </w:div>
    <w:div w:id="402067168">
      <w:bodyDiv w:val="1"/>
      <w:marLeft w:val="0"/>
      <w:marRight w:val="0"/>
      <w:marTop w:val="0"/>
      <w:marBottom w:val="0"/>
      <w:divBdr>
        <w:top w:val="none" w:sz="0" w:space="0" w:color="auto"/>
        <w:left w:val="none" w:sz="0" w:space="0" w:color="auto"/>
        <w:bottom w:val="none" w:sz="0" w:space="0" w:color="auto"/>
        <w:right w:val="none" w:sz="0" w:space="0" w:color="auto"/>
      </w:divBdr>
    </w:div>
    <w:div w:id="415370418">
      <w:bodyDiv w:val="1"/>
      <w:marLeft w:val="0"/>
      <w:marRight w:val="0"/>
      <w:marTop w:val="0"/>
      <w:marBottom w:val="0"/>
      <w:divBdr>
        <w:top w:val="none" w:sz="0" w:space="0" w:color="auto"/>
        <w:left w:val="none" w:sz="0" w:space="0" w:color="auto"/>
        <w:bottom w:val="none" w:sz="0" w:space="0" w:color="auto"/>
        <w:right w:val="none" w:sz="0" w:space="0" w:color="auto"/>
      </w:divBdr>
    </w:div>
    <w:div w:id="434986304">
      <w:bodyDiv w:val="1"/>
      <w:marLeft w:val="0"/>
      <w:marRight w:val="0"/>
      <w:marTop w:val="0"/>
      <w:marBottom w:val="0"/>
      <w:divBdr>
        <w:top w:val="none" w:sz="0" w:space="0" w:color="auto"/>
        <w:left w:val="none" w:sz="0" w:space="0" w:color="auto"/>
        <w:bottom w:val="none" w:sz="0" w:space="0" w:color="auto"/>
        <w:right w:val="none" w:sz="0" w:space="0" w:color="auto"/>
      </w:divBdr>
    </w:div>
    <w:div w:id="481386727">
      <w:bodyDiv w:val="1"/>
      <w:marLeft w:val="0"/>
      <w:marRight w:val="0"/>
      <w:marTop w:val="0"/>
      <w:marBottom w:val="0"/>
      <w:divBdr>
        <w:top w:val="none" w:sz="0" w:space="0" w:color="auto"/>
        <w:left w:val="none" w:sz="0" w:space="0" w:color="auto"/>
        <w:bottom w:val="none" w:sz="0" w:space="0" w:color="auto"/>
        <w:right w:val="none" w:sz="0" w:space="0" w:color="auto"/>
      </w:divBdr>
    </w:div>
    <w:div w:id="481847842">
      <w:bodyDiv w:val="1"/>
      <w:marLeft w:val="0"/>
      <w:marRight w:val="0"/>
      <w:marTop w:val="0"/>
      <w:marBottom w:val="0"/>
      <w:divBdr>
        <w:top w:val="none" w:sz="0" w:space="0" w:color="auto"/>
        <w:left w:val="none" w:sz="0" w:space="0" w:color="auto"/>
        <w:bottom w:val="none" w:sz="0" w:space="0" w:color="auto"/>
        <w:right w:val="none" w:sz="0" w:space="0" w:color="auto"/>
      </w:divBdr>
    </w:div>
    <w:div w:id="499085631">
      <w:bodyDiv w:val="1"/>
      <w:marLeft w:val="0"/>
      <w:marRight w:val="0"/>
      <w:marTop w:val="0"/>
      <w:marBottom w:val="0"/>
      <w:divBdr>
        <w:top w:val="none" w:sz="0" w:space="0" w:color="auto"/>
        <w:left w:val="none" w:sz="0" w:space="0" w:color="auto"/>
        <w:bottom w:val="none" w:sz="0" w:space="0" w:color="auto"/>
        <w:right w:val="none" w:sz="0" w:space="0" w:color="auto"/>
      </w:divBdr>
    </w:div>
    <w:div w:id="546263833">
      <w:bodyDiv w:val="1"/>
      <w:marLeft w:val="0"/>
      <w:marRight w:val="0"/>
      <w:marTop w:val="0"/>
      <w:marBottom w:val="0"/>
      <w:divBdr>
        <w:top w:val="none" w:sz="0" w:space="0" w:color="auto"/>
        <w:left w:val="none" w:sz="0" w:space="0" w:color="auto"/>
        <w:bottom w:val="none" w:sz="0" w:space="0" w:color="auto"/>
        <w:right w:val="none" w:sz="0" w:space="0" w:color="auto"/>
      </w:divBdr>
    </w:div>
    <w:div w:id="638341122">
      <w:bodyDiv w:val="1"/>
      <w:marLeft w:val="0"/>
      <w:marRight w:val="0"/>
      <w:marTop w:val="0"/>
      <w:marBottom w:val="0"/>
      <w:divBdr>
        <w:top w:val="none" w:sz="0" w:space="0" w:color="auto"/>
        <w:left w:val="none" w:sz="0" w:space="0" w:color="auto"/>
        <w:bottom w:val="none" w:sz="0" w:space="0" w:color="auto"/>
        <w:right w:val="none" w:sz="0" w:space="0" w:color="auto"/>
      </w:divBdr>
    </w:div>
    <w:div w:id="639381756">
      <w:bodyDiv w:val="1"/>
      <w:marLeft w:val="0"/>
      <w:marRight w:val="0"/>
      <w:marTop w:val="0"/>
      <w:marBottom w:val="0"/>
      <w:divBdr>
        <w:top w:val="none" w:sz="0" w:space="0" w:color="auto"/>
        <w:left w:val="none" w:sz="0" w:space="0" w:color="auto"/>
        <w:bottom w:val="none" w:sz="0" w:space="0" w:color="auto"/>
        <w:right w:val="none" w:sz="0" w:space="0" w:color="auto"/>
      </w:divBdr>
    </w:div>
    <w:div w:id="922686596">
      <w:bodyDiv w:val="1"/>
      <w:marLeft w:val="0"/>
      <w:marRight w:val="0"/>
      <w:marTop w:val="0"/>
      <w:marBottom w:val="0"/>
      <w:divBdr>
        <w:top w:val="none" w:sz="0" w:space="0" w:color="auto"/>
        <w:left w:val="none" w:sz="0" w:space="0" w:color="auto"/>
        <w:bottom w:val="none" w:sz="0" w:space="0" w:color="auto"/>
        <w:right w:val="none" w:sz="0" w:space="0" w:color="auto"/>
      </w:divBdr>
    </w:div>
    <w:div w:id="924387447">
      <w:bodyDiv w:val="1"/>
      <w:marLeft w:val="0"/>
      <w:marRight w:val="0"/>
      <w:marTop w:val="0"/>
      <w:marBottom w:val="0"/>
      <w:divBdr>
        <w:top w:val="none" w:sz="0" w:space="0" w:color="auto"/>
        <w:left w:val="none" w:sz="0" w:space="0" w:color="auto"/>
        <w:bottom w:val="none" w:sz="0" w:space="0" w:color="auto"/>
        <w:right w:val="none" w:sz="0" w:space="0" w:color="auto"/>
      </w:divBdr>
    </w:div>
    <w:div w:id="969094157">
      <w:bodyDiv w:val="1"/>
      <w:marLeft w:val="0"/>
      <w:marRight w:val="0"/>
      <w:marTop w:val="0"/>
      <w:marBottom w:val="0"/>
      <w:divBdr>
        <w:top w:val="none" w:sz="0" w:space="0" w:color="auto"/>
        <w:left w:val="none" w:sz="0" w:space="0" w:color="auto"/>
        <w:bottom w:val="none" w:sz="0" w:space="0" w:color="auto"/>
        <w:right w:val="none" w:sz="0" w:space="0" w:color="auto"/>
      </w:divBdr>
    </w:div>
    <w:div w:id="1068721373">
      <w:bodyDiv w:val="1"/>
      <w:marLeft w:val="0"/>
      <w:marRight w:val="0"/>
      <w:marTop w:val="0"/>
      <w:marBottom w:val="0"/>
      <w:divBdr>
        <w:top w:val="none" w:sz="0" w:space="0" w:color="auto"/>
        <w:left w:val="none" w:sz="0" w:space="0" w:color="auto"/>
        <w:bottom w:val="none" w:sz="0" w:space="0" w:color="auto"/>
        <w:right w:val="none" w:sz="0" w:space="0" w:color="auto"/>
      </w:divBdr>
    </w:div>
    <w:div w:id="1074736931">
      <w:bodyDiv w:val="1"/>
      <w:marLeft w:val="0"/>
      <w:marRight w:val="0"/>
      <w:marTop w:val="0"/>
      <w:marBottom w:val="0"/>
      <w:divBdr>
        <w:top w:val="none" w:sz="0" w:space="0" w:color="auto"/>
        <w:left w:val="none" w:sz="0" w:space="0" w:color="auto"/>
        <w:bottom w:val="none" w:sz="0" w:space="0" w:color="auto"/>
        <w:right w:val="none" w:sz="0" w:space="0" w:color="auto"/>
      </w:divBdr>
    </w:div>
    <w:div w:id="1133869321">
      <w:bodyDiv w:val="1"/>
      <w:marLeft w:val="0"/>
      <w:marRight w:val="0"/>
      <w:marTop w:val="0"/>
      <w:marBottom w:val="0"/>
      <w:divBdr>
        <w:top w:val="none" w:sz="0" w:space="0" w:color="auto"/>
        <w:left w:val="none" w:sz="0" w:space="0" w:color="auto"/>
        <w:bottom w:val="none" w:sz="0" w:space="0" w:color="auto"/>
        <w:right w:val="none" w:sz="0" w:space="0" w:color="auto"/>
      </w:divBdr>
    </w:div>
    <w:div w:id="1230118866">
      <w:bodyDiv w:val="1"/>
      <w:marLeft w:val="0"/>
      <w:marRight w:val="0"/>
      <w:marTop w:val="0"/>
      <w:marBottom w:val="0"/>
      <w:divBdr>
        <w:top w:val="none" w:sz="0" w:space="0" w:color="auto"/>
        <w:left w:val="none" w:sz="0" w:space="0" w:color="auto"/>
        <w:bottom w:val="none" w:sz="0" w:space="0" w:color="auto"/>
        <w:right w:val="none" w:sz="0" w:space="0" w:color="auto"/>
      </w:divBdr>
    </w:div>
    <w:div w:id="1248424576">
      <w:bodyDiv w:val="1"/>
      <w:marLeft w:val="0"/>
      <w:marRight w:val="0"/>
      <w:marTop w:val="0"/>
      <w:marBottom w:val="0"/>
      <w:divBdr>
        <w:top w:val="none" w:sz="0" w:space="0" w:color="auto"/>
        <w:left w:val="none" w:sz="0" w:space="0" w:color="auto"/>
        <w:bottom w:val="none" w:sz="0" w:space="0" w:color="auto"/>
        <w:right w:val="none" w:sz="0" w:space="0" w:color="auto"/>
      </w:divBdr>
    </w:div>
    <w:div w:id="1349334496">
      <w:bodyDiv w:val="1"/>
      <w:marLeft w:val="0"/>
      <w:marRight w:val="0"/>
      <w:marTop w:val="0"/>
      <w:marBottom w:val="0"/>
      <w:divBdr>
        <w:top w:val="none" w:sz="0" w:space="0" w:color="auto"/>
        <w:left w:val="none" w:sz="0" w:space="0" w:color="auto"/>
        <w:bottom w:val="none" w:sz="0" w:space="0" w:color="auto"/>
        <w:right w:val="none" w:sz="0" w:space="0" w:color="auto"/>
      </w:divBdr>
    </w:div>
    <w:div w:id="1451392983">
      <w:bodyDiv w:val="1"/>
      <w:marLeft w:val="0"/>
      <w:marRight w:val="0"/>
      <w:marTop w:val="0"/>
      <w:marBottom w:val="0"/>
      <w:divBdr>
        <w:top w:val="none" w:sz="0" w:space="0" w:color="auto"/>
        <w:left w:val="none" w:sz="0" w:space="0" w:color="auto"/>
        <w:bottom w:val="none" w:sz="0" w:space="0" w:color="auto"/>
        <w:right w:val="none" w:sz="0" w:space="0" w:color="auto"/>
      </w:divBdr>
    </w:div>
    <w:div w:id="1627854152">
      <w:bodyDiv w:val="1"/>
      <w:marLeft w:val="0"/>
      <w:marRight w:val="0"/>
      <w:marTop w:val="0"/>
      <w:marBottom w:val="0"/>
      <w:divBdr>
        <w:top w:val="none" w:sz="0" w:space="0" w:color="auto"/>
        <w:left w:val="none" w:sz="0" w:space="0" w:color="auto"/>
        <w:bottom w:val="none" w:sz="0" w:space="0" w:color="auto"/>
        <w:right w:val="none" w:sz="0" w:space="0" w:color="auto"/>
      </w:divBdr>
    </w:div>
    <w:div w:id="1720279572">
      <w:bodyDiv w:val="1"/>
      <w:marLeft w:val="0"/>
      <w:marRight w:val="0"/>
      <w:marTop w:val="0"/>
      <w:marBottom w:val="0"/>
      <w:divBdr>
        <w:top w:val="none" w:sz="0" w:space="0" w:color="auto"/>
        <w:left w:val="none" w:sz="0" w:space="0" w:color="auto"/>
        <w:bottom w:val="none" w:sz="0" w:space="0" w:color="auto"/>
        <w:right w:val="none" w:sz="0" w:space="0" w:color="auto"/>
      </w:divBdr>
    </w:div>
    <w:div w:id="1795563797">
      <w:bodyDiv w:val="1"/>
      <w:marLeft w:val="0"/>
      <w:marRight w:val="0"/>
      <w:marTop w:val="0"/>
      <w:marBottom w:val="0"/>
      <w:divBdr>
        <w:top w:val="none" w:sz="0" w:space="0" w:color="auto"/>
        <w:left w:val="none" w:sz="0" w:space="0" w:color="auto"/>
        <w:bottom w:val="none" w:sz="0" w:space="0" w:color="auto"/>
        <w:right w:val="none" w:sz="0" w:space="0" w:color="auto"/>
      </w:divBdr>
    </w:div>
    <w:div w:id="1795637070">
      <w:bodyDiv w:val="1"/>
      <w:marLeft w:val="0"/>
      <w:marRight w:val="0"/>
      <w:marTop w:val="0"/>
      <w:marBottom w:val="0"/>
      <w:divBdr>
        <w:top w:val="none" w:sz="0" w:space="0" w:color="auto"/>
        <w:left w:val="none" w:sz="0" w:space="0" w:color="auto"/>
        <w:bottom w:val="none" w:sz="0" w:space="0" w:color="auto"/>
        <w:right w:val="none" w:sz="0" w:space="0" w:color="auto"/>
      </w:divBdr>
    </w:div>
    <w:div w:id="1876649148">
      <w:bodyDiv w:val="1"/>
      <w:marLeft w:val="0"/>
      <w:marRight w:val="0"/>
      <w:marTop w:val="0"/>
      <w:marBottom w:val="0"/>
      <w:divBdr>
        <w:top w:val="none" w:sz="0" w:space="0" w:color="auto"/>
        <w:left w:val="none" w:sz="0" w:space="0" w:color="auto"/>
        <w:bottom w:val="none" w:sz="0" w:space="0" w:color="auto"/>
        <w:right w:val="none" w:sz="0" w:space="0" w:color="auto"/>
      </w:divBdr>
    </w:div>
    <w:div w:id="2076540793">
      <w:bodyDiv w:val="1"/>
      <w:marLeft w:val="0"/>
      <w:marRight w:val="0"/>
      <w:marTop w:val="0"/>
      <w:marBottom w:val="0"/>
      <w:divBdr>
        <w:top w:val="none" w:sz="0" w:space="0" w:color="auto"/>
        <w:left w:val="none" w:sz="0" w:space="0" w:color="auto"/>
        <w:bottom w:val="none" w:sz="0" w:space="0" w:color="auto"/>
        <w:right w:val="none" w:sz="0" w:space="0" w:color="auto"/>
      </w:divBdr>
    </w:div>
    <w:div w:id="2119519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ublication/350236381_International_Financial_Manag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vestopedia.com/terms/f/foreignexchangerisk.asp"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terms/c/currencyoption.asp" TargetMode="External"/><Relationship Id="rId5" Type="http://schemas.openxmlformats.org/officeDocument/2006/relationships/webSettings" Target="webSettings.xml"/><Relationship Id="rId15" Type="http://schemas.openxmlformats.org/officeDocument/2006/relationships/hyperlink" Target="https://www.researchgate.net/publication/347093546_Foreign_Exchange_Risk_Management_of_Multinational_Companies" TargetMode="External"/><Relationship Id="rId10" Type="http://schemas.openxmlformats.org/officeDocument/2006/relationships/hyperlink" Target="https://corporatefinanceinstitute.com/resources/derivatives/forward-contract" TargetMode="External"/><Relationship Id="rId4" Type="http://schemas.openxmlformats.org/officeDocument/2006/relationships/settings" Target="settings.xml"/><Relationship Id="rId9" Type="http://schemas.openxmlformats.org/officeDocument/2006/relationships/hyperlink" Target="https://www.toptal.com/finance/interim-cfos/foreign-exchange-risk" TargetMode="External"/><Relationship Id="rId14" Type="http://schemas.openxmlformats.org/officeDocument/2006/relationships/hyperlink" Target="https://online.wlv.ac.uk/what-is-international-fi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7FC61-E2B0-49F7-A17A-899ED06036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2057</Words>
  <Characters>11729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Mirko-Andrei Neagoe</cp:lastModifiedBy>
  <cp:revision>6</cp:revision>
  <dcterms:created xsi:type="dcterms:W3CDTF">2024-04-02T11:55:00Z</dcterms:created>
  <dcterms:modified xsi:type="dcterms:W3CDTF">2024-04-02T21:26:00Z</dcterms:modified>
</cp:coreProperties>
</file>