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pageBreakBefore w:val="0"/>
        <w:widowControl/>
        <w:kinsoku/>
        <w:wordWrap/>
        <w:overflowPunct/>
        <w:topLinePunct w:val="0"/>
        <w:bidi w:val="0"/>
        <w:snapToGrid/>
        <w:spacing w:beforeAutospacing="0" w:after="0" w:afterAutospacing="0" w:line="480" w:lineRule="auto"/>
        <w:ind w:left="110" w:leftChars="50" w:right="110" w:rightChars="50"/>
        <w:jc w:val="center"/>
        <w:textAlignment w:val="auto"/>
        <w:rPr>
          <w:rFonts w:hint="default" w:ascii="Times New Roman" w:hAnsi="Times New Roman" w:cs="Times New Roman"/>
          <w:color w:val="0D0D0D" w:themeColor="text1" w:themeTint="F2"/>
          <w:sz w:val="28"/>
          <w:szCs w:val="28"/>
          <w14:textFill>
            <w14:solidFill>
              <w14:schemeClr w14:val="tx1">
                <w14:lumMod w14:val="95000"/>
                <w14:lumOff w14:val="5000"/>
              </w14:schemeClr>
            </w14:solidFill>
          </w14:textFill>
        </w:rPr>
      </w:pPr>
    </w:p>
    <w:p>
      <w:pPr>
        <w:pStyle w:val="8"/>
        <w:pageBreakBefore w:val="0"/>
        <w:widowControl/>
        <w:kinsoku/>
        <w:wordWrap/>
        <w:overflowPunct/>
        <w:topLinePunct w:val="0"/>
        <w:bidi w:val="0"/>
        <w:snapToGrid/>
        <w:spacing w:beforeAutospacing="0" w:after="0" w:afterAutospacing="0" w:line="480" w:lineRule="auto"/>
        <w:ind w:left="110" w:leftChars="50" w:right="110" w:rightChars="50"/>
        <w:jc w:val="center"/>
        <w:textAlignment w:val="auto"/>
        <w:rPr>
          <w:rFonts w:hint="default" w:ascii="Times New Roman" w:hAnsi="Times New Roman" w:cs="Times New Roman"/>
          <w:color w:val="0D0D0D" w:themeColor="text1" w:themeTint="F2"/>
          <w:sz w:val="28"/>
          <w:szCs w:val="28"/>
          <w14:textFill>
            <w14:solidFill>
              <w14:schemeClr w14:val="tx1">
                <w14:lumMod w14:val="95000"/>
                <w14:lumOff w14:val="5000"/>
              </w14:schemeClr>
            </w14:solidFill>
          </w14:textFill>
        </w:rPr>
      </w:pPr>
    </w:p>
    <w:p>
      <w:pPr>
        <w:pStyle w:val="8"/>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jc w:val="center"/>
        <w:textAlignment w:val="auto"/>
        <w:rPr>
          <w:rFonts w:hint="default" w:ascii="Times New Roman" w:hAnsi="Times New Roman" w:cs="Times New Roman"/>
          <w:b/>
          <w:bCs/>
          <w:color w:val="0D0D0D" w:themeColor="text1" w:themeTint="F2"/>
          <w:sz w:val="44"/>
          <w:szCs w:val="44"/>
          <w14:textFill>
            <w14:solidFill>
              <w14:schemeClr w14:val="tx1">
                <w14:lumMod w14:val="95000"/>
                <w14:lumOff w14:val="5000"/>
              </w14:schemeClr>
            </w14:solidFill>
          </w14:textFill>
        </w:rPr>
      </w:pPr>
      <w:r>
        <w:rPr>
          <w:rFonts w:hint="default" w:ascii="Times New Roman" w:hAnsi="Times New Roman" w:cs="Times New Roman"/>
          <w:b/>
          <w:bCs/>
          <w:color w:val="0D0D0D" w:themeColor="text1" w:themeTint="F2"/>
          <w:sz w:val="44"/>
          <w:szCs w:val="44"/>
          <w14:textFill>
            <w14:solidFill>
              <w14:schemeClr w14:val="tx1">
                <w14:lumMod w14:val="95000"/>
                <w14:lumOff w14:val="5000"/>
              </w14:schemeClr>
            </w14:solidFill>
          </w14:textFill>
        </w:rPr>
        <w:t>The Systematic Analysis of Kugou Music</w:t>
      </w: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8"/>
          <w:szCs w:val="28"/>
        </w:rPr>
      </w:pP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8"/>
          <w:szCs w:val="28"/>
        </w:rPr>
      </w:pPr>
      <w:r>
        <w:rPr>
          <w:rFonts w:hint="default" w:ascii="Times New Roman" w:hAnsi="Times New Roman" w:cs="Times New Roman"/>
          <w:lang w:eastAsia="en-GB"/>
        </w:rPr>
        <w:drawing>
          <wp:anchor distT="0" distB="0" distL="114300" distR="114300" simplePos="0" relativeHeight="251659264" behindDoc="1" locked="0" layoutInCell="1" allowOverlap="1">
            <wp:simplePos x="0" y="0"/>
            <wp:positionH relativeFrom="column">
              <wp:posOffset>1304290</wp:posOffset>
            </wp:positionH>
            <wp:positionV relativeFrom="paragraph">
              <wp:posOffset>212090</wp:posOffset>
            </wp:positionV>
            <wp:extent cx="2860040" cy="3172460"/>
            <wp:effectExtent l="0" t="0" r="16510" b="8890"/>
            <wp:wrapTight wrapText="bothSides">
              <wp:wrapPolygon>
                <wp:start x="0" y="0"/>
                <wp:lineTo x="0" y="130"/>
                <wp:lineTo x="6618" y="2075"/>
                <wp:lineTo x="6762" y="4151"/>
                <wp:lineTo x="5036" y="5188"/>
                <wp:lineTo x="3741" y="6096"/>
                <wp:lineTo x="5036" y="8301"/>
                <wp:lineTo x="5179" y="8301"/>
                <wp:lineTo x="2734" y="8560"/>
                <wp:lineTo x="719" y="9468"/>
                <wp:lineTo x="575" y="12452"/>
                <wp:lineTo x="0" y="14527"/>
                <wp:lineTo x="0" y="15564"/>
                <wp:lineTo x="1007" y="16602"/>
                <wp:lineTo x="1295" y="19974"/>
                <wp:lineTo x="4460" y="20753"/>
                <wp:lineTo x="9352" y="20753"/>
                <wp:lineTo x="0" y="21531"/>
                <wp:lineTo x="21437" y="21531"/>
                <wp:lineTo x="12373" y="20753"/>
                <wp:lineTo x="16114" y="20753"/>
                <wp:lineTo x="20142" y="19585"/>
                <wp:lineTo x="19854" y="17121"/>
                <wp:lineTo x="19423" y="16602"/>
                <wp:lineTo x="19998" y="16602"/>
                <wp:lineTo x="21293" y="15175"/>
                <wp:lineTo x="21293" y="9209"/>
                <wp:lineTo x="20861" y="8560"/>
                <wp:lineTo x="18847" y="8301"/>
                <wp:lineTo x="18128" y="5707"/>
                <wp:lineTo x="16977" y="5058"/>
                <wp:lineTo x="14099" y="4021"/>
                <wp:lineTo x="13668" y="2464"/>
                <wp:lineTo x="13380" y="2075"/>
                <wp:lineTo x="21437" y="130"/>
                <wp:lineTo x="21437" y="0"/>
                <wp:lineTo x="0" y="0"/>
              </wp:wrapPolygon>
            </wp:wrapTight>
            <wp:docPr id="3" name="图片 2"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Crest of TSD.png"/>
                    <pic:cNvPicPr>
                      <a:picLocks noChangeAspect="1"/>
                    </pic:cNvPicPr>
                  </pic:nvPicPr>
                  <pic:blipFill>
                    <a:blip r:embed="rId5"/>
                    <a:stretch>
                      <a:fillRect/>
                    </a:stretch>
                  </pic:blipFill>
                  <pic:spPr>
                    <a:xfrm>
                      <a:off x="0" y="0"/>
                      <a:ext cx="2860040" cy="3172460"/>
                    </a:xfrm>
                    <a:prstGeom prst="rect">
                      <a:avLst/>
                    </a:prstGeom>
                    <a:noFill/>
                    <a:ln w="9525">
                      <a:noFill/>
                    </a:ln>
                  </pic:spPr>
                </pic:pic>
              </a:graphicData>
            </a:graphic>
          </wp:anchor>
        </w:drawing>
      </w: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8"/>
          <w:szCs w:val="28"/>
        </w:rPr>
      </w:pP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8"/>
          <w:szCs w:val="28"/>
        </w:rPr>
      </w:pP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8"/>
          <w:szCs w:val="28"/>
        </w:rPr>
      </w:pP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8"/>
          <w:szCs w:val="28"/>
        </w:rPr>
      </w:pP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8"/>
          <w:szCs w:val="28"/>
        </w:rPr>
      </w:pP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8"/>
          <w:szCs w:val="28"/>
        </w:rPr>
      </w:pP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8"/>
          <w:szCs w:val="28"/>
        </w:rPr>
      </w:pP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8"/>
          <w:szCs w:val="28"/>
        </w:rPr>
      </w:pP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right="110" w:rightChars="50"/>
        <w:textAlignment w:val="auto"/>
        <w:rPr>
          <w:rFonts w:hint="default" w:ascii="Times New Roman" w:hAnsi="Times New Roman" w:cs="Times New Roman"/>
          <w:sz w:val="28"/>
          <w:szCs w:val="28"/>
        </w:rPr>
      </w:pPr>
    </w:p>
    <w:p>
      <w:pPr>
        <w:keepNext w:val="0"/>
        <w:keepLines w:val="0"/>
        <w:pageBreakBefore w:val="0"/>
        <w:kinsoku/>
        <w:wordWrap/>
        <w:overflowPunct/>
        <w:topLinePunct w:val="0"/>
        <w:autoSpaceDE/>
        <w:autoSpaceDN/>
        <w:bidi w:val="0"/>
        <w:adjustRightInd/>
        <w:snapToGrid/>
        <w:spacing w:line="480" w:lineRule="auto"/>
        <w:ind w:left="110" w:leftChars="50" w:right="110" w:rightChars="50"/>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Module Name: Digital Entrepreneurship</w:t>
      </w:r>
    </w:p>
    <w:p>
      <w:pPr>
        <w:keepNext w:val="0"/>
        <w:keepLines w:val="0"/>
        <w:pageBreakBefore w:val="0"/>
        <w:widowControl w:val="0"/>
        <w:kinsoku/>
        <w:wordWrap/>
        <w:overflowPunct/>
        <w:topLinePunct w:val="0"/>
        <w:autoSpaceDE/>
        <w:autoSpaceDN/>
        <w:bidi w:val="0"/>
        <w:adjustRightInd/>
        <w:snapToGrid/>
        <w:spacing w:line="480" w:lineRule="auto"/>
        <w:ind w:left="110" w:leftChars="50" w:right="110" w:rightChars="50" w:firstLine="0" w:firstLineChars="0"/>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Project Name: The Systematic Analysis of Kugou Music</w:t>
      </w:r>
    </w:p>
    <w:p>
      <w:pPr>
        <w:keepNext w:val="0"/>
        <w:keepLines w:val="0"/>
        <w:pageBreakBefore w:val="0"/>
        <w:widowControl w:val="0"/>
        <w:kinsoku/>
        <w:wordWrap/>
        <w:overflowPunct/>
        <w:topLinePunct w:val="0"/>
        <w:autoSpaceDE/>
        <w:autoSpaceDN/>
        <w:bidi w:val="0"/>
        <w:adjustRightInd/>
        <w:snapToGrid/>
        <w:spacing w:line="480" w:lineRule="auto"/>
        <w:ind w:left="110" w:leftChars="50" w:right="110" w:rightChars="50" w:firstLine="0" w:firstLineChars="0"/>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Name: Zhen Wang</w:t>
      </w:r>
    </w:p>
    <w:p>
      <w:pPr>
        <w:keepNext w:val="0"/>
        <w:keepLines w:val="0"/>
        <w:pageBreakBefore w:val="0"/>
        <w:widowControl w:val="0"/>
        <w:kinsoku/>
        <w:wordWrap/>
        <w:overflowPunct/>
        <w:topLinePunct w:val="0"/>
        <w:autoSpaceDE/>
        <w:autoSpaceDN/>
        <w:bidi w:val="0"/>
        <w:adjustRightInd/>
        <w:snapToGrid/>
        <w:spacing w:line="480" w:lineRule="auto"/>
        <w:ind w:left="110" w:leftChars="50" w:right="110" w:rightChars="50" w:firstLine="0" w:firstLineChars="0"/>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Student number: 1704853</w:t>
      </w:r>
    </w:p>
    <w:p>
      <w:pPr>
        <w:keepNext w:val="0"/>
        <w:keepLines w:val="0"/>
        <w:pageBreakBefore w:val="0"/>
        <w:widowControl w:val="0"/>
        <w:kinsoku/>
        <w:wordWrap/>
        <w:overflowPunct/>
        <w:topLinePunct w:val="0"/>
        <w:autoSpaceDE/>
        <w:autoSpaceDN/>
        <w:bidi w:val="0"/>
        <w:adjustRightInd/>
        <w:snapToGrid/>
        <w:spacing w:line="480" w:lineRule="auto"/>
        <w:ind w:left="110" w:leftChars="50" w:right="110" w:rightChars="50" w:firstLine="0" w:firstLineChars="0"/>
        <w:textAlignment w:val="auto"/>
        <w:outlineLvl w:val="9"/>
        <w:rPr>
          <w:rFonts w:hint="default" w:ascii="Times New Roman" w:hAnsi="Times New Roman" w:cs="Times New Roman"/>
          <w:sz w:val="28"/>
          <w:szCs w:val="28"/>
        </w:rPr>
      </w:pPr>
      <w:r>
        <w:rPr>
          <w:rFonts w:hint="default" w:ascii="Times New Roman" w:hAnsi="Times New Roman" w:cs="Times New Roman"/>
          <w:b/>
          <w:bCs/>
          <w:sz w:val="24"/>
          <w:szCs w:val="24"/>
          <w:lang w:val="en-US" w:eastAsia="zh-CN"/>
        </w:rPr>
        <w:t>Date:</w:t>
      </w:r>
      <w:r>
        <w:rPr>
          <w:rFonts w:hint="eastAsia" w:ascii="Times New Roman" w:hAnsi="Times New Roman" w:cs="Times New Roman"/>
          <w:b/>
          <w:bCs/>
          <w:sz w:val="24"/>
          <w:szCs w:val="24"/>
          <w:lang w:val="en-US" w:eastAsia="zh-CN"/>
        </w:rPr>
        <w:t xml:space="preserve"> 20/ 7/ 2019</w:t>
      </w:r>
      <w:r>
        <w:rPr>
          <w:rFonts w:hint="default" w:ascii="Times New Roman" w:hAnsi="Times New Roman" w:cs="Times New Roman"/>
          <w:sz w:val="28"/>
          <w:szCs w:val="28"/>
        </w:rPr>
        <w:br w:type="page"/>
      </w:r>
    </w:p>
    <w:p>
      <w:pPr>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jc w:val="center"/>
        <w:textAlignment w:val="auto"/>
        <w:rPr>
          <w:rFonts w:hint="default" w:ascii="Times New Roman" w:hAnsi="Times New Roman" w:cs="Times New Roman"/>
          <w:b/>
          <w:bCs/>
          <w:sz w:val="28"/>
          <w:szCs w:val="28"/>
          <w:lang w:val="en-US" w:eastAsia="zh-CN"/>
        </w:rPr>
      </w:pPr>
      <w:bookmarkStart w:id="7" w:name="_GoBack"/>
      <w:r>
        <w:rPr>
          <w:rFonts w:hint="default" w:ascii="Times New Roman" w:hAnsi="Times New Roman" w:cs="Times New Roman"/>
          <w:b/>
          <w:bCs/>
          <w:sz w:val="28"/>
          <w:szCs w:val="28"/>
          <w:lang w:val="en-US" w:eastAsia="zh-CN"/>
        </w:rPr>
        <w:t>Table of concent</w:t>
      </w:r>
    </w:p>
    <w:bookmarkEnd w:id="7"/>
    <w:sdt>
      <w:sdtPr>
        <w:rPr>
          <w:rFonts w:hint="default" w:ascii="Times New Roman" w:hAnsi="Times New Roman" w:eastAsia="宋体" w:cs="Times New Roman"/>
          <w:sz w:val="24"/>
          <w:szCs w:val="24"/>
          <w:lang w:val="en-US" w:eastAsia="zh-CN" w:bidi="ar-SA"/>
        </w:rPr>
        <w:id w:val="147463451"/>
        <w15:color w:val="DBDBDB"/>
        <w:docPartObj>
          <w:docPartGallery w:val="Table of Contents"/>
          <w:docPartUnique/>
        </w:docPartObj>
      </w:sdtPr>
      <w:sdtEndPr>
        <w:rPr>
          <w:rFonts w:hint="default" w:ascii="Times New Roman" w:hAnsi="Times New Roman" w:cs="Times New Roman" w:eastAsiaTheme="minorEastAsia"/>
          <w:b/>
          <w:kern w:val="44"/>
          <w:sz w:val="22"/>
          <w:szCs w:val="28"/>
          <w:lang w:val="en-US" w:eastAsia="zh-CN" w:bidi="ar-SA"/>
        </w:rPr>
      </w:sdtEndPr>
      <w:sdtContent>
        <w:p>
          <w:pPr>
            <w:pageBreakBefore w:val="0"/>
            <w:widowControl/>
            <w:kinsoku/>
            <w:wordWrap/>
            <w:overflowPunct/>
            <w:topLinePunct w:val="0"/>
            <w:autoSpaceDE/>
            <w:autoSpaceDN/>
            <w:bidi w:val="0"/>
            <w:adjustRightInd/>
            <w:snapToGrid/>
            <w:spacing w:after="0" w:line="480" w:lineRule="auto"/>
            <w:ind w:left="110" w:leftChars="50" w:right="110" w:rightChars="50" w:firstLine="0" w:firstLineChars="0"/>
            <w:jc w:val="center"/>
            <w:textAlignment w:val="auto"/>
            <w:rPr>
              <w:rFonts w:hint="default" w:ascii="Times New Roman" w:hAnsi="Times New Roman" w:cs="Times New Roman"/>
              <w:sz w:val="24"/>
              <w:szCs w:val="24"/>
            </w:rPr>
          </w:pPr>
        </w:p>
        <w:p>
          <w:pPr>
            <w:pStyle w:val="6"/>
            <w:pageBreakBefore w:val="0"/>
            <w:widowControl/>
            <w:tabs>
              <w:tab w:val="right" w:leader="dot" w:pos="8306"/>
            </w:tabs>
            <w:kinsoku/>
            <w:wordWrap/>
            <w:overflowPunct/>
            <w:topLinePunct w:val="0"/>
            <w:autoSpaceDE/>
            <w:autoSpaceDN/>
            <w:bidi w:val="0"/>
            <w:adjustRightInd/>
            <w:snapToGrid/>
            <w:spacing w:after="0" w:line="480" w:lineRule="auto"/>
            <w:ind w:left="110" w:leftChars="50" w:right="110" w:rightChars="5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TOC \o "1-3" \h \u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_Toc30972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1.Introduction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_Toc30972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pageBreakBefore w:val="0"/>
            <w:widowControl/>
            <w:tabs>
              <w:tab w:val="right" w:leader="dot" w:pos="8306"/>
            </w:tabs>
            <w:kinsoku/>
            <w:wordWrap/>
            <w:overflowPunct/>
            <w:topLinePunct w:val="0"/>
            <w:autoSpaceDE/>
            <w:autoSpaceDN/>
            <w:bidi w:val="0"/>
            <w:adjustRightInd/>
            <w:snapToGrid/>
            <w:spacing w:after="0" w:line="480" w:lineRule="auto"/>
            <w:ind w:left="110" w:leftChars="50" w:right="110" w:rightChars="5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_Toc10426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2.Porter’s Value Chain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_Toc10426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7"/>
            <w:pageBreakBefore w:val="0"/>
            <w:widowControl/>
            <w:tabs>
              <w:tab w:val="right" w:leader="dot" w:pos="8306"/>
            </w:tabs>
            <w:kinsoku/>
            <w:wordWrap/>
            <w:overflowPunct/>
            <w:topLinePunct w:val="0"/>
            <w:autoSpaceDE/>
            <w:autoSpaceDN/>
            <w:bidi w:val="0"/>
            <w:adjustRightInd/>
            <w:snapToGrid/>
            <w:spacing w:after="0" w:line="480" w:lineRule="auto"/>
            <w:ind w:left="110" w:leftChars="50" w:right="110" w:rightChars="5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_Toc31283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Primary activities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_Toc31283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7"/>
            <w:pageBreakBefore w:val="0"/>
            <w:widowControl/>
            <w:tabs>
              <w:tab w:val="right" w:leader="dot" w:pos="8306"/>
            </w:tabs>
            <w:kinsoku/>
            <w:wordWrap/>
            <w:overflowPunct/>
            <w:topLinePunct w:val="0"/>
            <w:autoSpaceDE/>
            <w:autoSpaceDN/>
            <w:bidi w:val="0"/>
            <w:adjustRightInd/>
            <w:snapToGrid/>
            <w:spacing w:after="0" w:line="480" w:lineRule="auto"/>
            <w:ind w:left="110" w:leftChars="50" w:right="110" w:rightChars="5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_Toc3168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Supporting activities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_Toc3168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pageBreakBefore w:val="0"/>
            <w:widowControl/>
            <w:tabs>
              <w:tab w:val="right" w:leader="dot" w:pos="8306"/>
            </w:tabs>
            <w:kinsoku/>
            <w:wordWrap/>
            <w:overflowPunct/>
            <w:topLinePunct w:val="0"/>
            <w:autoSpaceDE/>
            <w:autoSpaceDN/>
            <w:bidi w:val="0"/>
            <w:adjustRightInd/>
            <w:snapToGrid/>
            <w:spacing w:after="0" w:line="480" w:lineRule="auto"/>
            <w:ind w:left="110" w:leftChars="50" w:right="110" w:rightChars="5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_Toc2045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3.Internal Strengths and Weakness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_Toc2045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pageBreakBefore w:val="0"/>
            <w:widowControl/>
            <w:tabs>
              <w:tab w:val="right" w:leader="dot" w:pos="8306"/>
            </w:tabs>
            <w:kinsoku/>
            <w:wordWrap/>
            <w:overflowPunct/>
            <w:topLinePunct w:val="0"/>
            <w:autoSpaceDE/>
            <w:autoSpaceDN/>
            <w:bidi w:val="0"/>
            <w:adjustRightInd/>
            <w:snapToGrid/>
            <w:spacing w:after="0" w:line="480" w:lineRule="auto"/>
            <w:ind w:left="110" w:leftChars="50" w:right="110" w:rightChars="5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_Toc27879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4.Conclusion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_Toc27879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pageBreakBefore w:val="0"/>
            <w:widowControl/>
            <w:tabs>
              <w:tab w:val="right" w:leader="dot" w:pos="8306"/>
            </w:tabs>
            <w:kinsoku/>
            <w:wordWrap/>
            <w:overflowPunct/>
            <w:topLinePunct w:val="0"/>
            <w:autoSpaceDE/>
            <w:autoSpaceDN/>
            <w:bidi w:val="0"/>
            <w:adjustRightInd/>
            <w:snapToGrid/>
            <w:spacing w:after="0" w:line="480" w:lineRule="auto"/>
            <w:ind w:left="110" w:leftChars="50" w:right="110" w:rightChars="5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_Toc11357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_Toc11357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2"/>
            <w:pageBreakBefore w:val="0"/>
            <w:widowControl/>
            <w:kinsoku/>
            <w:wordWrap/>
            <w:overflowPunct/>
            <w:topLinePunct w:val="0"/>
            <w:autoSpaceDE/>
            <w:autoSpaceDN/>
            <w:bidi w:val="0"/>
            <w:adjustRightInd/>
            <w:snapToGrid/>
            <w:spacing w:beforeLines="0" w:beforeAutospacing="0" w:after="0" w:afterLines="0" w:afterAutospacing="0" w:line="480" w:lineRule="auto"/>
            <w:ind w:left="110" w:leftChars="50" w:right="110" w:rightChars="50"/>
            <w:textAlignment w:val="auto"/>
            <w:rPr>
              <w:rFonts w:hint="default" w:ascii="Times New Roman" w:hAnsi="Times New Roman" w:cs="Times New Roman"/>
              <w:sz w:val="28"/>
              <w:szCs w:val="28"/>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24"/>
              <w:szCs w:val="24"/>
              <w:lang w:val="en-US" w:eastAsia="zh-CN"/>
            </w:rPr>
            <w:fldChar w:fldCharType="end"/>
          </w:r>
        </w:p>
      </w:sdtContent>
    </w:sdt>
    <w:p>
      <w:pPr>
        <w:pStyle w:val="2"/>
        <w:pageBreakBefore w:val="0"/>
        <w:widowControl/>
        <w:kinsoku/>
        <w:wordWrap/>
        <w:overflowPunct/>
        <w:topLinePunct w:val="0"/>
        <w:autoSpaceDE/>
        <w:autoSpaceDN/>
        <w:bidi w:val="0"/>
        <w:adjustRightInd/>
        <w:snapToGrid/>
        <w:spacing w:beforeLines="0" w:beforeAutospacing="0" w:after="0" w:afterLines="0" w:afterAutospacing="0" w:line="480" w:lineRule="auto"/>
        <w:ind w:left="110" w:leftChars="50" w:right="110" w:rightChars="50"/>
        <w:textAlignment w:val="auto"/>
        <w:rPr>
          <w:rFonts w:hint="default" w:ascii="Times New Roman" w:hAnsi="Times New Roman" w:cs="Times New Roman"/>
          <w:sz w:val="28"/>
          <w:szCs w:val="28"/>
          <w:lang w:val="en-US" w:eastAsia="zh-CN"/>
        </w:rPr>
      </w:pPr>
      <w:bookmarkStart w:id="0" w:name="_Toc30972"/>
      <w:r>
        <w:rPr>
          <w:rFonts w:hint="default" w:ascii="Times New Roman" w:hAnsi="Times New Roman" w:cs="Times New Roman"/>
          <w:sz w:val="28"/>
          <w:szCs w:val="28"/>
          <w:lang w:val="en-US" w:eastAsia="zh-CN"/>
        </w:rPr>
        <w:t>1.Introduction</w:t>
      </w:r>
      <w:bookmarkEnd w:id="0"/>
      <w:r>
        <w:rPr>
          <w:rFonts w:hint="default" w:ascii="Times New Roman" w:hAnsi="Times New Roman" w:cs="Times New Roman"/>
          <w:sz w:val="28"/>
          <w:szCs w:val="28"/>
          <w:lang w:val="en-US" w:eastAsia="zh-CN"/>
        </w:rPr>
        <w:t xml:space="preserve"> </w:t>
      </w: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Kugou Music (Kugou) is one of the most widely used music player software and the largest music sharing software in China. Ever since Kugou was founded decades ago, it has been committed to the development and dissemination of digital music in China through technological innovations. It has strategically cooperated with various famed record labels and copyright management agencies, and accumulated millions of legal and exclusive digital music copyrights (Kugou Music, 2018a). Kugou has created a wide range of advanced technologies, including shared interactive networks, music recognition technology based on Big data, and music customized recommendation based on Artificial Intelligence (Kugou Music, 2018b). The presentation shed light on the external marketplace within which Kugou operates. This supporting report focus on the internal side of Kugou, including organizational structure, and strengths and weakness.</w:t>
      </w:r>
    </w:p>
    <w:p>
      <w:pPr>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br w:type="page"/>
      </w:r>
    </w:p>
    <w:p>
      <w:pPr>
        <w:pStyle w:val="2"/>
        <w:pageBreakBefore w:val="0"/>
        <w:widowControl/>
        <w:kinsoku/>
        <w:wordWrap/>
        <w:overflowPunct/>
        <w:topLinePunct w:val="0"/>
        <w:autoSpaceDE/>
        <w:autoSpaceDN/>
        <w:bidi w:val="0"/>
        <w:adjustRightInd/>
        <w:snapToGrid/>
        <w:spacing w:beforeLines="0" w:beforeAutospacing="0" w:after="0" w:afterLines="0" w:afterAutospacing="0" w:line="480" w:lineRule="auto"/>
        <w:ind w:left="110" w:leftChars="50" w:right="110" w:rightChars="50"/>
        <w:textAlignment w:val="auto"/>
        <w:rPr>
          <w:rFonts w:hint="default" w:ascii="Times New Roman" w:hAnsi="Times New Roman" w:cs="Times New Roman"/>
          <w:sz w:val="28"/>
          <w:szCs w:val="28"/>
          <w:lang w:val="en-US" w:eastAsia="zh-CN"/>
        </w:rPr>
      </w:pPr>
      <w:bookmarkStart w:id="1" w:name="_Toc10426"/>
      <w:r>
        <w:rPr>
          <w:rFonts w:hint="default" w:ascii="Times New Roman" w:hAnsi="Times New Roman" w:cs="Times New Roman"/>
          <w:sz w:val="28"/>
          <w:szCs w:val="28"/>
          <w:lang w:val="en-US" w:eastAsia="zh-CN"/>
        </w:rPr>
        <w:t>2.Porter’s Value Chain analysis</w:t>
      </w:r>
      <w:bookmarkEnd w:id="1"/>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porter’s value chain has been widely adopted as a useful technique for analysts to gain more insights about an organization’s internal environment. The battlefield of the digital music industry in China is a scene of fierce competition. In order to figure out how Kugou can success in the ever-changing and dynamic digital music industry, it is thus necessary for us to take a closer look at its internal organization. Porter’s value chain model has two generic categories of organizational activities, including supporting activities and primary activities (Porter, 2001). </w:t>
      </w: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jc w:val="both"/>
        <w:textAlignment w:val="auto"/>
        <w:rPr>
          <w:rFonts w:hint="default" w:ascii="Times New Roman" w:hAnsi="Times New Roman" w:cs="Times New Roman"/>
          <w:sz w:val="24"/>
          <w:szCs w:val="24"/>
          <w:lang w:val="en-US" w:eastAsia="zh-CN"/>
        </w:rPr>
      </w:pPr>
    </w:p>
    <w:p>
      <w:pPr>
        <w:pStyle w:val="3"/>
        <w:keepNext/>
        <w:keepLines/>
        <w:pageBreakBefore w:val="0"/>
        <w:widowControl/>
        <w:kinsoku/>
        <w:wordWrap/>
        <w:overflowPunct/>
        <w:topLinePunct w:val="0"/>
        <w:autoSpaceDE/>
        <w:autoSpaceDN/>
        <w:bidi w:val="0"/>
        <w:adjustRightInd/>
        <w:snapToGrid/>
        <w:spacing w:beforeLines="0" w:beforeAutospacing="0" w:after="0" w:afterLines="0" w:afterAutospacing="0" w:line="480" w:lineRule="auto"/>
        <w:ind w:left="110" w:leftChars="50" w:right="110" w:rightChars="50"/>
        <w:textAlignment w:val="auto"/>
        <w:rPr>
          <w:rFonts w:hint="default" w:ascii="Times New Roman" w:hAnsi="Times New Roman" w:cs="Times New Roman"/>
          <w:sz w:val="24"/>
          <w:szCs w:val="24"/>
          <w:lang w:val="en-US" w:eastAsia="zh-CN"/>
        </w:rPr>
      </w:pPr>
      <w:bookmarkStart w:id="2" w:name="_Toc31283"/>
      <w:r>
        <w:rPr>
          <w:rFonts w:hint="default" w:ascii="Times New Roman" w:hAnsi="Times New Roman" w:cs="Times New Roman"/>
          <w:sz w:val="24"/>
          <w:szCs w:val="24"/>
          <w:lang w:val="en-US" w:eastAsia="zh-CN"/>
        </w:rPr>
        <w:t>Primary activities</w:t>
      </w:r>
      <w:bookmarkEnd w:id="2"/>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Inbound logistics: inbound logistics refers to the receive, storage and distribution of inputs within the organization. The traditional inbound logistics in the music value chain was characterized by the receive, storage and distribution of physical CDs. However, the digitalization of the music industry makes less inbound logistics are involved in the value chain. There are, though still some inbound logistics including warehousing and distribution of physical materials. The physical resources used by Kugou include but isn’t limited to office supplies, physical material for offline advertising, hardware, etc. However, the above tangible resources used by Kugou are only secondary due to the nature of the digital music business, and the primary resources of Kugou (such as customer information or customized contents) are intangible. Thus, from this perspective, inbound logistics activities of intangible resources are highly cost-effective.</w:t>
      </w: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Operations: operation activities refer to activities that help the company to transform inputs into outputs. As identified in the presentation, there exist three primary ways for digital music providers to generate revenue, respectively customer subscription, advertising and exclusive copyrights  (iResearch, 2019). The ways Kugou generates revenue define its primary operation activities. In order to attract customers from different age groups, with different backgrounds and educational level, the most important operation activities for Kugou is to enrich its database continuously (Riverton Roll, 2019). Under the strict regulations of Chinese governments in the protection of intellectual property, it will be harder for music providers to get free supplies of music and for the customer to download music freely (Outdustry, 2017). Under this backdrop, the primary approach for Kugou to enrich its playlist is to acquire more legal copyrights from various record companies or individual artists. Besides, precise advertising feeds based on big data is another primary operation activity. There are several generic advertisings in Kugou, commercial advertising for other brands to generate more revenue and self-advertising with some famed artists for Kugou itself to attract subscribed users (Kugou Music, 2018a). At the same time, Kugou is also engaged in the critical evaluation of its current service delivery with the view of promoting subscription and enhancing user experiences. </w:t>
      </w: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Outbound logistics: outbound logistics refers to the warehousing and distributing of outputs to end-users. Due to the nature of the digital music business, there are not primary outbound logistics involved in Kugou’s value chain. The provision of legal and attractive contents to its users via its respective API may belong to outbound logistics in this regard. Meanwhile, Kugou has committed to reducing the music loading and downloading time by pre-fetching its music datasets. This action provides Kugou with extra competitive advantages in this outbound logistics (Negus, 2019).  </w:t>
      </w: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Marketing and sales: marketing and sales refer to create channels through which the end users can purchase Kugou’s services. The number of employees engaged in marketing and sales activities increased by 16 % in 2018 compared to 2017 (RADII China, 2019). At this stage, Kugou will also highly the differentiation points of their digital music services to persuade the online users that its offering is differentiated from other digital music providers. Typical marketing and sales activities involved in Kugou’s value chain include advertising, online and offline promotion, channel selection, coordination with business partners, partnership with channel members, etc. </w:t>
      </w: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Services: services regard to the pre- and post-sale services offered by Kugou for its end-users. Services pay an essential role in developing customer loyalty and enlarging customer base in the era that people are putting increasing attention and emphasis on experiential products. Kugou does not have physical offices, especially for customer services due to the online nature of digital music dissemination. Range of Kugou’s customer services channels include e-mails, phone calls, and online sharing communities. The ultimate goal for Kugou’s pre- and post-sale services is to provide superior music experiences for its customers.</w:t>
      </w:r>
    </w:p>
    <w:p>
      <w:pPr>
        <w:pStyle w:val="3"/>
        <w:keepNext/>
        <w:keepLines/>
        <w:pageBreakBefore w:val="0"/>
        <w:widowControl/>
        <w:kinsoku/>
        <w:wordWrap/>
        <w:overflowPunct/>
        <w:topLinePunct w:val="0"/>
        <w:autoSpaceDE/>
        <w:autoSpaceDN/>
        <w:bidi w:val="0"/>
        <w:adjustRightInd/>
        <w:snapToGrid/>
        <w:spacing w:beforeLines="0" w:beforeAutospacing="0" w:after="0" w:afterLines="0" w:afterAutospacing="0" w:line="480" w:lineRule="auto"/>
        <w:ind w:left="110" w:leftChars="50" w:right="110" w:rightChars="50"/>
        <w:textAlignment w:val="auto"/>
        <w:rPr>
          <w:rFonts w:hint="default" w:ascii="Times New Roman" w:hAnsi="Times New Roman" w:cs="Times New Roman"/>
          <w:sz w:val="24"/>
          <w:szCs w:val="24"/>
          <w:lang w:val="en-US" w:eastAsia="zh-CN"/>
        </w:rPr>
      </w:pPr>
      <w:bookmarkStart w:id="3" w:name="_Toc3168"/>
      <w:r>
        <w:rPr>
          <w:rFonts w:hint="default" w:ascii="Times New Roman" w:hAnsi="Times New Roman" w:cs="Times New Roman"/>
          <w:sz w:val="24"/>
          <w:szCs w:val="24"/>
          <w:lang w:val="en-US" w:eastAsia="zh-CN"/>
        </w:rPr>
        <w:t>Supporting activities</w:t>
      </w:r>
      <w:bookmarkEnd w:id="3"/>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supporting activities also play a critical role in facilitating and streamlining the primary activities. Kugou can benefit from a well-coordinated and established supporting activities. </w:t>
      </w: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Firm infrastructure: firm infrastructures denote support the supporting system of Kugou, and the functions that allow Kugou to maintain its routine operations, including subscription management, legal issues handling, data mining and analysis for music customization and precise recommendation, information feeding, accounting, etc. </w:t>
      </w: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Human resource management: Kugou has attempted to attract the most talented candidates with ambitions and interests in the digital music revolution. The strict and robust regulation on the recruitment, selection, training and developing, reward management has enabled Kugou to cultivate the most competitive talents. For new employees, the human resources department of Kugou will arrange on-the-job training and provides corresponding professional training according to the needs to help new employees quickly integrate into Kugou. For vocational training, the company regularly helps employees with their careering planning and offering free programs to enhance their skillsets. For higher level management training, Kugou pays attention to the cooperation of the management team, establishing a management personnel training system to improve efficiencies. At the same time, it strives to cultivate excellent management talents that adapt to the rapid development of the digital music industry. </w:t>
      </w: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Technological development: technological developments refers to the technological supports for other activities. In an advanced technological era and operated in the digital music industry, nearly all activities involved in value chains rely on technological supports (Koc and Bozdag, 2017). Meanwhile, the technological integration among different activities is built upon technological development. The typical technological development activities in Kugou’s daily operation include technology-assisted customer services, data filtering, storage, structuring, analysis and visualization, content design, etc. </w:t>
      </w:r>
    </w:p>
    <w:p>
      <w:pPr>
        <w:keepNext w:val="0"/>
        <w:keepLines w:val="0"/>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Procurement: the procurement activities demotes the purchase of inputs. Indicated by the nature of the online business, the inputs of Kugou may rage from computer equipment, office commodities, materials for an offline advertising campaign. Kugou has established a good relationship with various suppliers to enhance its cost advantage in procurement. </w:t>
      </w:r>
    </w:p>
    <w:p>
      <w:pPr>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br w:type="page"/>
      </w:r>
    </w:p>
    <w:p>
      <w:pPr>
        <w:pStyle w:val="2"/>
        <w:pageBreakBefore w:val="0"/>
        <w:widowControl/>
        <w:kinsoku/>
        <w:wordWrap/>
        <w:overflowPunct/>
        <w:topLinePunct w:val="0"/>
        <w:autoSpaceDE/>
        <w:autoSpaceDN/>
        <w:bidi w:val="0"/>
        <w:adjustRightInd/>
        <w:snapToGrid/>
        <w:spacing w:beforeLines="0" w:beforeAutospacing="0" w:after="0" w:afterLines="0" w:afterAutospacing="0" w:line="480" w:lineRule="auto"/>
        <w:ind w:left="110" w:leftChars="50" w:right="110" w:rightChars="50"/>
        <w:textAlignment w:val="auto"/>
        <w:rPr>
          <w:rFonts w:hint="default" w:ascii="Times New Roman" w:hAnsi="Times New Roman" w:cs="Times New Roman"/>
          <w:sz w:val="28"/>
          <w:szCs w:val="28"/>
          <w:lang w:val="en-US" w:eastAsia="zh-CN"/>
        </w:rPr>
      </w:pPr>
      <w:bookmarkStart w:id="4" w:name="_Toc2045"/>
      <w:r>
        <w:rPr>
          <w:rFonts w:hint="default" w:ascii="Times New Roman" w:hAnsi="Times New Roman" w:cs="Times New Roman"/>
          <w:sz w:val="28"/>
          <w:szCs w:val="28"/>
          <w:lang w:val="en-US" w:eastAsia="zh-CN"/>
        </w:rPr>
        <w:t>3.Internal Strengths and Weakness</w:t>
      </w:r>
      <w:bookmarkEnd w:id="4"/>
    </w:p>
    <w:p>
      <w:pPr>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4"/>
          <w:szCs w:val="24"/>
          <w:lang w:val="en-US" w:eastAsia="zh-CN"/>
        </w:rPr>
      </w:pPr>
    </w:p>
    <w:p>
      <w:pPr>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Strengths</w:t>
      </w:r>
    </w:p>
    <w:p>
      <w:pPr>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As a digital music provider with a long history, Kugou Music so far has accumulated with 20 million monthly active users, ranking as the No.1 digital music providers in China. The well-reputation of Kugou Music has made many record labels willing to establish a long-term strategic partnership with Kugou. Thus, besides a large customer base, Kugou also has a large music dataset with many exclusive copyrights. all the years, Kugou has been committed to helping with the development of independent artists who have strong personal styles (China Daily, 2017). That is to say, Kugou not only provide mainstream music for most of the people, it also provides non-mainstream music for a niche market. Another strength of Kugou lies in its innovative gene. All the years, Kugou has attempted to created various innovative technologies to help enhance user experiences, including highly efficient distributed non-centralized search for music, personal music recommendation based on Artificial Intelligence, and automated playlist formulation based on Big data (Kugou Music, 2018a). </w:t>
      </w:r>
    </w:p>
    <w:p>
      <w:pPr>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4"/>
          <w:szCs w:val="24"/>
          <w:lang w:val="en-US" w:eastAsia="zh-CN"/>
        </w:rPr>
      </w:pPr>
    </w:p>
    <w:p>
      <w:pPr>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Weaknesses</w:t>
      </w:r>
    </w:p>
    <w:p>
      <w:pPr>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w:t>
      </w:r>
      <w:r>
        <w:rPr>
          <w:rFonts w:hint="default" w:ascii="Times New Roman" w:hAnsi="Times New Roman" w:cs="Times New Roman"/>
          <w:sz w:val="24"/>
          <w:szCs w:val="24"/>
          <w:lang w:val="en-US" w:eastAsia="zh-CN"/>
        </w:rPr>
        <w:t xml:space="preserve">n order to help with the development of independent artists, Kugou has allowed Independent artists to upload their own songs to Kugou by their own. However, Kugou‘s regulation over independent artists has lagged behind their ambition. Kugou has suffered from scandals on the piracy issues resulted from independent artists operated all the time (Tang and Lyons, 2016; Kim et al., 2018). Besides, although Kugou has some exclusive copyrights of some large record labels, it did not have legal copyrights of some emerging record companies. Meanwhile, as other competitors started to probe into the overseas market due to the strong support of their mother companies, Kugou currently still focus on the domestic markets and urban markets. </w:t>
      </w:r>
    </w:p>
    <w:p>
      <w:pPr>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4"/>
          <w:szCs w:val="24"/>
          <w:lang w:val="en-US" w:eastAsia="zh-CN"/>
        </w:rPr>
      </w:pPr>
    </w:p>
    <w:p>
      <w:pPr>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4"/>
          <w:szCs w:val="24"/>
          <w:lang w:val="en-US" w:eastAsia="zh-CN"/>
        </w:rPr>
      </w:pPr>
      <w:r>
        <w:rPr>
          <w:rFonts w:hint="default" w:ascii="Times New Roman" w:hAnsi="Times New Roman" w:cs="Times New Roman"/>
          <w:color w:val="0D0D0D" w:themeColor="text1" w:themeTint="F2"/>
          <w:sz w:val="24"/>
          <w:szCs w:val="24"/>
          <w14:textFill>
            <w14:solidFill>
              <w14:schemeClr w14:val="tx1">
                <w14:lumMod w14:val="95000"/>
                <w14:lumOff w14:val="5000"/>
              </w14:schemeClr>
            </w14:solidFill>
          </w14:textFill>
        </w:rPr>
        <w:drawing>
          <wp:inline distT="0" distB="0" distL="0" distR="0">
            <wp:extent cx="5043170" cy="1746885"/>
            <wp:effectExtent l="0" t="0" r="5080" b="57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043170" cy="1746885"/>
                    </a:xfrm>
                    <a:prstGeom prst="rect">
                      <a:avLst/>
                    </a:prstGeom>
                    <a:noFill/>
                  </pic:spPr>
                </pic:pic>
              </a:graphicData>
            </a:graphic>
          </wp:inline>
        </w:drawing>
      </w:r>
    </w:p>
    <w:p>
      <w:pPr>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br w:type="page"/>
      </w:r>
    </w:p>
    <w:p>
      <w:pPr>
        <w:pStyle w:val="2"/>
        <w:pageBreakBefore w:val="0"/>
        <w:widowControl/>
        <w:kinsoku/>
        <w:wordWrap/>
        <w:overflowPunct/>
        <w:topLinePunct w:val="0"/>
        <w:autoSpaceDE/>
        <w:autoSpaceDN/>
        <w:bidi w:val="0"/>
        <w:adjustRightInd/>
        <w:snapToGrid/>
        <w:spacing w:beforeLines="0" w:beforeAutospacing="0" w:after="0" w:afterLines="0" w:afterAutospacing="0" w:line="480" w:lineRule="auto"/>
        <w:ind w:left="110" w:leftChars="50" w:right="110" w:rightChars="50"/>
        <w:textAlignment w:val="auto"/>
        <w:rPr>
          <w:rFonts w:hint="default" w:ascii="Times New Roman" w:hAnsi="Times New Roman" w:cs="Times New Roman"/>
          <w:sz w:val="28"/>
          <w:szCs w:val="28"/>
          <w:lang w:val="en-US" w:eastAsia="zh-CN"/>
        </w:rPr>
      </w:pPr>
      <w:bookmarkStart w:id="5" w:name="_Toc27879"/>
      <w:r>
        <w:rPr>
          <w:rFonts w:hint="default" w:ascii="Times New Roman" w:hAnsi="Times New Roman" w:cs="Times New Roman"/>
          <w:sz w:val="28"/>
          <w:szCs w:val="28"/>
          <w:lang w:val="en-US" w:eastAsia="zh-CN"/>
        </w:rPr>
        <w:t>4.Conclusion</w:t>
      </w:r>
      <w:bookmarkEnd w:id="5"/>
    </w:p>
    <w:p>
      <w:pPr>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8"/>
          <w:szCs w:val="28"/>
          <w:lang w:val="en-US" w:eastAsia="zh-CN"/>
        </w:rPr>
      </w:pPr>
      <w:r>
        <w:rPr>
          <w:rFonts w:hint="default" w:ascii="Times New Roman" w:hAnsi="Times New Roman" w:cs="Times New Roman"/>
          <w:sz w:val="24"/>
          <w:szCs w:val="24"/>
          <w:lang w:val="en-US" w:eastAsia="zh-CN"/>
        </w:rPr>
        <w:t>This short paper has analyzed the internal environment of a Chinese digital music provider-Kugou. The summary of value chain analysis denotes that Kugou remains an enterprise with high adaptability with the ever-changing external environment. Innovative technologies have been an important factor that helps Kugou to sustain its success so far. The identification of internal strengths and weaknesses indicates that Kugou can continue their success by staying up to date in market trends through leveraging their strengths and eliminate weaknesses. Once the obstacle being clear, Kugou can make digital music experience valuable to its customers.</w:t>
      </w:r>
      <w:r>
        <w:rPr>
          <w:rFonts w:hint="default" w:ascii="Times New Roman" w:hAnsi="Times New Roman" w:cs="Times New Roman"/>
          <w:sz w:val="28"/>
          <w:szCs w:val="28"/>
          <w:lang w:val="en-US" w:eastAsia="zh-CN"/>
        </w:rPr>
        <w:br w:type="page"/>
      </w:r>
    </w:p>
    <w:p>
      <w:pPr>
        <w:pStyle w:val="2"/>
        <w:pageBreakBefore w:val="0"/>
        <w:widowControl/>
        <w:kinsoku/>
        <w:wordWrap/>
        <w:overflowPunct/>
        <w:topLinePunct w:val="0"/>
        <w:bidi w:val="0"/>
        <w:snapToGrid/>
        <w:spacing w:beforeLines="0" w:beforeAutospacing="0" w:after="0" w:afterLines="0" w:afterAutospacing="0" w:line="480" w:lineRule="auto"/>
        <w:ind w:left="110" w:leftChars="50" w:right="110" w:rightChars="50"/>
        <w:textAlignment w:val="auto"/>
        <w:rPr>
          <w:rFonts w:hint="default" w:ascii="Times New Roman" w:hAnsi="Times New Roman" w:cs="Times New Roman"/>
          <w:sz w:val="28"/>
          <w:szCs w:val="28"/>
          <w:lang w:val="en-US" w:eastAsia="zh-CN"/>
        </w:rPr>
      </w:pPr>
      <w:bookmarkStart w:id="6" w:name="_Toc11357"/>
      <w:r>
        <w:rPr>
          <w:rFonts w:hint="default" w:ascii="Times New Roman" w:hAnsi="Times New Roman" w:cs="Times New Roman"/>
          <w:sz w:val="28"/>
          <w:szCs w:val="28"/>
          <w:lang w:val="en-US" w:eastAsia="zh-CN"/>
        </w:rPr>
        <w:t>Reference</w:t>
      </w:r>
      <w:bookmarkEnd w:id="6"/>
      <w:r>
        <w:rPr>
          <w:rFonts w:hint="default" w:ascii="Times New Roman" w:hAnsi="Times New Roman" w:cs="Times New Roman"/>
          <w:sz w:val="28"/>
          <w:szCs w:val="28"/>
          <w:lang w:val="en-US" w:eastAsia="zh-CN"/>
        </w:rPr>
        <w:t xml:space="preserve"> </w:t>
      </w:r>
    </w:p>
    <w:p>
      <w:pPr>
        <w:pageBreakBefore w:val="0"/>
        <w:widowControl/>
        <w:kinsoku/>
        <w:wordWrap/>
        <w:overflowPunct/>
        <w:topLinePunct w:val="0"/>
        <w:autoSpaceDE w:val="0"/>
        <w:autoSpaceDN w:val="0"/>
        <w:bidi w:val="0"/>
        <w:adjustRightInd w:val="0"/>
        <w:snapToGrid/>
        <w:spacing w:beforeAutospacing="0" w:after="0" w:afterAutospacing="0" w:line="480" w:lineRule="auto"/>
        <w:ind w:left="110" w:leftChars="50" w:right="110" w:rightChars="50"/>
        <w:textAlignment w:val="auto"/>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14:textFill>
            <w14:solidFill>
              <w14:schemeClr w14:val="tx1">
                <w14:lumMod w14:val="95000"/>
                <w14:lumOff w14:val="5000"/>
              </w14:schemeClr>
            </w14:solidFill>
          </w14:textFill>
        </w:rPr>
        <w:fldChar w:fldCharType="begin" w:fldLock="1"/>
      </w:r>
      <w:r>
        <w:rPr>
          <w:rFonts w:hint="default" w:ascii="Times New Roman" w:hAnsi="Times New Roman" w:cs="Times New Roman"/>
          <w:color w:val="0D0D0D" w:themeColor="text1" w:themeTint="F2"/>
          <w14:textFill>
            <w14:solidFill>
              <w14:schemeClr w14:val="tx1">
                <w14:lumMod w14:val="95000"/>
                <w14:lumOff w14:val="5000"/>
              </w14:schemeClr>
            </w14:solidFill>
          </w14:textFill>
        </w:rPr>
        <w:instrText xml:space="preserve">ADDIN Mendeley Bibliography CSL_BIBLIOGRAPHY </w:instrText>
      </w:r>
      <w:r>
        <w:rPr>
          <w:rFonts w:hint="default" w:ascii="Times New Roman" w:hAnsi="Times New Roman" w:cs="Times New Roman"/>
          <w:color w:val="0D0D0D" w:themeColor="text1" w:themeTint="F2"/>
          <w14:textFill>
            <w14:solidFill>
              <w14:schemeClr w14:val="tx1">
                <w14:lumMod w14:val="95000"/>
                <w14:lumOff w14:val="5000"/>
              </w14:schemeClr>
            </w14:solidFill>
          </w14:textFill>
        </w:rPr>
        <w:fldChar w:fldCharType="separate"/>
      </w: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xml:space="preserve">China Daily (2017) </w:t>
      </w:r>
      <w:r>
        <w:rPr>
          <w:rFonts w:hint="default" w:ascii="Times New Roman" w:hAnsi="Times New Roman" w:eastAsia="等线" w:cs="Times New Roman"/>
          <w:i/>
          <w:iCs/>
          <w:color w:val="0D0D0D" w:themeColor="text1" w:themeTint="F2"/>
          <w:szCs w:val="24"/>
          <w14:textFill>
            <w14:solidFill>
              <w14:schemeClr w14:val="tx1">
                <w14:lumMod w14:val="95000"/>
                <w14:lumOff w14:val="5000"/>
              </w14:schemeClr>
            </w14:solidFill>
          </w14:textFill>
        </w:rPr>
        <w:t>China reports music industry growth</w:t>
      </w: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Available at: http://www.chinadaily.com.cn/business/2017-11/06/content_34180258.htm (Accessed: 14 July 2019).</w:t>
      </w:r>
    </w:p>
    <w:p>
      <w:pPr>
        <w:pageBreakBefore w:val="0"/>
        <w:widowControl/>
        <w:kinsoku/>
        <w:wordWrap/>
        <w:overflowPunct/>
        <w:topLinePunct w:val="0"/>
        <w:autoSpaceDE w:val="0"/>
        <w:autoSpaceDN w:val="0"/>
        <w:bidi w:val="0"/>
        <w:adjustRightInd w:val="0"/>
        <w:snapToGrid/>
        <w:spacing w:beforeAutospacing="0" w:after="0" w:afterAutospacing="0" w:line="480" w:lineRule="auto"/>
        <w:ind w:left="110" w:leftChars="50" w:right="110" w:rightChars="50"/>
        <w:textAlignment w:val="auto"/>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pP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xml:space="preserve">iResearch (2019) </w:t>
      </w:r>
      <w:r>
        <w:rPr>
          <w:rFonts w:hint="default" w:ascii="Times New Roman" w:hAnsi="Times New Roman" w:eastAsia="等线" w:cs="Times New Roman"/>
          <w:i/>
          <w:iCs/>
          <w:color w:val="0D0D0D" w:themeColor="text1" w:themeTint="F2"/>
          <w:szCs w:val="24"/>
          <w14:textFill>
            <w14:solidFill>
              <w14:schemeClr w14:val="tx1">
                <w14:lumMod w14:val="95000"/>
                <w14:lumOff w14:val="5000"/>
              </w14:schemeClr>
            </w14:solidFill>
          </w14:textFill>
        </w:rPr>
        <w:t>China’s Digital Music Market Will Face A New Round of Competition</w:t>
      </w: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Available at: http://www.iresearchchina.com/content/details7_53675.html (Accessed: 13 July 2019).</w:t>
      </w:r>
    </w:p>
    <w:p>
      <w:pPr>
        <w:pageBreakBefore w:val="0"/>
        <w:widowControl/>
        <w:kinsoku/>
        <w:wordWrap/>
        <w:overflowPunct/>
        <w:topLinePunct w:val="0"/>
        <w:autoSpaceDE w:val="0"/>
        <w:autoSpaceDN w:val="0"/>
        <w:bidi w:val="0"/>
        <w:adjustRightInd w:val="0"/>
        <w:snapToGrid/>
        <w:spacing w:beforeAutospacing="0" w:after="0" w:afterAutospacing="0" w:line="480" w:lineRule="auto"/>
        <w:ind w:left="110" w:leftChars="50" w:right="110" w:rightChars="50"/>
        <w:textAlignment w:val="auto"/>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pP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xml:space="preserve">Kim, H. </w:t>
      </w:r>
      <w:r>
        <w:rPr>
          <w:rFonts w:hint="default" w:ascii="Times New Roman" w:hAnsi="Times New Roman" w:eastAsia="等线" w:cs="Times New Roman"/>
          <w:i/>
          <w:iCs/>
          <w:color w:val="0D0D0D" w:themeColor="text1" w:themeTint="F2"/>
          <w:szCs w:val="24"/>
          <w14:textFill>
            <w14:solidFill>
              <w14:schemeClr w14:val="tx1">
                <w14:lumMod w14:val="95000"/>
                <w14:lumOff w14:val="5000"/>
              </w14:schemeClr>
            </w14:solidFill>
          </w14:textFill>
        </w:rPr>
        <w:t>et al.</w:t>
      </w: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xml:space="preserve"> (2018) ‘Value Co-creation in Digital Content Ecosystems: A Study of Hallyu’.</w:t>
      </w:r>
    </w:p>
    <w:p>
      <w:pPr>
        <w:pageBreakBefore w:val="0"/>
        <w:widowControl/>
        <w:kinsoku/>
        <w:wordWrap/>
        <w:overflowPunct/>
        <w:topLinePunct w:val="0"/>
        <w:autoSpaceDE w:val="0"/>
        <w:autoSpaceDN w:val="0"/>
        <w:bidi w:val="0"/>
        <w:adjustRightInd w:val="0"/>
        <w:snapToGrid/>
        <w:spacing w:beforeAutospacing="0" w:after="0" w:afterAutospacing="0" w:line="480" w:lineRule="auto"/>
        <w:ind w:left="110" w:leftChars="50" w:right="110" w:rightChars="50"/>
        <w:textAlignment w:val="auto"/>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pP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xml:space="preserve">Koc, T. and Bozdag, E. (2017) ‘Measuring the degree of novelty of innovation based on Porter’s value chain approach’, </w:t>
      </w:r>
      <w:r>
        <w:rPr>
          <w:rFonts w:hint="default" w:ascii="Times New Roman" w:hAnsi="Times New Roman" w:eastAsia="等线" w:cs="Times New Roman"/>
          <w:i/>
          <w:iCs/>
          <w:color w:val="0D0D0D" w:themeColor="text1" w:themeTint="F2"/>
          <w:szCs w:val="24"/>
          <w14:textFill>
            <w14:solidFill>
              <w14:schemeClr w14:val="tx1">
                <w14:lumMod w14:val="95000"/>
                <w14:lumOff w14:val="5000"/>
              </w14:schemeClr>
            </w14:solidFill>
          </w14:textFill>
        </w:rPr>
        <w:t>European Journal of Operational Research</w:t>
      </w: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Elsevier, 257(2), pp. 559–567.</w:t>
      </w:r>
    </w:p>
    <w:p>
      <w:pPr>
        <w:pageBreakBefore w:val="0"/>
        <w:widowControl/>
        <w:kinsoku/>
        <w:wordWrap/>
        <w:overflowPunct/>
        <w:topLinePunct w:val="0"/>
        <w:autoSpaceDE w:val="0"/>
        <w:autoSpaceDN w:val="0"/>
        <w:bidi w:val="0"/>
        <w:adjustRightInd w:val="0"/>
        <w:snapToGrid/>
        <w:spacing w:beforeAutospacing="0" w:after="0" w:afterAutospacing="0" w:line="480" w:lineRule="auto"/>
        <w:ind w:left="110" w:leftChars="50" w:right="110" w:rightChars="50"/>
        <w:textAlignment w:val="auto"/>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pP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xml:space="preserve">Kugou Music (2018a) </w:t>
      </w:r>
      <w:r>
        <w:rPr>
          <w:rFonts w:hint="default" w:ascii="Times New Roman" w:hAnsi="Times New Roman" w:eastAsia="等线" w:cs="Times New Roman"/>
          <w:i/>
          <w:iCs/>
          <w:color w:val="0D0D0D" w:themeColor="text1" w:themeTint="F2"/>
          <w:szCs w:val="24"/>
          <w14:textFill>
            <w14:solidFill>
              <w14:schemeClr w14:val="tx1">
                <w14:lumMod w14:val="95000"/>
                <w14:lumOff w14:val="5000"/>
              </w14:schemeClr>
            </w14:solidFill>
          </w14:textFill>
        </w:rPr>
        <w:t>Kugou-Company Profile</w:t>
      </w: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Available at: http://www.kugou.com/about/aboutus.html (Accessed: 13 July 2019).</w:t>
      </w:r>
    </w:p>
    <w:p>
      <w:pPr>
        <w:pageBreakBefore w:val="0"/>
        <w:widowControl/>
        <w:kinsoku/>
        <w:wordWrap/>
        <w:overflowPunct/>
        <w:topLinePunct w:val="0"/>
        <w:autoSpaceDE w:val="0"/>
        <w:autoSpaceDN w:val="0"/>
        <w:bidi w:val="0"/>
        <w:adjustRightInd w:val="0"/>
        <w:snapToGrid/>
        <w:spacing w:beforeAutospacing="0" w:after="0" w:afterAutospacing="0" w:line="480" w:lineRule="auto"/>
        <w:ind w:left="110" w:leftChars="50" w:right="110" w:rightChars="50"/>
        <w:textAlignment w:val="auto"/>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pP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xml:space="preserve">Kugou Music (2018b) </w:t>
      </w:r>
      <w:r>
        <w:rPr>
          <w:rFonts w:hint="default" w:ascii="Times New Roman" w:hAnsi="Times New Roman" w:eastAsia="等线" w:cs="Times New Roman"/>
          <w:i/>
          <w:iCs/>
          <w:color w:val="0D0D0D" w:themeColor="text1" w:themeTint="F2"/>
          <w:szCs w:val="24"/>
          <w14:textFill>
            <w14:solidFill>
              <w14:schemeClr w14:val="tx1">
                <w14:lumMod w14:val="95000"/>
                <w14:lumOff w14:val="5000"/>
              </w14:schemeClr>
            </w14:solidFill>
          </w14:textFill>
        </w:rPr>
        <w:t>Kugou-Vision and Mission</w:t>
      </w: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Available at: http://www.kugou.com/about/vision.html (Accessed: 13 July 2019).</w:t>
      </w:r>
    </w:p>
    <w:p>
      <w:pPr>
        <w:pageBreakBefore w:val="0"/>
        <w:widowControl/>
        <w:kinsoku/>
        <w:wordWrap/>
        <w:overflowPunct/>
        <w:topLinePunct w:val="0"/>
        <w:autoSpaceDE w:val="0"/>
        <w:autoSpaceDN w:val="0"/>
        <w:bidi w:val="0"/>
        <w:adjustRightInd w:val="0"/>
        <w:snapToGrid/>
        <w:spacing w:beforeAutospacing="0" w:after="0" w:afterAutospacing="0" w:line="480" w:lineRule="auto"/>
        <w:ind w:left="110" w:leftChars="50" w:right="110" w:rightChars="50"/>
        <w:textAlignment w:val="auto"/>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pP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xml:space="preserve">Negus, K. (2019) ‘From creator to data: the post-record music industry and the digital conglomerates’, </w:t>
      </w:r>
      <w:r>
        <w:rPr>
          <w:rFonts w:hint="default" w:ascii="Times New Roman" w:hAnsi="Times New Roman" w:eastAsia="等线" w:cs="Times New Roman"/>
          <w:i/>
          <w:iCs/>
          <w:color w:val="0D0D0D" w:themeColor="text1" w:themeTint="F2"/>
          <w:szCs w:val="24"/>
          <w14:textFill>
            <w14:solidFill>
              <w14:schemeClr w14:val="tx1">
                <w14:lumMod w14:val="95000"/>
                <w14:lumOff w14:val="5000"/>
              </w14:schemeClr>
            </w14:solidFill>
          </w14:textFill>
        </w:rPr>
        <w:t>Media, Culture &amp; Society</w:t>
      </w: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SAGE Publications Sage UK: London, England, 41(3), pp. 367–384.</w:t>
      </w:r>
    </w:p>
    <w:p>
      <w:pPr>
        <w:pageBreakBefore w:val="0"/>
        <w:widowControl/>
        <w:kinsoku/>
        <w:wordWrap/>
        <w:overflowPunct/>
        <w:topLinePunct w:val="0"/>
        <w:autoSpaceDE w:val="0"/>
        <w:autoSpaceDN w:val="0"/>
        <w:bidi w:val="0"/>
        <w:adjustRightInd w:val="0"/>
        <w:snapToGrid/>
        <w:spacing w:beforeAutospacing="0" w:after="0" w:afterAutospacing="0" w:line="480" w:lineRule="auto"/>
        <w:ind w:left="110" w:leftChars="50" w:right="110" w:rightChars="50"/>
        <w:textAlignment w:val="auto"/>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pP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xml:space="preserve">Outdustry (2017) </w:t>
      </w:r>
      <w:r>
        <w:rPr>
          <w:rFonts w:hint="default" w:ascii="Times New Roman" w:hAnsi="Times New Roman" w:eastAsia="等线" w:cs="Times New Roman"/>
          <w:i/>
          <w:iCs/>
          <w:color w:val="0D0D0D" w:themeColor="text1" w:themeTint="F2"/>
          <w:szCs w:val="24"/>
          <w14:textFill>
            <w14:solidFill>
              <w14:schemeClr w14:val="tx1">
                <w14:lumMod w14:val="95000"/>
                <w14:lumOff w14:val="5000"/>
              </w14:schemeClr>
            </w14:solidFill>
          </w14:textFill>
        </w:rPr>
        <w:t>Ramble On: Intellectual Property Rights and The Chinese Music Industry (Interview)</w:t>
      </w: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Available at: https://blog.outdustry.com/ramble-on-intellectual-property-rights-and-the-chinese-music-industry-interview-b9a00a58aaf2 (Accessed: 14 July 2019).</w:t>
      </w:r>
    </w:p>
    <w:p>
      <w:pPr>
        <w:pageBreakBefore w:val="0"/>
        <w:widowControl/>
        <w:kinsoku/>
        <w:wordWrap/>
        <w:overflowPunct/>
        <w:topLinePunct w:val="0"/>
        <w:autoSpaceDE w:val="0"/>
        <w:autoSpaceDN w:val="0"/>
        <w:bidi w:val="0"/>
        <w:adjustRightInd w:val="0"/>
        <w:snapToGrid/>
        <w:spacing w:beforeAutospacing="0" w:after="0" w:afterAutospacing="0" w:line="480" w:lineRule="auto"/>
        <w:ind w:left="110" w:leftChars="50" w:right="110" w:rightChars="50"/>
        <w:textAlignment w:val="auto"/>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pP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xml:space="preserve">Porter, M. E. (2001) ‘The value chain and competitive advantage’, </w:t>
      </w:r>
      <w:r>
        <w:rPr>
          <w:rFonts w:hint="default" w:ascii="Times New Roman" w:hAnsi="Times New Roman" w:eastAsia="等线" w:cs="Times New Roman"/>
          <w:i/>
          <w:iCs/>
          <w:color w:val="0D0D0D" w:themeColor="text1" w:themeTint="F2"/>
          <w:szCs w:val="24"/>
          <w14:textFill>
            <w14:solidFill>
              <w14:schemeClr w14:val="tx1">
                <w14:lumMod w14:val="95000"/>
                <w14:lumOff w14:val="5000"/>
              </w14:schemeClr>
            </w14:solidFill>
          </w14:textFill>
        </w:rPr>
        <w:t>Understanding Business Processes</w:t>
      </w: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pp. 50–66.</w:t>
      </w:r>
    </w:p>
    <w:p>
      <w:pPr>
        <w:pageBreakBefore w:val="0"/>
        <w:widowControl/>
        <w:kinsoku/>
        <w:wordWrap/>
        <w:overflowPunct/>
        <w:topLinePunct w:val="0"/>
        <w:autoSpaceDE w:val="0"/>
        <w:autoSpaceDN w:val="0"/>
        <w:bidi w:val="0"/>
        <w:adjustRightInd w:val="0"/>
        <w:snapToGrid/>
        <w:spacing w:beforeAutospacing="0" w:after="0" w:afterAutospacing="0" w:line="480" w:lineRule="auto"/>
        <w:ind w:left="110" w:leftChars="50" w:right="110" w:rightChars="50"/>
        <w:textAlignment w:val="auto"/>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pP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xml:space="preserve">RADII China (2019) </w:t>
      </w:r>
      <w:r>
        <w:rPr>
          <w:rFonts w:hint="default" w:ascii="Times New Roman" w:hAnsi="Times New Roman" w:eastAsia="等线" w:cs="Times New Roman"/>
          <w:i/>
          <w:iCs/>
          <w:color w:val="0D0D0D" w:themeColor="text1" w:themeTint="F2"/>
          <w:szCs w:val="24"/>
          <w14:textFill>
            <w14:solidFill>
              <w14:schemeClr w14:val="tx1">
                <w14:lumMod w14:val="95000"/>
                <w14:lumOff w14:val="5000"/>
              </w14:schemeClr>
            </w14:solidFill>
          </w14:textFill>
        </w:rPr>
        <w:t>China Explained: How Tencent Came to Dominate Music Streaming in China</w:t>
      </w: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Available at: https://radiichina.com/china-explained-how-tencent-came-to-dominate-music-streaming/ (Accessed: 14 July 2019).</w:t>
      </w:r>
    </w:p>
    <w:p>
      <w:pPr>
        <w:pageBreakBefore w:val="0"/>
        <w:widowControl/>
        <w:kinsoku/>
        <w:wordWrap/>
        <w:overflowPunct/>
        <w:topLinePunct w:val="0"/>
        <w:autoSpaceDE w:val="0"/>
        <w:autoSpaceDN w:val="0"/>
        <w:bidi w:val="0"/>
        <w:adjustRightInd w:val="0"/>
        <w:snapToGrid/>
        <w:spacing w:beforeAutospacing="0" w:after="0" w:afterAutospacing="0" w:line="480" w:lineRule="auto"/>
        <w:ind w:left="110" w:leftChars="50" w:right="110" w:rightChars="50"/>
        <w:textAlignment w:val="auto"/>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pP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xml:space="preserve">Riverton Roll (2019) </w:t>
      </w:r>
      <w:r>
        <w:rPr>
          <w:rFonts w:hint="default" w:ascii="Times New Roman" w:hAnsi="Times New Roman" w:eastAsia="等线" w:cs="Times New Roman"/>
          <w:i/>
          <w:iCs/>
          <w:color w:val="0D0D0D" w:themeColor="text1" w:themeTint="F2"/>
          <w:szCs w:val="24"/>
          <w14:textFill>
            <w14:solidFill>
              <w14:schemeClr w14:val="tx1">
                <w14:lumMod w14:val="95000"/>
                <w14:lumOff w14:val="5000"/>
              </w14:schemeClr>
            </w14:solidFill>
          </w14:textFill>
        </w:rPr>
        <w:t>Tencent Music Entertainment Group – (NYSE:TME) Sees Large Growth in Short Interest - Riverton Roll</w:t>
      </w: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Available at: https://rivertonroll.com/news/2019/07/14/tencent-music-entertainment-group-nysetme-sees-significant-increase-in-short-interest.html (Accessed: 14 July 2019).</w:t>
      </w:r>
    </w:p>
    <w:p>
      <w:pPr>
        <w:pageBreakBefore w:val="0"/>
        <w:widowControl/>
        <w:kinsoku/>
        <w:wordWrap/>
        <w:overflowPunct/>
        <w:topLinePunct w:val="0"/>
        <w:autoSpaceDE w:val="0"/>
        <w:autoSpaceDN w:val="0"/>
        <w:bidi w:val="0"/>
        <w:adjustRightInd w:val="0"/>
        <w:snapToGrid/>
        <w:spacing w:beforeAutospacing="0" w:after="0" w:afterAutospacing="0" w:line="480" w:lineRule="auto"/>
        <w:ind w:left="110" w:leftChars="50" w:right="110" w:rightChars="50"/>
        <w:textAlignment w:val="auto"/>
        <w:rPr>
          <w:rFonts w:hint="default" w:ascii="Times New Roman" w:hAnsi="Times New Roman" w:eastAsia="等线" w:cs="Times New Roman"/>
          <w:color w:val="0D0D0D" w:themeColor="text1" w:themeTint="F2"/>
          <w14:textFill>
            <w14:solidFill>
              <w14:schemeClr w14:val="tx1">
                <w14:lumMod w14:val="95000"/>
                <w14:lumOff w14:val="5000"/>
              </w14:schemeClr>
            </w14:solidFill>
          </w14:textFill>
        </w:rPr>
      </w:pP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xml:space="preserve">Tang, D. and Lyons, R. (2016) ‘An ecosystem lens: Putting China’s digital music industry into focus’, </w:t>
      </w:r>
      <w:r>
        <w:rPr>
          <w:rFonts w:hint="default" w:ascii="Times New Roman" w:hAnsi="Times New Roman" w:eastAsia="等线" w:cs="Times New Roman"/>
          <w:i/>
          <w:iCs/>
          <w:color w:val="0D0D0D" w:themeColor="text1" w:themeTint="F2"/>
          <w:szCs w:val="24"/>
          <w14:textFill>
            <w14:solidFill>
              <w14:schemeClr w14:val="tx1">
                <w14:lumMod w14:val="95000"/>
                <w14:lumOff w14:val="5000"/>
              </w14:schemeClr>
            </w14:solidFill>
          </w14:textFill>
        </w:rPr>
        <w:t>Global Media and China</w:t>
      </w:r>
      <w:r>
        <w:rPr>
          <w:rFonts w:hint="default" w:ascii="Times New Roman" w:hAnsi="Times New Roman" w:eastAsia="等线" w:cs="Times New Roman"/>
          <w:color w:val="0D0D0D" w:themeColor="text1" w:themeTint="F2"/>
          <w:szCs w:val="24"/>
          <w14:textFill>
            <w14:solidFill>
              <w14:schemeClr w14:val="tx1">
                <w14:lumMod w14:val="95000"/>
                <w14:lumOff w14:val="5000"/>
              </w14:schemeClr>
            </w14:solidFill>
          </w14:textFill>
        </w:rPr>
        <w:t>, 1(4), pp. 350–371. doi: 10.1177/2059436416685101.</w:t>
      </w:r>
    </w:p>
    <w:p>
      <w:pPr>
        <w:pageBreakBefore w:val="0"/>
        <w:widowControl/>
        <w:kinsoku/>
        <w:wordWrap/>
        <w:overflowPunct/>
        <w:topLinePunct w:val="0"/>
        <w:autoSpaceDE/>
        <w:autoSpaceDN/>
        <w:bidi w:val="0"/>
        <w:adjustRightInd/>
        <w:snapToGrid/>
        <w:spacing w:beforeAutospacing="0" w:after="0" w:afterAutospacing="0" w:line="480" w:lineRule="auto"/>
        <w:ind w:left="110" w:leftChars="50" w:right="110" w:rightChars="50"/>
        <w:textAlignment w:val="auto"/>
        <w:rPr>
          <w:rFonts w:hint="default" w:ascii="Times New Roman" w:hAnsi="Times New Roman" w:cs="Times New Roman"/>
          <w:sz w:val="28"/>
          <w:szCs w:val="28"/>
        </w:rPr>
      </w:pPr>
      <w:r>
        <w:rPr>
          <w:rFonts w:hint="default" w:ascii="Times New Roman" w:hAnsi="Times New Roman" w:cs="Times New Roman"/>
          <w:color w:val="0D0D0D" w:themeColor="text1" w:themeTint="F2"/>
          <w14:textFill>
            <w14:solidFill>
              <w14:schemeClr w14:val="tx1">
                <w14:lumMod w14:val="95000"/>
                <w14:lumOff w14:val="5000"/>
              </w14:schemeClr>
            </w14:solidFill>
          </w14:textFill>
        </w:rPr>
        <w:fldChar w:fldCharType="end"/>
      </w: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Tunga">
    <w:panose1 w:val="020B0502040204020203"/>
    <w:charset w:val="00"/>
    <w:family w:val="auto"/>
    <w:pitch w:val="default"/>
    <w:sig w:usb0="00400003"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A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w:panose1 w:val="020F0502020204030204"/>
    <w:charset w:val="86"/>
    <w:family w:val="auto"/>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DzzfY5wQIAANYFAAAOAAAAAAAA&#10;AAEAIAAAAB8BAABkcnMvZTJvRG9jLnhtbFBLBQYAAAAABgAGAFkBAABSBg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34F7C4F"/>
    <w:rsid w:val="05A73BCE"/>
    <w:rsid w:val="14184CAE"/>
    <w:rsid w:val="167B40F4"/>
    <w:rsid w:val="1EDA07C2"/>
    <w:rsid w:val="28A924EB"/>
    <w:rsid w:val="29D76476"/>
    <w:rsid w:val="29E527F6"/>
    <w:rsid w:val="2AD8547C"/>
    <w:rsid w:val="2BE978D9"/>
    <w:rsid w:val="2FFB6E77"/>
    <w:rsid w:val="3C116DD8"/>
    <w:rsid w:val="40411B34"/>
    <w:rsid w:val="41F744E6"/>
    <w:rsid w:val="464D5FA7"/>
    <w:rsid w:val="497032FA"/>
    <w:rsid w:val="4F2B0E2B"/>
    <w:rsid w:val="51DD510E"/>
    <w:rsid w:val="52EC7A4F"/>
    <w:rsid w:val="56BB16A9"/>
    <w:rsid w:val="5CC27444"/>
    <w:rsid w:val="66CF31AA"/>
    <w:rsid w:val="676E31F4"/>
    <w:rsid w:val="69490C75"/>
    <w:rsid w:val="69890355"/>
    <w:rsid w:val="6DBE6A04"/>
    <w:rsid w:val="6E550FE6"/>
    <w:rsid w:val="6E696F4F"/>
    <w:rsid w:val="7CD81AD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US" w:eastAsia="zh-CN" w:bidi="ar-SA"/>
    </w:rPr>
  </w:style>
  <w:style w:type="paragraph" w:styleId="2">
    <w:name w:val="heading 1"/>
    <w:basedOn w:val="1"/>
    <w:next w:val="1"/>
    <w:link w:val="12"/>
    <w:qFormat/>
    <w:uiPriority w:val="0"/>
    <w:pPr>
      <w:keepNext/>
      <w:keepLines/>
      <w:spacing w:beforeLines="50" w:beforeAutospacing="0" w:after="100" w:afterLines="100" w:afterAutospacing="0" w:line="480" w:lineRule="auto"/>
      <w:outlineLvl w:val="0"/>
    </w:pPr>
    <w:rPr>
      <w:rFonts w:ascii="Times New Roman" w:hAnsi="Times New Roman"/>
      <w:b/>
      <w:kern w:val="44"/>
    </w:rPr>
  </w:style>
  <w:style w:type="paragraph" w:styleId="3">
    <w:name w:val="heading 2"/>
    <w:basedOn w:val="1"/>
    <w:next w:val="1"/>
    <w:link w:val="11"/>
    <w:unhideWhenUsed/>
    <w:qFormat/>
    <w:uiPriority w:val="0"/>
    <w:pPr>
      <w:keepNext/>
      <w:keepLines/>
      <w:spacing w:beforeLines="50" w:beforeAutospacing="0" w:afterLines="50" w:afterAutospacing="0" w:line="480" w:lineRule="auto"/>
      <w:outlineLvl w:val="1"/>
    </w:pPr>
    <w:rPr>
      <w:rFonts w:eastAsia="黑体"/>
    </w:rPr>
  </w:style>
  <w:style w:type="character" w:default="1" w:styleId="10">
    <w:name w:val="Default Paragraph Font"/>
    <w:semiHidden/>
    <w:uiPriority w:val="0"/>
  </w:style>
  <w:style w:type="table" w:default="1" w:styleId="9">
    <w:name w:val="Normal Table"/>
    <w:semiHidden/>
    <w:uiPriority w:val="0"/>
    <w:tblPr>
      <w:tblLayout w:type="fixed"/>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uiPriority w:val="0"/>
  </w:style>
  <w:style w:type="paragraph" w:styleId="7">
    <w:name w:val="toc 2"/>
    <w:basedOn w:val="1"/>
    <w:next w:val="1"/>
    <w:uiPriority w:val="0"/>
    <w:pPr>
      <w:ind w:left="420" w:leftChars="200"/>
    </w:pPr>
  </w:style>
  <w:style w:type="paragraph" w:styleId="8">
    <w:name w:val="Title"/>
    <w:basedOn w:val="1"/>
    <w:next w:val="1"/>
    <w:qFormat/>
    <w:uiPriority w:val="10"/>
    <w:pPr>
      <w:spacing w:after="0" w:line="240" w:lineRule="auto"/>
      <w:contextualSpacing/>
    </w:pPr>
    <w:rPr>
      <w:rFonts w:asciiTheme="majorHAnsi" w:hAnsiTheme="majorHAnsi" w:eastAsiaTheme="majorEastAsia" w:cstheme="majorBidi"/>
      <w:color w:val="000000" w:themeColor="text1"/>
      <w:sz w:val="56"/>
      <w:szCs w:val="56"/>
      <w14:textFill>
        <w14:solidFill>
          <w14:schemeClr w14:val="tx1"/>
        </w14:solidFill>
      </w14:textFill>
    </w:rPr>
  </w:style>
  <w:style w:type="character" w:customStyle="1" w:styleId="11">
    <w:name w:val="标题 2 Char"/>
    <w:link w:val="3"/>
    <w:uiPriority w:val="0"/>
    <w:rPr>
      <w:rFonts w:ascii="Times New Roman" w:hAnsi="Times New Roman" w:eastAsia="黑体"/>
      <w:sz w:val="24"/>
    </w:rPr>
  </w:style>
  <w:style w:type="character" w:customStyle="1" w:styleId="12">
    <w:name w:val="标题 1 Char"/>
    <w:link w:val="2"/>
    <w:uiPriority w:val="0"/>
    <w:rPr>
      <w:rFonts w:ascii="Times New Roman" w:hAnsi="Times New Roman" w:eastAsiaTheme="minorEastAsia"/>
      <w:b/>
      <w:kern w:val="44"/>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Pages>
  <Words>0</Words>
  <Characters>0</Characters>
  <Lines>0</Lines>
  <Paragraphs>0</Paragraphs>
  <TotalTime>1</TotalTime>
  <ScaleCrop>false</ScaleCrop>
  <LinksUpToDate>false</LinksUpToDate>
  <CharactersWithSpaces>0</CharactersWithSpaces>
  <Application>WPS Office_11.1.0.8894_F1E327BC-269C-435d-A152-05C5408002CA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可有亦可无</dc:creator>
  <cp:lastModifiedBy>可有亦可无</cp:lastModifiedBy>
  <dcterms:modified xsi:type="dcterms:W3CDTF">2019-07-20T22:13:02Z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