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6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697"/>
      </w:tblGrid>
      <w:tr w:rsidR="00F927A1" w:rsidRPr="005D3F07" w14:paraId="68CAA39D" w14:textId="77777777" w:rsidTr="00C62367">
        <w:trPr>
          <w:trHeight w:val="4469"/>
        </w:trPr>
        <w:tc>
          <w:tcPr>
            <w:tcW w:w="10697" w:type="dxa"/>
          </w:tcPr>
          <w:p w14:paraId="3E9BF433" w14:textId="77777777" w:rsidR="00C62367" w:rsidRPr="00C62367" w:rsidRDefault="00C62367" w:rsidP="00C62367">
            <w:pPr>
              <w:overflowPunct/>
              <w:autoSpaceDE/>
              <w:autoSpaceDN/>
              <w:adjustRightInd/>
              <w:ind w:right="-957"/>
              <w:textAlignment w:val="auto"/>
              <w:rPr>
                <w:rFonts w:ascii="Times New Roman" w:hAnsi="Times New Roman" w:cs="Times New Roman"/>
                <w:b/>
                <w:color w:val="auto"/>
                <w:sz w:val="48"/>
              </w:rPr>
            </w:pPr>
            <w:r w:rsidRPr="00C62367">
              <w:rPr>
                <w:rFonts w:ascii="Times New Roman" w:hAnsi="Times New Roman" w:cs="Times New Roman"/>
                <w:b/>
                <w:color w:val="auto"/>
                <w:sz w:val="48"/>
              </w:rPr>
              <w:t>Learner’s name: Andrew O’Rourke</w:t>
            </w:r>
          </w:p>
          <w:p w14:paraId="7FF41AA5" w14:textId="77777777" w:rsidR="00C62367" w:rsidRPr="00C62367" w:rsidRDefault="00C62367" w:rsidP="00C62367">
            <w:pPr>
              <w:overflowPunct/>
              <w:autoSpaceDE/>
              <w:autoSpaceDN/>
              <w:adjustRightInd/>
              <w:ind w:right="-957"/>
              <w:textAlignment w:val="auto"/>
              <w:rPr>
                <w:rFonts w:ascii="Times New Roman" w:hAnsi="Times New Roman" w:cs="Times New Roman"/>
                <w:b/>
                <w:color w:val="auto"/>
                <w:sz w:val="48"/>
              </w:rPr>
            </w:pPr>
          </w:p>
          <w:p w14:paraId="52AF2F24" w14:textId="29787600" w:rsidR="00C62367" w:rsidRPr="00C62367" w:rsidRDefault="00C62367" w:rsidP="00C62367">
            <w:pPr>
              <w:overflowPunct/>
              <w:autoSpaceDE/>
              <w:autoSpaceDN/>
              <w:adjustRightInd/>
              <w:ind w:right="-957"/>
              <w:textAlignment w:val="auto"/>
              <w:rPr>
                <w:rFonts w:ascii="Times New Roman" w:hAnsi="Times New Roman" w:cs="Times New Roman"/>
                <w:b/>
                <w:color w:val="auto"/>
                <w:sz w:val="48"/>
              </w:rPr>
            </w:pPr>
            <w:r w:rsidRPr="00C62367">
              <w:rPr>
                <w:rFonts w:ascii="Times New Roman" w:hAnsi="Times New Roman" w:cs="Times New Roman"/>
                <w:b/>
                <w:color w:val="auto"/>
                <w:sz w:val="48"/>
              </w:rPr>
              <w:t>Email address:</w:t>
            </w:r>
            <w:r w:rsidR="00CB7DC2">
              <w:rPr>
                <w:rFonts w:ascii="Times New Roman" w:hAnsi="Times New Roman" w:cs="Times New Roman"/>
                <w:b/>
                <w:color w:val="auto"/>
                <w:sz w:val="48"/>
              </w:rPr>
              <w:t xml:space="preserve"> </w:t>
            </w:r>
            <w:hyperlink r:id="rId11" w:history="1">
              <w:r w:rsidR="00C27A0E" w:rsidRPr="00EE63AC">
                <w:rPr>
                  <w:rStyle w:val="Hyperlink"/>
                  <w:rFonts w:ascii="Times New Roman" w:hAnsi="Times New Roman" w:cs="Times New Roman"/>
                  <w:b/>
                  <w:sz w:val="48"/>
                </w:rPr>
                <w:t>Andrew.orourke@flintshire.gov.uk</w:t>
              </w:r>
            </w:hyperlink>
            <w:r w:rsidR="00C27A0E">
              <w:rPr>
                <w:rFonts w:ascii="Times New Roman" w:hAnsi="Times New Roman" w:cs="Times New Roman"/>
                <w:b/>
                <w:color w:val="auto"/>
                <w:sz w:val="48"/>
              </w:rPr>
              <w:t xml:space="preserve"> </w:t>
            </w:r>
          </w:p>
          <w:p w14:paraId="25B05404" w14:textId="77777777" w:rsidR="00C62367" w:rsidRPr="00C62367" w:rsidRDefault="00C62367" w:rsidP="00C62367">
            <w:pPr>
              <w:overflowPunct/>
              <w:autoSpaceDE/>
              <w:autoSpaceDN/>
              <w:adjustRightInd/>
              <w:ind w:right="-957"/>
              <w:textAlignment w:val="auto"/>
              <w:rPr>
                <w:rFonts w:ascii="Times New Roman" w:hAnsi="Times New Roman" w:cs="Times New Roman"/>
                <w:b/>
                <w:color w:val="auto"/>
                <w:sz w:val="48"/>
              </w:rPr>
            </w:pPr>
          </w:p>
          <w:p w14:paraId="7893F26B" w14:textId="77777777" w:rsidR="00C62367" w:rsidRPr="00C62367" w:rsidRDefault="00C62367" w:rsidP="00C62367">
            <w:pPr>
              <w:overflowPunct/>
              <w:autoSpaceDE/>
              <w:autoSpaceDN/>
              <w:adjustRightInd/>
              <w:ind w:right="-957"/>
              <w:textAlignment w:val="auto"/>
              <w:rPr>
                <w:rFonts w:ascii="Times New Roman" w:hAnsi="Times New Roman" w:cs="Times New Roman"/>
                <w:b/>
                <w:color w:val="auto"/>
                <w:sz w:val="48"/>
              </w:rPr>
            </w:pPr>
            <w:r w:rsidRPr="00C62367">
              <w:rPr>
                <w:rFonts w:ascii="Times New Roman" w:hAnsi="Times New Roman" w:cs="Times New Roman"/>
                <w:b/>
                <w:color w:val="auto"/>
                <w:sz w:val="48"/>
              </w:rPr>
              <w:t>Learner’s University Registration Number:</w:t>
            </w:r>
          </w:p>
          <w:p w14:paraId="5EC7F253" w14:textId="77777777" w:rsidR="00C62367" w:rsidRPr="00C62367" w:rsidRDefault="00C62367" w:rsidP="00C62367">
            <w:pPr>
              <w:overflowPunct/>
              <w:autoSpaceDE/>
              <w:autoSpaceDN/>
              <w:adjustRightInd/>
              <w:ind w:right="-957"/>
              <w:textAlignment w:val="auto"/>
              <w:rPr>
                <w:rFonts w:ascii="Times New Roman" w:hAnsi="Times New Roman" w:cs="Times New Roman"/>
                <w:b/>
                <w:color w:val="auto"/>
                <w:sz w:val="48"/>
              </w:rPr>
            </w:pPr>
            <w:r w:rsidRPr="00C62367">
              <w:rPr>
                <w:rFonts w:ascii="Times New Roman" w:hAnsi="Times New Roman" w:cs="Times New Roman"/>
                <w:b/>
                <w:color w:val="auto"/>
                <w:sz w:val="48"/>
              </w:rPr>
              <w:t>2517663</w:t>
            </w:r>
          </w:p>
          <w:p w14:paraId="37A832F1" w14:textId="77777777" w:rsidR="00C62367" w:rsidRPr="00C62367" w:rsidRDefault="00C62367" w:rsidP="00C62367">
            <w:pPr>
              <w:overflowPunct/>
              <w:autoSpaceDE/>
              <w:autoSpaceDN/>
              <w:adjustRightInd/>
              <w:ind w:right="-957"/>
              <w:textAlignment w:val="auto"/>
              <w:rPr>
                <w:rFonts w:ascii="Times New Roman" w:hAnsi="Times New Roman" w:cs="Times New Roman"/>
                <w:b/>
                <w:color w:val="auto"/>
                <w:sz w:val="48"/>
              </w:rPr>
            </w:pPr>
          </w:p>
          <w:p w14:paraId="5F84129B" w14:textId="4AB72AC1" w:rsidR="0085230E" w:rsidRPr="005D3F07" w:rsidRDefault="00C62367" w:rsidP="00C62367">
            <w:pPr>
              <w:overflowPunct/>
              <w:autoSpaceDE/>
              <w:autoSpaceDN/>
              <w:adjustRightInd/>
              <w:ind w:right="-957"/>
              <w:textAlignment w:val="auto"/>
              <w:rPr>
                <w:rFonts w:ascii="Times New Roman" w:hAnsi="Times New Roman" w:cs="Times New Roman"/>
                <w:b/>
                <w:color w:val="auto"/>
                <w:sz w:val="48"/>
              </w:rPr>
            </w:pPr>
            <w:r w:rsidRPr="00C62367">
              <w:rPr>
                <w:rFonts w:ascii="Times New Roman" w:hAnsi="Times New Roman" w:cs="Times New Roman"/>
                <w:b/>
                <w:color w:val="auto"/>
                <w:sz w:val="48"/>
              </w:rPr>
              <w:t>Cohort: 21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31202DEA" w14:textId="77777777" w:rsidR="00A25581" w:rsidRPr="00A25581" w:rsidRDefault="00A25581" w:rsidP="00A25581">
            <w:pPr>
              <w:overflowPunct/>
              <w:autoSpaceDE/>
              <w:autoSpaceDN/>
              <w:adjustRightInd/>
              <w:spacing w:after="160" w:line="278" w:lineRule="auto"/>
              <w:textAlignment w:val="auto"/>
              <w:rPr>
                <w:rFonts w:eastAsia="Aptos"/>
                <w:b/>
                <w:bCs/>
                <w:color w:val="auto"/>
                <w:kern w:val="2"/>
                <w:sz w:val="24"/>
                <w:szCs w:val="24"/>
                <w:lang w:eastAsia="en-US"/>
                <w14:ligatures w14:val="standardContextual"/>
              </w:rPr>
            </w:pPr>
            <w:r w:rsidRPr="00A25581">
              <w:rPr>
                <w:rFonts w:eastAsia="Aptos"/>
                <w:b/>
                <w:bCs/>
                <w:color w:val="auto"/>
                <w:kern w:val="2"/>
                <w:sz w:val="24"/>
                <w:szCs w:val="24"/>
                <w:lang w:eastAsia="en-US"/>
                <w14:ligatures w14:val="standardContextual"/>
              </w:rPr>
              <w:t>Task 3 – Safeguarding and Working in Complex Situations</w:t>
            </w:r>
          </w:p>
          <w:p w14:paraId="3A8E2AAA" w14:textId="77777777" w:rsidR="00A25581" w:rsidRPr="00A25581" w:rsidRDefault="00A25581" w:rsidP="00A25581">
            <w:pPr>
              <w:overflowPunct/>
              <w:autoSpaceDE/>
              <w:autoSpaceDN/>
              <w:adjustRightInd/>
              <w:spacing w:after="160" w:line="278" w:lineRule="auto"/>
              <w:textAlignment w:val="auto"/>
              <w:rPr>
                <w:rFonts w:eastAsia="Aptos"/>
                <w:b/>
                <w:bCs/>
                <w:color w:val="auto"/>
                <w:kern w:val="2"/>
                <w:sz w:val="24"/>
                <w:szCs w:val="24"/>
                <w:lang w:eastAsia="en-US"/>
                <w14:ligatures w14:val="standardContextual"/>
              </w:rPr>
            </w:pPr>
            <w:r w:rsidRPr="00A25581">
              <w:rPr>
                <w:rFonts w:eastAsia="Aptos"/>
                <w:b/>
                <w:bCs/>
                <w:color w:val="auto"/>
                <w:kern w:val="2"/>
                <w:sz w:val="24"/>
                <w:szCs w:val="24"/>
                <w:lang w:eastAsia="en-US"/>
                <w14:ligatures w14:val="standardContextual"/>
              </w:rPr>
              <w:t>Case Study – Main Area of Work</w:t>
            </w:r>
          </w:p>
          <w:p w14:paraId="7B077CFB" w14:textId="77777777" w:rsidR="00A25581" w:rsidRPr="00A25581" w:rsidRDefault="00A25581" w:rsidP="00A25581">
            <w:pPr>
              <w:overflowPunct/>
              <w:autoSpaceDE/>
              <w:autoSpaceDN/>
              <w:adjustRightInd/>
              <w:spacing w:after="160" w:line="278" w:lineRule="auto"/>
              <w:textAlignment w:val="auto"/>
              <w:rPr>
                <w:rFonts w:eastAsia="Aptos"/>
                <w:b/>
                <w:bCs/>
                <w:color w:val="auto"/>
                <w:kern w:val="2"/>
                <w:sz w:val="24"/>
                <w:szCs w:val="24"/>
                <w:lang w:eastAsia="en-US"/>
                <w14:ligatures w14:val="standardContextual"/>
              </w:rPr>
            </w:pPr>
            <w:r w:rsidRPr="00A25581">
              <w:rPr>
                <w:rFonts w:eastAsia="Aptos"/>
                <w:b/>
                <w:bCs/>
                <w:color w:val="auto"/>
                <w:kern w:val="2"/>
                <w:sz w:val="24"/>
                <w:szCs w:val="24"/>
                <w:lang w:eastAsia="en-US"/>
                <w14:ligatures w14:val="standardContextual"/>
              </w:rPr>
              <w:t>Context and safeguarding concern</w:t>
            </w:r>
          </w:p>
          <w:p w14:paraId="69529AC6"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Person 3 was allocated to me following discussion between my manager and the adult safeguarding team manager. The referral related to concerns about possible financial abuse. Person 3 was an adult with additional support needs which affected some areas of daily functioning and independence. Person 3’s mother was their Department for Work and Pensions (DWP) appointee and was responsible for managing their benefit claim.</w:t>
            </w:r>
          </w:p>
          <w:p w14:paraId="210885DC"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Person 3 told me that they were not being given proper access to their money and believed some of it was being misused. They had already raised these concerns with both DWP and the police. The police had advised that there was not enough evidence to take the allegation further, but the DWP appointee arrangement was still in place.</w:t>
            </w:r>
          </w:p>
          <w:p w14:paraId="5F03F9EC"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 xml:space="preserve">Person 3 was clear about what they wanted from my involvement. They wanted their mother removed as appointee. They did not want further contact with their mother and they wanted more control over their own finances. Longer term, they wanted to become more </w:t>
            </w:r>
            <w:r w:rsidRPr="00A25581">
              <w:rPr>
                <w:rFonts w:eastAsia="Aptos"/>
                <w:color w:val="auto"/>
                <w:kern w:val="2"/>
                <w:sz w:val="24"/>
                <w:szCs w:val="24"/>
                <w:lang w:eastAsia="en-US"/>
                <w14:ligatures w14:val="standardContextual"/>
              </w:rPr>
              <w:lastRenderedPageBreak/>
              <w:t>independent. Keeping these outcomes central was important because the Social Services and Well-being (Wales) Act 2014 places voice, choice, control and personal outcomes at the centre of assessment and care and support practice (Social Services and Well-being (Wales) Act 2014; Welsh Government, 2015).</w:t>
            </w:r>
          </w:p>
          <w:p w14:paraId="3697CAFF"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The concern also needed to be considered within the adult safeguarding framework in Wales. Section 126 of the Social Services and Well-being (Wales) Act 2014 defines an adult at risk in relation to abuse or neglect, care and support needs and whether those needs affect their ability to protect themselves from harm. Financial abuse is included within the safeguarding framework (Social Services and Well-being (Wales) Act 2014, ss.126, 197).</w:t>
            </w:r>
          </w:p>
          <w:p w14:paraId="78536091"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I was careful not to treat Person 3’s allegation as a proven fact. I understood my role was not to decide whether Person 3’s mother had committed a criminal offence. I needed to consider the information available, the current risk, Person 3’s ability to protect their financial interests and what action would be proportionate.</w:t>
            </w:r>
          </w:p>
          <w:p w14:paraId="31AC82E7"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I discussed the case in supervision. My manager and I agreed that I would complete a ‘what matters’ conversation and a social care assessment, and to look at Person 3’s ability to manage their finances and clarify the concerns around their mother. I also kept in contact with the adult safeguarding team manager, who advised me to contact DWP as an immediate first step. This helped me form a clear plan while still taking responsibility for my own assessment and professional judgement (Social Care Wales, 2017).</w:t>
            </w:r>
          </w:p>
          <w:p w14:paraId="4226A4DF" w14:textId="77777777" w:rsidR="00A25581" w:rsidRPr="00A25581" w:rsidRDefault="00A25581" w:rsidP="00A25581">
            <w:pPr>
              <w:overflowPunct/>
              <w:autoSpaceDE/>
              <w:autoSpaceDN/>
              <w:adjustRightInd/>
              <w:spacing w:after="160" w:line="278" w:lineRule="auto"/>
              <w:textAlignment w:val="auto"/>
              <w:rPr>
                <w:rFonts w:eastAsia="Aptos"/>
                <w:b/>
                <w:bCs/>
                <w:color w:val="auto"/>
                <w:kern w:val="2"/>
                <w:sz w:val="24"/>
                <w:szCs w:val="24"/>
                <w:lang w:eastAsia="en-US"/>
                <w14:ligatures w14:val="standardContextual"/>
              </w:rPr>
            </w:pPr>
            <w:r w:rsidRPr="00A25581">
              <w:rPr>
                <w:rFonts w:eastAsia="Aptos"/>
                <w:b/>
                <w:bCs/>
                <w:color w:val="auto"/>
                <w:kern w:val="2"/>
                <w:sz w:val="24"/>
                <w:szCs w:val="24"/>
                <w:lang w:eastAsia="en-US"/>
                <w14:ligatures w14:val="standardContextual"/>
              </w:rPr>
              <w:t>Legislative, theoretical and professional framework</w:t>
            </w:r>
          </w:p>
          <w:p w14:paraId="5F8FC764" w14:textId="2AAE546A"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My assessment and intervention were informed by the Social Services and Well-being (Wales) Act 2014, Working Together to Safeguard People: Volume 6, the Wales Safeguarding Procedures, the Mental Capacity Act 2005 and its Code of Practice, Social Care Wales guidance and relevant XXX Authority procedures (Welsh Government, 2018b; Wales Safeguarding Procedures, n.d.; Mental Capacity Act 2005; Department for Constitutional Affairs, 2007; Social Care Wales, 2017; 2019).</w:t>
            </w:r>
          </w:p>
          <w:p w14:paraId="29E13300"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A strengths-based approach became particularly important as the case progressed. Person 3 had very little previous opportunity to manage their own finances, so I did not want to assume that their lack of experience meant they would always be unable to do it. Strengths-based practice focuses on a person’s abilities, resources and potential for development rather than looking mainly at deficits or dependence (Social Care Wales, 2025). I feel this fitted the case well because Person 3’s skills improved considerably once they were given opportunities to learn and practise.</w:t>
            </w:r>
          </w:p>
          <w:p w14:paraId="3F6E6184"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 xml:space="preserve">I also decided to draw on my knowledge of empowerment theory. Adams (2008) describes empowerment in terms of increasing participation, choice and control. In the early stages of the case, some protective intervention was needed, but I was conscious that simply </w:t>
            </w:r>
            <w:r w:rsidRPr="00A25581">
              <w:rPr>
                <w:rFonts w:eastAsia="Aptos"/>
                <w:color w:val="auto"/>
                <w:kern w:val="2"/>
                <w:sz w:val="24"/>
                <w:szCs w:val="24"/>
                <w:lang w:eastAsia="en-US"/>
                <w14:ligatures w14:val="standardContextual"/>
              </w:rPr>
              <w:lastRenderedPageBreak/>
              <w:t>replacing Person 3’s mother with another permanent appointee could create a different form of dependency. The longer-term aim therefore needed to be more than keeping their money safe. It also needed to give Person 3 opportunities to become more confident and independent.</w:t>
            </w:r>
          </w:p>
          <w:p w14:paraId="089FC89E"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A systems perspective helped me understand why the situation had remained unresolved despite Person 3 having already contacted other agencies. DWP, the police, adult safeguarding, social care, debt services, utility providers and support services all held different parts of the picture. Systems theory considers the way individuals interact with the wider systems around them (Payne, 2020). In practice, this meant I needed to look beyond the relationship between Person 3 and their mother and consider how the different agencies were responding and whether those responses were actually helping Person 3 to achieve their outcomes.</w:t>
            </w:r>
          </w:p>
          <w:p w14:paraId="74E009B2" w14:textId="77777777" w:rsidR="00A25581" w:rsidRPr="00A25581" w:rsidRDefault="00A25581" w:rsidP="00A25581">
            <w:pPr>
              <w:overflowPunct/>
              <w:autoSpaceDE/>
              <w:autoSpaceDN/>
              <w:adjustRightInd/>
              <w:spacing w:after="160" w:line="278" w:lineRule="auto"/>
              <w:textAlignment w:val="auto"/>
              <w:rPr>
                <w:rFonts w:eastAsia="Aptos"/>
                <w:b/>
                <w:bCs/>
                <w:color w:val="auto"/>
                <w:kern w:val="2"/>
                <w:sz w:val="24"/>
                <w:szCs w:val="24"/>
                <w:lang w:eastAsia="en-US"/>
                <w14:ligatures w14:val="standardContextual"/>
              </w:rPr>
            </w:pPr>
            <w:r w:rsidRPr="00A25581">
              <w:rPr>
                <w:rFonts w:eastAsia="Aptos"/>
                <w:b/>
                <w:bCs/>
                <w:color w:val="auto"/>
                <w:kern w:val="2"/>
                <w:sz w:val="24"/>
                <w:szCs w:val="24"/>
                <w:lang w:eastAsia="en-US"/>
                <w14:ligatures w14:val="standardContextual"/>
              </w:rPr>
              <w:t>Assessment and analysis</w:t>
            </w:r>
          </w:p>
          <w:p w14:paraId="51E0E9A0"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I completed a social care assessment with Person 3 using a ‘what matters’ approach. Their priorities were clear. They wanted their mother removed as appointee, more control over their money and, in the longer term, greater independence. I looked at what Person 3 could already do as well as the areas where they needed support. They were able to explain their wishes clearly and engaged well with me, but had very little experience of managing money because somebody else had always done this for them.</w:t>
            </w:r>
          </w:p>
          <w:p w14:paraId="3C6F719F"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At the beginning of my involvement, it was clear that Person 3 needed significant support with their finances. They told me themselves that they did not feel able to manage independently at that point, even though they wanted their mother removed. Bills had not always been paid, there were existing debts and Person 3 had limited understanding of budgeting, direct debits and organising regular payments. Person 3 also described having access to only a small amount of money for daily living and eating a very limited diet. This meant I needed to consider their wider wellbeing as well as the allegation of financial abuse.</w:t>
            </w:r>
          </w:p>
          <w:p w14:paraId="1A66BA14"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I completed a formal mental capacity assessment about the specific decision of managing their finances independently. I was conscious that Person 3’s additional support needs, anxiety, previous dependence on their mother and lack of experience did not in themselves mean that they lacked capacity. The Mental Capacity Act 2005 requires capacity to be presumed unless established otherwise and for all practicable support to be given to help somebody to make a decision (Mental Capacity Act 2005; Department for Constitutional Affairs, 2007).</w:t>
            </w:r>
          </w:p>
          <w:p w14:paraId="71FD5885"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 xml:space="preserve">I considered whether Person 3 could understand, retain, use or weigh the relevant information and communicate their decision. At that point, my judgement was that they did not have capacity to manage their finances independently. They understood that they wanted their mother removed but did not yet understand enough of the practical </w:t>
            </w:r>
            <w:r w:rsidRPr="00A25581">
              <w:rPr>
                <w:rFonts w:eastAsia="Aptos"/>
                <w:color w:val="auto"/>
                <w:kern w:val="2"/>
                <w:sz w:val="24"/>
                <w:szCs w:val="24"/>
                <w:lang w:eastAsia="en-US"/>
                <w14:ligatures w14:val="standardContextual"/>
              </w:rPr>
              <w:lastRenderedPageBreak/>
              <w:t>responsibilities involved in managing their benefit income, bills, debts and regular household spending without support.</w:t>
            </w:r>
          </w:p>
          <w:p w14:paraId="1F39DC8E"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Importantly, Person 3 also recognised that they still needed help. Their preferred outcome was not to have no support at all. They wanted their mother removed and another appointee put in place while they worked towards becoming more independent. I felt this was an important distinction because lacking capacity for this particular decision did not mean Person 3 lacked capacity generally or that their views should carry less weight.</w:t>
            </w:r>
          </w:p>
          <w:p w14:paraId="09CEFF58"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I also had to be careful about how I recorded the allegation against their mother. Person 3 believed their money had been taken or misused, but the police had found insufficient evidence to take this further. I therefore recorded what Person 3 had told me, the concerns about their limited access to money, unpaid bills and the other information available, while being clear about what was fact, what was alleged and what was my professional judgement (Welsh Government, 2018b; Social Care Wales, 2017).</w:t>
            </w:r>
          </w:p>
          <w:p w14:paraId="65267895" w14:textId="77777777" w:rsidR="00A25581" w:rsidRPr="00A25581" w:rsidRDefault="00A25581" w:rsidP="00A25581">
            <w:pPr>
              <w:overflowPunct/>
              <w:autoSpaceDE/>
              <w:autoSpaceDN/>
              <w:adjustRightInd/>
              <w:spacing w:after="160" w:line="278" w:lineRule="auto"/>
              <w:textAlignment w:val="auto"/>
              <w:rPr>
                <w:rFonts w:eastAsia="Aptos"/>
                <w:b/>
                <w:bCs/>
                <w:color w:val="auto"/>
                <w:kern w:val="2"/>
                <w:sz w:val="24"/>
                <w:szCs w:val="24"/>
                <w:lang w:eastAsia="en-US"/>
                <w14:ligatures w14:val="standardContextual"/>
              </w:rPr>
            </w:pPr>
            <w:r w:rsidRPr="00A25581">
              <w:rPr>
                <w:rFonts w:eastAsia="Aptos"/>
                <w:b/>
                <w:bCs/>
                <w:color w:val="auto"/>
                <w:kern w:val="2"/>
                <w:sz w:val="24"/>
                <w:szCs w:val="24"/>
                <w:lang w:eastAsia="en-US"/>
                <w14:ligatures w14:val="standardContextual"/>
              </w:rPr>
              <w:t>Safeguarding intervention and multi-agency working</w:t>
            </w:r>
          </w:p>
          <w:p w14:paraId="0FECCD04"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Following advice from the adult safeguarding team manager, I contacted DWP with Person 3 present. I wanted them to be directly involved rather than professionals having conversations about their finances without them. I explained the safeguarding concerns and Person 3’s clear wish for their mother to no longer be their appointee. Following discussion with DWP, it was agreed that their mother would be removed immediately.</w:t>
            </w:r>
          </w:p>
          <w:p w14:paraId="0A81C09D"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This addressed the main immediate safeguarding concern. Person 3’s benefit was no longer being managed through an arrangement they believed was harmful and which they had clearly said they wanted to end. I kept the adult safeguarding team manager updated and, once Person 3’s mother no longer controlled the benefit claim, the formal safeguarding concern was closed. I felt this was proportionate because the immediate risk had been dealt with. However, closing the safeguarding concern did not mean my involvement ended. Person 3 still needed support around their finances, debt, independence and wider wellbeing.</w:t>
            </w:r>
          </w:p>
          <w:p w14:paraId="2EC6F651"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There was an immediate practical problem because Person 3 was not yet able to manage their finances independently and the XXX Authority appointee service could not take over straight away. Following discussion with the adult safeguarding team manager, I temporarily became Person 3’s DWP appointee for around four weeks while the longer-term arrangement was put in place. Person 3 was happy, and in agreement with this.</w:t>
            </w:r>
          </w:p>
          <w:p w14:paraId="21E44C82"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 xml:space="preserve">I was very aware that this gave me a significant amount of responsibility and needed clear professional boundaries. I did not personally receive or hold Person 3’s money. I ensured Person 3’s money was paid directly to them and I supported them to plan and manage it. I kept clear records and maintained oversight with both my manager and the safeguarding </w:t>
            </w:r>
            <w:r w:rsidRPr="00A25581">
              <w:rPr>
                <w:rFonts w:eastAsia="Aptos"/>
                <w:color w:val="auto"/>
                <w:kern w:val="2"/>
                <w:sz w:val="24"/>
                <w:szCs w:val="24"/>
                <w:lang w:eastAsia="en-US"/>
                <w14:ligatures w14:val="standardContextual"/>
              </w:rPr>
              <w:lastRenderedPageBreak/>
              <w:t>team manager. I also asked DWP to allocate a dedicated case handler so that Person 3 had another consistent point of contact during the transition.</w:t>
            </w:r>
          </w:p>
          <w:p w14:paraId="4E57CADA"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This arrangement made me think carefully about the balance between acting quickly to reduce risk and maintaining appropriate professional boundaries. I did not see becoming an appointee as routine social work practice. However, in this situation, I felt it was justified because it was temporary, agreed with senior safeguarding oversight and there was already a clear plan for responsibility to transfer to the appropriate service. The Social Care Wales Code requires social workers to maintain professional boundaries and remain accountable for their practice (Social Care Wales, 2017).</w:t>
            </w:r>
          </w:p>
          <w:p w14:paraId="190DECCE"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During this period, I worked with Person 3 rather than simply taking over their finances. We developed a budget together and went through their regular spending and household bills. I contacted utility providers with them and explained how direct debits and regular payments worked. Person 3 also had existing debt, so I accompanied them to Citizens Advice. Person 3 was then linked with a debt specialist who contacted creditors and utility providers and helped bring the debts together into a manageable monthly payment.</w:t>
            </w:r>
          </w:p>
          <w:p w14:paraId="46426BFC"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I also supported Person 3 to get broadband, which they had wanted for some time. Compared with the original safeguarding concern this might seem minor, but it was important to them and supported their independence, communication and access to information. It reminded me that social work involvement should not become completely focused on the problem that originally brought the person to our attention.</w:t>
            </w:r>
          </w:p>
          <w:p w14:paraId="7D357185"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A support worker was also arranged to help Person 3 develop wider independent-living skills including shopping, cooking, budgeting, community access and using public transport. These were all linked to Person 3’s own goal of becoming more independent rather than simply replacing one form of dependency with another.</w:t>
            </w:r>
          </w:p>
          <w:p w14:paraId="0650E665"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The work involved several agencies, including adult safeguarding, DWP, the XXX Authority appointee service, Citizens Advice, debt services, utility providers, support services and the police. I needed to understand what each agency was responsible for rather than expecting one service to resolve everything. I also kept Person 3 involved wherever possible when information was shared. I felt this was important because the original concern involved somebody else controlling Person 3’s money. I did not want professional involvement to repeat that experience by making decisions and having conversations without them.</w:t>
            </w:r>
          </w:p>
          <w:p w14:paraId="68A35388"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Information sharing was therefore undertaken with Person 3’s knowledge and agreement wherever possible, while also meeting the requirements of the Data Protection Act 2018, UK GDPR and safeguarding guidance around proportionate information sharing (Data Protection Act 2018; UK GDPR; Welsh Government, 2018b).</w:t>
            </w:r>
          </w:p>
          <w:p w14:paraId="5CC87400" w14:textId="77777777" w:rsidR="00A25581" w:rsidRPr="00A25581" w:rsidRDefault="00A25581" w:rsidP="00A25581">
            <w:pPr>
              <w:overflowPunct/>
              <w:autoSpaceDE/>
              <w:autoSpaceDN/>
              <w:adjustRightInd/>
              <w:spacing w:after="160" w:line="278" w:lineRule="auto"/>
              <w:textAlignment w:val="auto"/>
              <w:rPr>
                <w:rFonts w:eastAsia="Aptos"/>
                <w:b/>
                <w:bCs/>
                <w:color w:val="auto"/>
                <w:kern w:val="2"/>
                <w:sz w:val="24"/>
                <w:szCs w:val="24"/>
                <w:lang w:eastAsia="en-US"/>
                <w14:ligatures w14:val="standardContextual"/>
              </w:rPr>
            </w:pPr>
            <w:r w:rsidRPr="00A25581">
              <w:rPr>
                <w:rFonts w:eastAsia="Aptos"/>
                <w:b/>
                <w:bCs/>
                <w:color w:val="auto"/>
                <w:kern w:val="2"/>
                <w:sz w:val="24"/>
                <w:szCs w:val="24"/>
                <w:lang w:eastAsia="en-US"/>
                <w14:ligatures w14:val="standardContextual"/>
              </w:rPr>
              <w:t>Reviewing capacity and changing professional judgement</w:t>
            </w:r>
          </w:p>
          <w:p w14:paraId="11171DE9"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lastRenderedPageBreak/>
              <w:t>After the XXX Authority appointee took over, the arrangement worked well for a period. Over time, Person 3 became more confident managing different parts of their finances. Person 3 had learned more about budgeting, bills and direct debits. Person 3 also became more comfortable making telephone calls and had more experience dealing directly with organisations. Eventually, they told me that they no longer wanted an appointee and wanted to manage their own finances.</w:t>
            </w:r>
          </w:p>
          <w:p w14:paraId="3EE33B6D"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My initial reaction was concern. Only a few months earlier I had assessed that Person 3 lacked capacity to manage their finances independently, and my first thought was that ending the appointeeship might be too soon. I felt there were still possible risks, including missed payments, further debt and future financial vulnerability. I discussed these concerns openly with Person 3 rather than simply agreeing with what they wanted or assuming that the previous assessment meant the appointeeship had to continue.</w:t>
            </w:r>
          </w:p>
          <w:p w14:paraId="2E6B9EE3"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I visited Person 3 jointly with the appointee so we could explore their reasons in more detail. Person 3 explained that having to ask somebody else for access to their own money was now affecting their wellbeing. They felt they had learned enough to try managing it themselves and wanted more control. They could also identify things that might go wrong and knew where they could go for support if they struggled.</w:t>
            </w:r>
          </w:p>
          <w:p w14:paraId="71BB3F95"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I completed a second formal mental capacity assessment because their circumstances and abilities had changed. I did not treat the first assessment as something that automatically determined the outcome of the second one. The earlier assessment had been made at a point when Person 3 had very little experience of managing money and needed significant support. By this stage, they had gained practical experience and their understanding had developed.</w:t>
            </w:r>
          </w:p>
          <w:p w14:paraId="37831E28"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Person 3 was able to explain the purpose of the appointee arrangement, why it had originally been needed, what support it provided and the possible risks of ending it. They could retain the relevant information, weigh up the advantages and disadvantages and communicate a consistent decision. My judgement was therefore that Person 3 had capacity to decide that they wanted the appointeeship to end. DWP guidance recognises that an appointee arrangement can end where the person is able to manage their own benefit affairs (Department for Work and Pensions, n.d.).</w:t>
            </w:r>
          </w:p>
          <w:p w14:paraId="3C28B514"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For me, this was probably the most challenging professional judgement in the case. I still felt that keeping the appointee for longer would have been the safer option. However, Section 1(4) of the Mental Capacity Act 2005 makes clear that somebody should not be treated as unable to make a decision simply because other people consider that decision unwise (Mental Capacity Act 2005, s.1(4)). I had to recognise the difference between what made me feel more comfortable professionally and what Person 3 had the right to decide for themselves.</w:t>
            </w:r>
          </w:p>
          <w:p w14:paraId="00B7A439" w14:textId="7CE92B24"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lastRenderedPageBreak/>
              <w:t>The Social Care Wales Code and Practice Guidance also emphasise rights, choice and control alongside accountable professional judgement (Social Care Wales, 2017; 2019). My role was not to remove every possible risk from Person 3’s life. It was to make sure they had the relevant information, understood the possible consequences and had the capacity to make the decision.</w:t>
            </w:r>
          </w:p>
          <w:p w14:paraId="2023DE06"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This case made the idea that capacity is time-specific and decision-specific much more real to me. I understood this before in theory, but now, I could actually see how Person 3’s abilities had changed because they had been given opportunities to learn and practise skills they had never previously been expected to use. This linked closely with the strengths-based and empowerment approaches I had used throughout the case (Adams, 2008; Social Care Wales, 2025).</w:t>
            </w:r>
          </w:p>
          <w:p w14:paraId="1B095251"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It also reminded me that I need to be prepared to change my professional judgement when the evidence changes. I do not think my first assessment was wrong; it reflected Person 3’s abilities and circumstances at that time. The later evidence was different. Continuing to rely on the earlier assessment simply because it supported the safer option would have ignored the progress Person 3 had made and could have resulted in an unnecessarily restrictive arrangement.</w:t>
            </w:r>
          </w:p>
          <w:p w14:paraId="4FA7AD00" w14:textId="77777777" w:rsidR="00A25581" w:rsidRPr="00A25581" w:rsidRDefault="00A25581" w:rsidP="00A25581">
            <w:pPr>
              <w:overflowPunct/>
              <w:autoSpaceDE/>
              <w:autoSpaceDN/>
              <w:adjustRightInd/>
              <w:spacing w:after="160" w:line="278" w:lineRule="auto"/>
              <w:textAlignment w:val="auto"/>
              <w:rPr>
                <w:rFonts w:eastAsia="Aptos"/>
                <w:b/>
                <w:bCs/>
                <w:color w:val="auto"/>
                <w:kern w:val="2"/>
                <w:sz w:val="24"/>
                <w:szCs w:val="24"/>
                <w:lang w:eastAsia="en-US"/>
                <w14:ligatures w14:val="standardContextual"/>
              </w:rPr>
            </w:pPr>
            <w:r w:rsidRPr="00A25581">
              <w:rPr>
                <w:rFonts w:eastAsia="Aptos"/>
                <w:b/>
                <w:bCs/>
                <w:color w:val="auto"/>
                <w:kern w:val="2"/>
                <w:sz w:val="24"/>
                <w:szCs w:val="24"/>
                <w:lang w:eastAsia="en-US"/>
                <w14:ligatures w14:val="standardContextual"/>
              </w:rPr>
              <w:t>Ethical considerations, legal processes and professional accountability</w:t>
            </w:r>
          </w:p>
          <w:p w14:paraId="6EA4CAB3"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There was an ethical tension between protection and autonomy throughout this case. At the beginning, Person 3 was financially vulnerable and needed intervention to help protect their interests. Later on, the situation had changed and there was a risk that an arrangement which had originally been protective could become unnecessarily restrictive.</w:t>
            </w:r>
          </w:p>
          <w:p w14:paraId="43013A8D"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The Mental Capacity Act 2005 requires decisions made on behalf of somebody who lacks capacity to be in their best interests and, where possible, to use the least restrictive option (Mental Capacity Act 2005). Although Person 3 later had capacity to make the decision about ending the appointeeship themselves, the least restrictive principle was still relevant to how I thought about the case. I could not justify keeping an arrangement in place simply because it made me feel more reassured about possible risks.</w:t>
            </w:r>
          </w:p>
          <w:p w14:paraId="21300113"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Human rights were also relevant. Article 8 of the European Convention on Human Rights, through the Human Rights Act 1998, protects respect for private and family life and is relevant to personal autonomy (Human Rights Act 1998). For me, this did not mean that safeguarding intervention should not have happened. It meant that any restriction on Person 3’s choices needed a clear and proportionate reason.</w:t>
            </w:r>
          </w:p>
          <w:p w14:paraId="49A6052D" w14:textId="1828EC9B"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 xml:space="preserve">The Equality Act 2010 also informed my approach. Person 3 sometimes needed information explained clearly and at a pace that allowed them time to understand it. I did not see this as a reason to expect less from them or assume that they could not develop new skills. The </w:t>
            </w:r>
            <w:r w:rsidRPr="00A25581">
              <w:rPr>
                <w:rFonts w:eastAsia="Aptos"/>
                <w:color w:val="auto"/>
                <w:kern w:val="2"/>
                <w:sz w:val="24"/>
                <w:szCs w:val="24"/>
                <w:lang w:eastAsia="en-US"/>
                <w14:ligatures w14:val="standardContextual"/>
              </w:rPr>
              <w:lastRenderedPageBreak/>
              <w:t>Social Care Wales Practice Guidance also supports rights, inclusion and person-centred practice (Equality Act 2010; Social Care Wales, 2019).</w:t>
            </w:r>
          </w:p>
          <w:p w14:paraId="01216FEF"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The case also helped me understand more clearly the difference between a DWP appointee and other legal arrangements. A DWP appointee deals specifically with a person’s benefit affairs. This is different from a Court of Protection deputy, who can have broader powers relating to property and financial affairs (Department for Work and Pensions, n.d.; Mental Capacity Act 2005). If Person 3 had lacked capacity around wider financial decisions and needed longer-term substitute decision-making, the Court of Protection may have become relevant. Understanding that distinction helped me make sure the intervention did not go further than was actually needed.</w:t>
            </w:r>
          </w:p>
          <w:p w14:paraId="7ACFDC77" w14:textId="7509B8C4"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I feel professional accountability was also important throughout. I recorded the safeguarding concerns, advice I received, both capacity assessments, discussions with Person 3 and the reasons behind my decisions. I used supervision and consultation with the safeguarding team manager when I needed to test my thinking. I do not see seeking advice as handing responsibility for a decision to somebody else. It helped me check my reasoning and consider things I may have missed, while I still remained accountable for my own practice (Social Care Wales, 2017; 2019).</w:t>
            </w:r>
          </w:p>
          <w:p w14:paraId="1349CDBA" w14:textId="77777777" w:rsidR="00A25581" w:rsidRPr="00A25581" w:rsidRDefault="00A25581" w:rsidP="00A25581">
            <w:pPr>
              <w:overflowPunct/>
              <w:autoSpaceDE/>
              <w:autoSpaceDN/>
              <w:adjustRightInd/>
              <w:spacing w:after="160" w:line="278" w:lineRule="auto"/>
              <w:textAlignment w:val="auto"/>
              <w:rPr>
                <w:rFonts w:eastAsia="Aptos"/>
                <w:b/>
                <w:bCs/>
                <w:color w:val="auto"/>
                <w:kern w:val="2"/>
                <w:sz w:val="24"/>
                <w:szCs w:val="24"/>
                <w:lang w:eastAsia="en-US"/>
                <w14:ligatures w14:val="standardContextual"/>
              </w:rPr>
            </w:pPr>
            <w:r w:rsidRPr="00A25581">
              <w:rPr>
                <w:rFonts w:eastAsia="Aptos"/>
                <w:b/>
                <w:bCs/>
                <w:color w:val="auto"/>
                <w:kern w:val="2"/>
                <w:sz w:val="24"/>
                <w:szCs w:val="24"/>
                <w:lang w:eastAsia="en-US"/>
                <w14:ligatures w14:val="standardContextual"/>
              </w:rPr>
              <w:t>Evaluation of outcomes</w:t>
            </w:r>
          </w:p>
          <w:p w14:paraId="11660767"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The immediate safeguarding outcome was achieved when Person 3’s mother was removed as appointee and no longer had control of their benefit claim. Person 3 told me afterwards that their anxiety and general wellbeing had improved significantly. However, I did not see the closure of the safeguarding concern as the end of the work. There were still issues around debt, financial skills, independent living and social isolation that needed ongoing support.</w:t>
            </w:r>
          </w:p>
          <w:p w14:paraId="1236C20D"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I think the longer-term outcomes were more significant than the immediate safeguarding action. Person 3 developed practical skills around budgeting, bills and direct debits, addressed existing debt and became more confident dealing with organisations themselves. Their support worker also helped them develop wider independent-living and community skills. By the time Person 3 wanted to end the appointeeship, their circumstances and abilities were quite different from when I had first assessed them.</w:t>
            </w:r>
          </w:p>
          <w:p w14:paraId="59BF3913"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For me, this showed the value of using a strengths-based and empowering approach. If I had treated the first capacity assessment as evidence of what Person 3 would always be able or unable to do, I could have unintentionally limited their opportunities. Instead, the support gave them the chance to learn, practise skills and become more independent (Adams, 2008; Social Care Wales, 2025).</w:t>
            </w:r>
          </w:p>
          <w:p w14:paraId="17FD6B44"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lastRenderedPageBreak/>
              <w:t>It also showed me why protective interventions need to be reviewed rather than left in place automatically. The appointeeship was appropriate at one stage because Person 3 needed that protection and support. However, as their circumstances changed, continuing it indefinitely could have become unnecessarily restrictive. Safeguarding should remain person-centred, proportionate and linked to the person’s outcomes, which means being willing to review whether an intervention is still needed when the evidence changes (Welsh Government, 2018b; Wales Safeguarding Procedures, n.d.).</w:t>
            </w:r>
          </w:p>
          <w:p w14:paraId="7008CF9D" w14:textId="77777777" w:rsidR="00A25581" w:rsidRPr="00A25581" w:rsidRDefault="00A25581" w:rsidP="00A25581">
            <w:pPr>
              <w:overflowPunct/>
              <w:autoSpaceDE/>
              <w:autoSpaceDN/>
              <w:adjustRightInd/>
              <w:spacing w:after="160" w:line="278" w:lineRule="auto"/>
              <w:textAlignment w:val="auto"/>
              <w:rPr>
                <w:rFonts w:eastAsia="Aptos"/>
                <w:b/>
                <w:bCs/>
                <w:color w:val="auto"/>
                <w:kern w:val="2"/>
                <w:sz w:val="24"/>
                <w:szCs w:val="24"/>
                <w:lang w:eastAsia="en-US"/>
                <w14:ligatures w14:val="standardContextual"/>
              </w:rPr>
            </w:pPr>
            <w:r w:rsidRPr="00A25581">
              <w:rPr>
                <w:rFonts w:eastAsia="Aptos"/>
                <w:b/>
                <w:bCs/>
                <w:color w:val="auto"/>
                <w:kern w:val="2"/>
                <w:sz w:val="24"/>
                <w:szCs w:val="24"/>
                <w:lang w:eastAsia="en-US"/>
                <w14:ligatures w14:val="standardContextual"/>
              </w:rPr>
              <w:t>Welsh context and wider systems</w:t>
            </w:r>
          </w:p>
          <w:p w14:paraId="1D11B7EB"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This case took place within the Welsh social care framework. The Social Services and Well-being (Wales) Act 2014 provided the main legal framework for the assessment, care and support and safeguarding work, alongside the relevant Codes of Practice and Wales Safeguarding Procedures (Welsh Government, 2015; 2018b; Wales Safeguarding Procedures, n.d.).</w:t>
            </w:r>
          </w:p>
          <w:p w14:paraId="4BC96BD7" w14:textId="77777777" w:rsid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At the same time, I understood that not every part of the case sat within Welsh social care. DWP is a UK government department and remained responsible for decisions about the benefit appointee arrangement. The police were responsible for any decision about criminal investigation, while XXX Authority was responsible for Person 3’s social care assessment, safeguarding response and care and support. I feel this was a good example of why multi-agency working is not about one service trying to take responsibility for everything. I knew it was important to understand where my own role ended and where another organisation had the authority to act. This also linked with the systems perspective I had used earlier in the case (Payne, 2020).</w:t>
            </w:r>
          </w:p>
          <w:p w14:paraId="533FB549" w14:textId="4A4F043D" w:rsidR="00960D63" w:rsidRPr="00A25581" w:rsidRDefault="00960D63"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960D63">
              <w:rPr>
                <w:rFonts w:eastAsia="Aptos"/>
                <w:color w:val="auto"/>
                <w:kern w:val="2"/>
                <w:sz w:val="24"/>
                <w:szCs w:val="24"/>
                <w:lang w:eastAsia="en-US"/>
                <w14:ligatures w14:val="standardContextual"/>
              </w:rPr>
              <w:t xml:space="preserve">Social care in Wales uses its own devolved legal and policy frameworks, however, this case included UK-wide systems, such as DWP. The data-protection framework has an EU influence that continues to shape UK practice. Outside of the EU, there are international rights frameworks, such as the UN Convention on the Rights of Persons with Disabilities, which are relevant to autonomy, participation and </w:t>
            </w:r>
            <w:r w:rsidRPr="00960D63">
              <w:rPr>
                <w:rFonts w:eastAsia="Aptos"/>
                <w:color w:val="auto"/>
                <w:kern w:val="2"/>
                <w:sz w:val="24"/>
                <w:szCs w:val="24"/>
                <w:lang w:eastAsia="en-US"/>
                <w14:ligatures w14:val="standardContextual"/>
              </w:rPr>
              <w:t>equality (</w:t>
            </w:r>
            <w:r w:rsidRPr="00960D63">
              <w:rPr>
                <w:rFonts w:eastAsia="Aptos"/>
                <w:color w:val="auto"/>
                <w:kern w:val="2"/>
                <w:sz w:val="24"/>
                <w:szCs w:val="24"/>
                <w:lang w:eastAsia="en-US"/>
                <w14:ligatures w14:val="standardContextual"/>
              </w:rPr>
              <w:t>UK GDPR; United Nations, 2006).</w:t>
            </w:r>
          </w:p>
          <w:p w14:paraId="093AFD29"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The wider rights context was also relevant. The Human Rights Act 1998 supported consideration of Person 3’s autonomy and private life, while the United Nations Convention on the Rights of Persons with Disabilities promotes autonomy, participation and equal recognition before the law (United Nations, 2006). UK data-protection requirements were also relevant when information was being shared between agencies.</w:t>
            </w:r>
          </w:p>
          <w:p w14:paraId="370ED082"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 xml:space="preserve">I made the Active Offer of Welsh-language services to Person 3 rather than waiting for them to ask. They told me that they did not speak Welsh and preferred English, so their preference was respected. This reflects the principle within More than Just Words that </w:t>
            </w:r>
            <w:r w:rsidRPr="00A25581">
              <w:rPr>
                <w:rFonts w:eastAsia="Aptos"/>
                <w:color w:val="auto"/>
                <w:kern w:val="2"/>
                <w:sz w:val="24"/>
                <w:szCs w:val="24"/>
                <w:lang w:eastAsia="en-US"/>
                <w14:ligatures w14:val="standardContextual"/>
              </w:rPr>
              <w:lastRenderedPageBreak/>
              <w:t>responsibility for offering Welsh-language services sits with the service rather than the individual (Welsh Government, 2022).</w:t>
            </w:r>
          </w:p>
          <w:p w14:paraId="4E61D10F"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The Well-being of Future Generations (Wales) Act 2015 also provided a wider context around prevention, collaboration and longer-term thinking. It did not determine the individual safeguarding decisions that I made. I could see those principles in the longer-term work with Person 3. Rather than only dealing with the immediate safeguarding concern, the work also focused on building skills and reducing the likelihood of another crisis developing.</w:t>
            </w:r>
          </w:p>
          <w:p w14:paraId="199E1161" w14:textId="77777777" w:rsidR="00A25581" w:rsidRPr="00A25581" w:rsidRDefault="00A25581" w:rsidP="00A25581">
            <w:pPr>
              <w:overflowPunct/>
              <w:autoSpaceDE/>
              <w:autoSpaceDN/>
              <w:adjustRightInd/>
              <w:spacing w:after="160" w:line="278" w:lineRule="auto"/>
              <w:textAlignment w:val="auto"/>
              <w:rPr>
                <w:rFonts w:eastAsia="Aptos"/>
                <w:b/>
                <w:bCs/>
                <w:color w:val="auto"/>
                <w:kern w:val="2"/>
                <w:sz w:val="24"/>
                <w:szCs w:val="24"/>
                <w:lang w:eastAsia="en-US"/>
                <w14:ligatures w14:val="standardContextual"/>
              </w:rPr>
            </w:pPr>
            <w:r w:rsidRPr="00A25581">
              <w:rPr>
                <w:rFonts w:eastAsia="Aptos"/>
                <w:b/>
                <w:bCs/>
                <w:color w:val="auto"/>
                <w:kern w:val="2"/>
                <w:sz w:val="24"/>
                <w:szCs w:val="24"/>
                <w:lang w:eastAsia="en-US"/>
                <w14:ligatures w14:val="standardContextual"/>
              </w:rPr>
              <w:t>Critical reflection and learning</w:t>
            </w:r>
          </w:p>
          <w:p w14:paraId="600D836A"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The biggest learning for me from this case was seeing how much somebody’s abilities can change when they are actually given the opportunity and support to learn. I already understood that capacity can change, but seeing this happen with Person 3 made it much more meaningful in practice. At the beginning, the evidence supported my judgement that they could not manage their finances independently and Person 3 themselves agreed that they needed support. A few months later, their knowledge, confidence and practical skills were very different.</w:t>
            </w:r>
          </w:p>
          <w:p w14:paraId="017756CC"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I also learned that safeguarding does not mean removing every possible risk. When Person 3 wanted to end the appointeeship, my instinct was to keep it in place for longer. Part of that came from knowing what could go wrong and feeling responsible for the progress that had been made. Reflecting on this made me realise that professional concern can quite easily become over-protective practice if it is not questioned.</w:t>
            </w:r>
          </w:p>
          <w:p w14:paraId="5A49890E"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I think I managed this appropriately by being open with Person 3 about my concerns without using those concerns as a reason to stop them making their own decision. They understood the risks I raised and still reached the same conclusion. I had to accept that the option I personally felt was safer was not automatically the right option for them.</w:t>
            </w:r>
          </w:p>
          <w:p w14:paraId="521BB9B9"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Another important part of my learning was professional persistence. Person 3 had already raised concerns with other agencies and felt that very little had changed. I could have assumed that because DWP and the police had previously been involved, there was nothing further for me to do. Instead, I sought safeguarding advice, clarified what was happening with the appointeeship and followed the issue through until the immediate risk had been addressed. This has increased my confidence in challenging or following up concerns when something still does not feel resolved.</w:t>
            </w:r>
          </w:p>
          <w:p w14:paraId="0CB0D922"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The case also changed how I think about multi-agency working. I understand that collaboration is not simply making several referrals. Each organisation involved had a different role and responsibility. My role was to keep the different parts of the work connected to Person 3’s outcomes and make sure they remained involved in decisions affecting them.</w:t>
            </w:r>
          </w:p>
          <w:p w14:paraId="7786A88B"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lastRenderedPageBreak/>
              <w:t>One thing I would improve if I was dealing with a similar situation again is my recording between the two capacity assessments. I recorded the individual pieces of work and Person 3’s progress, but I could have been more explicit about how particular skills and experiences changed the evidence around capacity and risk. I feel this would have made the reason for my later change in judgement even clearer.</w:t>
            </w:r>
          </w:p>
          <w:p w14:paraId="03FCC95F" w14:textId="11023BD4"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I would also continue to use supervision when there is tension between what appears safest and what the person wants. In this case, supervision helped me test my reasoning and consider whether my response was proportionate rather than relying only on my own view of the risk (Social Care Wales, 2017; 2019).</w:t>
            </w:r>
          </w:p>
          <w:p w14:paraId="13C5F225" w14:textId="77777777" w:rsidR="00A25581" w:rsidRPr="00A25581" w:rsidRDefault="00A25581" w:rsidP="00A25581">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A25581">
              <w:rPr>
                <w:rFonts w:eastAsia="Aptos"/>
                <w:color w:val="auto"/>
                <w:kern w:val="2"/>
                <w:sz w:val="24"/>
                <w:szCs w:val="24"/>
                <w:lang w:eastAsia="en-US"/>
                <w14:ligatures w14:val="standardContextual"/>
              </w:rPr>
              <w:t>Overall, this case brought together safeguarding, mental capacity, assessment, collaborative working and professional judgement. The immediate safeguarding issue was resolved, but the more important outcome for me was seeing Person 3 become more confident and independent. It reinforced that safeguarding should be person-centred and proportionate, and that I need to remain willing to change my professional judgement when the evidence changes.</w:t>
            </w:r>
          </w:p>
          <w:p w14:paraId="2BE7247F" w14:textId="77777777" w:rsidR="00A25581" w:rsidRPr="00A25581" w:rsidRDefault="00A25581" w:rsidP="00A25581">
            <w:pPr>
              <w:overflowPunct/>
              <w:autoSpaceDE/>
              <w:autoSpaceDN/>
              <w:adjustRightInd/>
              <w:textAlignment w:val="auto"/>
              <w:rPr>
                <w:rFonts w:eastAsia="Aptos"/>
                <w:color w:val="auto"/>
                <w:sz w:val="24"/>
                <w:szCs w:val="24"/>
                <w:lang w:eastAsia="en-US"/>
              </w:rPr>
            </w:pPr>
          </w:p>
          <w:p w14:paraId="7F597B03" w14:textId="6612FB80" w:rsidR="00C62367" w:rsidRPr="00C62367" w:rsidRDefault="00C62367" w:rsidP="00AD6799">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C62367">
              <w:rPr>
                <w:rFonts w:eastAsia="Aptos"/>
                <w:b/>
                <w:bCs/>
                <w:color w:val="auto"/>
                <w:kern w:val="2"/>
                <w:sz w:val="24"/>
                <w:szCs w:val="24"/>
                <w:lang w:eastAsia="en-US"/>
                <w14:ligatures w14:val="standardContextual"/>
              </w:rPr>
              <w:t>Word count: 4,</w:t>
            </w:r>
            <w:r w:rsidR="00A25581">
              <w:rPr>
                <w:rFonts w:eastAsia="Aptos"/>
                <w:b/>
                <w:bCs/>
                <w:color w:val="auto"/>
                <w:kern w:val="2"/>
                <w:sz w:val="24"/>
                <w:szCs w:val="24"/>
                <w:lang w:eastAsia="en-US"/>
                <w14:ligatures w14:val="standardContextual"/>
              </w:rPr>
              <w:t>3</w:t>
            </w:r>
            <w:r w:rsidR="00C05FCA">
              <w:rPr>
                <w:rFonts w:eastAsia="Aptos"/>
                <w:b/>
                <w:bCs/>
                <w:color w:val="auto"/>
                <w:kern w:val="2"/>
                <w:sz w:val="24"/>
                <w:szCs w:val="24"/>
                <w:lang w:eastAsia="en-US"/>
                <w14:ligatures w14:val="standardContextual"/>
              </w:rPr>
              <w:t>9</w:t>
            </w:r>
            <w:r w:rsidR="00A25581">
              <w:rPr>
                <w:rFonts w:eastAsia="Aptos"/>
                <w:b/>
                <w:bCs/>
                <w:color w:val="auto"/>
                <w:kern w:val="2"/>
                <w:sz w:val="24"/>
                <w:szCs w:val="24"/>
                <w:lang w:eastAsia="en-US"/>
                <w14:ligatures w14:val="standardContextual"/>
              </w:rPr>
              <w:t>2</w:t>
            </w:r>
            <w:r w:rsidRPr="00C62367">
              <w:rPr>
                <w:rFonts w:eastAsia="Aptos"/>
                <w:b/>
                <w:bCs/>
                <w:color w:val="auto"/>
                <w:kern w:val="2"/>
                <w:sz w:val="24"/>
                <w:szCs w:val="24"/>
                <w:lang w:eastAsia="en-US"/>
                <w14:ligatures w14:val="standardContextual"/>
              </w:rPr>
              <w:t xml:space="preserve"> words</w:t>
            </w:r>
            <w:r w:rsidR="00A25581">
              <w:rPr>
                <w:rFonts w:eastAsia="Aptos"/>
                <w:b/>
                <w:bCs/>
                <w:color w:val="auto"/>
                <w:kern w:val="2"/>
                <w:sz w:val="24"/>
                <w:szCs w:val="24"/>
                <w:lang w:eastAsia="en-US"/>
                <w14:ligatures w14:val="standardContextual"/>
              </w:rPr>
              <w:t>.</w:t>
            </w:r>
          </w:p>
          <w:p w14:paraId="26D1164E" w14:textId="77777777" w:rsidR="00C62367" w:rsidRPr="00C62367" w:rsidRDefault="00C62367" w:rsidP="00C62367">
            <w:pPr>
              <w:overflowPunct/>
              <w:autoSpaceDE/>
              <w:autoSpaceDN/>
              <w:adjustRightInd/>
              <w:spacing w:after="160" w:line="278" w:lineRule="auto"/>
              <w:textAlignment w:val="auto"/>
              <w:rPr>
                <w:rFonts w:eastAsia="Aptos"/>
                <w:color w:val="auto"/>
                <w:kern w:val="2"/>
                <w:sz w:val="24"/>
                <w:szCs w:val="24"/>
                <w:lang w:eastAsia="en-US"/>
                <w14:ligatures w14:val="standardContextual"/>
              </w:rPr>
            </w:pPr>
          </w:p>
          <w:p w14:paraId="12DC2F24" w14:textId="24094196" w:rsidR="00D3203C" w:rsidRPr="00C62367" w:rsidRDefault="00D3203C" w:rsidP="00FF7EBB">
            <w:pPr>
              <w:jc w:val="both"/>
              <w:rPr>
                <w:iCs/>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85884B" w14:textId="77777777" w:rsidR="00EB5E32" w:rsidRDefault="00EB5E32">
      <w:r>
        <w:separator/>
      </w:r>
    </w:p>
  </w:endnote>
  <w:endnote w:type="continuationSeparator" w:id="0">
    <w:p w14:paraId="5EC4A648" w14:textId="77777777" w:rsidR="00EB5E32" w:rsidRDefault="00EB5E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07B0AF" w14:textId="77777777" w:rsidR="00EB5E32" w:rsidRDefault="00EB5E32">
      <w:r>
        <w:separator/>
      </w:r>
    </w:p>
  </w:footnote>
  <w:footnote w:type="continuationSeparator" w:id="0">
    <w:p w14:paraId="06834CEC" w14:textId="77777777" w:rsidR="00EB5E32" w:rsidRDefault="00EB5E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5C5F"/>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1E33"/>
    <w:rsid w:val="002657E9"/>
    <w:rsid w:val="0026665E"/>
    <w:rsid w:val="0027147E"/>
    <w:rsid w:val="002761F4"/>
    <w:rsid w:val="002775E1"/>
    <w:rsid w:val="00277979"/>
    <w:rsid w:val="00280424"/>
    <w:rsid w:val="00291ADD"/>
    <w:rsid w:val="002920DF"/>
    <w:rsid w:val="00292F3D"/>
    <w:rsid w:val="00295CA1"/>
    <w:rsid w:val="0029761F"/>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1604"/>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28"/>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4659"/>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3586"/>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158E"/>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1E0A"/>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6ABE"/>
    <w:rsid w:val="009079BD"/>
    <w:rsid w:val="00912BD9"/>
    <w:rsid w:val="00916FB2"/>
    <w:rsid w:val="00920E5B"/>
    <w:rsid w:val="00926436"/>
    <w:rsid w:val="00926C53"/>
    <w:rsid w:val="0093018C"/>
    <w:rsid w:val="00941B95"/>
    <w:rsid w:val="0094495F"/>
    <w:rsid w:val="009544C0"/>
    <w:rsid w:val="00954FA4"/>
    <w:rsid w:val="00956AE9"/>
    <w:rsid w:val="00960D63"/>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581"/>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D6799"/>
    <w:rsid w:val="00AE134C"/>
    <w:rsid w:val="00AE1868"/>
    <w:rsid w:val="00AE2564"/>
    <w:rsid w:val="00AE301F"/>
    <w:rsid w:val="00AE3302"/>
    <w:rsid w:val="00AE5BA6"/>
    <w:rsid w:val="00AE6231"/>
    <w:rsid w:val="00AE7077"/>
    <w:rsid w:val="00AF61C2"/>
    <w:rsid w:val="00AF68A0"/>
    <w:rsid w:val="00AF6CC6"/>
    <w:rsid w:val="00B0296A"/>
    <w:rsid w:val="00B037B0"/>
    <w:rsid w:val="00B04FE2"/>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05FCA"/>
    <w:rsid w:val="00C161FD"/>
    <w:rsid w:val="00C17C9F"/>
    <w:rsid w:val="00C23F17"/>
    <w:rsid w:val="00C246F2"/>
    <w:rsid w:val="00C26D0D"/>
    <w:rsid w:val="00C27A0E"/>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2367"/>
    <w:rsid w:val="00C63CAB"/>
    <w:rsid w:val="00C63D00"/>
    <w:rsid w:val="00C6441B"/>
    <w:rsid w:val="00C65921"/>
    <w:rsid w:val="00C7108B"/>
    <w:rsid w:val="00C75883"/>
    <w:rsid w:val="00C77FA5"/>
    <w:rsid w:val="00C8089F"/>
    <w:rsid w:val="00C8261D"/>
    <w:rsid w:val="00C835FE"/>
    <w:rsid w:val="00C836CC"/>
    <w:rsid w:val="00C852D6"/>
    <w:rsid w:val="00C87A74"/>
    <w:rsid w:val="00C92C71"/>
    <w:rsid w:val="00C93F8F"/>
    <w:rsid w:val="00CA0894"/>
    <w:rsid w:val="00CA3593"/>
    <w:rsid w:val="00CA5726"/>
    <w:rsid w:val="00CA7E6A"/>
    <w:rsid w:val="00CB258E"/>
    <w:rsid w:val="00CB3C8F"/>
    <w:rsid w:val="00CB7DC2"/>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29CA"/>
    <w:rsid w:val="00D146AE"/>
    <w:rsid w:val="00D22C8F"/>
    <w:rsid w:val="00D3203C"/>
    <w:rsid w:val="00D33491"/>
    <w:rsid w:val="00D3442D"/>
    <w:rsid w:val="00D36F00"/>
    <w:rsid w:val="00D44B67"/>
    <w:rsid w:val="00D44F8E"/>
    <w:rsid w:val="00D51868"/>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5E32"/>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5D1"/>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CB7DC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3Char">
    <w:name w:val="Heading 3 Char"/>
    <w:basedOn w:val="DefaultParagraphFont"/>
    <w:link w:val="Heading3"/>
    <w:uiPriority w:val="9"/>
    <w:semiHidden/>
    <w:rsid w:val="00CB7DC2"/>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C27A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Andrew.orourke@flintshire.gov.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12</Pages>
  <Words>4451</Words>
  <Characters>25374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Andrew O'Rourke (Student)</cp:lastModifiedBy>
  <cp:revision>14</cp:revision>
  <cp:lastPrinted>2020-02-11T19:20:00Z</cp:lastPrinted>
  <dcterms:created xsi:type="dcterms:W3CDTF">2022-09-29T11:34:00Z</dcterms:created>
  <dcterms:modified xsi:type="dcterms:W3CDTF">2026-10-06T22:39:00Z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