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642AC" w14:textId="77777777" w:rsidR="003A26F3" w:rsidRPr="003A26F3" w:rsidRDefault="003A26F3" w:rsidP="003A26F3">
      <w:r w:rsidRPr="003A26F3">
        <w:rPr>
          <w:b/>
          <w:bCs/>
          <w:u w:val="single"/>
        </w:rPr>
        <w:t>Methodology:</w:t>
      </w:r>
    </w:p>
    <w:p w14:paraId="2028A20B" w14:textId="77777777" w:rsidR="003A26F3" w:rsidRPr="003A26F3" w:rsidRDefault="003A26F3" w:rsidP="003A26F3">
      <w:r w:rsidRPr="003A26F3">
        <w:rPr>
          <w:b/>
          <w:bCs/>
          <w:u w:val="single"/>
        </w:rPr>
        <w:t>Introduction</w:t>
      </w:r>
    </w:p>
    <w:p w14:paraId="51DD4681" w14:textId="77777777" w:rsidR="003A26F3" w:rsidRPr="003A26F3" w:rsidRDefault="003A26F3" w:rsidP="003A26F3">
      <w:r w:rsidRPr="003A26F3">
        <w:t> </w:t>
      </w:r>
    </w:p>
    <w:p w14:paraId="30E699C8" w14:textId="77777777" w:rsidR="003A26F3" w:rsidRPr="003A26F3" w:rsidRDefault="003A26F3" w:rsidP="003A26F3">
      <w:r w:rsidRPr="003A26F3">
        <w:t>This chapter will document the research methodology method that will be used within this dissertation to help to gain the best understanding and research to answer the question regarding what Is the impact of occupational stress and trauma exposure in frontline policing on officer wellbeing and how effective are current wellbeing interventions? This chapter will discuss the research design that will be used, the participants and sampling, the method of collecting data, data analysis and finally any ethical considerations or limitation that may have a negative effect on the survey and methodology.</w:t>
      </w:r>
    </w:p>
    <w:p w14:paraId="19A65C1C" w14:textId="77777777" w:rsidR="003A26F3" w:rsidRPr="003A26F3" w:rsidRDefault="003A26F3" w:rsidP="003A26F3">
      <w:r w:rsidRPr="003A26F3">
        <w:t> </w:t>
      </w:r>
    </w:p>
    <w:p w14:paraId="1E285878" w14:textId="77777777" w:rsidR="003A26F3" w:rsidRPr="003A26F3" w:rsidRDefault="003A26F3" w:rsidP="003A26F3">
      <w:r w:rsidRPr="003A26F3">
        <w:rPr>
          <w:b/>
          <w:bCs/>
          <w:u w:val="single"/>
        </w:rPr>
        <w:t>Research design</w:t>
      </w:r>
    </w:p>
    <w:p w14:paraId="0CD6B336" w14:textId="77777777" w:rsidR="003A26F3" w:rsidRPr="003A26F3" w:rsidRDefault="003A26F3" w:rsidP="003A26F3">
      <w:r w:rsidRPr="003A26F3">
        <w:t> </w:t>
      </w:r>
    </w:p>
    <w:p w14:paraId="23A5DA43" w14:textId="55F95A96" w:rsidR="003A26F3" w:rsidRPr="003A26F3" w:rsidRDefault="003A26F3" w:rsidP="003A26F3">
      <w:r w:rsidRPr="003A26F3">
        <w:t>Study will adopt will adapt a mixed methods research design whereby combining both quantitative and qualitative data to provide insight into the impact of occupation stress and trauma and the effectiveness of well-being methods. (</w:t>
      </w:r>
      <w:proofErr w:type="spellStart"/>
      <w:r w:rsidRPr="003A26F3">
        <w:t>Schoonenboom</w:t>
      </w:r>
      <w:proofErr w:type="spellEnd"/>
      <w:r w:rsidRPr="003A26F3">
        <w:t xml:space="preserve">, J. and Johnson, R.B. 2017) The overall goal of mixed methods research, is to expand and strengthen a study’s conclusions and, therefore, contribute to the published literature. The use of a mixed method research design will also allow officers to provide further information into specific personal experiences </w:t>
      </w:r>
      <w:proofErr w:type="gramStart"/>
      <w:r w:rsidRPr="003A26F3">
        <w:t xml:space="preserve">through the use </w:t>
      </w:r>
      <w:r w:rsidRPr="003A26F3">
        <w:t>of</w:t>
      </w:r>
      <w:proofErr w:type="gramEnd"/>
      <w:r w:rsidRPr="003A26F3">
        <w:t xml:space="preserve"> qualitative</w:t>
      </w:r>
      <w:r w:rsidRPr="003A26F3">
        <w:t xml:space="preserve"> data.</w:t>
      </w:r>
    </w:p>
    <w:p w14:paraId="2CB3064C" w14:textId="77777777" w:rsidR="003A26F3" w:rsidRPr="003A26F3" w:rsidRDefault="003A26F3" w:rsidP="003A26F3">
      <w:r w:rsidRPr="003A26F3">
        <w:t> </w:t>
      </w:r>
    </w:p>
    <w:p w14:paraId="6B054FCC" w14:textId="112E841F" w:rsidR="003A26F3" w:rsidRPr="003A26F3" w:rsidRDefault="003A26F3" w:rsidP="003A26F3">
      <w:r w:rsidRPr="003A26F3">
        <w:t>Furthermore,</w:t>
      </w:r>
      <w:r w:rsidRPr="003A26F3">
        <w:t xml:space="preserve"> the study will also adapt a </w:t>
      </w:r>
      <w:r w:rsidRPr="003A26F3">
        <w:t>cross-sectional</w:t>
      </w:r>
      <w:r w:rsidRPr="003A26F3">
        <w:t xml:space="preserve"> survey design which will allow for more insight into a specific time frame, this will help to identify patterns and relationships in identify occupational stressors, trauma exposure and wellbeing. Research carried out by Wang, X. and Cheng, Z. (2020) shows that the use of </w:t>
      </w:r>
      <w:r w:rsidRPr="003A26F3">
        <w:t>cross-sectional</w:t>
      </w:r>
      <w:r w:rsidRPr="003A26F3">
        <w:t xml:space="preserve"> survey designs helps to establish preliminary evidence which will assist with analysing findings and developing </w:t>
      </w:r>
      <w:proofErr w:type="gramStart"/>
      <w:r w:rsidRPr="003A26F3">
        <w:t>a final conclusion</w:t>
      </w:r>
      <w:proofErr w:type="gramEnd"/>
      <w:r w:rsidRPr="003A26F3">
        <w:t>.</w:t>
      </w:r>
    </w:p>
    <w:p w14:paraId="45D33C2C" w14:textId="77777777" w:rsidR="003A26F3" w:rsidRPr="003A26F3" w:rsidRDefault="003A26F3" w:rsidP="003A26F3">
      <w:r w:rsidRPr="003A26F3">
        <w:t> </w:t>
      </w:r>
    </w:p>
    <w:p w14:paraId="53B82F96" w14:textId="77777777" w:rsidR="003A26F3" w:rsidRPr="003A26F3" w:rsidRDefault="003A26F3" w:rsidP="003A26F3">
      <w:r w:rsidRPr="003A26F3">
        <w:rPr>
          <w:b/>
          <w:bCs/>
          <w:u w:val="single"/>
        </w:rPr>
        <w:t>Participants and sampling</w:t>
      </w:r>
    </w:p>
    <w:p w14:paraId="5C0671E5" w14:textId="77777777" w:rsidR="003A26F3" w:rsidRPr="003A26F3" w:rsidRDefault="003A26F3" w:rsidP="003A26F3">
      <w:r w:rsidRPr="003A26F3">
        <w:t> </w:t>
      </w:r>
    </w:p>
    <w:p w14:paraId="7E4C4750" w14:textId="27B1EB68" w:rsidR="003A26F3" w:rsidRPr="003A26F3" w:rsidRDefault="003A26F3" w:rsidP="003A26F3">
      <w:r w:rsidRPr="003A26F3">
        <w:t xml:space="preserve">The target participations for this survey will be serving front line police officers from Gwent Police, the purpose of selecting this participate group is to obtain evidence from participants that have experience of frontline policing and may have been exposed to occupation stress and trauma and may have utilised wellbeing methods. The criteria of participants will be that they are in a current frontline role such as response policing or CID, they are over the age of 18 and are still currently operational and that they are out of their initial 6 months training and </w:t>
      </w:r>
      <w:r w:rsidR="00F35808" w:rsidRPr="003A26F3">
        <w:t>their</w:t>
      </w:r>
      <w:r w:rsidRPr="003A26F3">
        <w:t xml:space="preserve"> primary role is front line policing. The study will exclude officers that are not operational either through long term sickness or in job roles whereby they are not exposed to front line policing. </w:t>
      </w:r>
      <w:proofErr w:type="gramStart"/>
      <w:r w:rsidRPr="003A26F3">
        <w:t>Through the use of</w:t>
      </w:r>
      <w:proofErr w:type="gramEnd"/>
      <w:r w:rsidRPr="003A26F3">
        <w:t xml:space="preserve"> quantitative data to identify specific, length of service and rank will help to show whether a specific role or rank within policing can lead to more occupational stress and trauma.  </w:t>
      </w:r>
    </w:p>
    <w:p w14:paraId="4F58C232" w14:textId="77777777" w:rsidR="003A26F3" w:rsidRPr="003A26F3" w:rsidRDefault="003A26F3" w:rsidP="003A26F3">
      <w:r w:rsidRPr="003A26F3">
        <w:t> </w:t>
      </w:r>
    </w:p>
    <w:p w14:paraId="1B1ED501" w14:textId="77777777" w:rsidR="003A26F3" w:rsidRPr="003A26F3" w:rsidRDefault="003A26F3" w:rsidP="003A26F3">
      <w:r w:rsidRPr="003A26F3">
        <w:rPr>
          <w:b/>
          <w:bCs/>
          <w:u w:val="single"/>
        </w:rPr>
        <w:lastRenderedPageBreak/>
        <w:t>Data collection methods</w:t>
      </w:r>
    </w:p>
    <w:p w14:paraId="08DE3CDE" w14:textId="77777777" w:rsidR="003A26F3" w:rsidRPr="003A26F3" w:rsidRDefault="003A26F3" w:rsidP="003A26F3">
      <w:r w:rsidRPr="003A26F3">
        <w:t> </w:t>
      </w:r>
    </w:p>
    <w:p w14:paraId="50D1B849" w14:textId="0BE86D0A" w:rsidR="003A26F3" w:rsidRPr="003A26F3" w:rsidRDefault="003A26F3" w:rsidP="003A26F3">
      <w:r w:rsidRPr="003A26F3">
        <w:t xml:space="preserve">The survey will use questions that provide both qualitative data and quantitative data along to obtain by numerical and literal data. This use of quantitative data will be obtained by use of a Likert scale questions (Ferrando, P.J. Et al 2025) Likert scale questions have shown to be extremely beneficial to allowing participants to show their personal thought and feelings, the use of these questions will allow to determine how often officers are affected by traumatic experience and workplace stress and the overall effectiveness of wellbeing intervention. </w:t>
      </w:r>
      <w:r w:rsidR="00F35808" w:rsidRPr="003A26F3">
        <w:t>Furthermore,</w:t>
      </w:r>
      <w:r w:rsidRPr="003A26F3">
        <w:t xml:space="preserve"> qualitative data will </w:t>
      </w:r>
      <w:proofErr w:type="gramStart"/>
      <w:r w:rsidRPr="003A26F3">
        <w:t>obtained</w:t>
      </w:r>
      <w:proofErr w:type="gramEnd"/>
      <w:r w:rsidRPr="003A26F3">
        <w:t xml:space="preserve"> </w:t>
      </w:r>
      <w:proofErr w:type="gramStart"/>
      <w:r w:rsidRPr="003A26F3">
        <w:t>through the use of</w:t>
      </w:r>
      <w:proofErr w:type="gramEnd"/>
      <w:r w:rsidRPr="003A26F3">
        <w:t xml:space="preserve"> open ending questions allowing participants to provide personal experiences and allow for a better understanding of how effect wellbeing </w:t>
      </w:r>
      <w:r w:rsidR="00F35808" w:rsidRPr="003A26F3">
        <w:t>interventions</w:t>
      </w:r>
      <w:r w:rsidRPr="003A26F3">
        <w:t xml:space="preserve"> currently are and any limitations.</w:t>
      </w:r>
    </w:p>
    <w:p w14:paraId="1897A5BC" w14:textId="77777777" w:rsidR="003A26F3" w:rsidRPr="003A26F3" w:rsidRDefault="003A26F3" w:rsidP="003A26F3">
      <w:r w:rsidRPr="003A26F3">
        <w:t> </w:t>
      </w:r>
    </w:p>
    <w:p w14:paraId="0CBDCF47" w14:textId="77777777" w:rsidR="003A26F3" w:rsidRPr="003A26F3" w:rsidRDefault="003A26F3" w:rsidP="003A26F3">
      <w:r w:rsidRPr="003A26F3">
        <w:t> </w:t>
      </w:r>
    </w:p>
    <w:p w14:paraId="68C59030" w14:textId="77777777" w:rsidR="003A26F3" w:rsidRPr="003A26F3" w:rsidRDefault="003A26F3" w:rsidP="003A26F3">
      <w:r w:rsidRPr="003A26F3">
        <w:rPr>
          <w:b/>
          <w:bCs/>
          <w:u w:val="single"/>
        </w:rPr>
        <w:t>Data analysis</w:t>
      </w:r>
    </w:p>
    <w:p w14:paraId="7E396085" w14:textId="77777777" w:rsidR="003A26F3" w:rsidRPr="003A26F3" w:rsidRDefault="003A26F3" w:rsidP="003A26F3">
      <w:r w:rsidRPr="003A26F3">
        <w:t> </w:t>
      </w:r>
    </w:p>
    <w:p w14:paraId="7A38BB69" w14:textId="3D5CFF56" w:rsidR="003A26F3" w:rsidRPr="003A26F3" w:rsidRDefault="003A26F3" w:rsidP="003A26F3">
      <w:r w:rsidRPr="003A26F3">
        <w:t xml:space="preserve">Following the completion of the survey the quantitative data that is obtained can be </w:t>
      </w:r>
      <w:r w:rsidR="00F35808" w:rsidRPr="003A26F3">
        <w:t>assess</w:t>
      </w:r>
      <w:r w:rsidRPr="003A26F3">
        <w:t xml:space="preserve"> through correlation analysis examining the relation between occupational stress and trauma and how effect wellbeing outcomes are. For the analysis of the qualitative data the accounts provided by participants factors such as what traumatic experience and operational stress has been experienced and how it correlates with the numerical answers provided, by doing this it will allow to </w:t>
      </w:r>
      <w:r w:rsidR="00F35808" w:rsidRPr="003A26F3">
        <w:t>pinpoint</w:t>
      </w:r>
      <w:r w:rsidRPr="003A26F3">
        <w:t xml:space="preserve"> specific events experiences by the participant and the impact it has had. To evaluate the effectiveness of current wellbeing interventions within policing the RE-AIM framework will be adapted to evaluate the reach it has on officers, the effectiveness, how it is adapted within forces, implementation and maintained understanding the </w:t>
      </w:r>
      <w:r w:rsidR="00F35808" w:rsidRPr="003A26F3">
        <w:t>long-term</w:t>
      </w:r>
      <w:r w:rsidRPr="003A26F3">
        <w:t xml:space="preserve"> effects.</w:t>
      </w:r>
    </w:p>
    <w:p w14:paraId="6D7A96F7" w14:textId="77777777" w:rsidR="003A26F3" w:rsidRPr="003A26F3" w:rsidRDefault="003A26F3" w:rsidP="003A26F3">
      <w:r w:rsidRPr="003A26F3">
        <w:t> </w:t>
      </w:r>
    </w:p>
    <w:p w14:paraId="12FE6A42" w14:textId="77777777" w:rsidR="003A26F3" w:rsidRPr="003A26F3" w:rsidRDefault="003A26F3" w:rsidP="003A26F3">
      <w:r w:rsidRPr="003A26F3">
        <w:rPr>
          <w:b/>
          <w:bCs/>
          <w:u w:val="single"/>
        </w:rPr>
        <w:t>Ethical considerations</w:t>
      </w:r>
    </w:p>
    <w:p w14:paraId="453F2870" w14:textId="77777777" w:rsidR="003A26F3" w:rsidRPr="003A26F3" w:rsidRDefault="003A26F3" w:rsidP="003A26F3">
      <w:r w:rsidRPr="003A26F3">
        <w:t> </w:t>
      </w:r>
    </w:p>
    <w:p w14:paraId="22FF2EF3" w14:textId="42D9BCF0" w:rsidR="003A26F3" w:rsidRPr="003A26F3" w:rsidRDefault="003A26F3" w:rsidP="003A26F3">
      <w:r w:rsidRPr="003A26F3">
        <w:t xml:space="preserve">Due to the sensitive subject mature of the study there are significant ethical considerations that need to be identified prior to presenting the survey, it is vitally important to adhere to ethical standards through the course of the study. Prior to the publication of the study ethical approval has been obtained from the university by way of the publication and submission of the ethical form prior to the start of the dissertation. All participations will be made aware of the purpose of the investigation prior to completion, all participants will be made aware that participation is on a voluntary </w:t>
      </w:r>
      <w:r w:rsidR="00F35808" w:rsidRPr="003A26F3">
        <w:t>basis</w:t>
      </w:r>
      <w:r w:rsidRPr="003A26F3">
        <w:t xml:space="preserve"> and that all participants can withdraw at any time during the survey and that all participation is anonymous, confidential and protected by data protection. Written consent will be obtained from all participants prior to completion whereby they will be made aware of the content of the survey and at its conclusion. </w:t>
      </w:r>
      <w:r w:rsidR="00F35808" w:rsidRPr="003A26F3">
        <w:t>Finally,</w:t>
      </w:r>
      <w:r w:rsidRPr="003A26F3">
        <w:t xml:space="preserve"> all participants will be supplied with resources to assist them with their mental health and contact points with well-being officers and services within the Gwent police force such as occupational health</w:t>
      </w:r>
    </w:p>
    <w:p w14:paraId="32B8E716" w14:textId="77777777" w:rsidR="003A26F3" w:rsidRPr="003A26F3" w:rsidRDefault="003A26F3" w:rsidP="003A26F3">
      <w:r w:rsidRPr="003A26F3">
        <w:t> </w:t>
      </w:r>
    </w:p>
    <w:p w14:paraId="7A86036A" w14:textId="77777777" w:rsidR="003A26F3" w:rsidRPr="003A26F3" w:rsidRDefault="003A26F3" w:rsidP="003A26F3">
      <w:r w:rsidRPr="003A26F3">
        <w:rPr>
          <w:b/>
          <w:bCs/>
          <w:u w:val="single"/>
        </w:rPr>
        <w:t>Limitations</w:t>
      </w:r>
    </w:p>
    <w:p w14:paraId="023E0434" w14:textId="77777777" w:rsidR="003A26F3" w:rsidRPr="003A26F3" w:rsidRDefault="003A26F3" w:rsidP="003A26F3">
      <w:r w:rsidRPr="003A26F3">
        <w:lastRenderedPageBreak/>
        <w:t> </w:t>
      </w:r>
    </w:p>
    <w:p w14:paraId="2033FAC3" w14:textId="08AAA09E" w:rsidR="003A26F3" w:rsidRPr="003A26F3" w:rsidRDefault="003A26F3" w:rsidP="003A26F3">
      <w:r w:rsidRPr="003A26F3">
        <w:t xml:space="preserve">Prior to the construction and completion of the survey it is vitally important to identify possible limitations and consider methods to minimise any limitations. Officers may be less willing to provide answers that may disclose their own struggles with mental health </w:t>
      </w:r>
      <w:proofErr w:type="gramStart"/>
      <w:r w:rsidRPr="003A26F3">
        <w:t>as a result of</w:t>
      </w:r>
      <w:proofErr w:type="gramEnd"/>
      <w:r w:rsidRPr="003A26F3">
        <w:t xml:space="preserve"> </w:t>
      </w:r>
      <w:r w:rsidR="00F35808" w:rsidRPr="003A26F3">
        <w:t>front-line</w:t>
      </w:r>
      <w:r w:rsidRPr="003A26F3">
        <w:t xml:space="preserve"> policing or to provide answers that may criticise the current well-being methods used by the police force, this could lead to more bias answers or false results. Research from Murdoch. Et al (2014) demonstrates how the use of anonymous surveys </w:t>
      </w:r>
      <w:r w:rsidR="00F35808" w:rsidRPr="003A26F3">
        <w:t>promotes</w:t>
      </w:r>
      <w:r w:rsidRPr="003A26F3">
        <w:t xml:space="preserve"> greater disclosure of sensitive or stigmatizing information compared to non-anonymous methods. To effectively counter these limitations the use of anonymous surveys whereby participants do not have to provide </w:t>
      </w:r>
      <w:r w:rsidR="00F35808" w:rsidRPr="003A26F3">
        <w:t>a</w:t>
      </w:r>
      <w:r w:rsidRPr="003A26F3">
        <w:t xml:space="preserve"> personal information will help to mitigate any challenges or limitations. </w:t>
      </w:r>
    </w:p>
    <w:p w14:paraId="0527C358" w14:textId="77777777" w:rsidR="003A26F3" w:rsidRPr="003A26F3" w:rsidRDefault="003A26F3" w:rsidP="003A26F3">
      <w:r w:rsidRPr="003A26F3">
        <w:t> </w:t>
      </w:r>
    </w:p>
    <w:p w14:paraId="617DA96F" w14:textId="0494795A" w:rsidR="003A26F3" w:rsidRPr="003A26F3" w:rsidRDefault="003A26F3" w:rsidP="003A26F3">
      <w:pPr>
        <w:rPr>
          <w:b/>
          <w:bCs/>
        </w:rPr>
      </w:pPr>
      <w:r w:rsidRPr="003A26F3">
        <w:rPr>
          <w:b/>
          <w:bCs/>
        </w:rPr>
        <w:t>Word count- 98</w:t>
      </w:r>
      <w:r w:rsidR="00F35808" w:rsidRPr="00F35808">
        <w:rPr>
          <w:b/>
          <w:bCs/>
        </w:rPr>
        <w:t>7</w:t>
      </w:r>
    </w:p>
    <w:p w14:paraId="2CD9F672" w14:textId="77777777" w:rsidR="003A26F3" w:rsidRPr="003A26F3" w:rsidRDefault="003A26F3" w:rsidP="003A26F3">
      <w:r w:rsidRPr="003A26F3">
        <w:t> </w:t>
      </w:r>
    </w:p>
    <w:p w14:paraId="40D03534" w14:textId="77777777" w:rsidR="003A26F3" w:rsidRPr="003A26F3" w:rsidRDefault="003A26F3" w:rsidP="003A26F3">
      <w:r w:rsidRPr="003A26F3">
        <w:rPr>
          <w:b/>
          <w:bCs/>
          <w:u w:val="single"/>
        </w:rPr>
        <w:t xml:space="preserve">Referencing </w:t>
      </w:r>
    </w:p>
    <w:p w14:paraId="0E95D1CD" w14:textId="77777777" w:rsidR="003A26F3" w:rsidRPr="003A26F3" w:rsidRDefault="003A26F3" w:rsidP="003A26F3">
      <w:r w:rsidRPr="003A26F3">
        <w:t> </w:t>
      </w:r>
    </w:p>
    <w:p w14:paraId="249E6B02" w14:textId="77777777" w:rsidR="003A26F3" w:rsidRPr="003A26F3" w:rsidRDefault="003A26F3" w:rsidP="003A26F3">
      <w:r w:rsidRPr="003A26F3">
        <w:t xml:space="preserve">Ferrando, P.J., Morales-Vives, F., Casas, J.M. and Muñiz, J. (2025). Likert Scales: A Practical Guide to Design, Construction and Use. </w:t>
      </w:r>
      <w:proofErr w:type="spellStart"/>
      <w:r w:rsidRPr="003A26F3">
        <w:t>Psicothema</w:t>
      </w:r>
      <w:proofErr w:type="spellEnd"/>
      <w:r w:rsidRPr="003A26F3">
        <w:t xml:space="preserve">, 37(4), pp.1–15. </w:t>
      </w:r>
      <w:proofErr w:type="spellStart"/>
      <w:proofErr w:type="gramStart"/>
      <w:r w:rsidRPr="003A26F3">
        <w:t>doi:https</w:t>
      </w:r>
      <w:proofErr w:type="spellEnd"/>
      <w:r w:rsidRPr="003A26F3">
        <w:t>://doi.org/10.70478/psicothema.2025.37.24</w:t>
      </w:r>
      <w:proofErr w:type="gramEnd"/>
      <w:r w:rsidRPr="003A26F3">
        <w:t>.</w:t>
      </w:r>
    </w:p>
    <w:p w14:paraId="6C7BF4C7" w14:textId="77777777" w:rsidR="003A26F3" w:rsidRPr="003A26F3" w:rsidRDefault="003A26F3" w:rsidP="003A26F3">
      <w:r w:rsidRPr="003A26F3">
        <w:t> </w:t>
      </w:r>
    </w:p>
    <w:p w14:paraId="6A6A7A50" w14:textId="77777777" w:rsidR="003A26F3" w:rsidRPr="003A26F3" w:rsidRDefault="003A26F3" w:rsidP="003A26F3">
      <w:r w:rsidRPr="003A26F3">
        <w:t xml:space="preserve">Murdoch, M., Simon, A.B., </w:t>
      </w:r>
      <w:proofErr w:type="spellStart"/>
      <w:r w:rsidRPr="003A26F3">
        <w:t>Polusny</w:t>
      </w:r>
      <w:proofErr w:type="spellEnd"/>
      <w:r w:rsidRPr="003A26F3">
        <w:t xml:space="preserve">, M.A., Bangerter, A.K., Grill, J.P., </w:t>
      </w:r>
      <w:proofErr w:type="spellStart"/>
      <w:r w:rsidRPr="003A26F3">
        <w:t>Noorbaloochi</w:t>
      </w:r>
      <w:proofErr w:type="spellEnd"/>
      <w:r w:rsidRPr="003A26F3">
        <w:t xml:space="preserve">, S. and Partin, M.R. (2014). Impact of Different Privacy Conditions and Incentives on Survey Response rate, Participant representativeness, and Disclosure of Sensitive information: a Randomized Controlled Trial. BMC Medical Research Methodology, [online] 14(1). Available at: </w:t>
      </w:r>
      <w:hyperlink r:id="rId4" w:history="1">
        <w:r w:rsidRPr="003A26F3">
          <w:rPr>
            <w:rStyle w:val="Hyperlink"/>
          </w:rPr>
          <w:t>https://pmc.ncbi.nlm.nih.gov/articles/PMC4112969/</w:t>
        </w:r>
      </w:hyperlink>
      <w:r w:rsidRPr="003A26F3">
        <w:t xml:space="preserve">. </w:t>
      </w:r>
    </w:p>
    <w:p w14:paraId="11E3515E" w14:textId="77777777" w:rsidR="003A26F3" w:rsidRPr="003A26F3" w:rsidRDefault="003A26F3" w:rsidP="003A26F3">
      <w:r w:rsidRPr="003A26F3">
        <w:t> </w:t>
      </w:r>
    </w:p>
    <w:p w14:paraId="58B531C1" w14:textId="77777777" w:rsidR="003A26F3" w:rsidRPr="003A26F3" w:rsidRDefault="003A26F3" w:rsidP="003A26F3">
      <w:proofErr w:type="spellStart"/>
      <w:r w:rsidRPr="003A26F3">
        <w:t>Schoonenboom</w:t>
      </w:r>
      <w:proofErr w:type="spellEnd"/>
      <w:r w:rsidRPr="003A26F3">
        <w:t xml:space="preserve">, J. and Johnson, R.B. (2017). How to Construct A mixed Methods Research Design. </w:t>
      </w:r>
      <w:proofErr w:type="spellStart"/>
      <w:r w:rsidRPr="003A26F3">
        <w:t>KZfSS</w:t>
      </w:r>
      <w:proofErr w:type="spellEnd"/>
      <w:r w:rsidRPr="003A26F3">
        <w:t xml:space="preserve"> </w:t>
      </w:r>
      <w:proofErr w:type="spellStart"/>
      <w:r w:rsidRPr="003A26F3">
        <w:t>Kölner</w:t>
      </w:r>
      <w:proofErr w:type="spellEnd"/>
      <w:r w:rsidRPr="003A26F3">
        <w:t xml:space="preserve"> Zeitschrift Für </w:t>
      </w:r>
      <w:proofErr w:type="spellStart"/>
      <w:r w:rsidRPr="003A26F3">
        <w:t>Soziologie</w:t>
      </w:r>
      <w:proofErr w:type="spellEnd"/>
      <w:r w:rsidRPr="003A26F3">
        <w:t xml:space="preserve"> Und </w:t>
      </w:r>
      <w:proofErr w:type="spellStart"/>
      <w:r w:rsidRPr="003A26F3">
        <w:t>Sozialpsychologie</w:t>
      </w:r>
      <w:proofErr w:type="spellEnd"/>
      <w:r w:rsidRPr="003A26F3">
        <w:t xml:space="preserve">, 69(2), pp.107–131. </w:t>
      </w:r>
      <w:proofErr w:type="spellStart"/>
      <w:proofErr w:type="gramStart"/>
      <w:r w:rsidRPr="003A26F3">
        <w:t>doi:https</w:t>
      </w:r>
      <w:proofErr w:type="spellEnd"/>
      <w:r w:rsidRPr="003A26F3">
        <w:t>://doi.org/10.1007/s11577-017-0454-1</w:t>
      </w:r>
      <w:proofErr w:type="gramEnd"/>
      <w:r w:rsidRPr="003A26F3">
        <w:t>.</w:t>
      </w:r>
    </w:p>
    <w:p w14:paraId="3A429234" w14:textId="77777777" w:rsidR="003A26F3" w:rsidRPr="003A26F3" w:rsidRDefault="003A26F3" w:rsidP="003A26F3">
      <w:r w:rsidRPr="003A26F3">
        <w:t> </w:t>
      </w:r>
    </w:p>
    <w:p w14:paraId="26EFAD9C" w14:textId="77777777" w:rsidR="003A26F3" w:rsidRPr="003A26F3" w:rsidRDefault="003A26F3" w:rsidP="003A26F3">
      <w:r w:rsidRPr="003A26F3">
        <w:t xml:space="preserve">Wang, X. and Cheng, Z. (2020). Cross-sectional studies: Strengths, weaknesses, and recommendations. Chest, [online] 158(1), pp.65–71. </w:t>
      </w:r>
      <w:proofErr w:type="spellStart"/>
      <w:proofErr w:type="gramStart"/>
      <w:r w:rsidRPr="003A26F3">
        <w:t>doi:https</w:t>
      </w:r>
      <w:proofErr w:type="spellEnd"/>
      <w:r w:rsidRPr="003A26F3">
        <w:t>://doi.org/10.1016/j.chest.2020.03.012</w:t>
      </w:r>
      <w:proofErr w:type="gramEnd"/>
      <w:r w:rsidRPr="003A26F3">
        <w:t>.</w:t>
      </w:r>
    </w:p>
    <w:p w14:paraId="5B94F88F" w14:textId="77777777" w:rsidR="00F569C6" w:rsidRDefault="00F569C6"/>
    <w:sectPr w:rsidR="00F569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640"/>
    <w:rsid w:val="00131640"/>
    <w:rsid w:val="0019510C"/>
    <w:rsid w:val="00225A28"/>
    <w:rsid w:val="003A26F3"/>
    <w:rsid w:val="00F35808"/>
    <w:rsid w:val="00F56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FE39E"/>
  <w15:chartTrackingRefBased/>
  <w15:docId w15:val="{A9BD9C8A-9F66-4F07-BCB8-803C92CC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6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16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16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16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16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16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6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6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6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6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16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16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16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16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16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6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6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640"/>
    <w:rPr>
      <w:rFonts w:eastAsiaTheme="majorEastAsia" w:cstheme="majorBidi"/>
      <w:color w:val="272727" w:themeColor="text1" w:themeTint="D8"/>
    </w:rPr>
  </w:style>
  <w:style w:type="paragraph" w:styleId="Title">
    <w:name w:val="Title"/>
    <w:basedOn w:val="Normal"/>
    <w:next w:val="Normal"/>
    <w:link w:val="TitleChar"/>
    <w:uiPriority w:val="10"/>
    <w:qFormat/>
    <w:rsid w:val="001316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6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6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6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640"/>
    <w:pPr>
      <w:spacing w:before="160"/>
      <w:jc w:val="center"/>
    </w:pPr>
    <w:rPr>
      <w:i/>
      <w:iCs/>
      <w:color w:val="404040" w:themeColor="text1" w:themeTint="BF"/>
    </w:rPr>
  </w:style>
  <w:style w:type="character" w:customStyle="1" w:styleId="QuoteChar">
    <w:name w:val="Quote Char"/>
    <w:basedOn w:val="DefaultParagraphFont"/>
    <w:link w:val="Quote"/>
    <w:uiPriority w:val="29"/>
    <w:rsid w:val="00131640"/>
    <w:rPr>
      <w:i/>
      <w:iCs/>
      <w:color w:val="404040" w:themeColor="text1" w:themeTint="BF"/>
    </w:rPr>
  </w:style>
  <w:style w:type="paragraph" w:styleId="ListParagraph">
    <w:name w:val="List Paragraph"/>
    <w:basedOn w:val="Normal"/>
    <w:uiPriority w:val="34"/>
    <w:qFormat/>
    <w:rsid w:val="00131640"/>
    <w:pPr>
      <w:ind w:left="720"/>
      <w:contextualSpacing/>
    </w:pPr>
  </w:style>
  <w:style w:type="character" w:styleId="IntenseEmphasis">
    <w:name w:val="Intense Emphasis"/>
    <w:basedOn w:val="DefaultParagraphFont"/>
    <w:uiPriority w:val="21"/>
    <w:qFormat/>
    <w:rsid w:val="00131640"/>
    <w:rPr>
      <w:i/>
      <w:iCs/>
      <w:color w:val="2F5496" w:themeColor="accent1" w:themeShade="BF"/>
    </w:rPr>
  </w:style>
  <w:style w:type="paragraph" w:styleId="IntenseQuote">
    <w:name w:val="Intense Quote"/>
    <w:basedOn w:val="Normal"/>
    <w:next w:val="Normal"/>
    <w:link w:val="IntenseQuoteChar"/>
    <w:uiPriority w:val="30"/>
    <w:qFormat/>
    <w:rsid w:val="001316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1640"/>
    <w:rPr>
      <w:i/>
      <w:iCs/>
      <w:color w:val="2F5496" w:themeColor="accent1" w:themeShade="BF"/>
    </w:rPr>
  </w:style>
  <w:style w:type="character" w:styleId="IntenseReference">
    <w:name w:val="Intense Reference"/>
    <w:basedOn w:val="DefaultParagraphFont"/>
    <w:uiPriority w:val="32"/>
    <w:qFormat/>
    <w:rsid w:val="00131640"/>
    <w:rPr>
      <w:b/>
      <w:bCs/>
      <w:smallCaps/>
      <w:color w:val="2F5496" w:themeColor="accent1" w:themeShade="BF"/>
      <w:spacing w:val="5"/>
    </w:rPr>
  </w:style>
  <w:style w:type="character" w:styleId="Hyperlink">
    <w:name w:val="Hyperlink"/>
    <w:basedOn w:val="DefaultParagraphFont"/>
    <w:uiPriority w:val="99"/>
    <w:unhideWhenUsed/>
    <w:rsid w:val="003A26F3"/>
    <w:rPr>
      <w:color w:val="0563C1" w:themeColor="hyperlink"/>
      <w:u w:val="single"/>
    </w:rPr>
  </w:style>
  <w:style w:type="character" w:styleId="UnresolvedMention">
    <w:name w:val="Unresolved Mention"/>
    <w:basedOn w:val="DefaultParagraphFont"/>
    <w:uiPriority w:val="99"/>
    <w:semiHidden/>
    <w:unhideWhenUsed/>
    <w:rsid w:val="003A26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mc.ncbi.nlm.nih.gov/articles/PMC41129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1343</Words>
  <Characters>6236</Characters>
  <Application>Microsoft Office Word</Application>
  <DocSecurity>0</DocSecurity>
  <Lines>566</Lines>
  <Paragraphs>145</Paragraphs>
  <ScaleCrop>false</ScaleCrop>
  <Company>Gwent Police</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Weston, Ben</dc:creator>
  <cp:keywords/>
  <dc:description/>
  <cp:lastModifiedBy>Weston, Ben</cp:lastModifiedBy>
  <cp:revision>3</cp:revision>
  <dcterms:created xsi:type="dcterms:W3CDTF">2026-03-09T10:42:00Z</dcterms:created>
  <dcterms:modified xsi:type="dcterms:W3CDTF">2026-03-09T10:45:00Z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2026-03-09T10:43:28Z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c8403b77-9a4b-4a42-bf1a-d345904ee4da</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