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789082192"/>
        <w:docPartObj>
          <w:docPartGallery w:val="Cover Pages"/>
          <w:docPartUnique/>
        </w:docPartObj>
      </w:sdtPr>
      <w:sdtEndPr/>
      <w:sdtContent>
        <w:p w14:paraId="1D70B48E" w14:textId="58A46209" w:rsidR="00C27579" w:rsidRPr="00A95F27" w:rsidRDefault="00C27579">
          <w:pPr>
            <w:rPr>
              <w:rFonts w:ascii="Arial" w:hAnsi="Arial" w:cs="Arial"/>
            </w:rPr>
          </w:pPr>
          <w:r w:rsidRPr="00A95F27">
            <w:rPr>
              <w:rFonts w:ascii="Arial" w:hAnsi="Arial" w:cs="Arial"/>
              <w:noProof/>
            </w:rPr>
            <mc:AlternateContent>
              <mc:Choice Requires="wps">
                <w:drawing>
                  <wp:anchor distT="0" distB="0" distL="114300" distR="114300" simplePos="0" relativeHeight="251659264" behindDoc="0" locked="0" layoutInCell="1" allowOverlap="1" wp14:anchorId="09DC458B" wp14:editId="62649EAA">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652"/>
                                  <w:gridCol w:w="1543"/>
                                </w:tblGrid>
                                <w:tr w:rsidR="00C27579" w:rsidRPr="0009068A" w14:paraId="2FEF3341" w14:textId="77777777">
                                  <w:trPr>
                                    <w:jc w:val="center"/>
                                  </w:trPr>
                                  <w:tc>
                                    <w:tcPr>
                                      <w:tcW w:w="2568" w:type="pct"/>
                                      <w:vAlign w:val="center"/>
                                    </w:tcPr>
                                    <w:p w14:paraId="5DE26AF8" w14:textId="59709FD0" w:rsidR="00C27579" w:rsidRDefault="00C27579">
                                      <w:pPr>
                                        <w:jc w:val="right"/>
                                      </w:pP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22E893B" w14:textId="4473A6DF" w:rsidR="00C27579" w:rsidRPr="00784725" w:rsidRDefault="0009068A">
                                          <w:pPr>
                                            <w:pStyle w:val="NoSpacing"/>
                                            <w:spacing w:line="312" w:lineRule="auto"/>
                                            <w:jc w:val="right"/>
                                            <w:rPr>
                                              <w:caps/>
                                              <w:color w:val="191919" w:themeColor="text1" w:themeTint="E6"/>
                                              <w:sz w:val="56"/>
                                              <w:szCs w:val="56"/>
                                            </w:rPr>
                                          </w:pPr>
                                          <w:r>
                                            <w:rPr>
                                              <w:caps/>
                                              <w:color w:val="191919" w:themeColor="text1" w:themeTint="E6"/>
                                              <w:sz w:val="56"/>
                                              <w:szCs w:val="56"/>
                                            </w:rPr>
                                            <w:t>Introduction to physiology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E536DCE" w14:textId="19F1C323" w:rsidR="00C27579" w:rsidRDefault="00A95F27">
                                          <w:pPr>
                                            <w:jc w:val="right"/>
                                            <w:rPr>
                                              <w:sz w:val="24"/>
                                              <w:szCs w:val="24"/>
                                            </w:rPr>
                                          </w:pPr>
                                          <w:r>
                                            <w:rPr>
                                              <w:color w:val="000000" w:themeColor="text1"/>
                                              <w:sz w:val="24"/>
                                              <w:szCs w:val="24"/>
                                            </w:rPr>
                                            <w:t>BMHP5023 – Component 1</w:t>
                                          </w:r>
                                        </w:p>
                                      </w:sdtContent>
                                    </w:sdt>
                                  </w:tc>
                                  <w:tc>
                                    <w:tcPr>
                                      <w:tcW w:w="2432" w:type="pct"/>
                                      <w:vAlign w:val="center"/>
                                    </w:tcPr>
                                    <w:p w14:paraId="72D35A30" w14:textId="77065779" w:rsidR="00C27579" w:rsidRPr="0009068A" w:rsidRDefault="00C27579" w:rsidP="00A95F27">
                                      <w:pPr>
                                        <w:pStyle w:val="NoSpacing"/>
                                        <w:rPr>
                                          <w:caps/>
                                          <w:color w:val="E97132" w:themeColor="accent2"/>
                                          <w:sz w:val="26"/>
                                          <w:szCs w:val="26"/>
                                        </w:rPr>
                                      </w:pPr>
                                    </w:p>
                                    <w:p w14:paraId="055C31C1" w14:textId="77777777" w:rsidR="00A95F27" w:rsidRPr="0009068A" w:rsidRDefault="00A95F27" w:rsidP="00A95F27">
                                      <w:pPr>
                                        <w:pStyle w:val="NoSpacing"/>
                                        <w:rPr>
                                          <w:color w:val="000000" w:themeColor="text1"/>
                                        </w:rPr>
                                      </w:pPr>
                                    </w:p>
                                    <w:sdt>
                                      <w:sdtPr>
                                        <w:rPr>
                                          <w:color w:val="E97132" w:themeColor="accent2"/>
                                          <w:sz w:val="26"/>
                                          <w:szCs w:val="26"/>
                                          <w:lang w:val="it-IT"/>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37D40E" w14:textId="00E0216F" w:rsidR="00C27579" w:rsidRPr="00C27579" w:rsidRDefault="00A95F27">
                                          <w:pPr>
                                            <w:pStyle w:val="NoSpacing"/>
                                            <w:rPr>
                                              <w:color w:val="E97132" w:themeColor="accent2"/>
                                              <w:sz w:val="26"/>
                                              <w:szCs w:val="26"/>
                                              <w:lang w:val="it-IT"/>
                                            </w:rPr>
                                          </w:pPr>
                                          <w:r>
                                            <w:rPr>
                                              <w:color w:val="E97132" w:themeColor="accent2"/>
                                              <w:sz w:val="26"/>
                                              <w:szCs w:val="26"/>
                                              <w:lang w:val="it-IT"/>
                                            </w:rPr>
                                            <w:t>Sandra Adina Ontica</w:t>
                                          </w:r>
                                        </w:p>
                                      </w:sdtContent>
                                    </w:sdt>
                                    <w:p w14:paraId="45CEF73A" w14:textId="469F4168" w:rsidR="00C27579" w:rsidRPr="00C27579" w:rsidRDefault="0009068A">
                                      <w:pPr>
                                        <w:pStyle w:val="NoSpacing"/>
                                        <w:rPr>
                                          <w:lang w:val="it-IT"/>
                                        </w:rPr>
                                      </w:pPr>
                                      <w:sdt>
                                        <w:sdtPr>
                                          <w:rPr>
                                            <w:color w:val="0E2841" w:themeColor="text2"/>
                                            <w:lang w:val="it-IT"/>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5F27" w:rsidRPr="00A95F27">
                                            <w:rPr>
                                              <w:color w:val="0E2841" w:themeColor="text2"/>
                                              <w:lang w:val="it-IT"/>
                                            </w:rPr>
                                            <w:t>Student I</w:t>
                                          </w:r>
                                          <w:r w:rsidR="00A95F27">
                                            <w:rPr>
                                              <w:color w:val="0E2841" w:themeColor="text2"/>
                                              <w:lang w:val="it-IT"/>
                                            </w:rPr>
                                            <w:t>D: 2322796</w:t>
                                          </w:r>
                                        </w:sdtContent>
                                      </w:sdt>
                                    </w:p>
                                  </w:tc>
                                </w:tr>
                              </w:tbl>
                              <w:p w14:paraId="068E0D86" w14:textId="77777777" w:rsidR="00C27579" w:rsidRPr="00C27579" w:rsidRDefault="00C27579">
                                <w:pPr>
                                  <w:rPr>
                                    <w:lang w:val="it-IT"/>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9DC458B"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652"/>
                            <w:gridCol w:w="1543"/>
                          </w:tblGrid>
                          <w:tr w:rsidR="00C27579" w:rsidRPr="0009068A" w14:paraId="2FEF3341" w14:textId="77777777">
                            <w:trPr>
                              <w:jc w:val="center"/>
                            </w:trPr>
                            <w:tc>
                              <w:tcPr>
                                <w:tcW w:w="2568" w:type="pct"/>
                                <w:vAlign w:val="center"/>
                              </w:tcPr>
                              <w:p w14:paraId="5DE26AF8" w14:textId="59709FD0" w:rsidR="00C27579" w:rsidRDefault="00C27579">
                                <w:pPr>
                                  <w:jc w:val="right"/>
                                </w:pP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22E893B" w14:textId="4473A6DF" w:rsidR="00C27579" w:rsidRPr="00784725" w:rsidRDefault="0009068A">
                                    <w:pPr>
                                      <w:pStyle w:val="NoSpacing"/>
                                      <w:spacing w:line="312" w:lineRule="auto"/>
                                      <w:jc w:val="right"/>
                                      <w:rPr>
                                        <w:caps/>
                                        <w:color w:val="191919" w:themeColor="text1" w:themeTint="E6"/>
                                        <w:sz w:val="56"/>
                                        <w:szCs w:val="56"/>
                                      </w:rPr>
                                    </w:pPr>
                                    <w:r>
                                      <w:rPr>
                                        <w:caps/>
                                        <w:color w:val="191919" w:themeColor="text1" w:themeTint="E6"/>
                                        <w:sz w:val="56"/>
                                        <w:szCs w:val="56"/>
                                      </w:rPr>
                                      <w:t>Introduction to physiology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E536DCE" w14:textId="19F1C323" w:rsidR="00C27579" w:rsidRDefault="00A95F27">
                                    <w:pPr>
                                      <w:jc w:val="right"/>
                                      <w:rPr>
                                        <w:sz w:val="24"/>
                                        <w:szCs w:val="24"/>
                                      </w:rPr>
                                    </w:pPr>
                                    <w:r>
                                      <w:rPr>
                                        <w:color w:val="000000" w:themeColor="text1"/>
                                        <w:sz w:val="24"/>
                                        <w:szCs w:val="24"/>
                                      </w:rPr>
                                      <w:t>BMHP5023 – Component 1</w:t>
                                    </w:r>
                                  </w:p>
                                </w:sdtContent>
                              </w:sdt>
                            </w:tc>
                            <w:tc>
                              <w:tcPr>
                                <w:tcW w:w="2432" w:type="pct"/>
                                <w:vAlign w:val="center"/>
                              </w:tcPr>
                              <w:p w14:paraId="72D35A30" w14:textId="77065779" w:rsidR="00C27579" w:rsidRPr="0009068A" w:rsidRDefault="00C27579" w:rsidP="00A95F27">
                                <w:pPr>
                                  <w:pStyle w:val="NoSpacing"/>
                                  <w:rPr>
                                    <w:caps/>
                                    <w:color w:val="E97132" w:themeColor="accent2"/>
                                    <w:sz w:val="26"/>
                                    <w:szCs w:val="26"/>
                                  </w:rPr>
                                </w:pPr>
                              </w:p>
                              <w:p w14:paraId="055C31C1" w14:textId="77777777" w:rsidR="00A95F27" w:rsidRPr="0009068A" w:rsidRDefault="00A95F27" w:rsidP="00A95F27">
                                <w:pPr>
                                  <w:pStyle w:val="NoSpacing"/>
                                  <w:rPr>
                                    <w:color w:val="000000" w:themeColor="text1"/>
                                  </w:rPr>
                                </w:pPr>
                              </w:p>
                              <w:sdt>
                                <w:sdtPr>
                                  <w:rPr>
                                    <w:color w:val="E97132" w:themeColor="accent2"/>
                                    <w:sz w:val="26"/>
                                    <w:szCs w:val="26"/>
                                    <w:lang w:val="it-IT"/>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37D40E" w14:textId="00E0216F" w:rsidR="00C27579" w:rsidRPr="00C27579" w:rsidRDefault="00A95F27">
                                    <w:pPr>
                                      <w:pStyle w:val="NoSpacing"/>
                                      <w:rPr>
                                        <w:color w:val="E97132" w:themeColor="accent2"/>
                                        <w:sz w:val="26"/>
                                        <w:szCs w:val="26"/>
                                        <w:lang w:val="it-IT"/>
                                      </w:rPr>
                                    </w:pPr>
                                    <w:r>
                                      <w:rPr>
                                        <w:color w:val="E97132" w:themeColor="accent2"/>
                                        <w:sz w:val="26"/>
                                        <w:szCs w:val="26"/>
                                        <w:lang w:val="it-IT"/>
                                      </w:rPr>
                                      <w:t>Sandra Adina Ontica</w:t>
                                    </w:r>
                                  </w:p>
                                </w:sdtContent>
                              </w:sdt>
                              <w:p w14:paraId="45CEF73A" w14:textId="469F4168" w:rsidR="00C27579" w:rsidRPr="00C27579" w:rsidRDefault="0009068A">
                                <w:pPr>
                                  <w:pStyle w:val="NoSpacing"/>
                                  <w:rPr>
                                    <w:lang w:val="it-IT"/>
                                  </w:rPr>
                                </w:pPr>
                                <w:sdt>
                                  <w:sdtPr>
                                    <w:rPr>
                                      <w:color w:val="0E2841" w:themeColor="text2"/>
                                      <w:lang w:val="it-IT"/>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5F27" w:rsidRPr="00A95F27">
                                      <w:rPr>
                                        <w:color w:val="0E2841" w:themeColor="text2"/>
                                        <w:lang w:val="it-IT"/>
                                      </w:rPr>
                                      <w:t>Student I</w:t>
                                    </w:r>
                                    <w:r w:rsidR="00A95F27">
                                      <w:rPr>
                                        <w:color w:val="0E2841" w:themeColor="text2"/>
                                        <w:lang w:val="it-IT"/>
                                      </w:rPr>
                                      <w:t>D: 2322796</w:t>
                                    </w:r>
                                  </w:sdtContent>
                                </w:sdt>
                              </w:p>
                            </w:tc>
                          </w:tr>
                        </w:tbl>
                        <w:p w14:paraId="068E0D86" w14:textId="77777777" w:rsidR="00C27579" w:rsidRPr="00C27579" w:rsidRDefault="00C27579">
                          <w:pPr>
                            <w:rPr>
                              <w:lang w:val="it-IT"/>
                            </w:rPr>
                          </w:pPr>
                        </w:p>
                      </w:txbxContent>
                    </v:textbox>
                    <w10:wrap anchorx="page" anchory="page"/>
                  </v:shape>
                </w:pict>
              </mc:Fallback>
            </mc:AlternateContent>
          </w:r>
          <w:r w:rsidRPr="00A95F27">
            <w:rPr>
              <w:rFonts w:ascii="Arial" w:hAnsi="Arial" w:cs="Arial"/>
            </w:rPr>
            <w:br w:type="page"/>
          </w:r>
        </w:p>
      </w:sdtContent>
    </w:sdt>
    <w:p w14:paraId="431F1041" w14:textId="18DD9A1C" w:rsidR="009C4CC7" w:rsidRPr="00A95F27" w:rsidRDefault="00C27579" w:rsidP="00C27579">
      <w:pPr>
        <w:pStyle w:val="Heading2"/>
        <w:rPr>
          <w:rFonts w:ascii="Arial" w:hAnsi="Arial" w:cs="Arial"/>
        </w:rPr>
      </w:pPr>
      <w:r w:rsidRPr="00A95F27">
        <w:rPr>
          <w:rFonts w:ascii="Arial" w:hAnsi="Arial" w:cs="Arial"/>
        </w:rPr>
        <w:lastRenderedPageBreak/>
        <w:t>Table of Contents</w:t>
      </w:r>
    </w:p>
    <w:p w14:paraId="54211EDB" w14:textId="77777777" w:rsidR="00C27579" w:rsidRPr="00A95F27" w:rsidRDefault="00C27579" w:rsidP="00C27579">
      <w:pPr>
        <w:rPr>
          <w:rFonts w:ascii="Arial" w:hAnsi="Arial" w:cs="Arial"/>
        </w:rPr>
      </w:pPr>
    </w:p>
    <w:p w14:paraId="26585AED" w14:textId="3BAF0894" w:rsidR="00C27579" w:rsidRDefault="00A95F27" w:rsidP="00C27579">
      <w:pPr>
        <w:rPr>
          <w:rFonts w:ascii="Arial" w:hAnsi="Arial" w:cs="Arial"/>
        </w:rPr>
      </w:pPr>
      <w:r>
        <w:rPr>
          <w:rFonts w:ascii="Arial" w:hAnsi="Arial" w:cs="Arial"/>
        </w:rPr>
        <w:t>Introduction……………………………………………………………………………………2</w:t>
      </w:r>
    </w:p>
    <w:p w14:paraId="36CFA3E5" w14:textId="543ED837" w:rsidR="00A95F27" w:rsidRDefault="00A95F27" w:rsidP="00C27579">
      <w:pPr>
        <w:rPr>
          <w:rFonts w:ascii="Arial" w:hAnsi="Arial" w:cs="Arial"/>
        </w:rPr>
      </w:pPr>
      <w:r>
        <w:rPr>
          <w:rFonts w:ascii="Arial" w:hAnsi="Arial" w:cs="Arial"/>
        </w:rPr>
        <w:t>Blood Sugar Regulations…………………………………………………………………….3</w:t>
      </w:r>
    </w:p>
    <w:p w14:paraId="46D2B42B" w14:textId="6C035D4E" w:rsidR="00A95F27" w:rsidRDefault="00A95F27" w:rsidP="00C27579">
      <w:pPr>
        <w:rPr>
          <w:rFonts w:ascii="Arial" w:hAnsi="Arial" w:cs="Arial"/>
        </w:rPr>
      </w:pPr>
      <w:r>
        <w:rPr>
          <w:rFonts w:ascii="Arial" w:hAnsi="Arial" w:cs="Arial"/>
        </w:rPr>
        <w:t>Cellular Metabolism…………………………………………………………………………...3</w:t>
      </w:r>
    </w:p>
    <w:p w14:paraId="48CEA8BE" w14:textId="10B262D3" w:rsidR="00A95F27" w:rsidRDefault="00A95F27" w:rsidP="00C27579">
      <w:pPr>
        <w:rPr>
          <w:rFonts w:ascii="Arial" w:hAnsi="Arial" w:cs="Arial"/>
        </w:rPr>
      </w:pPr>
      <w:r>
        <w:rPr>
          <w:rFonts w:ascii="Arial" w:hAnsi="Arial" w:cs="Arial"/>
        </w:rPr>
        <w:t>Monitoring and Management Blood Glucose……………………………………………….4</w:t>
      </w:r>
    </w:p>
    <w:p w14:paraId="7D2D63B9" w14:textId="5D102528" w:rsidR="00A95F27" w:rsidRDefault="00A95F27" w:rsidP="00C27579">
      <w:pPr>
        <w:rPr>
          <w:rFonts w:ascii="Arial" w:hAnsi="Arial" w:cs="Arial"/>
        </w:rPr>
      </w:pPr>
      <w:r>
        <w:rPr>
          <w:rFonts w:ascii="Arial" w:hAnsi="Arial" w:cs="Arial"/>
        </w:rPr>
        <w:t>Lifestyle Recommendations………………………………………………………………….5</w:t>
      </w:r>
    </w:p>
    <w:p w14:paraId="54D6751F" w14:textId="1C873DCD" w:rsidR="00A95F27" w:rsidRDefault="00A95F27" w:rsidP="00C27579">
      <w:pPr>
        <w:rPr>
          <w:rFonts w:ascii="Arial" w:hAnsi="Arial" w:cs="Arial"/>
        </w:rPr>
      </w:pPr>
      <w:r>
        <w:rPr>
          <w:rFonts w:ascii="Arial" w:hAnsi="Arial" w:cs="Arial"/>
        </w:rPr>
        <w:t>Conclusion………………………………………………………………………………………7</w:t>
      </w:r>
    </w:p>
    <w:p w14:paraId="5F75AD26" w14:textId="7A3A2034" w:rsidR="00A95F27" w:rsidRDefault="00A95F27" w:rsidP="00C27579">
      <w:pPr>
        <w:rPr>
          <w:rFonts w:ascii="Arial" w:hAnsi="Arial" w:cs="Arial"/>
        </w:rPr>
      </w:pPr>
      <w:r>
        <w:rPr>
          <w:rFonts w:ascii="Arial" w:hAnsi="Arial" w:cs="Arial"/>
        </w:rPr>
        <w:t>References………………………………………………………………………………………7</w:t>
      </w:r>
    </w:p>
    <w:p w14:paraId="2D7FF7B5" w14:textId="77777777" w:rsidR="00A95F27" w:rsidRPr="00A95F27" w:rsidRDefault="00A95F27" w:rsidP="00C27579">
      <w:pPr>
        <w:rPr>
          <w:rFonts w:ascii="Arial" w:hAnsi="Arial" w:cs="Arial"/>
        </w:rPr>
      </w:pPr>
    </w:p>
    <w:p w14:paraId="21A9C6AB" w14:textId="77777777" w:rsidR="00C27579" w:rsidRPr="00A95F27" w:rsidRDefault="00C27579" w:rsidP="00C27579">
      <w:pPr>
        <w:rPr>
          <w:rFonts w:ascii="Arial" w:hAnsi="Arial" w:cs="Arial"/>
        </w:rPr>
      </w:pPr>
    </w:p>
    <w:p w14:paraId="2AFE582C" w14:textId="77777777" w:rsidR="00C27579" w:rsidRPr="00A95F27" w:rsidRDefault="00C27579" w:rsidP="00C27579">
      <w:pPr>
        <w:rPr>
          <w:rFonts w:ascii="Arial" w:hAnsi="Arial" w:cs="Arial"/>
        </w:rPr>
      </w:pPr>
    </w:p>
    <w:p w14:paraId="04C7742A" w14:textId="77777777" w:rsidR="00C27579" w:rsidRPr="00A95F27" w:rsidRDefault="00C27579" w:rsidP="00C27579">
      <w:pPr>
        <w:rPr>
          <w:rFonts w:ascii="Arial" w:hAnsi="Arial" w:cs="Arial"/>
        </w:rPr>
      </w:pPr>
    </w:p>
    <w:p w14:paraId="5023D66B" w14:textId="77777777" w:rsidR="00C27579" w:rsidRPr="00A95F27" w:rsidRDefault="00C27579" w:rsidP="00C27579">
      <w:pPr>
        <w:rPr>
          <w:rFonts w:ascii="Arial" w:hAnsi="Arial" w:cs="Arial"/>
        </w:rPr>
      </w:pPr>
    </w:p>
    <w:p w14:paraId="479E4B72" w14:textId="77777777" w:rsidR="00C27579" w:rsidRPr="00A95F27" w:rsidRDefault="00C27579" w:rsidP="00C27579">
      <w:pPr>
        <w:rPr>
          <w:rFonts w:ascii="Arial" w:hAnsi="Arial" w:cs="Arial"/>
        </w:rPr>
      </w:pPr>
    </w:p>
    <w:p w14:paraId="75E9F055" w14:textId="77777777" w:rsidR="00C27579" w:rsidRPr="00A95F27" w:rsidRDefault="00C27579" w:rsidP="00C27579">
      <w:pPr>
        <w:rPr>
          <w:rFonts w:ascii="Arial" w:hAnsi="Arial" w:cs="Arial"/>
        </w:rPr>
      </w:pPr>
    </w:p>
    <w:p w14:paraId="1DF3ABCC" w14:textId="77777777" w:rsidR="00C27579" w:rsidRPr="00A95F27" w:rsidRDefault="00C27579" w:rsidP="00C27579">
      <w:pPr>
        <w:rPr>
          <w:rFonts w:ascii="Arial" w:hAnsi="Arial" w:cs="Arial"/>
        </w:rPr>
      </w:pPr>
    </w:p>
    <w:p w14:paraId="645643EA" w14:textId="77777777" w:rsidR="00C27579" w:rsidRPr="00A95F27" w:rsidRDefault="00C27579" w:rsidP="00C27579">
      <w:pPr>
        <w:rPr>
          <w:rFonts w:ascii="Arial" w:hAnsi="Arial" w:cs="Arial"/>
        </w:rPr>
      </w:pPr>
    </w:p>
    <w:p w14:paraId="0D1B4CA7" w14:textId="77777777" w:rsidR="00C27579" w:rsidRPr="00A95F27" w:rsidRDefault="00C27579" w:rsidP="00C27579">
      <w:pPr>
        <w:rPr>
          <w:rFonts w:ascii="Arial" w:hAnsi="Arial" w:cs="Arial"/>
        </w:rPr>
      </w:pPr>
    </w:p>
    <w:p w14:paraId="389FA796" w14:textId="77777777" w:rsidR="00C27579" w:rsidRPr="00A95F27" w:rsidRDefault="00C27579" w:rsidP="00C27579">
      <w:pPr>
        <w:rPr>
          <w:rFonts w:ascii="Arial" w:hAnsi="Arial" w:cs="Arial"/>
        </w:rPr>
      </w:pPr>
    </w:p>
    <w:p w14:paraId="20B900D0" w14:textId="77777777" w:rsidR="00C27579" w:rsidRPr="00A95F27" w:rsidRDefault="00C27579" w:rsidP="00C27579">
      <w:pPr>
        <w:rPr>
          <w:rFonts w:ascii="Arial" w:hAnsi="Arial" w:cs="Arial"/>
        </w:rPr>
      </w:pPr>
    </w:p>
    <w:p w14:paraId="472AA855" w14:textId="77777777" w:rsidR="00C27579" w:rsidRPr="00A95F27" w:rsidRDefault="00C27579" w:rsidP="00C27579">
      <w:pPr>
        <w:rPr>
          <w:rFonts w:ascii="Arial" w:hAnsi="Arial" w:cs="Arial"/>
        </w:rPr>
      </w:pPr>
    </w:p>
    <w:p w14:paraId="78EFAB79" w14:textId="77777777" w:rsidR="00C27579" w:rsidRPr="00A95F27" w:rsidRDefault="00C27579" w:rsidP="00C27579">
      <w:pPr>
        <w:rPr>
          <w:rFonts w:ascii="Arial" w:hAnsi="Arial" w:cs="Arial"/>
        </w:rPr>
      </w:pPr>
    </w:p>
    <w:p w14:paraId="100B45F0" w14:textId="77777777" w:rsidR="00C27579" w:rsidRPr="00A95F27" w:rsidRDefault="00C27579" w:rsidP="00C27579">
      <w:pPr>
        <w:rPr>
          <w:rFonts w:ascii="Arial" w:hAnsi="Arial" w:cs="Arial"/>
        </w:rPr>
      </w:pPr>
    </w:p>
    <w:p w14:paraId="199B28CA" w14:textId="77777777" w:rsidR="00C27579" w:rsidRPr="00A95F27" w:rsidRDefault="00C27579" w:rsidP="00C27579">
      <w:pPr>
        <w:rPr>
          <w:rFonts w:ascii="Arial" w:hAnsi="Arial" w:cs="Arial"/>
        </w:rPr>
      </w:pPr>
    </w:p>
    <w:p w14:paraId="5972EF6A" w14:textId="77777777" w:rsidR="00C27579" w:rsidRPr="00A95F27" w:rsidRDefault="00C27579" w:rsidP="00C27579">
      <w:pPr>
        <w:rPr>
          <w:rFonts w:ascii="Arial" w:hAnsi="Arial" w:cs="Arial"/>
        </w:rPr>
      </w:pPr>
    </w:p>
    <w:p w14:paraId="1E2066A5" w14:textId="77777777" w:rsidR="00C27579" w:rsidRPr="00A95F27" w:rsidRDefault="00C27579" w:rsidP="00C27579">
      <w:pPr>
        <w:rPr>
          <w:rFonts w:ascii="Arial" w:hAnsi="Arial" w:cs="Arial"/>
        </w:rPr>
      </w:pPr>
    </w:p>
    <w:p w14:paraId="36675E17" w14:textId="77777777" w:rsidR="00C27579" w:rsidRPr="00A95F27" w:rsidRDefault="00C27579" w:rsidP="00C27579">
      <w:pPr>
        <w:rPr>
          <w:rFonts w:ascii="Arial" w:hAnsi="Arial" w:cs="Arial"/>
        </w:rPr>
      </w:pPr>
    </w:p>
    <w:p w14:paraId="043B80D3" w14:textId="77777777" w:rsidR="00C27579" w:rsidRPr="00A95F27" w:rsidRDefault="00C27579" w:rsidP="00C27579">
      <w:pPr>
        <w:rPr>
          <w:rFonts w:ascii="Arial" w:hAnsi="Arial" w:cs="Arial"/>
        </w:rPr>
      </w:pPr>
    </w:p>
    <w:p w14:paraId="4D589BA0" w14:textId="77777777" w:rsidR="00C27579" w:rsidRPr="00A95F27" w:rsidRDefault="00C27579" w:rsidP="00C27579">
      <w:pPr>
        <w:rPr>
          <w:rFonts w:ascii="Arial" w:hAnsi="Arial" w:cs="Arial"/>
        </w:rPr>
      </w:pPr>
    </w:p>
    <w:p w14:paraId="3C4F0816" w14:textId="77777777" w:rsidR="00C27579" w:rsidRPr="00A95F27" w:rsidRDefault="00C27579" w:rsidP="00C27579">
      <w:pPr>
        <w:rPr>
          <w:rFonts w:ascii="Arial" w:hAnsi="Arial" w:cs="Arial"/>
        </w:rPr>
      </w:pPr>
    </w:p>
    <w:p w14:paraId="3A96FBC6" w14:textId="77777777" w:rsidR="00C27579" w:rsidRPr="00A95F27" w:rsidRDefault="00C27579" w:rsidP="00C27579">
      <w:pPr>
        <w:rPr>
          <w:rFonts w:ascii="Arial" w:hAnsi="Arial" w:cs="Arial"/>
        </w:rPr>
      </w:pPr>
    </w:p>
    <w:p w14:paraId="02D941E9" w14:textId="4246A7E7" w:rsidR="00C27579" w:rsidRPr="00A95F27" w:rsidRDefault="00C27579" w:rsidP="00C27579">
      <w:pPr>
        <w:pStyle w:val="Heading2"/>
        <w:rPr>
          <w:rFonts w:ascii="Arial" w:hAnsi="Arial" w:cs="Arial"/>
          <w:b/>
          <w:bCs/>
        </w:rPr>
      </w:pPr>
      <w:r w:rsidRPr="00A95F27">
        <w:rPr>
          <w:rFonts w:ascii="Arial" w:hAnsi="Arial" w:cs="Arial"/>
          <w:b/>
          <w:bCs/>
        </w:rPr>
        <w:lastRenderedPageBreak/>
        <w:t>Introduction</w:t>
      </w:r>
    </w:p>
    <w:p w14:paraId="516C0E71" w14:textId="1A2C73FC" w:rsidR="00C27579" w:rsidRPr="00A95F27" w:rsidRDefault="00B25D7B" w:rsidP="00B25D7B">
      <w:pPr>
        <w:spacing w:line="360" w:lineRule="auto"/>
        <w:jc w:val="both"/>
        <w:rPr>
          <w:rFonts w:ascii="Arial" w:hAnsi="Arial" w:cs="Arial"/>
        </w:rPr>
      </w:pPr>
      <w:r w:rsidRPr="00A95F27">
        <w:rPr>
          <w:rFonts w:ascii="Arial" w:hAnsi="Arial" w:cs="Arial"/>
        </w:rPr>
        <w:t>Diabetes mellitus is a life-long perpetual metabolic disorder that is characterised as a lack of suitable control over glucose levels in the blood due to impaired utilisation or manufacturing of insulin (National Institute of Diabetes and Digestive and Kidney Diseases, 2024). Insulin is a pancreatic hormone that encourages glucose to enter cells to be utilised for energy within appropriate physiologic processes (Sturgeon, 2018). When this regulatory system doesn't function properly, glucose becomes high in the blood leading to hyperglycaemia that can become life-threatening with significant complications of cardiovascular diseases, neuropathy, and renal failures (World Health Organization, 2023).</w:t>
      </w:r>
    </w:p>
    <w:p w14:paraId="27586125" w14:textId="3345FC75" w:rsidR="00B25D7B" w:rsidRPr="00A95F27" w:rsidRDefault="00B25D7B" w:rsidP="00B25D7B">
      <w:pPr>
        <w:spacing w:line="360" w:lineRule="auto"/>
        <w:jc w:val="both"/>
        <w:rPr>
          <w:rFonts w:ascii="Arial" w:hAnsi="Arial" w:cs="Arial"/>
        </w:rPr>
      </w:pPr>
      <w:r w:rsidRPr="00A95F27">
        <w:rPr>
          <w:rFonts w:ascii="Arial" w:hAnsi="Arial" w:cs="Arial"/>
        </w:rPr>
        <w:t>There is Type 1 that is an autoimmune disorder leading to cell destruction of pancreatic beta cells that are responsible for manufacturing insulin, while Type 2 arises from a condition of insulin resistance that is increasingly associated with obesity, physical inactivity, and unhealthful consumption patterns (Brown, 2015). Prevalence of Type 2 increases in the world with its manifestation as a leading population health issue. The approach to its control is through medication combined with education and lifestyle modification (</w:t>
      </w:r>
      <w:proofErr w:type="spellStart"/>
      <w:r w:rsidRPr="00A95F27">
        <w:rPr>
          <w:rFonts w:ascii="Arial" w:hAnsi="Arial" w:cs="Arial"/>
        </w:rPr>
        <w:t>Siminerio</w:t>
      </w:r>
      <w:proofErr w:type="spellEnd"/>
      <w:r w:rsidRPr="00A95F27">
        <w:rPr>
          <w:rFonts w:ascii="Arial" w:hAnsi="Arial" w:cs="Arial"/>
        </w:rPr>
        <w:t>, 2015).</w:t>
      </w:r>
    </w:p>
    <w:p w14:paraId="51E759AF" w14:textId="6214BDE3" w:rsidR="00B25D7B" w:rsidRPr="00A95F27" w:rsidRDefault="00304835" w:rsidP="00B25D7B">
      <w:pPr>
        <w:spacing w:line="360" w:lineRule="auto"/>
        <w:jc w:val="both"/>
        <w:rPr>
          <w:rFonts w:ascii="Arial" w:hAnsi="Arial" w:cs="Arial"/>
        </w:rPr>
      </w:pPr>
      <w:r w:rsidRPr="00A95F27">
        <w:rPr>
          <w:rFonts w:ascii="Arial" w:hAnsi="Arial" w:cs="Arial"/>
        </w:rPr>
        <w:t>Physiologic processes of glucose-regulation, cell metabolism, and homeostasis understanding is paramount in guiding individuals with diabetes. The report is aware of glucose control in blood, cell energy metabolism, lifestyles, as well as monitoring approaches that can uphold good well-being as well as avoiding complications from Type 2 diabetes.</w:t>
      </w:r>
    </w:p>
    <w:p w14:paraId="1864379A" w14:textId="6E7A2EEA" w:rsidR="00304835" w:rsidRPr="00A95F27" w:rsidRDefault="00304835" w:rsidP="00304835">
      <w:pPr>
        <w:pStyle w:val="Heading2"/>
        <w:rPr>
          <w:rFonts w:ascii="Arial" w:hAnsi="Arial" w:cs="Arial"/>
          <w:b/>
          <w:bCs/>
        </w:rPr>
      </w:pPr>
      <w:r w:rsidRPr="00A95F27">
        <w:rPr>
          <w:rFonts w:ascii="Arial" w:hAnsi="Arial" w:cs="Arial"/>
          <w:b/>
          <w:bCs/>
        </w:rPr>
        <w:t>Blood Sugar Regulation</w:t>
      </w:r>
    </w:p>
    <w:p w14:paraId="5FD8CCAD" w14:textId="0C719D50" w:rsidR="00304835" w:rsidRPr="00A95F27" w:rsidRDefault="00304835" w:rsidP="00304835">
      <w:pPr>
        <w:spacing w:line="360" w:lineRule="auto"/>
        <w:jc w:val="both"/>
        <w:rPr>
          <w:rFonts w:ascii="Arial" w:hAnsi="Arial" w:cs="Arial"/>
        </w:rPr>
      </w:pPr>
      <w:r w:rsidRPr="00A95F27">
        <w:rPr>
          <w:rFonts w:ascii="Arial" w:hAnsi="Arial" w:cs="Arial"/>
        </w:rPr>
        <w:t>Glucose control in the blood is a fundamental physical phenomenon that promotes cell energy supply while prevents toxic effects due to high content of sugar in the blood. This equilibrium is maintained through homeostasis under normal circumstances, a moving balance that is controlled largely through the endocrine system, that is, through the pancreas (Sturgeon, 2018).</w:t>
      </w:r>
    </w:p>
    <w:p w14:paraId="04F44A4A" w14:textId="0B9780B6" w:rsidR="00304835" w:rsidRPr="00A95F27" w:rsidRDefault="00304835" w:rsidP="00304835">
      <w:pPr>
        <w:spacing w:line="360" w:lineRule="auto"/>
        <w:jc w:val="both"/>
        <w:rPr>
          <w:rFonts w:ascii="Arial" w:hAnsi="Arial" w:cs="Arial"/>
        </w:rPr>
      </w:pPr>
      <w:r w:rsidRPr="00A95F27">
        <w:rPr>
          <w:rFonts w:ascii="Arial" w:hAnsi="Arial" w:cs="Arial"/>
        </w:rPr>
        <w:t xml:space="preserve">The pancreas contains groups of unique cells known as islets of Langerhans that are comprised of beta cells that secrete insulin as well as alpha cells that secrete glucagon (Ross and Wilson, 2018). When glucose is high in the blood after a meal, the pancreas releases its stock of insulin into the circulation. Insulin stimulates glucose entry through cell membrane receptors with binding that results in glucose transport through channels such as GLUT4 (NIDDK, 2024). The surplus glucose is then </w:t>
      </w:r>
      <w:proofErr w:type="spellStart"/>
      <w:r w:rsidRPr="00A95F27">
        <w:rPr>
          <w:rFonts w:ascii="Arial" w:hAnsi="Arial" w:cs="Arial"/>
        </w:rPr>
        <w:t>glycogenized</w:t>
      </w:r>
      <w:proofErr w:type="spellEnd"/>
      <w:r w:rsidRPr="00A95F27">
        <w:rPr>
          <w:rFonts w:ascii="Arial" w:hAnsi="Arial" w:cs="Arial"/>
        </w:rPr>
        <w:t xml:space="preserve"> in skeletal muscles as well as in the liver for storage through glycogenesis.</w:t>
      </w:r>
    </w:p>
    <w:p w14:paraId="08C4F24A" w14:textId="7E494EE1" w:rsidR="00304835" w:rsidRPr="00A95F27" w:rsidRDefault="00304835" w:rsidP="00304835">
      <w:pPr>
        <w:spacing w:line="360" w:lineRule="auto"/>
        <w:jc w:val="both"/>
        <w:rPr>
          <w:rFonts w:ascii="Arial" w:hAnsi="Arial" w:cs="Arial"/>
        </w:rPr>
      </w:pPr>
      <w:r w:rsidRPr="00A95F27">
        <w:rPr>
          <w:rFonts w:ascii="Arial" w:hAnsi="Arial" w:cs="Arial"/>
        </w:rPr>
        <w:t xml:space="preserve">When glucose levels in the blood drop off from meals or from exercise, secretion of insulin diminishes, while that of glucagon increases. Glucagon promotes glycogenolysis in the liver </w:t>
      </w:r>
      <w:r w:rsidRPr="00A95F27">
        <w:rPr>
          <w:rFonts w:ascii="Arial" w:hAnsi="Arial" w:cs="Arial"/>
        </w:rPr>
        <w:lastRenderedPageBreak/>
        <w:t>so that glycogen is divided up into glucose and encourages gluconeogenesis so that glucose is made anew from non-carbohydrate molecules (Sturgeon, 2018). All these processes individually keep glucose within a healthy normal range of 4–7 mmol/L in healthy people (World Health Organization, 2023).</w:t>
      </w:r>
    </w:p>
    <w:p w14:paraId="13AF0590" w14:textId="2C43A8FC" w:rsidR="00304835" w:rsidRPr="00A95F27" w:rsidRDefault="00304835" w:rsidP="00304835">
      <w:pPr>
        <w:spacing w:line="360" w:lineRule="auto"/>
        <w:jc w:val="both"/>
        <w:rPr>
          <w:rFonts w:ascii="Arial" w:hAnsi="Arial" w:cs="Arial"/>
        </w:rPr>
      </w:pPr>
      <w:r w:rsidRPr="00A95F27">
        <w:rPr>
          <w:rFonts w:ascii="Arial" w:hAnsi="Arial" w:cs="Arial"/>
        </w:rPr>
        <w:t>This regulatory balance is a form of negative control through feedback, in which any displacement from regular glucose levels in the blood induces adjustment through hormones to re-establish balance (Ross and Wilson, 2018). For example, when carbohydrates are ingested, glucose elevation is the stimulus, the output of insulin is the response, and glucose decreasing to regular levels is itself a signal to the pancreas to downregulate output of insulin.</w:t>
      </w:r>
    </w:p>
    <w:p w14:paraId="5DD709E4" w14:textId="77777777" w:rsidR="00D93FE0" w:rsidRPr="00A95F27" w:rsidRDefault="00D93FE0" w:rsidP="00304835">
      <w:pPr>
        <w:spacing w:line="360" w:lineRule="auto"/>
        <w:jc w:val="both"/>
        <w:rPr>
          <w:rFonts w:ascii="Arial" w:hAnsi="Arial" w:cs="Arial"/>
        </w:rPr>
      </w:pPr>
      <w:r w:rsidRPr="00A95F27">
        <w:rPr>
          <w:rFonts w:ascii="Arial" w:hAnsi="Arial" w:cs="Arial"/>
        </w:rPr>
        <w:t>In diabetes, this homeostatic control loop is impaired. In Type 1 diabetes, the immune system eliminates insulin-secreting beta cells so that there is an absolute deficiency of insulin. In Type 2 diabetes, there is existing insulin that is reduced in its effectiveness because of receptor insensitivity that inhibits glucose entry into cells (Brown, 2015). Persistent hyperglycaemia is generated because of this that can injure blood vessels, nerve supply, and essential organs if not well managed (WHO, 2023).</w:t>
      </w:r>
    </w:p>
    <w:p w14:paraId="5EB92C4A" w14:textId="77777777" w:rsidR="00D93FE0" w:rsidRPr="00A95F27" w:rsidRDefault="00D93FE0" w:rsidP="00D93FE0">
      <w:pPr>
        <w:pStyle w:val="Heading2"/>
        <w:rPr>
          <w:rFonts w:ascii="Arial" w:hAnsi="Arial" w:cs="Arial"/>
          <w:b/>
          <w:bCs/>
        </w:rPr>
      </w:pPr>
      <w:r w:rsidRPr="00A95F27">
        <w:rPr>
          <w:rFonts w:ascii="Arial" w:hAnsi="Arial" w:cs="Arial"/>
          <w:b/>
          <w:bCs/>
        </w:rPr>
        <w:t>Cellular Metabolism</w:t>
      </w:r>
    </w:p>
    <w:p w14:paraId="21AF600C" w14:textId="77777777" w:rsidR="00D93FE0" w:rsidRPr="00A95F27" w:rsidRDefault="00D93FE0" w:rsidP="00D93FE0">
      <w:pPr>
        <w:spacing w:line="360" w:lineRule="auto"/>
        <w:jc w:val="both"/>
        <w:rPr>
          <w:rFonts w:ascii="Arial" w:hAnsi="Arial" w:cs="Arial"/>
        </w:rPr>
      </w:pPr>
      <w:r w:rsidRPr="00A95F27">
        <w:rPr>
          <w:rFonts w:ascii="Arial" w:hAnsi="Arial" w:cs="Arial"/>
        </w:rPr>
        <w:t>Every living cell needs a constant supply of energy to support basic biological functions like contraction of muscles, repair of cells, and cell membrane transport across gradients. It is transported in the form of cellular respiration — a cascade of biochemical reactions that catalyse glucose and oxygen to produce adenosine triphosphate (ATP), which is the energy molecule of the entire body (Sturgeon, 2018). Cellular metabolism therefore relies on the cooperative efforts of the digestive system, respiratory system, and cardiovascular system that supply glucose and oxygen to cells at a constant rate.</w:t>
      </w:r>
    </w:p>
    <w:p w14:paraId="046AFCE0" w14:textId="77777777" w:rsidR="00D93FE0" w:rsidRPr="00A95F27" w:rsidRDefault="00D93FE0" w:rsidP="00D93FE0">
      <w:pPr>
        <w:spacing w:line="360" w:lineRule="auto"/>
        <w:jc w:val="both"/>
        <w:rPr>
          <w:rFonts w:ascii="Arial" w:hAnsi="Arial" w:cs="Arial"/>
        </w:rPr>
      </w:pPr>
      <w:r w:rsidRPr="00A95F27">
        <w:rPr>
          <w:rFonts w:ascii="Arial" w:hAnsi="Arial" w:cs="Arial"/>
        </w:rPr>
        <w:t>The Cellular Respiration process occurs through three main stages: glycolysis, Krebs cycle, and electron transport chain. In glycolysis in the cytoplasm, glucose is cleaved to form two molecules of pyruvate with a minimal yield of ATP. In the presence of oxygen, pyruvate is transported to the mitochondria where it is cleaved further in Krebs cycle to produce hydrogen ions and carbon dioxide (Ross and Wilson, 2018). The hydrogen ions are utilized in the electron transport chain to form massive amounts of ATP through oxidation-phosphorylation. The complete chemical equation can be represented as:</w:t>
      </w:r>
    </w:p>
    <w:p w14:paraId="1C855AF9" w14:textId="77777777" w:rsidR="00D93FE0" w:rsidRPr="00A95F27" w:rsidRDefault="00D93FE0" w:rsidP="00D93FE0">
      <w:pPr>
        <w:spacing w:line="360" w:lineRule="auto"/>
        <w:jc w:val="both"/>
        <w:rPr>
          <w:rFonts w:ascii="Arial" w:hAnsi="Arial" w:cs="Arial"/>
        </w:rPr>
      </w:pPr>
      <w:r w:rsidRPr="00A95F27">
        <w:rPr>
          <w:rFonts w:ascii="Arial" w:hAnsi="Arial" w:cs="Arial"/>
          <w:b/>
          <w:bCs/>
        </w:rPr>
        <w:t>Glucose + Oxygen → Carbon Dioxide + Water + Energy (ATP)</w:t>
      </w:r>
      <w:r w:rsidRPr="00A95F27">
        <w:rPr>
          <w:rFonts w:ascii="Arial" w:hAnsi="Arial" w:cs="Arial"/>
        </w:rPr>
        <w:t>.</w:t>
      </w:r>
    </w:p>
    <w:p w14:paraId="6A2EF271" w14:textId="77777777" w:rsidR="00BE3320" w:rsidRPr="00A95F27" w:rsidRDefault="00BE3320" w:rsidP="00D93FE0">
      <w:pPr>
        <w:spacing w:line="360" w:lineRule="auto"/>
        <w:jc w:val="both"/>
        <w:rPr>
          <w:rFonts w:ascii="Arial" w:hAnsi="Arial" w:cs="Arial"/>
        </w:rPr>
      </w:pPr>
      <w:r w:rsidRPr="00A95F27">
        <w:rPr>
          <w:rFonts w:ascii="Arial" w:hAnsi="Arial" w:cs="Arial"/>
        </w:rPr>
        <w:t xml:space="preserve">Oxygen is brought to cells through the respiratory and cardiovascular systems. The lungs deliver through alveolar gas exchange while alveolar oxygen is transported to tissues through blood vessels and heart with the help of molecules of haemoglobin in red blood cells. At the </w:t>
      </w:r>
      <w:r w:rsidRPr="00A95F27">
        <w:rPr>
          <w:rFonts w:ascii="Arial" w:hAnsi="Arial" w:cs="Arial"/>
        </w:rPr>
        <w:lastRenderedPageBreak/>
        <w:t>same time, glucose that is digested is transported through the bloodstream to cells where through insulin it is made to enter and be metabolized (Ross and Wilson, 2018).</w:t>
      </w:r>
    </w:p>
    <w:p w14:paraId="24F63183" w14:textId="77777777" w:rsidR="00BE3320" w:rsidRPr="00A95F27" w:rsidRDefault="00BE3320" w:rsidP="00D93FE0">
      <w:pPr>
        <w:spacing w:line="360" w:lineRule="auto"/>
        <w:jc w:val="both"/>
        <w:rPr>
          <w:rFonts w:ascii="Arial" w:hAnsi="Arial" w:cs="Arial"/>
        </w:rPr>
      </w:pPr>
      <w:r w:rsidRPr="00A95F27">
        <w:rPr>
          <w:rFonts w:ascii="Arial" w:hAnsi="Arial" w:cs="Arial"/>
        </w:rPr>
        <w:t>This process is defective in people with diabetes. In Type 1 diabetes, a lack of insulin means glucose cannot enter cells, functioning as starvation even when blood glucose is elevated. In Type 2 diabetes, insulin resistance implies that even with available insulin, cell responsiveness is reduced (NIDDK, 2024). In consequence, cells are compelled to use other energy sources like fatty acids, which are catalysed to form ketones that can build up and lead to diabetic ketoacidosis (WHO, 2023).</w:t>
      </w:r>
    </w:p>
    <w:p w14:paraId="6FA36410" w14:textId="77777777" w:rsidR="00D404F2" w:rsidRPr="00A95F27" w:rsidRDefault="00D404F2" w:rsidP="00D93FE0">
      <w:pPr>
        <w:spacing w:line="360" w:lineRule="auto"/>
        <w:jc w:val="both"/>
        <w:rPr>
          <w:rFonts w:ascii="Arial" w:hAnsi="Arial" w:cs="Arial"/>
        </w:rPr>
      </w:pPr>
      <w:r w:rsidRPr="00A95F27">
        <w:rPr>
          <w:rFonts w:ascii="Arial" w:hAnsi="Arial" w:cs="Arial"/>
        </w:rPr>
        <w:t xml:space="preserve">In addition, Hunt and </w:t>
      </w:r>
      <w:proofErr w:type="spellStart"/>
      <w:r w:rsidRPr="00A95F27">
        <w:rPr>
          <w:rFonts w:ascii="Arial" w:hAnsi="Arial" w:cs="Arial"/>
        </w:rPr>
        <w:t>Koteyko</w:t>
      </w:r>
      <w:proofErr w:type="spellEnd"/>
      <w:r w:rsidRPr="00A95F27">
        <w:rPr>
          <w:rFonts w:ascii="Arial" w:hAnsi="Arial" w:cs="Arial"/>
        </w:rPr>
        <w:t xml:space="preserve"> (2015) point out that disturbances in glucose metabolism may influence people's self-monitoring and communication of blood glucose levels due to self-management becoming critical for energy balance maintenance. Hyperglycaemia that is continuous leads to reduced efficiency in delivering oxygen, vascular damage, as well as tissue and organ impairment. Hence, it is critical to learn cellular metabolism in elucidating the physical effect of diabetes as well as the significance of glucose and oxygen levels remaining within regulated settings for efficient energy output.</w:t>
      </w:r>
    </w:p>
    <w:p w14:paraId="799E4E60" w14:textId="77777777" w:rsidR="00D404F2" w:rsidRPr="00A95F27" w:rsidRDefault="00D404F2" w:rsidP="00D404F2">
      <w:pPr>
        <w:pStyle w:val="Heading2"/>
        <w:rPr>
          <w:rFonts w:ascii="Arial" w:hAnsi="Arial" w:cs="Arial"/>
          <w:b/>
          <w:bCs/>
        </w:rPr>
      </w:pPr>
      <w:r w:rsidRPr="00A95F27">
        <w:rPr>
          <w:rFonts w:ascii="Arial" w:hAnsi="Arial" w:cs="Arial"/>
          <w:b/>
          <w:bCs/>
        </w:rPr>
        <w:t>Monitoring and Management of Blood Glucose</w:t>
      </w:r>
    </w:p>
    <w:p w14:paraId="362F72B1" w14:textId="77777777" w:rsidR="00D404F2" w:rsidRPr="00A95F27" w:rsidRDefault="00D404F2" w:rsidP="00D404F2">
      <w:pPr>
        <w:spacing w:line="360" w:lineRule="auto"/>
        <w:jc w:val="both"/>
        <w:rPr>
          <w:rFonts w:ascii="Arial" w:hAnsi="Arial" w:cs="Arial"/>
        </w:rPr>
      </w:pPr>
      <w:r w:rsidRPr="00A95F27">
        <w:rPr>
          <w:rFonts w:ascii="Arial" w:hAnsi="Arial" w:cs="Arial"/>
        </w:rPr>
        <w:t>Blood glucose monitoring is an essential part of self-management of diabetes that keeps sugar stable and safe within a healthy range. Repeated testing provides immediate answers about glucose control from dietary intake, medication, and exercise so both hyperglycaemia and hypoglycaemia may be prevented (</w:t>
      </w:r>
      <w:proofErr w:type="spellStart"/>
      <w:r w:rsidRPr="00A95F27">
        <w:rPr>
          <w:rFonts w:ascii="Arial" w:hAnsi="Arial" w:cs="Arial"/>
        </w:rPr>
        <w:t>Siminerio</w:t>
      </w:r>
      <w:proofErr w:type="spellEnd"/>
      <w:r w:rsidRPr="00A95F27">
        <w:rPr>
          <w:rFonts w:ascii="Arial" w:hAnsi="Arial" w:cs="Arial"/>
        </w:rPr>
        <w:t>, 2015). Effective monitoring not only maintains daily self-management but also provides specialists with the ability to modify treatment regimens on a longer-term basis such that improved outcomes can be realized.</w:t>
      </w:r>
    </w:p>
    <w:p w14:paraId="31B550BF" w14:textId="77777777" w:rsidR="00D404F2" w:rsidRPr="00A95F27" w:rsidRDefault="00D404F2" w:rsidP="00D404F2">
      <w:pPr>
        <w:spacing w:line="360" w:lineRule="auto"/>
        <w:jc w:val="both"/>
        <w:rPr>
          <w:rFonts w:ascii="Arial" w:hAnsi="Arial" w:cs="Arial"/>
        </w:rPr>
      </w:pPr>
      <w:r w:rsidRPr="00A95F27">
        <w:rPr>
          <w:rFonts w:ascii="Arial" w:hAnsi="Arial" w:cs="Arial"/>
        </w:rPr>
        <w:t>Blood glucose is usually measured with a glucometer that provides a rapid result of capillary blood glucose from a drop of blood obtained from a fingerstick. More advanced technologies include sensors under the skin that continuously store glucose levels that are downloaded to digital devices or cell phones (NIDDK, 2024). This immediate monitoring reminds patients of changes that would otherwise be overlooked, eliciting immediate action such as adjustment of doses of insulin or meals.</w:t>
      </w:r>
      <w:r w:rsidRPr="00A95F27">
        <w:rPr>
          <w:rFonts w:ascii="Arial" w:hAnsi="Arial" w:cs="Arial"/>
        </w:rPr>
        <w:br/>
      </w:r>
      <w:r w:rsidRPr="00A95F27">
        <w:rPr>
          <w:rFonts w:ascii="Arial" w:hAnsi="Arial" w:cs="Arial"/>
        </w:rPr>
        <w:br/>
        <w:t xml:space="preserve">Following Hunt and </w:t>
      </w:r>
      <w:proofErr w:type="spellStart"/>
      <w:r w:rsidRPr="00A95F27">
        <w:rPr>
          <w:rFonts w:ascii="Arial" w:hAnsi="Arial" w:cs="Arial"/>
        </w:rPr>
        <w:t>Koteyko</w:t>
      </w:r>
      <w:proofErr w:type="spellEnd"/>
      <w:r w:rsidRPr="00A95F27">
        <w:rPr>
          <w:rFonts w:ascii="Arial" w:hAnsi="Arial" w:cs="Arial"/>
        </w:rPr>
        <w:t xml:space="preserve"> (2015), self-management has also become improved through the emergence of digital platforms and social media since people with diabetes can post blood sugar readings on these platforms and gain peer or professional support online. This improves motivation as well as compliance with treatment regimens. In addition, self-monitoring prompts patients to spot trends like post-prandial glucose rise and make appropriate lifestyle changes on that basis to enforce autonomy in self-management of one's own health (</w:t>
      </w:r>
      <w:proofErr w:type="spellStart"/>
      <w:r w:rsidRPr="00A95F27">
        <w:rPr>
          <w:rFonts w:ascii="Arial" w:hAnsi="Arial" w:cs="Arial"/>
        </w:rPr>
        <w:t>Siminerio</w:t>
      </w:r>
      <w:proofErr w:type="spellEnd"/>
      <w:r w:rsidRPr="00A95F27">
        <w:rPr>
          <w:rFonts w:ascii="Arial" w:hAnsi="Arial" w:cs="Arial"/>
        </w:rPr>
        <w:t>, 2015).</w:t>
      </w:r>
    </w:p>
    <w:p w14:paraId="223692FC" w14:textId="77777777" w:rsidR="00D404F2" w:rsidRPr="00A95F27" w:rsidRDefault="00D404F2" w:rsidP="00D404F2">
      <w:pPr>
        <w:spacing w:line="360" w:lineRule="auto"/>
        <w:jc w:val="both"/>
        <w:rPr>
          <w:rFonts w:ascii="Arial" w:hAnsi="Arial" w:cs="Arial"/>
        </w:rPr>
      </w:pPr>
      <w:r w:rsidRPr="00A95F27">
        <w:rPr>
          <w:rFonts w:ascii="Arial" w:hAnsi="Arial" w:cs="Arial"/>
        </w:rPr>
        <w:lastRenderedPageBreak/>
        <w:t>Clinical guidelines advise people with Type 2 diabetes to frequently self-check their glucose levels when medication, diet, or exercise is being changed. The control of glucose within a target range—ideally 4 to 7 mmol/L pre-prandially and below 8.5 mmol/L 2 hours post-prandially—bodes well for reducing risks of complication such as neuropathy, retinopathy, and cardio-vascular disease (World Health Organization, 2023). Frequent screening also yields useful information for healthcare professionals to gauge the success of interventions such as oral hypoglycaemic agents or treatment with insulin therapy (NIDDK, 2024).</w:t>
      </w:r>
    </w:p>
    <w:p w14:paraId="723D10B7" w14:textId="77777777" w:rsidR="00D404F2" w:rsidRPr="00A95F27" w:rsidRDefault="00D404F2" w:rsidP="00D404F2">
      <w:pPr>
        <w:spacing w:line="360" w:lineRule="auto"/>
        <w:jc w:val="both"/>
        <w:rPr>
          <w:rFonts w:ascii="Arial" w:hAnsi="Arial" w:cs="Arial"/>
        </w:rPr>
      </w:pPr>
      <w:r w:rsidRPr="00A95F27">
        <w:rPr>
          <w:rFonts w:ascii="Arial" w:hAnsi="Arial" w:cs="Arial"/>
        </w:rPr>
        <w:t>Thus, glucose monitoring is a tool both for diagnosis and prevention. It connects directly to physiologic control through presentation of immediate, moment-by-moment measurements of the capacity of the body to maintain homeostasis. When used with education and behaviour support, self-monitoring gives people control over their condition so that they can take an active part in its control, enhance metabolic stability, as well as quality of life (</w:t>
      </w:r>
      <w:proofErr w:type="spellStart"/>
      <w:r w:rsidRPr="00A95F27">
        <w:rPr>
          <w:rFonts w:ascii="Arial" w:hAnsi="Arial" w:cs="Arial"/>
        </w:rPr>
        <w:t>Siminerio</w:t>
      </w:r>
      <w:proofErr w:type="spellEnd"/>
      <w:r w:rsidRPr="00A95F27">
        <w:rPr>
          <w:rFonts w:ascii="Arial" w:hAnsi="Arial" w:cs="Arial"/>
        </w:rPr>
        <w:t>, 2015).</w:t>
      </w:r>
    </w:p>
    <w:p w14:paraId="0B6F4C6C" w14:textId="77777777" w:rsidR="000F1F64" w:rsidRPr="00A95F27" w:rsidRDefault="000F1F64" w:rsidP="000F1F64">
      <w:pPr>
        <w:pStyle w:val="Heading2"/>
        <w:rPr>
          <w:rFonts w:ascii="Arial" w:hAnsi="Arial" w:cs="Arial"/>
          <w:b/>
          <w:bCs/>
        </w:rPr>
      </w:pPr>
      <w:r w:rsidRPr="00A95F27">
        <w:rPr>
          <w:rFonts w:ascii="Arial" w:hAnsi="Arial" w:cs="Arial"/>
          <w:b/>
          <w:bCs/>
        </w:rPr>
        <w:t>Lifestyle Recommendations</w:t>
      </w:r>
    </w:p>
    <w:p w14:paraId="2E001B40" w14:textId="77777777" w:rsidR="000F1F64" w:rsidRPr="00A95F27" w:rsidRDefault="000F1F64" w:rsidP="000F1F64">
      <w:pPr>
        <w:pStyle w:val="Heading2"/>
        <w:spacing w:line="360" w:lineRule="auto"/>
        <w:jc w:val="both"/>
        <w:rPr>
          <w:rFonts w:ascii="Arial" w:hAnsi="Arial" w:cs="Arial"/>
          <w:b/>
          <w:bCs/>
        </w:rPr>
      </w:pPr>
      <w:r w:rsidRPr="00A95F27">
        <w:rPr>
          <w:rFonts w:ascii="Arial" w:hAnsi="Arial" w:cs="Arial"/>
          <w:color w:val="auto"/>
          <w:sz w:val="22"/>
          <w:szCs w:val="22"/>
        </w:rPr>
        <w:t>Lifestyle modification is core to effective control of diabetes. It is complementary to medical therapy because it addresses the behavioural and environmental determinants of glucose homeostasis. In patients with Type 2 diabetes, dietary control, exercise, avoidance of cigarette smoking, and control over stresses are critical to achieving homeostasis as well as to that of late complications (World Health Organization, 2023).</w:t>
      </w:r>
      <w:r w:rsidR="00D404F2" w:rsidRPr="00A95F27">
        <w:rPr>
          <w:rFonts w:ascii="Arial" w:hAnsi="Arial" w:cs="Arial"/>
          <w:b/>
          <w:bCs/>
        </w:rPr>
        <w:br/>
      </w:r>
    </w:p>
    <w:p w14:paraId="7268D84E" w14:textId="27941FFE" w:rsidR="000F1F64" w:rsidRPr="00A95F27" w:rsidRDefault="000F1F64" w:rsidP="000F1F64">
      <w:pPr>
        <w:pStyle w:val="Heading2"/>
        <w:numPr>
          <w:ilvl w:val="0"/>
          <w:numId w:val="1"/>
        </w:numPr>
        <w:spacing w:line="360" w:lineRule="auto"/>
        <w:jc w:val="both"/>
        <w:rPr>
          <w:rFonts w:ascii="Arial" w:hAnsi="Arial" w:cs="Arial"/>
          <w:b/>
          <w:bCs/>
          <w:color w:val="auto"/>
          <w:sz w:val="24"/>
          <w:szCs w:val="24"/>
        </w:rPr>
      </w:pPr>
      <w:r w:rsidRPr="00A95F27">
        <w:rPr>
          <w:rFonts w:ascii="Arial" w:hAnsi="Arial" w:cs="Arial"/>
          <w:b/>
          <w:bCs/>
          <w:color w:val="auto"/>
          <w:sz w:val="24"/>
          <w:szCs w:val="24"/>
        </w:rPr>
        <w:t>Diet and Nutrition</w:t>
      </w:r>
    </w:p>
    <w:p w14:paraId="17D8019A" w14:textId="77777777" w:rsidR="000F1F64" w:rsidRPr="00A95F27" w:rsidRDefault="000F1F64" w:rsidP="005775C7">
      <w:pPr>
        <w:spacing w:line="360" w:lineRule="auto"/>
        <w:jc w:val="both"/>
        <w:rPr>
          <w:rFonts w:ascii="Arial" w:hAnsi="Arial" w:cs="Arial"/>
        </w:rPr>
      </w:pPr>
    </w:p>
    <w:p w14:paraId="767F5E34" w14:textId="77777777" w:rsidR="005775C7" w:rsidRPr="00A95F27" w:rsidRDefault="005775C7" w:rsidP="005775C7">
      <w:pPr>
        <w:spacing w:line="360" w:lineRule="auto"/>
        <w:jc w:val="both"/>
        <w:rPr>
          <w:rFonts w:ascii="Arial" w:hAnsi="Arial" w:cs="Arial"/>
        </w:rPr>
      </w:pPr>
      <w:r w:rsidRPr="00A95F27">
        <w:rPr>
          <w:rFonts w:ascii="Arial" w:hAnsi="Arial" w:cs="Arial"/>
        </w:rPr>
        <w:t>Nutritional balance is essential to glucose levels within the blood. High-carbohydrate meals with added sugars are decreased while high-</w:t>
      </w:r>
      <w:proofErr w:type="spellStart"/>
      <w:r w:rsidRPr="00A95F27">
        <w:rPr>
          <w:rFonts w:ascii="Arial" w:hAnsi="Arial" w:cs="Arial"/>
        </w:rPr>
        <w:t>fiber</w:t>
      </w:r>
      <w:proofErr w:type="spellEnd"/>
      <w:r w:rsidRPr="00A95F27">
        <w:rPr>
          <w:rFonts w:ascii="Arial" w:hAnsi="Arial" w:cs="Arial"/>
        </w:rPr>
        <w:t xml:space="preserve"> vegetables, whole grain intake that slows glucose ingestion, and complex carbohydrates are increased (NIDDK, 2024). Smaller meals may be used to prevent spiking high sugar levels in the blood, while regular low-volume meals may supply balance in energy consumption throughout the day. Carbohydrate monitoring with lean protein addition as well as healthy fats may be used to help sensitivity to insulin as well as help control weight (</w:t>
      </w:r>
      <w:proofErr w:type="spellStart"/>
      <w:r w:rsidRPr="00A95F27">
        <w:rPr>
          <w:rFonts w:ascii="Arial" w:hAnsi="Arial" w:cs="Arial"/>
        </w:rPr>
        <w:t>Siminerio</w:t>
      </w:r>
      <w:proofErr w:type="spellEnd"/>
      <w:r w:rsidRPr="00A95F27">
        <w:rPr>
          <w:rFonts w:ascii="Arial" w:hAnsi="Arial" w:cs="Arial"/>
        </w:rPr>
        <w:t>, 2015).</w:t>
      </w:r>
    </w:p>
    <w:p w14:paraId="30FA3732" w14:textId="5E03EA75" w:rsidR="005775C7" w:rsidRPr="00A95F27" w:rsidRDefault="005775C7" w:rsidP="005775C7">
      <w:pPr>
        <w:spacing w:line="360" w:lineRule="auto"/>
        <w:jc w:val="both"/>
        <w:rPr>
          <w:rFonts w:ascii="Arial" w:hAnsi="Arial" w:cs="Arial"/>
        </w:rPr>
      </w:pPr>
      <w:r w:rsidRPr="00A95F27">
        <w:rPr>
          <w:rFonts w:ascii="Arial" w:hAnsi="Arial" w:cs="Arial"/>
        </w:rPr>
        <w:t>The Mediterranean dietary pattern with its focus on fruit consumption, vegetables, consumption of olive oil, as well as beans, proved significant advantage in reducing cardiovascular danger as well as glycaemic control amongst diabetic patients (WHO, 2023). Adequate hydration as well as reduced sodium intake also yield advantage to cardiovascular as well as renal well-being, both the most frequently involved diabetes-affected systems.</w:t>
      </w:r>
    </w:p>
    <w:p w14:paraId="0C9E74CB" w14:textId="651D3470" w:rsidR="005775C7" w:rsidRPr="00A95F27" w:rsidRDefault="005775C7" w:rsidP="005775C7">
      <w:pPr>
        <w:pStyle w:val="ListParagraph"/>
        <w:numPr>
          <w:ilvl w:val="0"/>
          <w:numId w:val="1"/>
        </w:numPr>
        <w:spacing w:line="360" w:lineRule="auto"/>
        <w:jc w:val="both"/>
        <w:rPr>
          <w:rFonts w:ascii="Arial" w:hAnsi="Arial" w:cs="Arial"/>
          <w:b/>
          <w:bCs/>
          <w:sz w:val="24"/>
          <w:szCs w:val="24"/>
        </w:rPr>
      </w:pPr>
      <w:r w:rsidRPr="00A95F27">
        <w:rPr>
          <w:rFonts w:ascii="Arial" w:hAnsi="Arial" w:cs="Arial"/>
          <w:b/>
          <w:bCs/>
          <w:sz w:val="24"/>
          <w:szCs w:val="24"/>
        </w:rPr>
        <w:lastRenderedPageBreak/>
        <w:t>Physical Activity</w:t>
      </w:r>
    </w:p>
    <w:p w14:paraId="1F1F62B8" w14:textId="3DA9EEDC" w:rsidR="005775C7" w:rsidRPr="00A95F27" w:rsidRDefault="005775C7" w:rsidP="005775C7">
      <w:pPr>
        <w:spacing w:line="360" w:lineRule="auto"/>
        <w:jc w:val="both"/>
        <w:rPr>
          <w:rFonts w:ascii="Arial" w:hAnsi="Arial" w:cs="Arial"/>
        </w:rPr>
      </w:pPr>
      <w:r w:rsidRPr="00A95F27">
        <w:rPr>
          <w:rFonts w:ascii="Arial" w:hAnsi="Arial" w:cs="Arial"/>
        </w:rPr>
        <w:t>Routine exercise increases sensitivity to insulin, stimulates glucose entry into skeletal muscle cells, and contributes to healthy body weight maintenance (Brown, 2015). Moderate aerobic exercise like swimming, cycling, and brisk walking is advised for a minimum of 150 minutes weekly, with strength training added for increased muscle strength and improved metabolic activity (NIDDK, 2024). Physical exercise not only aids glucose reduction in the blood but also decreases pressure as well as cholesterol levels to offset cardiovascular diabetic complications (WHO, 2023).</w:t>
      </w:r>
    </w:p>
    <w:p w14:paraId="065885F4" w14:textId="4134F64C" w:rsidR="005775C7" w:rsidRPr="00A95F27" w:rsidRDefault="005775C7" w:rsidP="00EB6F3D">
      <w:pPr>
        <w:pStyle w:val="ListParagraph"/>
        <w:numPr>
          <w:ilvl w:val="0"/>
          <w:numId w:val="1"/>
        </w:numPr>
        <w:spacing w:line="360" w:lineRule="auto"/>
        <w:jc w:val="both"/>
        <w:rPr>
          <w:rFonts w:ascii="Arial" w:hAnsi="Arial" w:cs="Arial"/>
          <w:b/>
          <w:bCs/>
        </w:rPr>
      </w:pPr>
      <w:r w:rsidRPr="00A95F27">
        <w:rPr>
          <w:rFonts w:ascii="Arial" w:hAnsi="Arial" w:cs="Arial"/>
          <w:b/>
          <w:bCs/>
        </w:rPr>
        <w:t xml:space="preserve">Stress Management and Sleep </w:t>
      </w:r>
    </w:p>
    <w:p w14:paraId="597D3851" w14:textId="5ADFA459" w:rsidR="00EB6F3D" w:rsidRPr="00A95F27" w:rsidRDefault="00EB6F3D" w:rsidP="00EB6F3D">
      <w:pPr>
        <w:spacing w:line="360" w:lineRule="auto"/>
        <w:jc w:val="both"/>
        <w:rPr>
          <w:rFonts w:ascii="Arial" w:hAnsi="Arial" w:cs="Arial"/>
        </w:rPr>
      </w:pPr>
      <w:r w:rsidRPr="00A95F27">
        <w:rPr>
          <w:rFonts w:ascii="Arial" w:hAnsi="Arial" w:cs="Arial"/>
        </w:rPr>
        <w:t>Stress hormones like cortisol can rise blood glucose levels through gluconeogenesis stimulation in the liver (Sturgeon, 2018). As such, inclusion of relaxation exercises such as yoga, meditation, or breathing exercises works to sustain metabolic and emotional balance. In addition, regular and reparative patterns of sleep are necessary since poor sleep is accompanied with elevated levels of insulin resistance as well as dysregulation of hunger (</w:t>
      </w:r>
      <w:proofErr w:type="spellStart"/>
      <w:r w:rsidRPr="00A95F27">
        <w:rPr>
          <w:rFonts w:ascii="Arial" w:hAnsi="Arial" w:cs="Arial"/>
        </w:rPr>
        <w:t>Siminerio</w:t>
      </w:r>
      <w:proofErr w:type="spellEnd"/>
      <w:r w:rsidRPr="00A95F27">
        <w:rPr>
          <w:rFonts w:ascii="Arial" w:hAnsi="Arial" w:cs="Arial"/>
        </w:rPr>
        <w:t>, 2015).</w:t>
      </w:r>
    </w:p>
    <w:p w14:paraId="207725B0" w14:textId="0922C8A3" w:rsidR="00EB6F3D" w:rsidRPr="00A95F27" w:rsidRDefault="00EB6F3D" w:rsidP="00EB6F3D">
      <w:pPr>
        <w:pStyle w:val="ListParagraph"/>
        <w:numPr>
          <w:ilvl w:val="0"/>
          <w:numId w:val="1"/>
        </w:numPr>
        <w:spacing w:line="360" w:lineRule="auto"/>
        <w:jc w:val="both"/>
        <w:rPr>
          <w:rFonts w:ascii="Arial" w:hAnsi="Arial" w:cs="Arial"/>
          <w:b/>
          <w:bCs/>
        </w:rPr>
      </w:pPr>
      <w:r w:rsidRPr="00A95F27">
        <w:rPr>
          <w:rFonts w:ascii="Arial" w:hAnsi="Arial" w:cs="Arial"/>
          <w:b/>
          <w:bCs/>
        </w:rPr>
        <w:t>Avoidance of Smoking and Alcohol Excess</w:t>
      </w:r>
    </w:p>
    <w:p w14:paraId="24598980" w14:textId="77777777" w:rsidR="00EB6F3D" w:rsidRPr="00A95F27" w:rsidRDefault="00EB6F3D" w:rsidP="00EB6F3D">
      <w:pPr>
        <w:spacing w:line="360" w:lineRule="auto"/>
        <w:jc w:val="both"/>
        <w:rPr>
          <w:rFonts w:ascii="Arial" w:hAnsi="Arial" w:cs="Arial"/>
        </w:rPr>
      </w:pPr>
      <w:r w:rsidRPr="00A95F27">
        <w:rPr>
          <w:rFonts w:ascii="Arial" w:hAnsi="Arial" w:cs="Arial"/>
        </w:rPr>
        <w:t>It worsens vascular damage as well as puts diabetic patients at high risk of peripheral neuropathy, coronary artery disease, as well as stroke (WHO, 2023). Alcohol consumption also needs to be reduced since alcoholic drinks can lead to glucose unevenly causing both hypo- as well as hyper-glycaemia depending on consumption levels as well as beverages (NIDDK, 2024).</w:t>
      </w:r>
    </w:p>
    <w:p w14:paraId="2297A0A5" w14:textId="747634D6" w:rsidR="00EB6F3D" w:rsidRPr="00A95F27" w:rsidRDefault="00EB6F3D" w:rsidP="00EB6F3D">
      <w:pPr>
        <w:pStyle w:val="ListParagraph"/>
        <w:numPr>
          <w:ilvl w:val="0"/>
          <w:numId w:val="1"/>
        </w:numPr>
        <w:spacing w:line="360" w:lineRule="auto"/>
        <w:jc w:val="both"/>
        <w:rPr>
          <w:rFonts w:ascii="Arial" w:hAnsi="Arial" w:cs="Arial"/>
          <w:b/>
          <w:bCs/>
        </w:rPr>
      </w:pPr>
      <w:r w:rsidRPr="00A95F27">
        <w:rPr>
          <w:rFonts w:ascii="Arial" w:hAnsi="Arial" w:cs="Arial"/>
          <w:b/>
          <w:bCs/>
        </w:rPr>
        <w:t>Education and Support</w:t>
      </w:r>
    </w:p>
    <w:p w14:paraId="52582F0C" w14:textId="6B5734C3" w:rsidR="00EB6F3D" w:rsidRPr="00A95F27" w:rsidRDefault="00EB6F3D" w:rsidP="00EB6F3D">
      <w:pPr>
        <w:spacing w:line="360" w:lineRule="auto"/>
        <w:jc w:val="both"/>
        <w:rPr>
          <w:rFonts w:ascii="Arial" w:hAnsi="Arial" w:cs="Arial"/>
        </w:rPr>
      </w:pPr>
      <w:r w:rsidRPr="00A95F27">
        <w:rPr>
          <w:rFonts w:ascii="Arial" w:hAnsi="Arial" w:cs="Arial"/>
        </w:rPr>
        <w:t>Lifestyle changes are reinforced with continuing education and peer support. Organized education programmes for diabetic patients render them independent decision-makers who can include day-to-day routines to control sugar in blood effectively (</w:t>
      </w:r>
      <w:proofErr w:type="spellStart"/>
      <w:r w:rsidRPr="00A95F27">
        <w:rPr>
          <w:rFonts w:ascii="Arial" w:hAnsi="Arial" w:cs="Arial"/>
        </w:rPr>
        <w:t>Siminerio</w:t>
      </w:r>
      <w:proofErr w:type="spellEnd"/>
      <w:r w:rsidRPr="00A95F27">
        <w:rPr>
          <w:rFonts w:ascii="Arial" w:hAnsi="Arial" w:cs="Arial"/>
        </w:rPr>
        <w:t>, 2015). Education sessions in groups, internet support groups, as well as inter-professional practice, support compliance as well as peer learning from other specialities (Hunt and Koteyko, 2015).</w:t>
      </w:r>
    </w:p>
    <w:p w14:paraId="32274736" w14:textId="77777777" w:rsidR="00EB6F3D" w:rsidRPr="00A95F27" w:rsidRDefault="00EB6F3D" w:rsidP="00EB6F3D">
      <w:pPr>
        <w:spacing w:line="360" w:lineRule="auto"/>
        <w:jc w:val="both"/>
        <w:rPr>
          <w:rFonts w:ascii="Arial" w:hAnsi="Arial" w:cs="Arial"/>
        </w:rPr>
      </w:pPr>
    </w:p>
    <w:p w14:paraId="183E5C54" w14:textId="4C3FA94B" w:rsidR="00EB6F3D" w:rsidRPr="00A95F27" w:rsidRDefault="00EB6F3D" w:rsidP="00EB6F3D">
      <w:pPr>
        <w:pStyle w:val="Heading2"/>
        <w:rPr>
          <w:rFonts w:ascii="Arial" w:hAnsi="Arial" w:cs="Arial"/>
          <w:b/>
          <w:bCs/>
        </w:rPr>
      </w:pPr>
      <w:r w:rsidRPr="00A95F27">
        <w:rPr>
          <w:rFonts w:ascii="Arial" w:hAnsi="Arial" w:cs="Arial"/>
          <w:b/>
          <w:bCs/>
        </w:rPr>
        <w:t>Conclusion</w:t>
      </w:r>
    </w:p>
    <w:p w14:paraId="0E3DEA40" w14:textId="0F01F953" w:rsidR="00EB6F3D" w:rsidRDefault="00A95F27" w:rsidP="00EB6F3D">
      <w:pPr>
        <w:spacing w:line="360" w:lineRule="auto"/>
        <w:jc w:val="both"/>
        <w:rPr>
          <w:rFonts w:ascii="Arial" w:hAnsi="Arial" w:cs="Arial"/>
        </w:rPr>
      </w:pPr>
      <w:r w:rsidRPr="00A95F27">
        <w:rPr>
          <w:rFonts w:ascii="Arial" w:hAnsi="Arial" w:cs="Arial"/>
        </w:rPr>
        <w:t xml:space="preserve">Diabetes disrupts glucose homeostasis within the body and may lead to late complications that are preventable with good control. The pancreas, cardiovascular, and gastrointestinal tracts cooperate with glucose balance in the blood and energy metabolism (World Health </w:t>
      </w:r>
      <w:r w:rsidRPr="00A95F27">
        <w:rPr>
          <w:rFonts w:ascii="Arial" w:hAnsi="Arial" w:cs="Arial"/>
        </w:rPr>
        <w:lastRenderedPageBreak/>
        <w:t>Organization, 2023). Management entails frequent glucose screening, dietary balance, exercise regimen, and education to support self-management. The understanding of these mechanisms of functioning supports stabilizing both the individual as well as the healthcare provider in helping to circumvent complications. Lastly, with good medical support accompanied by healthy lifestyle choices, individuals with diabetes can experience metabolic balance, improved well-being, as well as sustained good quality of life.</w:t>
      </w:r>
    </w:p>
    <w:p w14:paraId="011638F8" w14:textId="77777777" w:rsidR="00A95F27" w:rsidRPr="00A95F27" w:rsidRDefault="00A95F27" w:rsidP="00EB6F3D">
      <w:pPr>
        <w:spacing w:line="360" w:lineRule="auto"/>
        <w:jc w:val="both"/>
        <w:rPr>
          <w:rFonts w:ascii="Arial" w:hAnsi="Arial" w:cs="Arial"/>
        </w:rPr>
      </w:pPr>
    </w:p>
    <w:p w14:paraId="34DCB303" w14:textId="7AECB160" w:rsidR="00A95F27" w:rsidRPr="00A95F27" w:rsidRDefault="00A95F27" w:rsidP="00A95F27">
      <w:pPr>
        <w:pStyle w:val="Heading2"/>
        <w:rPr>
          <w:rFonts w:ascii="Arial" w:hAnsi="Arial" w:cs="Arial"/>
          <w:b/>
          <w:bCs/>
        </w:rPr>
      </w:pPr>
      <w:r w:rsidRPr="00A95F27">
        <w:rPr>
          <w:rFonts w:ascii="Arial" w:hAnsi="Arial" w:cs="Arial"/>
          <w:b/>
          <w:bCs/>
        </w:rPr>
        <w:t>References</w:t>
      </w:r>
    </w:p>
    <w:p w14:paraId="74EF0B3A" w14:textId="77777777" w:rsidR="00A95F27" w:rsidRPr="00A95F27" w:rsidRDefault="00A95F27" w:rsidP="00A95F27">
      <w:pPr>
        <w:spacing w:line="360" w:lineRule="auto"/>
        <w:jc w:val="both"/>
        <w:rPr>
          <w:rFonts w:ascii="Arial" w:hAnsi="Arial" w:cs="Arial"/>
        </w:rPr>
      </w:pPr>
      <w:r w:rsidRPr="00A95F27">
        <w:rPr>
          <w:rFonts w:ascii="Arial" w:hAnsi="Arial" w:cs="Arial"/>
        </w:rPr>
        <w:t xml:space="preserve">Brown, S. (2015) ‘Recognizing diabetes in children’, </w:t>
      </w:r>
      <w:r w:rsidRPr="00A95F27">
        <w:rPr>
          <w:rFonts w:ascii="Arial" w:hAnsi="Arial" w:cs="Arial"/>
          <w:i/>
          <w:iCs/>
        </w:rPr>
        <w:t>Paediatrics and Child Health</w:t>
      </w:r>
      <w:r w:rsidRPr="00A95F27">
        <w:rPr>
          <w:rFonts w:ascii="Arial" w:hAnsi="Arial" w:cs="Arial"/>
        </w:rPr>
        <w:t>, 25(12), pp. 1–4.</w:t>
      </w:r>
    </w:p>
    <w:p w14:paraId="118E9DB2" w14:textId="77777777" w:rsidR="00A95F27" w:rsidRPr="00A95F27" w:rsidRDefault="00A95F27" w:rsidP="00A95F27">
      <w:pPr>
        <w:spacing w:line="360" w:lineRule="auto"/>
        <w:jc w:val="both"/>
        <w:rPr>
          <w:rFonts w:ascii="Arial" w:hAnsi="Arial" w:cs="Arial"/>
        </w:rPr>
      </w:pPr>
      <w:r w:rsidRPr="00A95F27">
        <w:rPr>
          <w:rFonts w:ascii="Arial" w:hAnsi="Arial" w:cs="Arial"/>
        </w:rPr>
        <w:t xml:space="preserve">Hunt, D. and </w:t>
      </w:r>
      <w:proofErr w:type="spellStart"/>
      <w:r w:rsidRPr="00A95F27">
        <w:rPr>
          <w:rFonts w:ascii="Arial" w:hAnsi="Arial" w:cs="Arial"/>
        </w:rPr>
        <w:t>Koteyko</w:t>
      </w:r>
      <w:proofErr w:type="spellEnd"/>
      <w:r w:rsidRPr="00A95F27">
        <w:rPr>
          <w:rFonts w:ascii="Arial" w:hAnsi="Arial" w:cs="Arial"/>
        </w:rPr>
        <w:t xml:space="preserve">, N. (2015) ‘“What was your blood sugar reading this morning?” Representing diabetes self-management on Facebook’, </w:t>
      </w:r>
      <w:r w:rsidRPr="00A95F27">
        <w:rPr>
          <w:rFonts w:ascii="Arial" w:hAnsi="Arial" w:cs="Arial"/>
          <w:i/>
          <w:iCs/>
        </w:rPr>
        <w:t>Health, Risk &amp; Society</w:t>
      </w:r>
      <w:r w:rsidRPr="00A95F27">
        <w:rPr>
          <w:rFonts w:ascii="Arial" w:hAnsi="Arial" w:cs="Arial"/>
        </w:rPr>
        <w:t>, 17(1), pp. 1–16.</w:t>
      </w:r>
    </w:p>
    <w:p w14:paraId="27445F40" w14:textId="77777777" w:rsidR="00A95F27" w:rsidRPr="00A95F27" w:rsidRDefault="00A95F27" w:rsidP="00A95F27">
      <w:pPr>
        <w:spacing w:line="360" w:lineRule="auto"/>
        <w:jc w:val="both"/>
        <w:rPr>
          <w:rFonts w:ascii="Arial" w:hAnsi="Arial" w:cs="Arial"/>
        </w:rPr>
      </w:pPr>
      <w:r w:rsidRPr="00A95F27">
        <w:rPr>
          <w:rFonts w:ascii="Arial" w:hAnsi="Arial" w:cs="Arial"/>
        </w:rPr>
        <w:t xml:space="preserve">National Institute of Diabetes and Digestive and Kidney Diseases (2024) </w:t>
      </w:r>
      <w:r w:rsidRPr="00A95F27">
        <w:rPr>
          <w:rFonts w:ascii="Arial" w:hAnsi="Arial" w:cs="Arial"/>
          <w:i/>
          <w:iCs/>
        </w:rPr>
        <w:t>What is Diabetes?</w:t>
      </w:r>
      <w:r w:rsidRPr="00A95F27">
        <w:rPr>
          <w:rFonts w:ascii="Arial" w:hAnsi="Arial" w:cs="Arial"/>
        </w:rPr>
        <w:t xml:space="preserve"> Available at: </w:t>
      </w:r>
      <w:hyperlink r:id="rId8" w:tgtFrame="_new" w:history="1">
        <w:r w:rsidRPr="00A95F27">
          <w:rPr>
            <w:rStyle w:val="Hyperlink"/>
            <w:rFonts w:ascii="Arial" w:hAnsi="Arial" w:cs="Arial"/>
          </w:rPr>
          <w:t>https://www.niddk.nih.gov/health-information/diabetes/overview/what-is-diabetes</w:t>
        </w:r>
      </w:hyperlink>
      <w:r w:rsidRPr="00A95F27">
        <w:rPr>
          <w:rFonts w:ascii="Arial" w:hAnsi="Arial" w:cs="Arial"/>
        </w:rPr>
        <w:t xml:space="preserve"> (Accessed: 20 October 2025).</w:t>
      </w:r>
    </w:p>
    <w:p w14:paraId="0506ECD3" w14:textId="77777777" w:rsidR="00A95F27" w:rsidRPr="00A95F27" w:rsidRDefault="00A95F27" w:rsidP="00A95F27">
      <w:pPr>
        <w:spacing w:line="360" w:lineRule="auto"/>
        <w:jc w:val="both"/>
        <w:rPr>
          <w:rFonts w:ascii="Arial" w:hAnsi="Arial" w:cs="Arial"/>
        </w:rPr>
      </w:pPr>
      <w:r w:rsidRPr="00A95F27">
        <w:rPr>
          <w:rFonts w:ascii="Arial" w:hAnsi="Arial" w:cs="Arial"/>
        </w:rPr>
        <w:t xml:space="preserve">Ross, J. and Wilson, A. (2018) </w:t>
      </w:r>
      <w:r w:rsidRPr="00A95F27">
        <w:rPr>
          <w:rFonts w:ascii="Arial" w:hAnsi="Arial" w:cs="Arial"/>
          <w:i/>
          <w:iCs/>
        </w:rPr>
        <w:t>Anatomy and Physiology in Health and Illness</w:t>
      </w:r>
      <w:r w:rsidRPr="00A95F27">
        <w:rPr>
          <w:rFonts w:ascii="Arial" w:hAnsi="Arial" w:cs="Arial"/>
        </w:rPr>
        <w:t>. 13th ed. Edinburgh: Elsevier.</w:t>
      </w:r>
    </w:p>
    <w:p w14:paraId="75B81492" w14:textId="77777777" w:rsidR="00A95F27" w:rsidRPr="00A95F27" w:rsidRDefault="00A95F27" w:rsidP="00A95F27">
      <w:pPr>
        <w:spacing w:line="360" w:lineRule="auto"/>
        <w:jc w:val="both"/>
        <w:rPr>
          <w:rFonts w:ascii="Arial" w:hAnsi="Arial" w:cs="Arial"/>
        </w:rPr>
      </w:pPr>
      <w:proofErr w:type="spellStart"/>
      <w:r w:rsidRPr="00A95F27">
        <w:rPr>
          <w:rFonts w:ascii="Arial" w:hAnsi="Arial" w:cs="Arial"/>
        </w:rPr>
        <w:t>Siminerio</w:t>
      </w:r>
      <w:proofErr w:type="spellEnd"/>
      <w:r w:rsidRPr="00A95F27">
        <w:rPr>
          <w:rFonts w:ascii="Arial" w:hAnsi="Arial" w:cs="Arial"/>
        </w:rPr>
        <w:t xml:space="preserve">, L.M. (2015) ‘Diabetes education and support: Cornerstones of care for diabetes self-management’, </w:t>
      </w:r>
      <w:r w:rsidRPr="00A95F27">
        <w:rPr>
          <w:rFonts w:ascii="Arial" w:hAnsi="Arial" w:cs="Arial"/>
          <w:i/>
          <w:iCs/>
        </w:rPr>
        <w:t>Diabetes Spectrum</w:t>
      </w:r>
      <w:r w:rsidRPr="00A95F27">
        <w:rPr>
          <w:rFonts w:ascii="Arial" w:hAnsi="Arial" w:cs="Arial"/>
        </w:rPr>
        <w:t>, 28(4), pp. 225–230.</w:t>
      </w:r>
    </w:p>
    <w:p w14:paraId="31FA0E8A" w14:textId="77777777" w:rsidR="00A95F27" w:rsidRPr="00A95F27" w:rsidRDefault="00A95F27" w:rsidP="00A95F27">
      <w:pPr>
        <w:spacing w:line="360" w:lineRule="auto"/>
        <w:jc w:val="both"/>
        <w:rPr>
          <w:rFonts w:ascii="Arial" w:hAnsi="Arial" w:cs="Arial"/>
        </w:rPr>
      </w:pPr>
      <w:r w:rsidRPr="00A95F27">
        <w:rPr>
          <w:rFonts w:ascii="Arial" w:hAnsi="Arial" w:cs="Arial"/>
        </w:rPr>
        <w:t xml:space="preserve">Sturgeon, D. (2018) </w:t>
      </w:r>
      <w:r w:rsidRPr="00A95F27">
        <w:rPr>
          <w:rFonts w:ascii="Arial" w:hAnsi="Arial" w:cs="Arial"/>
          <w:i/>
          <w:iCs/>
        </w:rPr>
        <w:t>Introduction to Anatomy and Physiology for Health Care Students</w:t>
      </w:r>
      <w:r w:rsidRPr="00A95F27">
        <w:rPr>
          <w:rFonts w:ascii="Arial" w:hAnsi="Arial" w:cs="Arial"/>
        </w:rPr>
        <w:t>. London: Routledge.</w:t>
      </w:r>
    </w:p>
    <w:p w14:paraId="610C9461" w14:textId="77777777" w:rsidR="00A95F27" w:rsidRPr="00A95F27" w:rsidRDefault="00A95F27" w:rsidP="00A95F27">
      <w:pPr>
        <w:spacing w:line="360" w:lineRule="auto"/>
        <w:jc w:val="both"/>
        <w:rPr>
          <w:rFonts w:ascii="Arial" w:hAnsi="Arial" w:cs="Arial"/>
        </w:rPr>
      </w:pPr>
      <w:r w:rsidRPr="00A95F27">
        <w:rPr>
          <w:rFonts w:ascii="Arial" w:hAnsi="Arial" w:cs="Arial"/>
        </w:rPr>
        <w:t xml:space="preserve">World Health Organization (2023) </w:t>
      </w:r>
      <w:r w:rsidRPr="00A95F27">
        <w:rPr>
          <w:rFonts w:ascii="Arial" w:hAnsi="Arial" w:cs="Arial"/>
          <w:i/>
          <w:iCs/>
        </w:rPr>
        <w:t>Diabetes: Fact Sheet</w:t>
      </w:r>
      <w:r w:rsidRPr="00A95F27">
        <w:rPr>
          <w:rFonts w:ascii="Arial" w:hAnsi="Arial" w:cs="Arial"/>
        </w:rPr>
        <w:t xml:space="preserve">. Available at: </w:t>
      </w:r>
      <w:hyperlink r:id="rId9" w:tgtFrame="_new" w:history="1">
        <w:r w:rsidRPr="00A95F27">
          <w:rPr>
            <w:rStyle w:val="Hyperlink"/>
            <w:rFonts w:ascii="Arial" w:hAnsi="Arial" w:cs="Arial"/>
          </w:rPr>
          <w:t>https://www.who.int/news-room/fact-sheets/detail/diabetes</w:t>
        </w:r>
      </w:hyperlink>
      <w:r w:rsidRPr="00A95F27">
        <w:rPr>
          <w:rFonts w:ascii="Arial" w:hAnsi="Arial" w:cs="Arial"/>
        </w:rPr>
        <w:t xml:space="preserve"> (Accessed: 20 October 2025).</w:t>
      </w:r>
    </w:p>
    <w:p w14:paraId="3AA53BAF" w14:textId="77777777" w:rsidR="00A95F27" w:rsidRPr="00A95F27" w:rsidRDefault="00A95F27" w:rsidP="00A95F27">
      <w:pPr>
        <w:spacing w:line="360" w:lineRule="auto"/>
        <w:jc w:val="both"/>
        <w:rPr>
          <w:rFonts w:ascii="Arial" w:hAnsi="Arial" w:cs="Arial"/>
        </w:rPr>
      </w:pPr>
      <w:r w:rsidRPr="00A95F27">
        <w:rPr>
          <w:rFonts w:ascii="Arial" w:hAnsi="Arial" w:cs="Arial"/>
        </w:rPr>
        <w:t xml:space="preserve">World Health Organization (2021) </w:t>
      </w:r>
      <w:r w:rsidRPr="00A95F27">
        <w:rPr>
          <w:rFonts w:ascii="Arial" w:hAnsi="Arial" w:cs="Arial"/>
          <w:i/>
          <w:iCs/>
        </w:rPr>
        <w:t>Global Report on Diabetes</w:t>
      </w:r>
      <w:r w:rsidRPr="00A95F27">
        <w:rPr>
          <w:rFonts w:ascii="Arial" w:hAnsi="Arial" w:cs="Arial"/>
        </w:rPr>
        <w:t xml:space="preserve">. Geneva: WHO. Available at: </w:t>
      </w:r>
      <w:hyperlink r:id="rId10" w:tgtFrame="_new" w:history="1">
        <w:r w:rsidRPr="00A95F27">
          <w:rPr>
            <w:rStyle w:val="Hyperlink"/>
            <w:rFonts w:ascii="Arial" w:hAnsi="Arial" w:cs="Arial"/>
          </w:rPr>
          <w:t>https://www.who.int/publications/i/item/global-report-on-diabetes</w:t>
        </w:r>
      </w:hyperlink>
      <w:r w:rsidRPr="00A95F27">
        <w:rPr>
          <w:rFonts w:ascii="Arial" w:hAnsi="Arial" w:cs="Arial"/>
        </w:rPr>
        <w:t xml:space="preserve"> (Accessed: 20 October 2025).</w:t>
      </w:r>
    </w:p>
    <w:p w14:paraId="6FEF785F" w14:textId="77777777" w:rsidR="00A95F27" w:rsidRPr="00A95F27" w:rsidRDefault="00A95F27" w:rsidP="00A95F27">
      <w:pPr>
        <w:spacing w:line="360" w:lineRule="auto"/>
        <w:jc w:val="both"/>
        <w:rPr>
          <w:rFonts w:ascii="Arial" w:hAnsi="Arial" w:cs="Arial"/>
        </w:rPr>
      </w:pPr>
      <w:r w:rsidRPr="00A95F27">
        <w:rPr>
          <w:rFonts w:ascii="Arial" w:hAnsi="Arial" w:cs="Arial"/>
        </w:rPr>
        <w:t xml:space="preserve">American Diabetes Association (2023) ‘Standards of medical care in diabetes’, </w:t>
      </w:r>
      <w:r w:rsidRPr="00A95F27">
        <w:rPr>
          <w:rFonts w:ascii="Arial" w:hAnsi="Arial" w:cs="Arial"/>
          <w:i/>
          <w:iCs/>
        </w:rPr>
        <w:t>Diabetes Care</w:t>
      </w:r>
      <w:r w:rsidRPr="00A95F27">
        <w:rPr>
          <w:rFonts w:ascii="Arial" w:hAnsi="Arial" w:cs="Arial"/>
        </w:rPr>
        <w:t>, 46(Supplement 1), pp. S1–S150.</w:t>
      </w:r>
    </w:p>
    <w:p w14:paraId="50E9BF82" w14:textId="77777777" w:rsidR="00A95F27" w:rsidRPr="00A95F27" w:rsidRDefault="00A95F27" w:rsidP="00A95F27">
      <w:pPr>
        <w:spacing w:line="360" w:lineRule="auto"/>
        <w:jc w:val="both"/>
        <w:rPr>
          <w:rFonts w:ascii="Arial" w:hAnsi="Arial" w:cs="Arial"/>
        </w:rPr>
      </w:pPr>
      <w:r w:rsidRPr="00A95F27">
        <w:rPr>
          <w:rFonts w:ascii="Arial" w:hAnsi="Arial" w:cs="Arial"/>
        </w:rPr>
        <w:t xml:space="preserve">International Diabetes Federation (2022) </w:t>
      </w:r>
      <w:r w:rsidRPr="00A95F27">
        <w:rPr>
          <w:rFonts w:ascii="Arial" w:hAnsi="Arial" w:cs="Arial"/>
          <w:i/>
          <w:iCs/>
        </w:rPr>
        <w:t>IDF Diabetes Atlas</w:t>
      </w:r>
      <w:r w:rsidRPr="00A95F27">
        <w:rPr>
          <w:rFonts w:ascii="Arial" w:hAnsi="Arial" w:cs="Arial"/>
        </w:rPr>
        <w:t>. 10th ed. Brussels: IDF. Available at: https://diabetesatlas.org/ (Accessed: 20 October 2025).</w:t>
      </w:r>
    </w:p>
    <w:p w14:paraId="631F14B8" w14:textId="375AC9BD" w:rsidR="00304835" w:rsidRPr="00A95F27" w:rsidRDefault="00D93FE0" w:rsidP="005775C7">
      <w:pPr>
        <w:spacing w:line="360" w:lineRule="auto"/>
        <w:jc w:val="both"/>
        <w:rPr>
          <w:rFonts w:ascii="Arial" w:hAnsi="Arial" w:cs="Arial"/>
          <w:b/>
          <w:bCs/>
        </w:rPr>
      </w:pPr>
      <w:r w:rsidRPr="00A95F27">
        <w:rPr>
          <w:rFonts w:ascii="Arial" w:hAnsi="Arial" w:cs="Arial"/>
          <w:b/>
          <w:bCs/>
        </w:rPr>
        <w:lastRenderedPageBreak/>
        <w:br/>
      </w:r>
    </w:p>
    <w:sectPr w:rsidR="00304835" w:rsidRPr="00A95F27" w:rsidSect="00C2757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C0E46" w14:textId="77777777" w:rsidR="00C27579" w:rsidRDefault="00C27579" w:rsidP="00C27579">
      <w:pPr>
        <w:spacing w:after="0" w:line="240" w:lineRule="auto"/>
      </w:pPr>
      <w:r>
        <w:separator/>
      </w:r>
    </w:p>
  </w:endnote>
  <w:endnote w:type="continuationSeparator" w:id="0">
    <w:p w14:paraId="42FB85EE" w14:textId="77777777" w:rsidR="00C27579" w:rsidRDefault="00C27579" w:rsidP="00C27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323618"/>
      <w:docPartObj>
        <w:docPartGallery w:val="Page Numbers (Bottom of Page)"/>
        <w:docPartUnique/>
      </w:docPartObj>
    </w:sdtPr>
    <w:sdtEndPr/>
    <w:sdtContent>
      <w:p w14:paraId="2FC05EFA" w14:textId="18AECF3A" w:rsidR="00C27579" w:rsidRDefault="00C27579">
        <w:pPr>
          <w:pStyle w:val="Footer"/>
          <w:jc w:val="center"/>
        </w:pPr>
        <w:r>
          <w:fldChar w:fldCharType="begin"/>
        </w:r>
        <w:r>
          <w:instrText>PAGE   \* MERGEFORMAT</w:instrText>
        </w:r>
        <w:r>
          <w:fldChar w:fldCharType="separate"/>
        </w:r>
        <w:r>
          <w:t>2</w:t>
        </w:r>
        <w:r>
          <w:fldChar w:fldCharType="end"/>
        </w:r>
      </w:p>
    </w:sdtContent>
  </w:sdt>
  <w:p w14:paraId="52089569" w14:textId="77777777" w:rsidR="00C27579" w:rsidRDefault="00C27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ED5AA" w14:textId="77777777" w:rsidR="00C27579" w:rsidRDefault="00C27579" w:rsidP="00C27579">
      <w:pPr>
        <w:spacing w:after="0" w:line="240" w:lineRule="auto"/>
      </w:pPr>
      <w:r>
        <w:separator/>
      </w:r>
    </w:p>
  </w:footnote>
  <w:footnote w:type="continuationSeparator" w:id="0">
    <w:p w14:paraId="5917DDF2" w14:textId="77777777" w:rsidR="00C27579" w:rsidRDefault="00C27579" w:rsidP="00C275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F86E21"/>
    <w:multiLevelType w:val="hybridMultilevel"/>
    <w:tmpl w:val="FB1AC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8233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579"/>
    <w:rsid w:val="0009068A"/>
    <w:rsid w:val="000F1F64"/>
    <w:rsid w:val="00304835"/>
    <w:rsid w:val="00501518"/>
    <w:rsid w:val="005775C7"/>
    <w:rsid w:val="005849AA"/>
    <w:rsid w:val="005932DF"/>
    <w:rsid w:val="00784725"/>
    <w:rsid w:val="009C4CC7"/>
    <w:rsid w:val="00A95F27"/>
    <w:rsid w:val="00B25D7B"/>
    <w:rsid w:val="00BE3320"/>
    <w:rsid w:val="00C27579"/>
    <w:rsid w:val="00D202E2"/>
    <w:rsid w:val="00D404F2"/>
    <w:rsid w:val="00D93FE0"/>
    <w:rsid w:val="00EB6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F70E3"/>
  <w15:chartTrackingRefBased/>
  <w15:docId w15:val="{91FFB2D3-FA5E-4969-9DB4-0319CC9E2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5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75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75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75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75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75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5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5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5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5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75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75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75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75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75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5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5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579"/>
    <w:rPr>
      <w:rFonts w:eastAsiaTheme="majorEastAsia" w:cstheme="majorBidi"/>
      <w:color w:val="272727" w:themeColor="text1" w:themeTint="D8"/>
    </w:rPr>
  </w:style>
  <w:style w:type="paragraph" w:styleId="Title">
    <w:name w:val="Title"/>
    <w:basedOn w:val="Normal"/>
    <w:next w:val="Normal"/>
    <w:link w:val="TitleChar"/>
    <w:uiPriority w:val="10"/>
    <w:qFormat/>
    <w:rsid w:val="00C275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5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5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5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579"/>
    <w:pPr>
      <w:spacing w:before="160"/>
      <w:jc w:val="center"/>
    </w:pPr>
    <w:rPr>
      <w:i/>
      <w:iCs/>
      <w:color w:val="404040" w:themeColor="text1" w:themeTint="BF"/>
    </w:rPr>
  </w:style>
  <w:style w:type="character" w:customStyle="1" w:styleId="QuoteChar">
    <w:name w:val="Quote Char"/>
    <w:basedOn w:val="DefaultParagraphFont"/>
    <w:link w:val="Quote"/>
    <w:uiPriority w:val="29"/>
    <w:rsid w:val="00C27579"/>
    <w:rPr>
      <w:i/>
      <w:iCs/>
      <w:color w:val="404040" w:themeColor="text1" w:themeTint="BF"/>
    </w:rPr>
  </w:style>
  <w:style w:type="paragraph" w:styleId="ListParagraph">
    <w:name w:val="List Paragraph"/>
    <w:basedOn w:val="Normal"/>
    <w:uiPriority w:val="34"/>
    <w:qFormat/>
    <w:rsid w:val="00C27579"/>
    <w:pPr>
      <w:ind w:left="720"/>
      <w:contextualSpacing/>
    </w:pPr>
  </w:style>
  <w:style w:type="character" w:styleId="IntenseEmphasis">
    <w:name w:val="Intense Emphasis"/>
    <w:basedOn w:val="DefaultParagraphFont"/>
    <w:uiPriority w:val="21"/>
    <w:qFormat/>
    <w:rsid w:val="00C27579"/>
    <w:rPr>
      <w:i/>
      <w:iCs/>
      <w:color w:val="0F4761" w:themeColor="accent1" w:themeShade="BF"/>
    </w:rPr>
  </w:style>
  <w:style w:type="paragraph" w:styleId="IntenseQuote">
    <w:name w:val="Intense Quote"/>
    <w:basedOn w:val="Normal"/>
    <w:next w:val="Normal"/>
    <w:link w:val="IntenseQuoteChar"/>
    <w:uiPriority w:val="30"/>
    <w:qFormat/>
    <w:rsid w:val="00C275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7579"/>
    <w:rPr>
      <w:i/>
      <w:iCs/>
      <w:color w:val="0F4761" w:themeColor="accent1" w:themeShade="BF"/>
    </w:rPr>
  </w:style>
  <w:style w:type="character" w:styleId="IntenseReference">
    <w:name w:val="Intense Reference"/>
    <w:basedOn w:val="DefaultParagraphFont"/>
    <w:uiPriority w:val="32"/>
    <w:qFormat/>
    <w:rsid w:val="00C27579"/>
    <w:rPr>
      <w:b/>
      <w:bCs/>
      <w:smallCaps/>
      <w:color w:val="0F4761" w:themeColor="accent1" w:themeShade="BF"/>
      <w:spacing w:val="5"/>
    </w:rPr>
  </w:style>
  <w:style w:type="paragraph" w:styleId="NoSpacing">
    <w:name w:val="No Spacing"/>
    <w:link w:val="NoSpacingChar"/>
    <w:uiPriority w:val="1"/>
    <w:qFormat/>
    <w:rsid w:val="00C2757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27579"/>
    <w:rPr>
      <w:rFonts w:eastAsiaTheme="minorEastAsia"/>
      <w:kern w:val="0"/>
      <w:lang w:eastAsia="en-GB"/>
      <w14:ligatures w14:val="none"/>
    </w:rPr>
  </w:style>
  <w:style w:type="paragraph" w:styleId="Header">
    <w:name w:val="header"/>
    <w:basedOn w:val="Normal"/>
    <w:link w:val="HeaderChar"/>
    <w:uiPriority w:val="99"/>
    <w:unhideWhenUsed/>
    <w:rsid w:val="00C27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579"/>
  </w:style>
  <w:style w:type="paragraph" w:styleId="Footer">
    <w:name w:val="footer"/>
    <w:basedOn w:val="Normal"/>
    <w:link w:val="FooterChar"/>
    <w:uiPriority w:val="99"/>
    <w:unhideWhenUsed/>
    <w:rsid w:val="00C27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579"/>
  </w:style>
  <w:style w:type="character" w:styleId="Hyperlink">
    <w:name w:val="Hyperlink"/>
    <w:basedOn w:val="DefaultParagraphFont"/>
    <w:uiPriority w:val="99"/>
    <w:unhideWhenUsed/>
    <w:rsid w:val="00A95F27"/>
    <w:rPr>
      <w:color w:val="467886" w:themeColor="hyperlink"/>
      <w:u w:val="single"/>
    </w:rPr>
  </w:style>
  <w:style w:type="character" w:styleId="UnresolvedMention">
    <w:name w:val="Unresolved Mention"/>
    <w:basedOn w:val="DefaultParagraphFont"/>
    <w:uiPriority w:val="99"/>
    <w:semiHidden/>
    <w:unhideWhenUsed/>
    <w:rsid w:val="00A95F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ddk.nih.gov/health-information/diabetes/overview/what-is-diabet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who.int/publications/i/item/global-report-on-diabetes" TargetMode="External"/><Relationship Id="rId4" Type="http://schemas.openxmlformats.org/officeDocument/2006/relationships/settings" Target="settings.xml"/><Relationship Id="rId9"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7EE3FD-12F3-4A18-9993-0C013CB41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2390</Words>
  <Characters>13626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BMHP5023 – Component 1</dc:subject>
  <dc:creator>Sandra Adina Ontica</dc:creator>
  <cp:keywords/>
  <dc:description/>
  <cp:lastModifiedBy>Alina Elena Adavidoaie</cp:lastModifiedBy>
  <cp:revision>2</cp:revision>
  <dcterms:created xsi:type="dcterms:W3CDTF">2025-10-21T14:37:00Z</dcterms:created>
  <dcterms:modified xsi:type="dcterms:W3CDTF">2025-10-21T16:28:00Z</dcterms:modified>
  <cp:category>Student ID: 2322796</cp:category>
</cp:coreProperties>
</file>