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5416" w:rsidRPr="00765416" w:rsidRDefault="00765416" w:rsidP="0076541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765416">
        <w:rPr>
          <w:rFonts w:ascii="Times New Roman" w:eastAsia="Times New Roman" w:hAnsi="Times New Roman" w:cs="Times New Roman"/>
          <w:b/>
          <w:bCs/>
          <w:kern w:val="36"/>
          <w:sz w:val="48"/>
          <w:szCs w:val="48"/>
          <w:lang w:eastAsia="en-GB"/>
        </w:rPr>
        <w:t>Observation</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i/>
          <w:iCs/>
          <w:sz w:val="24"/>
          <w:szCs w:val="24"/>
          <w:lang w:eastAsia="en-GB"/>
        </w:rPr>
        <w:t>Defined</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Observation is a systematic data collection approach.  Researchers use all of their senses to examine people in natural settings or naturally occurring situations.</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Observation of a field setting involves:</w:t>
      </w:r>
    </w:p>
    <w:p w:rsidR="00765416" w:rsidRPr="00765416" w:rsidRDefault="00765416" w:rsidP="0076541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6" w:history="1">
        <w:r w:rsidRPr="00765416">
          <w:rPr>
            <w:rFonts w:ascii="Times New Roman" w:eastAsia="Times New Roman" w:hAnsi="Times New Roman" w:cs="Times New Roman"/>
            <w:color w:val="0000FF"/>
            <w:sz w:val="24"/>
            <w:szCs w:val="24"/>
            <w:u w:val="single"/>
            <w:lang w:eastAsia="en-GB"/>
          </w:rPr>
          <w:t>prolonged engagement</w:t>
        </w:r>
      </w:hyperlink>
      <w:r w:rsidRPr="00765416">
        <w:rPr>
          <w:rFonts w:ascii="Times New Roman" w:eastAsia="Times New Roman" w:hAnsi="Times New Roman" w:cs="Times New Roman"/>
          <w:sz w:val="24"/>
          <w:szCs w:val="24"/>
          <w:lang w:eastAsia="en-GB"/>
        </w:rPr>
        <w:t xml:space="preserve"> in a setting or social situation</w:t>
      </w:r>
    </w:p>
    <w:p w:rsidR="00765416" w:rsidRPr="00765416" w:rsidRDefault="00765416" w:rsidP="00765416">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clearly expressed, self-conscious notations of how observing is done</w:t>
      </w:r>
    </w:p>
    <w:p w:rsidR="00765416" w:rsidRPr="00765416" w:rsidRDefault="00765416" w:rsidP="0076541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methodical and tactical improvisation in order to develop a full understanding of the setting of interest</w:t>
      </w:r>
    </w:p>
    <w:p w:rsidR="00765416" w:rsidRPr="00765416" w:rsidRDefault="00765416" w:rsidP="00765416">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imparting attention in ways that is in some sense 'standardized'</w:t>
      </w:r>
    </w:p>
    <w:p w:rsidR="00765416" w:rsidRPr="00765416" w:rsidRDefault="00765416" w:rsidP="0076541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recording one's observations</w:t>
      </w:r>
    </w:p>
    <w:p w:rsidR="00765416" w:rsidRPr="00765416" w:rsidRDefault="00765416" w:rsidP="00765416">
      <w:pPr>
        <w:spacing w:after="0"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pict>
          <v:rect id="_x0000_i1025" style="width:0;height:1.5pt" o:hralign="center" o:hrstd="t" o:hr="t" fillcolor="#a0a0a0" stroked="f"/>
        </w:pic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i/>
          <w:iCs/>
          <w:sz w:val="24"/>
          <w:szCs w:val="24"/>
          <w:lang w:eastAsia="en-GB"/>
        </w:rPr>
        <w:t>Participant Observation</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Some researchers draw a distinction between participant observation and observation.  This distinction is murky.  </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Participant observation "combines participation in the lives of the people being studied with maintenance of a professional distance that allows adequate observation and recording of data" (</w:t>
      </w:r>
      <w:proofErr w:type="spellStart"/>
      <w:r w:rsidRPr="00765416">
        <w:rPr>
          <w:rFonts w:ascii="Times New Roman" w:eastAsia="Times New Roman" w:hAnsi="Times New Roman" w:cs="Times New Roman"/>
          <w:sz w:val="24"/>
          <w:szCs w:val="24"/>
          <w:lang w:eastAsia="en-GB"/>
        </w:rPr>
        <w:t>Fetterman</w:t>
      </w:r>
      <w:proofErr w:type="spellEnd"/>
      <w:r w:rsidRPr="00765416">
        <w:rPr>
          <w:rFonts w:ascii="Times New Roman" w:eastAsia="Times New Roman" w:hAnsi="Times New Roman" w:cs="Times New Roman"/>
          <w:sz w:val="24"/>
          <w:szCs w:val="24"/>
          <w:lang w:eastAsia="en-GB"/>
        </w:rPr>
        <w:t>, 1998, pp. 34-35).</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Participant observation underscores the person's role as participant in the social setting he or she observes.  The range of roles one may play as a participant observer have been describe by </w:t>
      </w:r>
      <w:hyperlink r:id="rId7" w:tgtFrame="_blank" w:history="1">
        <w:r w:rsidRPr="00765416">
          <w:rPr>
            <w:rFonts w:ascii="Times New Roman" w:eastAsia="Times New Roman" w:hAnsi="Times New Roman" w:cs="Times New Roman"/>
            <w:color w:val="0000FF"/>
            <w:sz w:val="24"/>
            <w:szCs w:val="24"/>
            <w:u w:val="single"/>
            <w:lang w:eastAsia="en-GB"/>
          </w:rPr>
          <w:t>Gold (1958)</w:t>
        </w:r>
      </w:hyperlink>
      <w:r w:rsidRPr="00765416">
        <w:rPr>
          <w:rFonts w:ascii="Times New Roman" w:eastAsia="Times New Roman" w:hAnsi="Times New Roman" w:cs="Times New Roman"/>
          <w:sz w:val="24"/>
          <w:szCs w:val="24"/>
          <w:lang w:eastAsia="en-GB"/>
        </w:rPr>
        <w:t xml:space="preserve">, </w:t>
      </w:r>
      <w:hyperlink r:id="rId8" w:tgtFrame="_blank" w:history="1">
        <w:r w:rsidRPr="00765416">
          <w:rPr>
            <w:rFonts w:ascii="Times New Roman" w:eastAsia="Times New Roman" w:hAnsi="Times New Roman" w:cs="Times New Roman"/>
            <w:color w:val="0000FF"/>
            <w:sz w:val="24"/>
            <w:szCs w:val="24"/>
            <w:u w:val="single"/>
            <w:lang w:eastAsia="en-GB"/>
          </w:rPr>
          <w:t>Adler and Adler (1984)</w:t>
        </w:r>
      </w:hyperlink>
      <w:r w:rsidRPr="00765416">
        <w:rPr>
          <w:rFonts w:ascii="Times New Roman" w:eastAsia="Times New Roman" w:hAnsi="Times New Roman" w:cs="Times New Roman"/>
          <w:sz w:val="24"/>
          <w:szCs w:val="24"/>
          <w:lang w:eastAsia="en-GB"/>
        </w:rPr>
        <w:t xml:space="preserve"> and others. </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Bernard (1998) suggests that participant observation must be learned in the field.  However, he identifies </w:t>
      </w:r>
      <w:proofErr w:type="spellStart"/>
      <w:r w:rsidRPr="00765416">
        <w:rPr>
          <w:rFonts w:ascii="Times New Roman" w:eastAsia="Times New Roman" w:hAnsi="Times New Roman" w:cs="Times New Roman"/>
          <w:sz w:val="24"/>
          <w:szCs w:val="24"/>
          <w:lang w:eastAsia="en-GB"/>
        </w:rPr>
        <w:t>serveral</w:t>
      </w:r>
      <w:proofErr w:type="spellEnd"/>
      <w:r w:rsidRPr="00765416">
        <w:rPr>
          <w:rFonts w:ascii="Times New Roman" w:eastAsia="Times New Roman" w:hAnsi="Times New Roman" w:cs="Times New Roman"/>
          <w:sz w:val="24"/>
          <w:szCs w:val="24"/>
          <w:lang w:eastAsia="en-GB"/>
        </w:rPr>
        <w:t xml:space="preserve"> skills associated with participant observation.  </w:t>
      </w:r>
      <w:hyperlink r:id="rId9" w:history="1">
        <w:r w:rsidRPr="00765416">
          <w:rPr>
            <w:rFonts w:ascii="Times New Roman" w:eastAsia="Times New Roman" w:hAnsi="Times New Roman" w:cs="Times New Roman"/>
            <w:color w:val="0000FF"/>
            <w:sz w:val="24"/>
            <w:szCs w:val="24"/>
            <w:u w:val="single"/>
            <w:lang w:eastAsia="en-GB"/>
          </w:rPr>
          <w:t>Click here</w:t>
        </w:r>
      </w:hyperlink>
      <w:r w:rsidRPr="00765416">
        <w:rPr>
          <w:rFonts w:ascii="Times New Roman" w:eastAsia="Times New Roman" w:hAnsi="Times New Roman" w:cs="Times New Roman"/>
          <w:sz w:val="24"/>
          <w:szCs w:val="24"/>
          <w:lang w:eastAsia="en-GB"/>
        </w:rPr>
        <w:t xml:space="preserve"> for more.</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For a more developed discussion of the distinction between observation and participant observation see Savage (2000) and for a discussion of participant observation as a methodology see Jorgensen (1989).</w:t>
      </w:r>
    </w:p>
    <w:p w:rsidR="00765416" w:rsidRPr="00765416" w:rsidRDefault="00765416" w:rsidP="00765416">
      <w:pPr>
        <w:spacing w:after="0"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pict>
          <v:rect id="_x0000_i1026" style="width:0;height:1.5pt" o:hralign="center" o:hrstd="t" o:hr="t" fillcolor="#a0a0a0" stroked="f"/>
        </w:pic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i/>
          <w:iCs/>
          <w:sz w:val="24"/>
          <w:szCs w:val="24"/>
          <w:lang w:eastAsia="en-GB"/>
        </w:rPr>
        <w:t>When might observation be used?</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There are a variety of reasons for collecting observational data.  Some of these reasons include:</w:t>
      </w:r>
    </w:p>
    <w:p w:rsidR="00765416" w:rsidRPr="00765416" w:rsidRDefault="00765416" w:rsidP="00765416">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lastRenderedPageBreak/>
        <w:t>When the nature of the research question to be answered is focused on answering a </w:t>
      </w:r>
      <w:proofErr w:type="spellStart"/>
      <w:r w:rsidRPr="00765416">
        <w:rPr>
          <w:rFonts w:ascii="Times New Roman" w:eastAsia="Times New Roman" w:hAnsi="Times New Roman" w:cs="Times New Roman"/>
          <w:sz w:val="24"/>
          <w:szCs w:val="24"/>
          <w:lang w:eastAsia="en-GB"/>
        </w:rPr>
        <w:t>how</w:t>
      </w:r>
      <w:proofErr w:type="spellEnd"/>
      <w:r w:rsidRPr="00765416">
        <w:rPr>
          <w:rFonts w:ascii="Times New Roman" w:eastAsia="Times New Roman" w:hAnsi="Times New Roman" w:cs="Times New Roman"/>
          <w:sz w:val="24"/>
          <w:szCs w:val="24"/>
          <w:lang w:eastAsia="en-GB"/>
        </w:rPr>
        <w:t>- or what-type question</w:t>
      </w:r>
    </w:p>
    <w:p w:rsidR="00765416" w:rsidRPr="00765416" w:rsidRDefault="00765416" w:rsidP="00765416">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When the topic is relatively unexplored and little is known to explain the </w:t>
      </w:r>
      <w:proofErr w:type="spellStart"/>
      <w:r w:rsidRPr="00765416">
        <w:rPr>
          <w:rFonts w:ascii="Times New Roman" w:eastAsia="Times New Roman" w:hAnsi="Times New Roman" w:cs="Times New Roman"/>
          <w:sz w:val="24"/>
          <w:szCs w:val="24"/>
          <w:lang w:eastAsia="en-GB"/>
        </w:rPr>
        <w:t>behavior</w:t>
      </w:r>
      <w:proofErr w:type="spellEnd"/>
      <w:r w:rsidRPr="00765416">
        <w:rPr>
          <w:rFonts w:ascii="Times New Roman" w:eastAsia="Times New Roman" w:hAnsi="Times New Roman" w:cs="Times New Roman"/>
          <w:sz w:val="24"/>
          <w:szCs w:val="24"/>
          <w:lang w:eastAsia="en-GB"/>
        </w:rPr>
        <w:t xml:space="preserve"> of people in a particular setting</w:t>
      </w:r>
    </w:p>
    <w:p w:rsidR="00765416" w:rsidRPr="00765416" w:rsidRDefault="00765416" w:rsidP="00765416">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When understanding the meaning of a setting in a detailed way is valuable</w:t>
      </w:r>
    </w:p>
    <w:p w:rsidR="00765416" w:rsidRPr="00765416" w:rsidRDefault="00765416" w:rsidP="00765416">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When it is important to study a phenomenon in its natural setting</w:t>
      </w:r>
    </w:p>
    <w:p w:rsidR="00765416" w:rsidRPr="00765416" w:rsidRDefault="00765416" w:rsidP="00765416">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When self-report data (asking people what they do) is likely to be different from actual </w:t>
      </w:r>
      <w:proofErr w:type="spellStart"/>
      <w:r w:rsidRPr="00765416">
        <w:rPr>
          <w:rFonts w:ascii="Times New Roman" w:eastAsia="Times New Roman" w:hAnsi="Times New Roman" w:cs="Times New Roman"/>
          <w:sz w:val="24"/>
          <w:szCs w:val="24"/>
          <w:lang w:eastAsia="en-GB"/>
        </w:rPr>
        <w:t>behavior</w:t>
      </w:r>
      <w:proofErr w:type="spellEnd"/>
      <w:r w:rsidRPr="00765416">
        <w:rPr>
          <w:rFonts w:ascii="Times New Roman" w:eastAsia="Times New Roman" w:hAnsi="Times New Roman" w:cs="Times New Roman"/>
          <w:sz w:val="24"/>
          <w:szCs w:val="24"/>
          <w:lang w:eastAsia="en-GB"/>
        </w:rPr>
        <w:t xml:space="preserve"> (what people actually do). One example of this seen in the difference between self-reported versus observed preventive service delivery in health care settings.</w:t>
      </w:r>
    </w:p>
    <w:p w:rsidR="00765416" w:rsidRPr="00765416" w:rsidRDefault="00765416" w:rsidP="00765416">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When implementing an intervention in a natural setting, observation may be used in conjunction with other quantitative data collection techniques.  Observational data can help researchers evaluate the fidelity of an intervention across settings and identify when 'stasis' has been achieved.  </w:t>
      </w:r>
    </w:p>
    <w:p w:rsidR="00765416" w:rsidRPr="00765416" w:rsidRDefault="00765416" w:rsidP="00765416">
      <w:pPr>
        <w:spacing w:after="0"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pict>
          <v:rect id="_x0000_i1027" style="width:0;height:1.5pt" o:hralign="center" o:hrstd="t" o:hr="t" fillcolor="#a0a0a0" stroked="f"/>
        </w:pict>
      </w:r>
    </w:p>
    <w:p w:rsidR="00765416" w:rsidRPr="00765416" w:rsidRDefault="00765416" w:rsidP="00765416">
      <w:pPr>
        <w:spacing w:after="0"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pict>
          <v:rect id="_x0000_i1028" style="width:0;height:1.5pt" o:hralign="center" o:hrstd="t" o:hr="t" fillcolor="#a0a0a0" stroked="f"/>
        </w:pic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65416">
        <w:rPr>
          <w:rFonts w:ascii="Times New Roman" w:eastAsia="Times New Roman" w:hAnsi="Times New Roman" w:cs="Times New Roman"/>
          <w:sz w:val="24"/>
          <w:szCs w:val="24"/>
          <w:u w:val="single"/>
          <w:lang w:eastAsia="en-GB"/>
        </w:rPr>
        <w:t>Fieldnotes</w:t>
      </w:r>
      <w:proofErr w:type="spellEnd"/>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Participant observers may use multiple methods to gather data.  One primary approach involves writing </w:t>
      </w:r>
      <w:proofErr w:type="spellStart"/>
      <w:r w:rsidRPr="00765416">
        <w:rPr>
          <w:rFonts w:ascii="Times New Roman" w:eastAsia="Times New Roman" w:hAnsi="Times New Roman" w:cs="Times New Roman"/>
          <w:sz w:val="24"/>
          <w:szCs w:val="24"/>
          <w:lang w:eastAsia="en-GB"/>
        </w:rPr>
        <w:t>fieldnotes</w:t>
      </w:r>
      <w:proofErr w:type="spellEnd"/>
      <w:r w:rsidRPr="00765416">
        <w:rPr>
          <w:rFonts w:ascii="Times New Roman" w:eastAsia="Times New Roman" w:hAnsi="Times New Roman" w:cs="Times New Roman"/>
          <w:sz w:val="24"/>
          <w:szCs w:val="24"/>
          <w:lang w:eastAsia="en-GB"/>
        </w:rPr>
        <w:t xml:space="preserve">.  There are several guides for learning how to prepare </w:t>
      </w:r>
      <w:hyperlink r:id="rId10" w:tgtFrame="_blank" w:history="1">
        <w:proofErr w:type="spellStart"/>
        <w:r w:rsidRPr="00765416">
          <w:rPr>
            <w:rFonts w:ascii="Times New Roman" w:eastAsia="Times New Roman" w:hAnsi="Times New Roman" w:cs="Times New Roman"/>
            <w:color w:val="0000FF"/>
            <w:sz w:val="24"/>
            <w:szCs w:val="24"/>
            <w:u w:val="single"/>
            <w:lang w:eastAsia="en-GB"/>
          </w:rPr>
          <w:t>fieldnotes</w:t>
        </w:r>
        <w:proofErr w:type="spellEnd"/>
      </w:hyperlink>
      <w:r w:rsidRPr="00765416">
        <w:rPr>
          <w:rFonts w:ascii="Times New Roman" w:eastAsia="Times New Roman" w:hAnsi="Times New Roman" w:cs="Times New Roman"/>
          <w:sz w:val="24"/>
          <w:szCs w:val="24"/>
          <w:lang w:eastAsia="en-GB"/>
        </w:rPr>
        <w:t xml:space="preserve">.  </w:t>
      </w:r>
    </w:p>
    <w:p w:rsidR="00765416" w:rsidRPr="00765416" w:rsidRDefault="00765416" w:rsidP="00765416">
      <w:p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Researchers may be interested in creating or using a template to guide </w:t>
      </w:r>
      <w:proofErr w:type="gramStart"/>
      <w:r w:rsidRPr="00765416">
        <w:rPr>
          <w:rFonts w:ascii="Times New Roman" w:eastAsia="Times New Roman" w:hAnsi="Times New Roman" w:cs="Times New Roman"/>
          <w:sz w:val="24"/>
          <w:szCs w:val="24"/>
          <w:lang w:eastAsia="en-GB"/>
        </w:rPr>
        <w:t>a researchers</w:t>
      </w:r>
      <w:proofErr w:type="gramEnd"/>
      <w:r w:rsidRPr="00765416">
        <w:rPr>
          <w:rFonts w:ascii="Times New Roman" w:eastAsia="Times New Roman" w:hAnsi="Times New Roman" w:cs="Times New Roman"/>
          <w:sz w:val="24"/>
          <w:szCs w:val="24"/>
          <w:lang w:eastAsia="en-GB"/>
        </w:rPr>
        <w:t xml:space="preserve">' observations.  </w:t>
      </w:r>
    </w:p>
    <w:p w:rsidR="00765416" w:rsidRPr="00765416" w:rsidRDefault="00765416" w:rsidP="00765416">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Templates or observational coding sheets can be useful when data is collected by inexperienced observers</w:t>
      </w:r>
    </w:p>
    <w:p w:rsidR="00765416" w:rsidRPr="00765416" w:rsidRDefault="00765416" w:rsidP="00765416">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 xml:space="preserve">Templates or observational coding sheets should only be developed </w:t>
      </w:r>
      <w:r w:rsidRPr="00765416">
        <w:rPr>
          <w:rFonts w:ascii="Times New Roman" w:eastAsia="Times New Roman" w:hAnsi="Times New Roman" w:cs="Times New Roman"/>
          <w:sz w:val="24"/>
          <w:szCs w:val="24"/>
          <w:u w:val="single"/>
          <w:lang w:eastAsia="en-GB"/>
        </w:rPr>
        <w:t>after</w:t>
      </w:r>
      <w:r w:rsidRPr="00765416">
        <w:rPr>
          <w:rFonts w:ascii="Times New Roman" w:eastAsia="Times New Roman" w:hAnsi="Times New Roman" w:cs="Times New Roman"/>
          <w:sz w:val="24"/>
          <w:szCs w:val="24"/>
          <w:lang w:eastAsia="en-GB"/>
        </w:rPr>
        <w:t xml:space="preserve"> observation in the field that is not inhibited by such a template</w:t>
      </w:r>
    </w:p>
    <w:p w:rsidR="00765416" w:rsidRPr="00765416" w:rsidRDefault="00765416" w:rsidP="0076541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Theories and concepts can be driven by templates and result in focused data collection</w:t>
      </w:r>
    </w:p>
    <w:p w:rsidR="00765416" w:rsidRPr="00765416" w:rsidRDefault="00765416" w:rsidP="00765416">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t>Templates can deflect attention from unnamed categories, unimagined and unanticipated activities that can be very important to understanding a phenomenon and a setting </w:t>
      </w:r>
    </w:p>
    <w:p w:rsidR="00765416" w:rsidRPr="00765416" w:rsidRDefault="00765416" w:rsidP="00765416">
      <w:pPr>
        <w:spacing w:after="0" w:line="240" w:lineRule="auto"/>
        <w:rPr>
          <w:rFonts w:ascii="Times New Roman" w:eastAsia="Times New Roman" w:hAnsi="Times New Roman" w:cs="Times New Roman"/>
          <w:sz w:val="24"/>
          <w:szCs w:val="24"/>
          <w:lang w:eastAsia="en-GB"/>
        </w:rPr>
      </w:pPr>
      <w:r w:rsidRPr="00765416">
        <w:rPr>
          <w:rFonts w:ascii="Times New Roman" w:eastAsia="Times New Roman" w:hAnsi="Times New Roman" w:cs="Times New Roman"/>
          <w:sz w:val="24"/>
          <w:szCs w:val="24"/>
          <w:lang w:eastAsia="en-GB"/>
        </w:rPr>
        <w:pict>
          <v:rect id="_x0000_i1029" style="width:0;height:1.5pt" o:hralign="center" o:hrstd="t" o:hr="t" fillcolor="#a0a0a0" stroked="f"/>
        </w:pict>
      </w:r>
    </w:p>
    <w:p w:rsidR="00AB2869" w:rsidRDefault="00AB2869">
      <w:bookmarkStart w:id="0" w:name="_GoBack"/>
      <w:bookmarkEnd w:id="0"/>
    </w:p>
    <w:sectPr w:rsidR="00AB2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858F3"/>
    <w:multiLevelType w:val="multilevel"/>
    <w:tmpl w:val="38DE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6A3539"/>
    <w:multiLevelType w:val="multilevel"/>
    <w:tmpl w:val="2A40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B3461A"/>
    <w:multiLevelType w:val="multilevel"/>
    <w:tmpl w:val="1BBC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D44171E"/>
    <w:multiLevelType w:val="multilevel"/>
    <w:tmpl w:val="2BC4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4B469A7"/>
    <w:multiLevelType w:val="multilevel"/>
    <w:tmpl w:val="D9DC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7721DE"/>
    <w:multiLevelType w:val="multilevel"/>
    <w:tmpl w:val="F2C62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2B079C9"/>
    <w:multiLevelType w:val="multilevel"/>
    <w:tmpl w:val="EB70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4B273F8"/>
    <w:multiLevelType w:val="multilevel"/>
    <w:tmpl w:val="8C30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9AA1BD3"/>
    <w:multiLevelType w:val="multilevel"/>
    <w:tmpl w:val="5BB4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FC601E8"/>
    <w:multiLevelType w:val="multilevel"/>
    <w:tmpl w:val="7BA84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5092DF4"/>
    <w:multiLevelType w:val="multilevel"/>
    <w:tmpl w:val="6DB07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8AC2BE1"/>
    <w:multiLevelType w:val="multilevel"/>
    <w:tmpl w:val="1CDA1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09E06AC"/>
    <w:multiLevelType w:val="multilevel"/>
    <w:tmpl w:val="3032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CCB2880"/>
    <w:multiLevelType w:val="multilevel"/>
    <w:tmpl w:val="C2E45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86C48D3"/>
    <w:multiLevelType w:val="multilevel"/>
    <w:tmpl w:val="0690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9C902C1"/>
    <w:multiLevelType w:val="multilevel"/>
    <w:tmpl w:val="A380E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0025940"/>
    <w:multiLevelType w:val="multilevel"/>
    <w:tmpl w:val="71FEB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7F701D0"/>
    <w:multiLevelType w:val="multilevel"/>
    <w:tmpl w:val="6752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88B30CB"/>
    <w:multiLevelType w:val="multilevel"/>
    <w:tmpl w:val="5782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9"/>
  </w:num>
  <w:num w:numId="4">
    <w:abstractNumId w:val="4"/>
  </w:num>
  <w:num w:numId="5">
    <w:abstractNumId w:val="2"/>
  </w:num>
  <w:num w:numId="6">
    <w:abstractNumId w:val="13"/>
  </w:num>
  <w:num w:numId="7">
    <w:abstractNumId w:val="15"/>
  </w:num>
  <w:num w:numId="8">
    <w:abstractNumId w:val="11"/>
  </w:num>
  <w:num w:numId="9">
    <w:abstractNumId w:val="8"/>
  </w:num>
  <w:num w:numId="10">
    <w:abstractNumId w:val="14"/>
  </w:num>
  <w:num w:numId="11">
    <w:abstractNumId w:val="3"/>
  </w:num>
  <w:num w:numId="12">
    <w:abstractNumId w:val="10"/>
  </w:num>
  <w:num w:numId="13">
    <w:abstractNumId w:val="17"/>
  </w:num>
  <w:num w:numId="14">
    <w:abstractNumId w:val="0"/>
  </w:num>
  <w:num w:numId="15">
    <w:abstractNumId w:val="12"/>
  </w:num>
  <w:num w:numId="16">
    <w:abstractNumId w:val="16"/>
  </w:num>
  <w:num w:numId="17">
    <w:abstractNumId w:val="6"/>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5416"/>
    <w:rsid w:val="00584108"/>
    <w:rsid w:val="00765416"/>
    <w:rsid w:val="00AB2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654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41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65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65416"/>
    <w:rPr>
      <w:i/>
      <w:iCs/>
    </w:rPr>
  </w:style>
  <w:style w:type="character" w:styleId="Hyperlink">
    <w:name w:val="Hyperlink"/>
    <w:basedOn w:val="DefaultParagraphFont"/>
    <w:uiPriority w:val="99"/>
    <w:semiHidden/>
    <w:unhideWhenUsed/>
    <w:rsid w:val="00765416"/>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654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41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65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65416"/>
    <w:rPr>
      <w:i/>
      <w:iCs/>
    </w:rPr>
  </w:style>
  <w:style w:type="character" w:styleId="Hyperlink">
    <w:name w:val="Hyperlink"/>
    <w:basedOn w:val="DefaultParagraphFont"/>
    <w:uiPriority w:val="99"/>
    <w:semiHidden/>
    <w:unhideWhenUsed/>
    <w:rsid w:val="007654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0724044">
      <w:bodyDiv w:val="1"/>
      <w:marLeft w:val="0"/>
      <w:marRight w:val="0"/>
      <w:marTop w:val="0"/>
      <w:marBottom w:val="0"/>
      <w:divBdr>
        <w:top w:val="none" w:sz="0" w:space="0" w:color="auto"/>
        <w:left w:val="none" w:sz="0" w:space="0" w:color="auto"/>
        <w:bottom w:val="none" w:sz="0" w:space="0" w:color="auto"/>
        <w:right w:val="none" w:sz="0" w:space="0" w:color="auto"/>
      </w:divBdr>
      <w:divsChild>
        <w:div w:id="1517766895">
          <w:marLeft w:val="0"/>
          <w:marRight w:val="0"/>
          <w:marTop w:val="0"/>
          <w:marBottom w:val="0"/>
          <w:divBdr>
            <w:top w:val="none" w:sz="0" w:space="0" w:color="auto"/>
            <w:left w:val="none" w:sz="0" w:space="0" w:color="auto"/>
            <w:bottom w:val="none" w:sz="0" w:space="0" w:color="auto"/>
            <w:right w:val="none" w:sz="0" w:space="0" w:color="auto"/>
          </w:divBdr>
        </w:div>
        <w:div w:id="1087966969">
          <w:marLeft w:val="0"/>
          <w:marRight w:val="0"/>
          <w:marTop w:val="0"/>
          <w:marBottom w:val="0"/>
          <w:divBdr>
            <w:top w:val="none" w:sz="0" w:space="0" w:color="auto"/>
            <w:left w:val="none" w:sz="0" w:space="0" w:color="auto"/>
            <w:bottom w:val="none" w:sz="0" w:space="0" w:color="auto"/>
            <w:right w:val="none" w:sz="0" w:space="0" w:color="auto"/>
          </w:divBdr>
        </w:div>
        <w:div w:id="1628389230">
          <w:marLeft w:val="0"/>
          <w:marRight w:val="0"/>
          <w:marTop w:val="0"/>
          <w:marBottom w:val="0"/>
          <w:divBdr>
            <w:top w:val="none" w:sz="0" w:space="0" w:color="auto"/>
            <w:left w:val="none" w:sz="0" w:space="0" w:color="auto"/>
            <w:bottom w:val="none" w:sz="0" w:space="0" w:color="auto"/>
            <w:right w:val="none" w:sz="0" w:space="0" w:color="auto"/>
          </w:divBdr>
        </w:div>
        <w:div w:id="876431407">
          <w:marLeft w:val="0"/>
          <w:marRight w:val="0"/>
          <w:marTop w:val="0"/>
          <w:marBottom w:val="0"/>
          <w:divBdr>
            <w:top w:val="none" w:sz="0" w:space="0" w:color="auto"/>
            <w:left w:val="none" w:sz="0" w:space="0" w:color="auto"/>
            <w:bottom w:val="none" w:sz="0" w:space="0" w:color="auto"/>
            <w:right w:val="none" w:sz="0" w:space="0" w:color="auto"/>
          </w:divBdr>
        </w:div>
        <w:div w:id="1687096243">
          <w:marLeft w:val="0"/>
          <w:marRight w:val="0"/>
          <w:marTop w:val="0"/>
          <w:marBottom w:val="0"/>
          <w:divBdr>
            <w:top w:val="none" w:sz="0" w:space="0" w:color="auto"/>
            <w:left w:val="none" w:sz="0" w:space="0" w:color="auto"/>
            <w:bottom w:val="none" w:sz="0" w:space="0" w:color="auto"/>
            <w:right w:val="none" w:sz="0" w:space="0" w:color="auto"/>
          </w:divBdr>
        </w:div>
        <w:div w:id="1626496081">
          <w:marLeft w:val="0"/>
          <w:marRight w:val="0"/>
          <w:marTop w:val="0"/>
          <w:marBottom w:val="0"/>
          <w:divBdr>
            <w:top w:val="none" w:sz="0" w:space="0" w:color="auto"/>
            <w:left w:val="none" w:sz="0" w:space="0" w:color="auto"/>
            <w:bottom w:val="none" w:sz="0" w:space="0" w:color="auto"/>
            <w:right w:val="none" w:sz="0" w:space="0" w:color="auto"/>
          </w:divBdr>
        </w:div>
        <w:div w:id="2074618776">
          <w:marLeft w:val="0"/>
          <w:marRight w:val="0"/>
          <w:marTop w:val="0"/>
          <w:marBottom w:val="0"/>
          <w:divBdr>
            <w:top w:val="none" w:sz="0" w:space="0" w:color="auto"/>
            <w:left w:val="none" w:sz="0" w:space="0" w:color="auto"/>
            <w:bottom w:val="none" w:sz="0" w:space="0" w:color="auto"/>
            <w:right w:val="none" w:sz="0" w:space="0" w:color="auto"/>
          </w:divBdr>
        </w:div>
        <w:div w:id="1954360300">
          <w:marLeft w:val="0"/>
          <w:marRight w:val="0"/>
          <w:marTop w:val="0"/>
          <w:marBottom w:val="0"/>
          <w:divBdr>
            <w:top w:val="none" w:sz="0" w:space="0" w:color="auto"/>
            <w:left w:val="none" w:sz="0" w:space="0" w:color="auto"/>
            <w:bottom w:val="none" w:sz="0" w:space="0" w:color="auto"/>
            <w:right w:val="none" w:sz="0" w:space="0" w:color="auto"/>
          </w:divBdr>
        </w:div>
        <w:div w:id="909466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alres.org/HomeMemb-3649.html" TargetMode="External"/><Relationship Id="rId3" Type="http://schemas.microsoft.com/office/2007/relationships/stylesWithEffects" Target="stylesWithEffects.xml"/><Relationship Id="rId7" Type="http://schemas.openxmlformats.org/officeDocument/2006/relationships/hyperlink" Target="http://www.qualres.org/HomeGold-3648.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qualres.org/HomeProl-3690.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qualres.org/HomeFiel-3650.html" TargetMode="External"/><Relationship Id="rId4" Type="http://schemas.openxmlformats.org/officeDocument/2006/relationships/settings" Target="settings.xml"/><Relationship Id="rId9" Type="http://schemas.openxmlformats.org/officeDocument/2006/relationships/hyperlink" Target="http://www.qualres.org/HomeSkil-365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2981</TotalTime>
  <Pages>2</Pages>
  <Words>554</Words>
  <Characters>3163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2016-04-26T12:57:00Z</cp:lastPrinted>
  <dcterms:created xsi:type="dcterms:W3CDTF">2016-04-26T12:51:00Z</dcterms:created>
  <dcterms:modified xsi:type="dcterms:W3CDTF">2016-04-28T16:17:00Z</dcterms:modified>
</cp:coreProperties>
</file>