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963449"/>
        <w:docPartObj>
          <w:docPartGallery w:val="Cover Pages"/>
          <w:docPartUnique/>
        </w:docPartObj>
      </w:sdtPr>
      <w:sdtContent>
        <w:p w14:paraId="5C0736DC" w14:textId="344C5F38" w:rsidR="0086736E" w:rsidRDefault="0086736E">
          <w:r>
            <w:rPr>
              <w:noProof/>
            </w:rPr>
            <mc:AlternateContent>
              <mc:Choice Requires="wps">
                <w:drawing>
                  <wp:anchor distT="0" distB="0" distL="114300" distR="114300" simplePos="0" relativeHeight="251659264" behindDoc="0" locked="0" layoutInCell="1" allowOverlap="1" wp14:anchorId="48799E0A" wp14:editId="18D8A75B">
                    <wp:simplePos x="0" y="0"/>
                    <wp:positionH relativeFrom="margin">
                      <wp:posOffset>4792980</wp:posOffset>
                    </wp:positionH>
                    <wp:positionV relativeFrom="page">
                      <wp:posOffset>243840</wp:posOffset>
                    </wp:positionV>
                    <wp:extent cx="94043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4043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926BF9" w14:textId="1419F0E9" w:rsidR="0086736E" w:rsidRPr="0086736E" w:rsidRDefault="0086736E" w:rsidP="0086736E">
                                <w:pPr>
                                  <w:pStyle w:val="NoSpacing"/>
                                  <w:jc w:val="center"/>
                                  <w:rPr>
                                    <w:bCs/>
                                    <w:color w:val="FFFFFF" w:themeColor="background1"/>
                                    <w:sz w:val="24"/>
                                    <w:szCs w:val="24"/>
                                  </w:rPr>
                                </w:pPr>
                                <w:r w:rsidRPr="0086736E">
                                  <w:rPr>
                                    <w:bCs/>
                                    <w:color w:val="FFFFFF" w:themeColor="background1"/>
                                    <w:sz w:val="24"/>
                                    <w:szCs w:val="24"/>
                                    <w:lang w:val="en-GB"/>
                                  </w:rPr>
                                  <w:t>Module code: BMHP6026</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48799E0A" id="Rectangle 132" o:spid="_x0000_s1026" style="position:absolute;margin-left:377.4pt;margin-top:19.2pt;width:74.0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YgAgQIAAF8FAAAOAAAAZHJzL2Uyb0RvYy54bWysVMFu2zAMvQ/YPwi6r3ayZG2NOkWQosOA&#10;oC3WDj0rshQbk0VNUmJnXz9KctygLXYY5oMgiuQj+Uzy6rpvFdkL6xrQJZ2c5ZQIzaFq9LakP55u&#10;P11Q4jzTFVOgRUkPwtHrxccPV50pxBRqUJWwBEG0KzpT0tp7U2SZ47VomTsDIzQqJdiWeRTtNqss&#10;6xC9Vdk0z79kHdjKWODCOXy9SUq6iPhSCu7vpXTCE1VSzM3H08ZzE85sccWKrWWmbviQBvuHLFrW&#10;aAw6Qt0wz8jONm+g2oZbcCD9GYc2AykbLmINWM0kf1XNY82MiLUgOc6MNLn/B8vv9o/mwYbUnVkD&#10;/+mIhlXN9FYsnUH68KcGkrLOuGI0DoIb3Hpp2+COtZA+EnsYiRW9JxwfL2f57POcEo6qy4vz2XQe&#10;MVlxdDbW+a8CWhIuJbUYONLJ9mvnQ3hWHE1CLKXDqeG2USppw0vMMaUVE/QHJZL1dyFJU2Ei04ga&#10;u0uslCV7hn3BOBfaT5KqZpVIz/McvyHP0SOmojQCBmSJ8UfsASB07lvslOVgH1xFbM7ROf9bYsl5&#10;9IiRQfvRuW002PcAFFY1RE72R5ISNYEl3296NAnXDVSHB0sspClxht82+DvWzPkHZnEscIBw1P09&#10;HlJBV1IYbpTUYH+/9x7ssVtRS0mHY1ZS92vHrKBEfdPYx7P5+TTM5algT4XNqaB37Qrwj01wqRge&#10;r+hsvTpepYX2GTfCMkRFFdMcY5d0c7yufBp+3ChcLJfRCCfRML/Wj4YH6EBvaLan/plZM3Skx1a+&#10;g+NAsuJVYybb4KlhufMgm9i1L6wOxOMUxw4aNk5YE6dytHrZi4s/AAAA//8DAFBLAwQUAAYACAAA&#10;ACEASlh15t4AAAAKAQAADwAAAGRycy9kb3ducmV2LnhtbEyPTU/DMAxA70j8h8hI3FhK98HaNZ0q&#10;BBJHNrjsljVeU9E4pcm6wq/HnOBo+en5udhOrhMjDqH1pOB+loBAqr1pqVHw/vZ8twYRoiajO0+o&#10;4AsDbMvrq0Lnxl9oh+M+NoIlFHKtwMbY51KG2qLTYeZ7JN6d/OB05HFopBn0heWuk2mSrKTTLfEF&#10;q3t8tFh/7M9OwcPqs01fqu/XGk+VXR7G8alDqdTtzVRtQESc4h8Mv/mcDiU3Hf2ZTBAdO5YLTo8K&#10;5usFCAayJM1AHJnM5hnIspD/Xyh/AAAA//8DAFBLAQItABQABgAIAAAAIQC2gziS/gAAAOEBAAAT&#10;AAAAAAAAAAAAAAAAAAAAAABbQ29udGVudF9UeXBlc10ueG1sUEsBAi0AFAAGAAgAAAAhADj9If/W&#10;AAAAlAEAAAsAAAAAAAAAAAAAAAAALwEAAF9yZWxzLy5yZWxzUEsBAi0AFAAGAAgAAAAhABFpiACB&#10;AgAAXwUAAA4AAAAAAAAAAAAAAAAALgIAAGRycy9lMm9Eb2MueG1sUEsBAi0AFAAGAAgAAAAhAEpY&#10;debeAAAACgEAAA8AAAAAAAAAAAAAAAAA2wQAAGRycy9kb3ducmV2LnhtbFBLBQYAAAAABAAEAPMA&#10;AADmBQAAAAA=&#10;" fillcolor="#156082 [3204]" stroked="f" strokeweight="1.5pt">
                    <o:lock v:ext="edit" aspectratio="t"/>
                    <v:textbox inset="3.6pt,,3.6pt">
                      <w:txbxContent>
                        <w:p w14:paraId="17926BF9" w14:textId="1419F0E9" w:rsidR="0086736E" w:rsidRPr="0086736E" w:rsidRDefault="0086736E" w:rsidP="0086736E">
                          <w:pPr>
                            <w:pStyle w:val="NoSpacing"/>
                            <w:jc w:val="center"/>
                            <w:rPr>
                              <w:bCs/>
                              <w:color w:val="FFFFFF" w:themeColor="background1"/>
                              <w:sz w:val="24"/>
                              <w:szCs w:val="24"/>
                            </w:rPr>
                          </w:pPr>
                          <w:r w:rsidRPr="0086736E">
                            <w:rPr>
                              <w:bCs/>
                              <w:color w:val="FFFFFF" w:themeColor="background1"/>
                              <w:sz w:val="24"/>
                              <w:szCs w:val="24"/>
                              <w:lang w:val="en-GB"/>
                            </w:rPr>
                            <w:t>Module code:</w:t>
                          </w:r>
                          <w:r w:rsidRPr="0086736E">
                            <w:rPr>
                              <w:bCs/>
                              <w:color w:val="FFFFFF" w:themeColor="background1"/>
                              <w:sz w:val="24"/>
                              <w:szCs w:val="24"/>
                              <w:lang w:val="en-GB"/>
                            </w:rPr>
                            <w:t xml:space="preserve"> </w:t>
                          </w:r>
                          <w:r w:rsidRPr="0086736E">
                            <w:rPr>
                              <w:bCs/>
                              <w:color w:val="FFFFFF" w:themeColor="background1"/>
                              <w:sz w:val="24"/>
                              <w:szCs w:val="24"/>
                              <w:lang w:val="en-GB"/>
                            </w:rPr>
                            <w:t>BMHP6026</w:t>
                          </w:r>
                        </w:p>
                      </w:txbxContent>
                    </v:textbox>
                    <w10:wrap anchorx="margin" anchory="page"/>
                  </v:rect>
                </w:pict>
              </mc:Fallback>
            </mc:AlternateContent>
          </w:r>
        </w:p>
        <w:p w14:paraId="092CDED6" w14:textId="58D59F45" w:rsidR="0086736E" w:rsidRDefault="0086736E">
          <w:r>
            <w:rPr>
              <w:noProof/>
            </w:rPr>
            <mc:AlternateContent>
              <mc:Choice Requires="wps">
                <w:drawing>
                  <wp:anchor distT="0" distB="0" distL="182880" distR="182880" simplePos="0" relativeHeight="251660288" behindDoc="0" locked="0" layoutInCell="1" allowOverlap="1" wp14:anchorId="2A8C8D46" wp14:editId="164BFE0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7CDB96" w14:textId="0F7B5024" w:rsidR="0086736E" w:rsidRDefault="0086736E">
                                <w:pPr>
                                  <w:pStyle w:val="NoSpacing"/>
                                  <w:spacing w:before="40" w:after="560" w:line="216" w:lineRule="auto"/>
                                  <w:rPr>
                                    <w:color w:val="156082" w:themeColor="accent1"/>
                                    <w:sz w:val="72"/>
                                    <w:szCs w:val="72"/>
                                  </w:rPr>
                                </w:pPr>
                                <w:r w:rsidRPr="0086736E">
                                  <w:rPr>
                                    <w:color w:val="156082" w:themeColor="accent1"/>
                                    <w:sz w:val="72"/>
                                    <w:szCs w:val="72"/>
                                  </w:rPr>
                                  <w:t>Component 1: Written Report</w:t>
                                </w:r>
                              </w:p>
                              <w:p w14:paraId="2E5F5367" w14:textId="77777777" w:rsidR="0086736E" w:rsidRDefault="0086736E" w:rsidP="0086736E">
                                <w:pPr>
                                  <w:pStyle w:val="NoSpacing"/>
                                  <w:spacing w:before="80" w:after="40"/>
                                  <w:rPr>
                                    <w:b/>
                                    <w:caps/>
                                    <w:color w:val="501549" w:themeColor="accent5" w:themeShade="80"/>
                                    <w:sz w:val="28"/>
                                    <w:szCs w:val="28"/>
                                    <w:lang w:val="en-GB"/>
                                  </w:rPr>
                                </w:pPr>
                                <w:r w:rsidRPr="0086736E">
                                  <w:rPr>
                                    <w:b/>
                                    <w:caps/>
                                    <w:color w:val="501549" w:themeColor="accent5" w:themeShade="80"/>
                                    <w:sz w:val="28"/>
                                    <w:szCs w:val="28"/>
                                    <w:lang w:val="en-GB"/>
                                  </w:rPr>
                                  <w:t>Digital Transformation in the Health and Care Professions</w:t>
                                </w:r>
                              </w:p>
                              <w:p w14:paraId="58AC5B30" w14:textId="77777777" w:rsidR="0086736E" w:rsidRDefault="0086736E" w:rsidP="0086736E">
                                <w:pPr>
                                  <w:pStyle w:val="NoSpacing"/>
                                  <w:spacing w:before="80" w:after="40"/>
                                  <w:rPr>
                                    <w:b/>
                                    <w:caps/>
                                    <w:color w:val="501549" w:themeColor="accent5" w:themeShade="80"/>
                                    <w:sz w:val="28"/>
                                    <w:szCs w:val="28"/>
                                    <w:lang w:val="en-GB"/>
                                  </w:rPr>
                                </w:pPr>
                              </w:p>
                              <w:p w14:paraId="42BFBEFD" w14:textId="1A0F513D" w:rsidR="0086736E" w:rsidRPr="00ED03C1" w:rsidRDefault="0086736E" w:rsidP="0086736E">
                                <w:pPr>
                                  <w:pStyle w:val="NoSpacing"/>
                                  <w:spacing w:before="80" w:after="40" w:line="360" w:lineRule="auto"/>
                                  <w:rPr>
                                    <w:caps/>
                                    <w:color w:val="A02B93" w:themeColor="accent5"/>
                                    <w:sz w:val="28"/>
                                    <w:szCs w:val="28"/>
                                    <w:lang w:val="en-GB"/>
                                  </w:rPr>
                                </w:pPr>
                                <w:r w:rsidRPr="00ED03C1">
                                  <w:rPr>
                                    <w:color w:val="A02B93" w:themeColor="accent5"/>
                                    <w:sz w:val="28"/>
                                    <w:szCs w:val="28"/>
                                    <w:lang w:val="en-GB"/>
                                  </w:rPr>
                                  <w:t>Lutfa Begum</w:t>
                                </w:r>
                              </w:p>
                              <w:p w14:paraId="7E54992A" w14:textId="03D22A37" w:rsidR="0086736E" w:rsidRPr="00ED03C1" w:rsidRDefault="0086736E" w:rsidP="0086736E">
                                <w:pPr>
                                  <w:pStyle w:val="NoSpacing"/>
                                  <w:spacing w:before="80" w:after="40" w:line="360" w:lineRule="auto"/>
                                  <w:rPr>
                                    <w:caps/>
                                    <w:color w:val="A02B93" w:themeColor="accent5"/>
                                    <w:sz w:val="28"/>
                                    <w:szCs w:val="28"/>
                                    <w:lang w:val="en-GB"/>
                                  </w:rPr>
                                </w:pPr>
                                <w:r w:rsidRPr="00ED03C1">
                                  <w:rPr>
                                    <w:color w:val="A02B93" w:themeColor="accent5"/>
                                    <w:sz w:val="28"/>
                                    <w:szCs w:val="28"/>
                                    <w:lang w:val="en-GB"/>
                                  </w:rPr>
                                  <w:t>Student No: 2320441</w:t>
                                </w:r>
                              </w:p>
                              <w:p w14:paraId="1AA6E781" w14:textId="0D457884" w:rsidR="0086736E" w:rsidRPr="00ED03C1" w:rsidRDefault="0086736E" w:rsidP="0086736E">
                                <w:pPr>
                                  <w:pStyle w:val="NoSpacing"/>
                                  <w:spacing w:before="80" w:after="40" w:line="360" w:lineRule="auto"/>
                                  <w:rPr>
                                    <w:caps/>
                                    <w:color w:val="A02B93" w:themeColor="accent5"/>
                                    <w:sz w:val="28"/>
                                    <w:szCs w:val="28"/>
                                    <w:lang w:val="en-GB"/>
                                  </w:rPr>
                                </w:pPr>
                                <w:r w:rsidRPr="00ED03C1">
                                  <w:rPr>
                                    <w:color w:val="A02B93" w:themeColor="accent5"/>
                                    <w:sz w:val="28"/>
                                    <w:szCs w:val="28"/>
                                    <w:lang w:val="en-GB"/>
                                  </w:rPr>
                                  <w:t>Lecturer: Martin Svejda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A8C8D46"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187CDB96" w14:textId="0F7B5024" w:rsidR="0086736E" w:rsidRDefault="0086736E">
                          <w:pPr>
                            <w:pStyle w:val="NoSpacing"/>
                            <w:spacing w:before="40" w:after="560" w:line="216" w:lineRule="auto"/>
                            <w:rPr>
                              <w:color w:val="156082" w:themeColor="accent1"/>
                              <w:sz w:val="72"/>
                              <w:szCs w:val="72"/>
                            </w:rPr>
                          </w:pPr>
                          <w:r w:rsidRPr="0086736E">
                            <w:rPr>
                              <w:color w:val="156082" w:themeColor="accent1"/>
                              <w:sz w:val="72"/>
                              <w:szCs w:val="72"/>
                            </w:rPr>
                            <w:t>Component 1: Written Report</w:t>
                          </w:r>
                        </w:p>
                        <w:p w14:paraId="2E5F5367" w14:textId="77777777" w:rsidR="0086736E" w:rsidRDefault="0086736E" w:rsidP="0086736E">
                          <w:pPr>
                            <w:pStyle w:val="NoSpacing"/>
                            <w:spacing w:before="80" w:after="40"/>
                            <w:rPr>
                              <w:b/>
                              <w:caps/>
                              <w:color w:val="501549" w:themeColor="accent5" w:themeShade="80"/>
                              <w:sz w:val="28"/>
                              <w:szCs w:val="28"/>
                              <w:lang w:val="en-GB"/>
                            </w:rPr>
                          </w:pPr>
                          <w:r w:rsidRPr="0086736E">
                            <w:rPr>
                              <w:b/>
                              <w:caps/>
                              <w:color w:val="501549" w:themeColor="accent5" w:themeShade="80"/>
                              <w:sz w:val="28"/>
                              <w:szCs w:val="28"/>
                              <w:lang w:val="en-GB"/>
                            </w:rPr>
                            <w:t>Digital Transformation in the Health and Care Professions</w:t>
                          </w:r>
                        </w:p>
                        <w:p w14:paraId="58AC5B30" w14:textId="77777777" w:rsidR="0086736E" w:rsidRDefault="0086736E" w:rsidP="0086736E">
                          <w:pPr>
                            <w:pStyle w:val="NoSpacing"/>
                            <w:spacing w:before="80" w:after="40"/>
                            <w:rPr>
                              <w:b/>
                              <w:caps/>
                              <w:color w:val="501549" w:themeColor="accent5" w:themeShade="80"/>
                              <w:sz w:val="28"/>
                              <w:szCs w:val="28"/>
                              <w:lang w:val="en-GB"/>
                            </w:rPr>
                          </w:pPr>
                        </w:p>
                        <w:p w14:paraId="42BFBEFD" w14:textId="1A0F513D" w:rsidR="0086736E" w:rsidRPr="00ED03C1" w:rsidRDefault="0086736E" w:rsidP="0086736E">
                          <w:pPr>
                            <w:pStyle w:val="NoSpacing"/>
                            <w:spacing w:before="80" w:after="40" w:line="360" w:lineRule="auto"/>
                            <w:rPr>
                              <w:caps/>
                              <w:color w:val="A02B93" w:themeColor="accent5"/>
                              <w:sz w:val="28"/>
                              <w:szCs w:val="28"/>
                              <w:lang w:val="en-GB"/>
                            </w:rPr>
                          </w:pPr>
                          <w:r w:rsidRPr="00ED03C1">
                            <w:rPr>
                              <w:color w:val="A02B93" w:themeColor="accent5"/>
                              <w:sz w:val="28"/>
                              <w:szCs w:val="28"/>
                              <w:lang w:val="en-GB"/>
                            </w:rPr>
                            <w:t>Lutfa Begum</w:t>
                          </w:r>
                        </w:p>
                        <w:p w14:paraId="7E54992A" w14:textId="03D22A37" w:rsidR="0086736E" w:rsidRPr="00ED03C1" w:rsidRDefault="0086736E" w:rsidP="0086736E">
                          <w:pPr>
                            <w:pStyle w:val="NoSpacing"/>
                            <w:spacing w:before="80" w:after="40" w:line="360" w:lineRule="auto"/>
                            <w:rPr>
                              <w:caps/>
                              <w:color w:val="A02B93" w:themeColor="accent5"/>
                              <w:sz w:val="28"/>
                              <w:szCs w:val="28"/>
                              <w:lang w:val="en-GB"/>
                            </w:rPr>
                          </w:pPr>
                          <w:r w:rsidRPr="00ED03C1">
                            <w:rPr>
                              <w:color w:val="A02B93" w:themeColor="accent5"/>
                              <w:sz w:val="28"/>
                              <w:szCs w:val="28"/>
                              <w:lang w:val="en-GB"/>
                            </w:rPr>
                            <w:t>Student No: 2320441</w:t>
                          </w:r>
                        </w:p>
                        <w:p w14:paraId="1AA6E781" w14:textId="0D457884" w:rsidR="0086736E" w:rsidRPr="00ED03C1" w:rsidRDefault="0086736E" w:rsidP="0086736E">
                          <w:pPr>
                            <w:pStyle w:val="NoSpacing"/>
                            <w:spacing w:before="80" w:after="40" w:line="360" w:lineRule="auto"/>
                            <w:rPr>
                              <w:caps/>
                              <w:color w:val="A02B93" w:themeColor="accent5"/>
                              <w:sz w:val="28"/>
                              <w:szCs w:val="28"/>
                              <w:lang w:val="en-GB"/>
                            </w:rPr>
                          </w:pPr>
                          <w:r w:rsidRPr="00ED03C1">
                            <w:rPr>
                              <w:color w:val="A02B93" w:themeColor="accent5"/>
                              <w:sz w:val="28"/>
                              <w:szCs w:val="28"/>
                              <w:lang w:val="en-GB"/>
                            </w:rPr>
                            <w:t>Lecturer: Martin Svejda</w:t>
                          </w: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589574161"/>
        <w:docPartObj>
          <w:docPartGallery w:val="Table of Contents"/>
          <w:docPartUnique/>
        </w:docPartObj>
      </w:sdtPr>
      <w:sdtEndPr>
        <w:rPr>
          <w:b/>
          <w:bCs/>
          <w:noProof/>
        </w:rPr>
      </w:sdtEndPr>
      <w:sdtContent>
        <w:p w14:paraId="58261EA9" w14:textId="01392AD5" w:rsidR="0086736E" w:rsidRDefault="0086736E" w:rsidP="0086736E">
          <w:pPr>
            <w:pStyle w:val="TOCHeading"/>
            <w:spacing w:line="360" w:lineRule="auto"/>
          </w:pPr>
          <w:r>
            <w:t>Contents</w:t>
          </w:r>
        </w:p>
        <w:p w14:paraId="32668A7D" w14:textId="2950BE62" w:rsidR="0086736E" w:rsidRDefault="0086736E" w:rsidP="0086736E">
          <w:pPr>
            <w:pStyle w:val="TOC1"/>
            <w:tabs>
              <w:tab w:val="right" w:leader="dot" w:pos="9016"/>
            </w:tabs>
            <w:spacing w:line="360" w:lineRule="auto"/>
            <w:rPr>
              <w:noProof/>
            </w:rPr>
          </w:pPr>
          <w:r>
            <w:fldChar w:fldCharType="begin"/>
          </w:r>
          <w:r>
            <w:instrText xml:space="preserve"> TOC \o "1-3" \h \z \u </w:instrText>
          </w:r>
          <w:r>
            <w:fldChar w:fldCharType="separate"/>
          </w:r>
          <w:hyperlink w:anchor="_Toc233151773" w:history="1">
            <w:r w:rsidRPr="007C20AC">
              <w:rPr>
                <w:rStyle w:val="Hyperlink"/>
                <w:noProof/>
              </w:rPr>
              <w:t>Introduction</w:t>
            </w:r>
            <w:r>
              <w:rPr>
                <w:noProof/>
                <w:webHidden/>
              </w:rPr>
              <w:tab/>
            </w:r>
            <w:r>
              <w:rPr>
                <w:noProof/>
                <w:webHidden/>
              </w:rPr>
              <w:fldChar w:fldCharType="begin"/>
            </w:r>
            <w:r>
              <w:rPr>
                <w:noProof/>
                <w:webHidden/>
              </w:rPr>
              <w:instrText xml:space="preserve"> PAGEREF _Toc233151773 \h </w:instrText>
            </w:r>
            <w:r>
              <w:rPr>
                <w:noProof/>
                <w:webHidden/>
              </w:rPr>
            </w:r>
            <w:r>
              <w:rPr>
                <w:noProof/>
                <w:webHidden/>
              </w:rPr>
              <w:fldChar w:fldCharType="separate"/>
            </w:r>
            <w:r>
              <w:rPr>
                <w:noProof/>
                <w:webHidden/>
              </w:rPr>
              <w:t>2</w:t>
            </w:r>
            <w:r>
              <w:rPr>
                <w:noProof/>
                <w:webHidden/>
              </w:rPr>
              <w:fldChar w:fldCharType="end"/>
            </w:r>
          </w:hyperlink>
        </w:p>
        <w:p w14:paraId="22DBA412" w14:textId="54F263D5" w:rsidR="0086736E" w:rsidRDefault="0086736E" w:rsidP="0086736E">
          <w:pPr>
            <w:pStyle w:val="TOC1"/>
            <w:tabs>
              <w:tab w:val="right" w:leader="dot" w:pos="9016"/>
            </w:tabs>
            <w:spacing w:line="360" w:lineRule="auto"/>
            <w:rPr>
              <w:noProof/>
            </w:rPr>
          </w:pPr>
          <w:hyperlink w:anchor="_Toc233151774" w:history="1">
            <w:r w:rsidRPr="007C20AC">
              <w:rPr>
                <w:rStyle w:val="Hyperlink"/>
                <w:noProof/>
              </w:rPr>
              <w:t>Development and Implementation of EPR/EHR in the UK</w:t>
            </w:r>
            <w:r>
              <w:rPr>
                <w:noProof/>
                <w:webHidden/>
              </w:rPr>
              <w:tab/>
            </w:r>
            <w:r>
              <w:rPr>
                <w:noProof/>
                <w:webHidden/>
              </w:rPr>
              <w:fldChar w:fldCharType="begin"/>
            </w:r>
            <w:r>
              <w:rPr>
                <w:noProof/>
                <w:webHidden/>
              </w:rPr>
              <w:instrText xml:space="preserve"> PAGEREF _Toc233151774 \h </w:instrText>
            </w:r>
            <w:r>
              <w:rPr>
                <w:noProof/>
                <w:webHidden/>
              </w:rPr>
            </w:r>
            <w:r>
              <w:rPr>
                <w:noProof/>
                <w:webHidden/>
              </w:rPr>
              <w:fldChar w:fldCharType="separate"/>
            </w:r>
            <w:r>
              <w:rPr>
                <w:noProof/>
                <w:webHidden/>
              </w:rPr>
              <w:t>2</w:t>
            </w:r>
            <w:r>
              <w:rPr>
                <w:noProof/>
                <w:webHidden/>
              </w:rPr>
              <w:fldChar w:fldCharType="end"/>
            </w:r>
          </w:hyperlink>
        </w:p>
        <w:p w14:paraId="5F320507" w14:textId="21B2C561" w:rsidR="0086736E" w:rsidRDefault="0086736E" w:rsidP="0086736E">
          <w:pPr>
            <w:pStyle w:val="TOC1"/>
            <w:tabs>
              <w:tab w:val="right" w:leader="dot" w:pos="9016"/>
            </w:tabs>
            <w:spacing w:line="360" w:lineRule="auto"/>
            <w:rPr>
              <w:noProof/>
            </w:rPr>
          </w:pPr>
          <w:hyperlink w:anchor="_Toc233151775" w:history="1">
            <w:r w:rsidRPr="007C20AC">
              <w:rPr>
                <w:rStyle w:val="Hyperlink"/>
                <w:noProof/>
              </w:rPr>
              <w:t>Impact on Workforce</w:t>
            </w:r>
            <w:r>
              <w:rPr>
                <w:noProof/>
                <w:webHidden/>
              </w:rPr>
              <w:tab/>
            </w:r>
            <w:r>
              <w:rPr>
                <w:noProof/>
                <w:webHidden/>
              </w:rPr>
              <w:fldChar w:fldCharType="begin"/>
            </w:r>
            <w:r>
              <w:rPr>
                <w:noProof/>
                <w:webHidden/>
              </w:rPr>
              <w:instrText xml:space="preserve"> PAGEREF _Toc233151775 \h </w:instrText>
            </w:r>
            <w:r>
              <w:rPr>
                <w:noProof/>
                <w:webHidden/>
              </w:rPr>
            </w:r>
            <w:r>
              <w:rPr>
                <w:noProof/>
                <w:webHidden/>
              </w:rPr>
              <w:fldChar w:fldCharType="separate"/>
            </w:r>
            <w:r>
              <w:rPr>
                <w:noProof/>
                <w:webHidden/>
              </w:rPr>
              <w:t>3</w:t>
            </w:r>
            <w:r>
              <w:rPr>
                <w:noProof/>
                <w:webHidden/>
              </w:rPr>
              <w:fldChar w:fldCharType="end"/>
            </w:r>
          </w:hyperlink>
        </w:p>
        <w:p w14:paraId="1CF7CA1E" w14:textId="6F40836B" w:rsidR="0086736E" w:rsidRDefault="0086736E" w:rsidP="0086736E">
          <w:pPr>
            <w:pStyle w:val="TOC1"/>
            <w:tabs>
              <w:tab w:val="right" w:leader="dot" w:pos="9016"/>
            </w:tabs>
            <w:spacing w:line="360" w:lineRule="auto"/>
            <w:rPr>
              <w:noProof/>
            </w:rPr>
          </w:pPr>
          <w:hyperlink w:anchor="_Toc233151776" w:history="1">
            <w:r w:rsidRPr="007C20AC">
              <w:rPr>
                <w:rStyle w:val="Hyperlink"/>
                <w:noProof/>
              </w:rPr>
              <w:t>Impact on Service Delivery</w:t>
            </w:r>
            <w:r>
              <w:rPr>
                <w:noProof/>
                <w:webHidden/>
              </w:rPr>
              <w:tab/>
            </w:r>
            <w:r>
              <w:rPr>
                <w:noProof/>
                <w:webHidden/>
              </w:rPr>
              <w:fldChar w:fldCharType="begin"/>
            </w:r>
            <w:r>
              <w:rPr>
                <w:noProof/>
                <w:webHidden/>
              </w:rPr>
              <w:instrText xml:space="preserve"> PAGEREF _Toc233151776 \h </w:instrText>
            </w:r>
            <w:r>
              <w:rPr>
                <w:noProof/>
                <w:webHidden/>
              </w:rPr>
            </w:r>
            <w:r>
              <w:rPr>
                <w:noProof/>
                <w:webHidden/>
              </w:rPr>
              <w:fldChar w:fldCharType="separate"/>
            </w:r>
            <w:r>
              <w:rPr>
                <w:noProof/>
                <w:webHidden/>
              </w:rPr>
              <w:t>5</w:t>
            </w:r>
            <w:r>
              <w:rPr>
                <w:noProof/>
                <w:webHidden/>
              </w:rPr>
              <w:fldChar w:fldCharType="end"/>
            </w:r>
          </w:hyperlink>
        </w:p>
        <w:p w14:paraId="69119BF1" w14:textId="7B6C895A" w:rsidR="0086736E" w:rsidRDefault="0086736E" w:rsidP="0086736E">
          <w:pPr>
            <w:pStyle w:val="TOC1"/>
            <w:tabs>
              <w:tab w:val="right" w:leader="dot" w:pos="9016"/>
            </w:tabs>
            <w:spacing w:line="360" w:lineRule="auto"/>
            <w:rPr>
              <w:noProof/>
            </w:rPr>
          </w:pPr>
          <w:hyperlink w:anchor="_Toc233151777" w:history="1">
            <w:r w:rsidRPr="007C20AC">
              <w:rPr>
                <w:rStyle w:val="Hyperlink"/>
                <w:noProof/>
              </w:rPr>
              <w:t>Impact on Patients and Service Users</w:t>
            </w:r>
            <w:r>
              <w:rPr>
                <w:noProof/>
                <w:webHidden/>
              </w:rPr>
              <w:tab/>
            </w:r>
            <w:r>
              <w:rPr>
                <w:noProof/>
                <w:webHidden/>
              </w:rPr>
              <w:fldChar w:fldCharType="begin"/>
            </w:r>
            <w:r>
              <w:rPr>
                <w:noProof/>
                <w:webHidden/>
              </w:rPr>
              <w:instrText xml:space="preserve"> PAGEREF _Toc233151777 \h </w:instrText>
            </w:r>
            <w:r>
              <w:rPr>
                <w:noProof/>
                <w:webHidden/>
              </w:rPr>
            </w:r>
            <w:r>
              <w:rPr>
                <w:noProof/>
                <w:webHidden/>
              </w:rPr>
              <w:fldChar w:fldCharType="separate"/>
            </w:r>
            <w:r>
              <w:rPr>
                <w:noProof/>
                <w:webHidden/>
              </w:rPr>
              <w:t>6</w:t>
            </w:r>
            <w:r>
              <w:rPr>
                <w:noProof/>
                <w:webHidden/>
              </w:rPr>
              <w:fldChar w:fldCharType="end"/>
            </w:r>
          </w:hyperlink>
        </w:p>
        <w:p w14:paraId="63984B7C" w14:textId="231FBFE4" w:rsidR="0086736E" w:rsidRDefault="0086736E" w:rsidP="0086736E">
          <w:pPr>
            <w:pStyle w:val="TOC1"/>
            <w:tabs>
              <w:tab w:val="right" w:leader="dot" w:pos="9016"/>
            </w:tabs>
            <w:spacing w:line="360" w:lineRule="auto"/>
            <w:rPr>
              <w:noProof/>
            </w:rPr>
          </w:pPr>
          <w:hyperlink w:anchor="_Toc233151778" w:history="1">
            <w:r w:rsidRPr="007C20AC">
              <w:rPr>
                <w:rStyle w:val="Hyperlink"/>
                <w:noProof/>
              </w:rPr>
              <w:t>Impact on Communities</w:t>
            </w:r>
            <w:r>
              <w:rPr>
                <w:noProof/>
                <w:webHidden/>
              </w:rPr>
              <w:tab/>
            </w:r>
            <w:r>
              <w:rPr>
                <w:noProof/>
                <w:webHidden/>
              </w:rPr>
              <w:fldChar w:fldCharType="begin"/>
            </w:r>
            <w:r>
              <w:rPr>
                <w:noProof/>
                <w:webHidden/>
              </w:rPr>
              <w:instrText xml:space="preserve"> PAGEREF _Toc233151778 \h </w:instrText>
            </w:r>
            <w:r>
              <w:rPr>
                <w:noProof/>
                <w:webHidden/>
              </w:rPr>
            </w:r>
            <w:r>
              <w:rPr>
                <w:noProof/>
                <w:webHidden/>
              </w:rPr>
              <w:fldChar w:fldCharType="separate"/>
            </w:r>
            <w:r>
              <w:rPr>
                <w:noProof/>
                <w:webHidden/>
              </w:rPr>
              <w:t>7</w:t>
            </w:r>
            <w:r>
              <w:rPr>
                <w:noProof/>
                <w:webHidden/>
              </w:rPr>
              <w:fldChar w:fldCharType="end"/>
            </w:r>
          </w:hyperlink>
        </w:p>
        <w:p w14:paraId="6494B334" w14:textId="792D8F06" w:rsidR="0086736E" w:rsidRDefault="0086736E" w:rsidP="0086736E">
          <w:pPr>
            <w:pStyle w:val="TOC1"/>
            <w:tabs>
              <w:tab w:val="right" w:leader="dot" w:pos="9016"/>
            </w:tabs>
            <w:spacing w:line="360" w:lineRule="auto"/>
            <w:rPr>
              <w:noProof/>
            </w:rPr>
          </w:pPr>
          <w:hyperlink w:anchor="_Toc233151779" w:history="1">
            <w:r w:rsidRPr="007C20AC">
              <w:rPr>
                <w:rStyle w:val="Hyperlink"/>
                <w:noProof/>
              </w:rPr>
              <w:t>Conclusion and Recommendations</w:t>
            </w:r>
            <w:r>
              <w:rPr>
                <w:noProof/>
                <w:webHidden/>
              </w:rPr>
              <w:tab/>
            </w:r>
            <w:r>
              <w:rPr>
                <w:noProof/>
                <w:webHidden/>
              </w:rPr>
              <w:fldChar w:fldCharType="begin"/>
            </w:r>
            <w:r>
              <w:rPr>
                <w:noProof/>
                <w:webHidden/>
              </w:rPr>
              <w:instrText xml:space="preserve"> PAGEREF _Toc233151779 \h </w:instrText>
            </w:r>
            <w:r>
              <w:rPr>
                <w:noProof/>
                <w:webHidden/>
              </w:rPr>
            </w:r>
            <w:r>
              <w:rPr>
                <w:noProof/>
                <w:webHidden/>
              </w:rPr>
              <w:fldChar w:fldCharType="separate"/>
            </w:r>
            <w:r>
              <w:rPr>
                <w:noProof/>
                <w:webHidden/>
              </w:rPr>
              <w:t>8</w:t>
            </w:r>
            <w:r>
              <w:rPr>
                <w:noProof/>
                <w:webHidden/>
              </w:rPr>
              <w:fldChar w:fldCharType="end"/>
            </w:r>
          </w:hyperlink>
        </w:p>
        <w:p w14:paraId="37ABC5F5" w14:textId="786AAD59" w:rsidR="0086736E" w:rsidRDefault="0086736E" w:rsidP="0086736E">
          <w:pPr>
            <w:pStyle w:val="TOC1"/>
            <w:tabs>
              <w:tab w:val="right" w:leader="dot" w:pos="9016"/>
            </w:tabs>
            <w:spacing w:line="360" w:lineRule="auto"/>
            <w:rPr>
              <w:noProof/>
            </w:rPr>
          </w:pPr>
          <w:hyperlink w:anchor="_Toc233151780" w:history="1">
            <w:r w:rsidRPr="007C20AC">
              <w:rPr>
                <w:rStyle w:val="Hyperlink"/>
                <w:noProof/>
              </w:rPr>
              <w:t>Refrences:</w:t>
            </w:r>
            <w:r>
              <w:rPr>
                <w:noProof/>
                <w:webHidden/>
              </w:rPr>
              <w:tab/>
            </w:r>
            <w:r>
              <w:rPr>
                <w:noProof/>
                <w:webHidden/>
              </w:rPr>
              <w:fldChar w:fldCharType="begin"/>
            </w:r>
            <w:r>
              <w:rPr>
                <w:noProof/>
                <w:webHidden/>
              </w:rPr>
              <w:instrText xml:space="preserve"> PAGEREF _Toc233151780 \h </w:instrText>
            </w:r>
            <w:r>
              <w:rPr>
                <w:noProof/>
                <w:webHidden/>
              </w:rPr>
            </w:r>
            <w:r>
              <w:rPr>
                <w:noProof/>
                <w:webHidden/>
              </w:rPr>
              <w:fldChar w:fldCharType="separate"/>
            </w:r>
            <w:r>
              <w:rPr>
                <w:noProof/>
                <w:webHidden/>
              </w:rPr>
              <w:t>10</w:t>
            </w:r>
            <w:r>
              <w:rPr>
                <w:noProof/>
                <w:webHidden/>
              </w:rPr>
              <w:fldChar w:fldCharType="end"/>
            </w:r>
          </w:hyperlink>
        </w:p>
        <w:p w14:paraId="49732F8E" w14:textId="2F891F47" w:rsidR="0086736E" w:rsidRDefault="0086736E" w:rsidP="0086736E">
          <w:pPr>
            <w:spacing w:line="360" w:lineRule="auto"/>
          </w:pPr>
          <w:r>
            <w:rPr>
              <w:b/>
              <w:bCs/>
              <w:noProof/>
            </w:rPr>
            <w:fldChar w:fldCharType="end"/>
          </w:r>
        </w:p>
      </w:sdtContent>
    </w:sdt>
    <w:p w14:paraId="7DB355FB" w14:textId="77777777" w:rsidR="0086736E" w:rsidRDefault="0086736E">
      <w:pPr>
        <w:rPr>
          <w:rFonts w:asciiTheme="majorHAnsi" w:eastAsiaTheme="majorEastAsia" w:hAnsiTheme="majorHAnsi" w:cstheme="majorBidi"/>
          <w:color w:val="0F4761" w:themeColor="accent1" w:themeShade="BF"/>
          <w:sz w:val="40"/>
          <w:szCs w:val="40"/>
        </w:rPr>
      </w:pPr>
      <w:r>
        <w:br w:type="page"/>
      </w:r>
    </w:p>
    <w:p w14:paraId="0414CA29" w14:textId="2628939B" w:rsidR="00BB5740" w:rsidRPr="00BB5740" w:rsidRDefault="00BB5740" w:rsidP="00BB5740">
      <w:pPr>
        <w:pStyle w:val="Heading1"/>
      </w:pPr>
      <w:bookmarkStart w:id="0" w:name="_Toc233151773"/>
      <w:r w:rsidRPr="00BB5740">
        <w:lastRenderedPageBreak/>
        <w:t>Introduction</w:t>
      </w:r>
      <w:bookmarkEnd w:id="0"/>
    </w:p>
    <w:p w14:paraId="2C9C356D" w14:textId="77777777" w:rsidR="00BB5740" w:rsidRPr="00BB5740" w:rsidRDefault="00BB5740" w:rsidP="00BB5740">
      <w:pPr>
        <w:spacing w:line="360" w:lineRule="auto"/>
        <w:jc w:val="both"/>
        <w:rPr>
          <w:rFonts w:ascii="Arial" w:hAnsi="Arial"/>
        </w:rPr>
      </w:pPr>
      <w:r w:rsidRPr="00BB5740">
        <w:rPr>
          <w:rFonts w:ascii="Arial" w:hAnsi="Arial"/>
        </w:rPr>
        <w:t>Digital transformation is now central to UK health and social care because services are expected to become safer, faster, more connected and more person-centred (Department of Health and Social Care, 2022). One important innovation is Electronic Patient Records (EPR), also called Electronic Health Records (EHR). EPR/EHR systems store patient information digitally, including medical history, test results, medicines, care plans and professional notes. Their importance is clear because NHS England links EPR use with more efficient, effective and safe care (NHS England, 2024). However, EPR is not automatically successful; it depends on staff training, system design, data protection and patient trust. Therefore, this report critically evaluates EPR as a digital transformation in UK health and social care. It will examine its implementation and analyse its positive and negative effects on the workforce, service delivery, patients/service users and the wider community.</w:t>
      </w:r>
    </w:p>
    <w:p w14:paraId="41924CAB" w14:textId="623C95D4" w:rsidR="00845565" w:rsidRPr="00845565" w:rsidRDefault="00845565" w:rsidP="00845565">
      <w:pPr>
        <w:pStyle w:val="Heading1"/>
      </w:pPr>
      <w:bookmarkStart w:id="1" w:name="_Toc233151774"/>
      <w:r w:rsidRPr="00845565">
        <w:t>Development and Implementation of EPR/EHR in the UK</w:t>
      </w:r>
      <w:bookmarkEnd w:id="1"/>
    </w:p>
    <w:p w14:paraId="793ED1FD" w14:textId="2939DF12" w:rsidR="00C46A33" w:rsidRDefault="00845565" w:rsidP="00C46A33">
      <w:pPr>
        <w:keepNext/>
        <w:spacing w:line="360" w:lineRule="auto"/>
      </w:pPr>
      <w:r w:rsidRPr="00845565">
        <w:rPr>
          <w:rFonts w:ascii="Arial" w:hAnsi="Arial"/>
        </w:rPr>
        <w:t xml:space="preserve">Electronic Patient Records (EPR), also known as Electronic Health Records (EHR), are digital systems that store and manage patient information, including medical histories, diagnoses, medications, test results and care plans. EPRs replace traditional paper records and enable healthcare professionals to access </w:t>
      </w:r>
      <w:r w:rsidR="00774D5A" w:rsidRPr="00845565">
        <w:rPr>
          <w:rFonts w:ascii="Arial" w:hAnsi="Arial"/>
        </w:rPr>
        <w:t>patient information</w:t>
      </w:r>
      <w:r w:rsidRPr="00845565">
        <w:rPr>
          <w:rFonts w:ascii="Arial" w:hAnsi="Arial"/>
        </w:rPr>
        <w:t xml:space="preserve"> more quickly and accurately (NHS England, 2024). </w:t>
      </w:r>
      <w:r w:rsidR="00774D5A">
        <w:t xml:space="preserve">                                                                </w:t>
      </w:r>
      <w:r w:rsidR="00C46A33" w:rsidRPr="00077C1C">
        <w:rPr>
          <w:noProof/>
        </w:rPr>
        <w:drawing>
          <wp:inline distT="0" distB="0" distL="0" distR="0" wp14:anchorId="4E1C1417" wp14:editId="3FDFA08D">
            <wp:extent cx="3703320" cy="2891626"/>
            <wp:effectExtent l="0" t="0" r="0" b="4445"/>
            <wp:docPr id="903766041" name="Picture 1" descr="A hand holding a tablet displaying an electronic medical record system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766041" name="Picture 1" descr="A hand holding a tablet displaying an electronic medical record system interface.&#10;&#10;AI-generated content may be incorrect."/>
                    <pic:cNvPicPr/>
                  </pic:nvPicPr>
                  <pic:blipFill rotWithShape="1">
                    <a:blip r:embed="rId8"/>
                    <a:srcRect l="14625"/>
                    <a:stretch>
                      <a:fillRect/>
                    </a:stretch>
                  </pic:blipFill>
                  <pic:spPr bwMode="auto">
                    <a:xfrm>
                      <a:off x="0" y="0"/>
                      <a:ext cx="3715642" cy="2901248"/>
                    </a:xfrm>
                    <a:prstGeom prst="rect">
                      <a:avLst/>
                    </a:prstGeom>
                    <a:ln>
                      <a:noFill/>
                    </a:ln>
                    <a:extLst>
                      <a:ext uri="{53640926-AAD7-44D8-BBD7-CCE9431645EC}">
                        <a14:shadowObscured xmlns:a14="http://schemas.microsoft.com/office/drawing/2010/main"/>
                      </a:ext>
                    </a:extLst>
                  </pic:spPr>
                </pic:pic>
              </a:graphicData>
            </a:graphic>
          </wp:inline>
        </w:drawing>
      </w:r>
    </w:p>
    <w:p w14:paraId="07FBA2C4" w14:textId="5C8ABC66" w:rsidR="00C46A33" w:rsidRPr="00C46A33" w:rsidRDefault="00C46A33" w:rsidP="00C46A33">
      <w:pPr>
        <w:pStyle w:val="Caption"/>
        <w:rPr>
          <w:rFonts w:ascii="Arial" w:hAnsi="Arial"/>
          <w:sz w:val="20"/>
          <w:szCs w:val="20"/>
        </w:rPr>
      </w:pPr>
      <w:r w:rsidRPr="00C46A33">
        <w:rPr>
          <w:sz w:val="20"/>
          <w:szCs w:val="20"/>
        </w:rPr>
        <w:t xml:space="preserve">Figure </w:t>
      </w:r>
      <w:r w:rsidRPr="00C46A33">
        <w:rPr>
          <w:sz w:val="20"/>
          <w:szCs w:val="20"/>
        </w:rPr>
        <w:fldChar w:fldCharType="begin"/>
      </w:r>
      <w:r w:rsidRPr="00C46A33">
        <w:rPr>
          <w:sz w:val="20"/>
          <w:szCs w:val="20"/>
        </w:rPr>
        <w:instrText xml:space="preserve"> SEQ Figure \* ARABIC </w:instrText>
      </w:r>
      <w:r w:rsidRPr="00C46A33">
        <w:rPr>
          <w:sz w:val="20"/>
          <w:szCs w:val="20"/>
        </w:rPr>
        <w:fldChar w:fldCharType="separate"/>
      </w:r>
      <w:r w:rsidRPr="00C46A33">
        <w:rPr>
          <w:noProof/>
          <w:sz w:val="20"/>
          <w:szCs w:val="20"/>
        </w:rPr>
        <w:t>1</w:t>
      </w:r>
      <w:r w:rsidRPr="00C46A33">
        <w:rPr>
          <w:sz w:val="20"/>
          <w:szCs w:val="20"/>
        </w:rPr>
        <w:fldChar w:fldCharType="end"/>
      </w:r>
      <w:r w:rsidRPr="00C46A33">
        <w:rPr>
          <w:sz w:val="20"/>
          <w:szCs w:val="20"/>
        </w:rPr>
        <w:t>: Electronic Medical Record System. Source: CSL (2022)</w:t>
      </w:r>
    </w:p>
    <w:p w14:paraId="24940A6C" w14:textId="1635B31A" w:rsidR="00845565" w:rsidRDefault="00845565" w:rsidP="00845565">
      <w:pPr>
        <w:spacing w:line="360" w:lineRule="auto"/>
        <w:jc w:val="both"/>
        <w:rPr>
          <w:rFonts w:ascii="Arial" w:hAnsi="Arial"/>
        </w:rPr>
      </w:pPr>
      <w:r w:rsidRPr="00845565">
        <w:rPr>
          <w:rFonts w:ascii="Arial" w:hAnsi="Arial"/>
        </w:rPr>
        <w:lastRenderedPageBreak/>
        <w:t xml:space="preserve">The development of EPRs forms a key part of the UK's wider digital transformation agenda, which aims to improve healthcare quality, efficiency and patient outcomes. </w:t>
      </w:r>
      <w:r w:rsidR="00C40834" w:rsidRPr="00C40834">
        <w:rPr>
          <w:rFonts w:ascii="Arial" w:hAnsi="Arial"/>
        </w:rPr>
        <w:t>NHS England's Frontline Digitisation Programme aims for all NHS Trusts to achieve a core level of electronic patient record functionality, reflecting the government's commitment to creating a digitally connected healthcare system (NHS England, 2024).</w:t>
      </w:r>
      <w:r w:rsidR="00C40834">
        <w:rPr>
          <w:rFonts w:ascii="Arial" w:hAnsi="Arial"/>
        </w:rPr>
        <w:t xml:space="preserve"> </w:t>
      </w:r>
      <w:r w:rsidRPr="00845565">
        <w:rPr>
          <w:rFonts w:ascii="Arial" w:hAnsi="Arial"/>
        </w:rPr>
        <w:t xml:space="preserve">The Department of Health and Social Care's </w:t>
      </w:r>
      <w:r w:rsidRPr="00845565">
        <w:rPr>
          <w:rFonts w:ascii="Arial" w:hAnsi="Arial"/>
          <w:i/>
          <w:iCs/>
        </w:rPr>
        <w:t>A Plan for Digital Health and Social Care</w:t>
      </w:r>
      <w:r w:rsidRPr="00845565">
        <w:rPr>
          <w:rFonts w:ascii="Arial" w:hAnsi="Arial"/>
        </w:rPr>
        <w:t xml:space="preserve"> </w:t>
      </w:r>
      <w:proofErr w:type="gramStart"/>
      <w:r w:rsidRPr="00845565">
        <w:rPr>
          <w:rFonts w:ascii="Arial" w:hAnsi="Arial"/>
        </w:rPr>
        <w:t>emphasises</w:t>
      </w:r>
      <w:proofErr w:type="gramEnd"/>
      <w:r w:rsidRPr="00845565">
        <w:rPr>
          <w:rFonts w:ascii="Arial" w:hAnsi="Arial"/>
        </w:rPr>
        <w:t xml:space="preserve"> the need for integrated digital systems and improved data sharing across health and social care services (DHSC, 2022). Similarly, the </w:t>
      </w:r>
      <w:r w:rsidRPr="00845565">
        <w:rPr>
          <w:rFonts w:ascii="Arial" w:hAnsi="Arial"/>
          <w:i/>
          <w:iCs/>
        </w:rPr>
        <w:t>What Good Looks Like</w:t>
      </w:r>
      <w:r w:rsidRPr="00845565">
        <w:rPr>
          <w:rFonts w:ascii="Arial" w:hAnsi="Arial"/>
        </w:rPr>
        <w:t xml:space="preserve"> framework highlights digital maturity, interoperability and workforce capability as essential requirements for successful digital transformation (NHS England, 2023).</w:t>
      </w:r>
    </w:p>
    <w:p w14:paraId="6BF708D7" w14:textId="77777777" w:rsidR="008377DA" w:rsidRDefault="008377DA" w:rsidP="00845565">
      <w:pPr>
        <w:spacing w:line="360" w:lineRule="auto"/>
        <w:jc w:val="both"/>
        <w:rPr>
          <w:rFonts w:ascii="Arial" w:hAnsi="Arial"/>
        </w:rPr>
      </w:pPr>
    </w:p>
    <w:p w14:paraId="616F2D72" w14:textId="76638229" w:rsidR="008377DA" w:rsidRDefault="008377DA" w:rsidP="008377DA">
      <w:pPr>
        <w:pStyle w:val="Caption"/>
        <w:keepNext/>
      </w:pPr>
      <w:r>
        <w:t xml:space="preserve">Table </w:t>
      </w:r>
      <w:fldSimple w:instr=" SEQ Table \* ARABIC ">
        <w:r>
          <w:rPr>
            <w:noProof/>
          </w:rPr>
          <w:t>1</w:t>
        </w:r>
      </w:fldSimple>
      <w:r>
        <w:t xml:space="preserve">: </w:t>
      </w:r>
      <w:r w:rsidRPr="00E07760">
        <w:t>Progress and challenges in EPR implementation across NHS Trusts (NHS England, 2024).</w:t>
      </w:r>
    </w:p>
    <w:tbl>
      <w:tblPr>
        <w:tblStyle w:val="GridTable5Dark-Accent2"/>
        <w:tblW w:w="0" w:type="auto"/>
        <w:tblLook w:val="04A0" w:firstRow="1" w:lastRow="0" w:firstColumn="1" w:lastColumn="0" w:noHBand="0" w:noVBand="1"/>
      </w:tblPr>
      <w:tblGrid>
        <w:gridCol w:w="1859"/>
        <w:gridCol w:w="7157"/>
      </w:tblGrid>
      <w:tr w:rsidR="008377DA" w:rsidRPr="008377DA" w14:paraId="6CD5D8D1" w14:textId="77777777" w:rsidTr="008377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A6AD92" w14:textId="77777777" w:rsidR="008377DA" w:rsidRPr="008377DA" w:rsidRDefault="008377DA" w:rsidP="008377DA">
            <w:pPr>
              <w:spacing w:after="160" w:line="360" w:lineRule="auto"/>
              <w:jc w:val="both"/>
              <w:rPr>
                <w:rFonts w:ascii="Arial" w:hAnsi="Arial"/>
              </w:rPr>
            </w:pPr>
            <w:r w:rsidRPr="008377DA">
              <w:rPr>
                <w:rFonts w:ascii="Arial" w:hAnsi="Arial"/>
              </w:rPr>
              <w:t>Area</w:t>
            </w:r>
          </w:p>
        </w:tc>
        <w:tc>
          <w:tcPr>
            <w:tcW w:w="0" w:type="auto"/>
            <w:hideMark/>
          </w:tcPr>
          <w:p w14:paraId="735DB42B" w14:textId="77777777" w:rsidR="008377DA" w:rsidRPr="008377DA" w:rsidRDefault="008377DA" w:rsidP="008377D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377DA">
              <w:rPr>
                <w:rFonts w:ascii="Arial" w:hAnsi="Arial"/>
              </w:rPr>
              <w:t>Evidence of EPR implementation</w:t>
            </w:r>
          </w:p>
        </w:tc>
      </w:tr>
      <w:tr w:rsidR="008377DA" w:rsidRPr="008377DA" w14:paraId="18861299" w14:textId="77777777" w:rsidTr="00837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EBCC39" w14:textId="77777777" w:rsidR="008377DA" w:rsidRPr="008377DA" w:rsidRDefault="008377DA" w:rsidP="008377DA">
            <w:pPr>
              <w:spacing w:after="160" w:line="360" w:lineRule="auto"/>
              <w:jc w:val="both"/>
              <w:rPr>
                <w:rFonts w:ascii="Arial" w:hAnsi="Arial"/>
              </w:rPr>
            </w:pPr>
            <w:r w:rsidRPr="008377DA">
              <w:rPr>
                <w:rFonts w:ascii="Arial" w:hAnsi="Arial"/>
              </w:rPr>
              <w:t>National policy aim</w:t>
            </w:r>
          </w:p>
        </w:tc>
        <w:tc>
          <w:tcPr>
            <w:tcW w:w="0" w:type="auto"/>
            <w:hideMark/>
          </w:tcPr>
          <w:p w14:paraId="0B06A21E" w14:textId="77777777" w:rsidR="008377DA" w:rsidRPr="008377DA" w:rsidRDefault="008377DA" w:rsidP="008377D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377DA">
              <w:rPr>
                <w:rFonts w:ascii="Arial" w:hAnsi="Arial"/>
              </w:rPr>
              <w:t>NHS England’s Frontline Digitisation Programme supports all NHS Trusts to reach a core level of EPR functionality.</w:t>
            </w:r>
          </w:p>
        </w:tc>
      </w:tr>
      <w:tr w:rsidR="008377DA" w:rsidRPr="008377DA" w14:paraId="4F547A4E" w14:textId="77777777" w:rsidTr="008377DA">
        <w:tc>
          <w:tcPr>
            <w:cnfStyle w:val="001000000000" w:firstRow="0" w:lastRow="0" w:firstColumn="1" w:lastColumn="0" w:oddVBand="0" w:evenVBand="0" w:oddHBand="0" w:evenHBand="0" w:firstRowFirstColumn="0" w:firstRowLastColumn="0" w:lastRowFirstColumn="0" w:lastRowLastColumn="0"/>
            <w:tcW w:w="0" w:type="auto"/>
            <w:hideMark/>
          </w:tcPr>
          <w:p w14:paraId="6A8425CF" w14:textId="77777777" w:rsidR="008377DA" w:rsidRPr="008377DA" w:rsidRDefault="008377DA" w:rsidP="008377DA">
            <w:pPr>
              <w:spacing w:after="160" w:line="360" w:lineRule="auto"/>
              <w:jc w:val="both"/>
              <w:rPr>
                <w:rFonts w:ascii="Arial" w:hAnsi="Arial"/>
              </w:rPr>
            </w:pPr>
            <w:r w:rsidRPr="008377DA">
              <w:rPr>
                <w:rFonts w:ascii="Arial" w:hAnsi="Arial"/>
              </w:rPr>
              <w:t>Purpose</w:t>
            </w:r>
          </w:p>
        </w:tc>
        <w:tc>
          <w:tcPr>
            <w:tcW w:w="0" w:type="auto"/>
            <w:hideMark/>
          </w:tcPr>
          <w:p w14:paraId="6AAB792C" w14:textId="77777777" w:rsidR="008377DA" w:rsidRPr="008377DA" w:rsidRDefault="008377DA" w:rsidP="008377D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377DA">
              <w:rPr>
                <w:rFonts w:ascii="Arial" w:hAnsi="Arial"/>
              </w:rPr>
              <w:t>To create a more digitally connected healthcare system and improve patient information sharing.</w:t>
            </w:r>
          </w:p>
        </w:tc>
      </w:tr>
      <w:tr w:rsidR="008377DA" w:rsidRPr="008377DA" w14:paraId="50928A84" w14:textId="77777777" w:rsidTr="00837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4DCB2" w14:textId="77777777" w:rsidR="008377DA" w:rsidRPr="008377DA" w:rsidRDefault="008377DA" w:rsidP="008377DA">
            <w:pPr>
              <w:spacing w:after="160" w:line="360" w:lineRule="auto"/>
              <w:jc w:val="both"/>
              <w:rPr>
                <w:rFonts w:ascii="Arial" w:hAnsi="Arial"/>
              </w:rPr>
            </w:pPr>
            <w:r w:rsidRPr="008377DA">
              <w:rPr>
                <w:rFonts w:ascii="Arial" w:hAnsi="Arial"/>
              </w:rPr>
              <w:t>Expected benefit</w:t>
            </w:r>
          </w:p>
        </w:tc>
        <w:tc>
          <w:tcPr>
            <w:tcW w:w="0" w:type="auto"/>
            <w:hideMark/>
          </w:tcPr>
          <w:p w14:paraId="44F39B1D" w14:textId="77777777" w:rsidR="008377DA" w:rsidRPr="008377DA" w:rsidRDefault="008377DA" w:rsidP="008377D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377DA">
              <w:rPr>
                <w:rFonts w:ascii="Arial" w:hAnsi="Arial"/>
              </w:rPr>
              <w:t>Faster access to records, safer decision-making and better coordination between services.</w:t>
            </w:r>
          </w:p>
        </w:tc>
      </w:tr>
      <w:tr w:rsidR="008377DA" w:rsidRPr="008377DA" w14:paraId="129AFB37" w14:textId="77777777" w:rsidTr="008377DA">
        <w:tc>
          <w:tcPr>
            <w:cnfStyle w:val="001000000000" w:firstRow="0" w:lastRow="0" w:firstColumn="1" w:lastColumn="0" w:oddVBand="0" w:evenVBand="0" w:oddHBand="0" w:evenHBand="0" w:firstRowFirstColumn="0" w:firstRowLastColumn="0" w:lastRowFirstColumn="0" w:lastRowLastColumn="0"/>
            <w:tcW w:w="0" w:type="auto"/>
            <w:hideMark/>
          </w:tcPr>
          <w:p w14:paraId="20D8C1C5" w14:textId="77777777" w:rsidR="008377DA" w:rsidRPr="008377DA" w:rsidRDefault="008377DA" w:rsidP="008377DA">
            <w:pPr>
              <w:spacing w:after="160" w:line="360" w:lineRule="auto"/>
              <w:jc w:val="both"/>
              <w:rPr>
                <w:rFonts w:ascii="Arial" w:hAnsi="Arial"/>
              </w:rPr>
            </w:pPr>
            <w:r w:rsidRPr="008377DA">
              <w:rPr>
                <w:rFonts w:ascii="Arial" w:hAnsi="Arial"/>
              </w:rPr>
              <w:t>Key challenge</w:t>
            </w:r>
          </w:p>
        </w:tc>
        <w:tc>
          <w:tcPr>
            <w:tcW w:w="0" w:type="auto"/>
            <w:hideMark/>
          </w:tcPr>
          <w:p w14:paraId="368E77E9" w14:textId="77777777" w:rsidR="008377DA" w:rsidRPr="008377DA" w:rsidRDefault="008377DA" w:rsidP="008377D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377DA">
              <w:rPr>
                <w:rFonts w:ascii="Arial" w:hAnsi="Arial"/>
              </w:rPr>
              <w:t>Uneven implementation across NHS Trusts due to cost, training needs and interoperability issues.</w:t>
            </w:r>
          </w:p>
        </w:tc>
      </w:tr>
    </w:tbl>
    <w:p w14:paraId="5B9CB52C" w14:textId="77777777" w:rsidR="008377DA" w:rsidRDefault="008377DA" w:rsidP="00845565">
      <w:pPr>
        <w:spacing w:line="360" w:lineRule="auto"/>
        <w:jc w:val="both"/>
        <w:rPr>
          <w:rFonts w:ascii="Arial" w:hAnsi="Arial"/>
        </w:rPr>
      </w:pPr>
    </w:p>
    <w:p w14:paraId="0EE2FF10" w14:textId="77777777" w:rsidR="008377DA" w:rsidRPr="008377DA" w:rsidRDefault="008377DA" w:rsidP="008377DA">
      <w:pPr>
        <w:spacing w:line="360" w:lineRule="auto"/>
        <w:jc w:val="both"/>
        <w:rPr>
          <w:rFonts w:ascii="Arial" w:hAnsi="Arial"/>
        </w:rPr>
      </w:pPr>
      <w:r w:rsidRPr="008377DA">
        <w:rPr>
          <w:rFonts w:ascii="Arial" w:hAnsi="Arial"/>
        </w:rPr>
        <w:t>Table 1 shows that EPR implementation is strongly supported by NHS England's digital strategy. However, successful adoption depends on funding, staff training, interoperability and organisational readiness (NHS England, 2024).</w:t>
      </w:r>
    </w:p>
    <w:p w14:paraId="5E60A3F4" w14:textId="77777777" w:rsidR="00845565" w:rsidRPr="00845565" w:rsidRDefault="00845565" w:rsidP="00845565">
      <w:pPr>
        <w:spacing w:line="360" w:lineRule="auto"/>
        <w:jc w:val="both"/>
        <w:rPr>
          <w:rFonts w:ascii="Arial" w:hAnsi="Arial"/>
        </w:rPr>
      </w:pPr>
      <w:r w:rsidRPr="00845565">
        <w:rPr>
          <w:rFonts w:ascii="Arial" w:hAnsi="Arial"/>
        </w:rPr>
        <w:t xml:space="preserve">EPRs were introduced to address problems associated with paper-based records, including delayed information sharing, duplication of work and increased risk of clinical errors. Several NHS Trusts, such as University Hospitals Birmingham NHS Foundation Trust, have successfully implemented comprehensive EPR systems that support coordinated and safer care. However, implementation has not been equally successful </w:t>
      </w:r>
      <w:r w:rsidRPr="00845565">
        <w:rPr>
          <w:rFonts w:ascii="Arial" w:hAnsi="Arial"/>
        </w:rPr>
        <w:lastRenderedPageBreak/>
        <w:t>across all organisations. While some Trusts have benefited from strong leadership, sufficient funding and staff training, others have faced challenges including high costs, technical difficulties and workforce resistance to change. Therefore, although EPRs have significant potential to transform healthcare delivery, their success depends not only on technology but also on organisational readiness, digital skills and effective change management.</w:t>
      </w:r>
    </w:p>
    <w:p w14:paraId="3D138B51" w14:textId="5A510F08" w:rsidR="00845565" w:rsidRPr="00845565" w:rsidRDefault="00845565" w:rsidP="00845565">
      <w:pPr>
        <w:pStyle w:val="Heading1"/>
      </w:pPr>
      <w:bookmarkStart w:id="2" w:name="_Toc233151775"/>
      <w:r w:rsidRPr="00845565">
        <w:t>Impact on Workforce</w:t>
      </w:r>
      <w:bookmarkEnd w:id="2"/>
    </w:p>
    <w:p w14:paraId="31D47154" w14:textId="6A17BAF6" w:rsidR="00845565" w:rsidRPr="00845565" w:rsidRDefault="00845565" w:rsidP="00845565">
      <w:pPr>
        <w:spacing w:line="360" w:lineRule="auto"/>
        <w:jc w:val="both"/>
        <w:rPr>
          <w:rFonts w:ascii="Arial" w:hAnsi="Arial"/>
        </w:rPr>
      </w:pPr>
      <w:r w:rsidRPr="00845565">
        <w:rPr>
          <w:rFonts w:ascii="Arial" w:hAnsi="Arial"/>
        </w:rPr>
        <w:t xml:space="preserve">The implementation of Electronic Patient Records (EPR) has significantly changed the way healthcare professionals work across the NHS. One of the main benefits is faster access to patient information. Healthcare staff can view medical histories, test results and treatment plans in real time, which reduces delays and supports more efficient care delivery (DHSC, 2022). </w:t>
      </w:r>
      <w:r w:rsidR="001A1F8A" w:rsidRPr="001A1F8A">
        <w:rPr>
          <w:rFonts w:ascii="Arial" w:hAnsi="Arial"/>
        </w:rPr>
        <w:t>NHS England reported that over 90% of NHS Trusts had implemented or were implementing Electronic Patient Records by 2025, demonstrating the increasing reliance on digital systems to support workforce efficiency and clinical decision-making (NHS England, 2025).</w:t>
      </w:r>
      <w:r w:rsidR="001A1F8A">
        <w:rPr>
          <w:rFonts w:ascii="Arial" w:hAnsi="Arial"/>
        </w:rPr>
        <w:t xml:space="preserve"> </w:t>
      </w:r>
      <w:r w:rsidRPr="00845565">
        <w:rPr>
          <w:rFonts w:ascii="Arial" w:hAnsi="Arial"/>
        </w:rPr>
        <w:t>EPR systems also improve multidisciplinary communication because doctors, nurses, pharmacists and other professionals can access the same information simultaneously. This promotes coordinated care and reduces the risk of miscommunication between teams (NHS England, 2023).</w:t>
      </w:r>
    </w:p>
    <w:p w14:paraId="3E0C6142" w14:textId="77777777" w:rsidR="00845565" w:rsidRPr="00845565" w:rsidRDefault="00845565" w:rsidP="00845565">
      <w:pPr>
        <w:spacing w:line="360" w:lineRule="auto"/>
        <w:jc w:val="both"/>
        <w:rPr>
          <w:rFonts w:ascii="Arial" w:hAnsi="Arial"/>
        </w:rPr>
      </w:pPr>
      <w:r w:rsidRPr="00845565">
        <w:rPr>
          <w:rFonts w:ascii="Arial" w:hAnsi="Arial"/>
        </w:rPr>
        <w:t>Another advantage is the reduction of duplicated work. Before EPR implementation, patient information was often recorded multiple times across different paper systems. Digital records reduce repetition and allow staff to spend more time on direct patient care. Furthermore, access to accurate and up-to-date information supports better clinical decision-making, which can improve patient safety and treatment outcomes (Aldosari, 2023).</w:t>
      </w:r>
    </w:p>
    <w:p w14:paraId="7BFBEE39" w14:textId="77777777" w:rsidR="00845565" w:rsidRPr="00845565" w:rsidRDefault="00845565" w:rsidP="00845565">
      <w:pPr>
        <w:spacing w:line="360" w:lineRule="auto"/>
        <w:jc w:val="both"/>
        <w:rPr>
          <w:rFonts w:ascii="Arial" w:hAnsi="Arial"/>
        </w:rPr>
      </w:pPr>
      <w:r w:rsidRPr="00845565">
        <w:rPr>
          <w:rFonts w:ascii="Arial" w:hAnsi="Arial"/>
        </w:rPr>
        <w:t xml:space="preserve">Despite these benefits, EPR implementation has also created workforce challenges. Resistance to change is a common issue, particularly among staff who are less confident with digital technologies. Research suggests that some healthcare professionals perceive new systems as disruptive to established working practices, which can reduce engagement during implementation (Asthana, Jones and Sheaff, 2019). In addition, successful use of EPR requires ongoing digital training. The </w:t>
      </w:r>
      <w:r w:rsidRPr="00845565">
        <w:rPr>
          <w:rFonts w:ascii="Arial" w:hAnsi="Arial"/>
          <w:i/>
          <w:iCs/>
        </w:rPr>
        <w:t xml:space="preserve">What </w:t>
      </w:r>
      <w:r w:rsidRPr="00845565">
        <w:rPr>
          <w:rFonts w:ascii="Arial" w:hAnsi="Arial"/>
          <w:i/>
          <w:iCs/>
        </w:rPr>
        <w:lastRenderedPageBreak/>
        <w:t>Good Looks Like</w:t>
      </w:r>
      <w:r w:rsidRPr="00845565">
        <w:rPr>
          <w:rFonts w:ascii="Arial" w:hAnsi="Arial"/>
        </w:rPr>
        <w:t xml:space="preserve"> framework highlights workforce capability as a key factor in achieving digital maturity, demonstrating that technology alone is insufficient without appropriately skilled staff (NHS England, 2023).</w:t>
      </w:r>
    </w:p>
    <w:p w14:paraId="0AEF0B54" w14:textId="77777777" w:rsidR="00845565" w:rsidRPr="00845565" w:rsidRDefault="00845565" w:rsidP="00845565">
      <w:pPr>
        <w:spacing w:line="360" w:lineRule="auto"/>
        <w:jc w:val="both"/>
        <w:rPr>
          <w:rFonts w:ascii="Arial" w:hAnsi="Arial"/>
        </w:rPr>
      </w:pPr>
      <w:r w:rsidRPr="00845565">
        <w:rPr>
          <w:rFonts w:ascii="Arial" w:hAnsi="Arial"/>
        </w:rPr>
        <w:t>During the early stages of implementation, EPR systems may increase administrative workload as staff learn new processes, transfer records and adapt to unfamiliar workflows. There are also growing cybersecurity responsibilities. Healthcare professionals must follow data protection requirements and maintain patient confidentiality, particularly as cyberattacks against healthcare organisations continue to increase (ICO, 2024).</w:t>
      </w:r>
    </w:p>
    <w:p w14:paraId="6ACA6DA2" w14:textId="0B209BB8" w:rsidR="001A1F8A" w:rsidRPr="001A1F8A" w:rsidRDefault="00845565" w:rsidP="001A1F8A">
      <w:pPr>
        <w:spacing w:line="360" w:lineRule="auto"/>
        <w:jc w:val="both"/>
        <w:rPr>
          <w:rFonts w:ascii="Arial" w:hAnsi="Arial"/>
        </w:rPr>
      </w:pPr>
      <w:r w:rsidRPr="00845565">
        <w:rPr>
          <w:rFonts w:ascii="Arial" w:hAnsi="Arial"/>
        </w:rPr>
        <w:t xml:space="preserve">Overall, the benefits of EPR appear to outweigh the challenges. Although implementation can initially create disruption, evidence suggests that long-term improvements in communication, efficiency and decision-making support better workforce performance. However, these benefits depend on adequate training, leadership support and investment in digital competencies. </w:t>
      </w:r>
      <w:r w:rsidR="001A1F8A" w:rsidRPr="001A1F8A">
        <w:rPr>
          <w:rFonts w:ascii="Arial" w:hAnsi="Arial"/>
        </w:rPr>
        <w:t xml:space="preserve">In addition, concerns about data privacy, cybersecurity, and patient trust continue to exist (NHS England, 2023). The high costs of implementation and ongoing maintenance also raise questions about long-term sustainability (Health Foundation, 2025). Therefore, although EPR offers significant benefits, these must be balanced against operational, ethical, and financial challenges to ensure successful digital transformation (Department of Health and Social Care, 2022). </w:t>
      </w:r>
    </w:p>
    <w:p w14:paraId="0F924A7E" w14:textId="72DCDA48" w:rsidR="00845565" w:rsidRPr="00845565" w:rsidRDefault="00845565" w:rsidP="00845565">
      <w:pPr>
        <w:spacing w:line="360" w:lineRule="auto"/>
        <w:jc w:val="both"/>
        <w:rPr>
          <w:rFonts w:ascii="Arial" w:hAnsi="Arial"/>
        </w:rPr>
      </w:pPr>
      <w:r w:rsidRPr="00845565">
        <w:rPr>
          <w:rFonts w:ascii="Arial" w:hAnsi="Arial"/>
        </w:rPr>
        <w:t>Consequently, EPR has not only transformed healthcare processes but has also reshaped workforce roles, requiring professionals to develop new digital skills alongside traditional clinical expertise.</w:t>
      </w:r>
    </w:p>
    <w:p w14:paraId="22803D17" w14:textId="471B4E98" w:rsidR="00BF5A7E" w:rsidRPr="00BF5A7E" w:rsidRDefault="00BF5A7E" w:rsidP="00BF5A7E">
      <w:pPr>
        <w:pStyle w:val="Heading1"/>
      </w:pPr>
      <w:bookmarkStart w:id="3" w:name="_Toc233151776"/>
      <w:r w:rsidRPr="00BF5A7E">
        <w:t>Impact on Service Delivery</w:t>
      </w:r>
      <w:bookmarkEnd w:id="3"/>
    </w:p>
    <w:p w14:paraId="2CB461CA" w14:textId="77777777" w:rsidR="00BF5A7E" w:rsidRPr="00BF5A7E" w:rsidRDefault="00BF5A7E" w:rsidP="00BF5A7E">
      <w:pPr>
        <w:spacing w:line="360" w:lineRule="auto"/>
        <w:jc w:val="both"/>
        <w:rPr>
          <w:rFonts w:ascii="Arial" w:hAnsi="Arial"/>
        </w:rPr>
      </w:pPr>
      <w:r w:rsidRPr="00BF5A7E">
        <w:rPr>
          <w:rFonts w:ascii="Arial" w:hAnsi="Arial"/>
        </w:rPr>
        <w:t>Electronic Patient Records (EPR) have transformed service delivery across the NHS by improving the way information is recorded, shared and used. One of the most significant benefits is improved continuity of care. Because patient information is stored electronically and can be accessed by authorised professionals across different departments, patients experience a more coordinated healthcare journey. This is particularly important for individuals with complex or long-term conditions who require support from multiple healthcare providers (DHSC, 2022).</w:t>
      </w:r>
    </w:p>
    <w:p w14:paraId="3A397328" w14:textId="051E3F8D" w:rsidR="001A1F8A" w:rsidRPr="001A1F8A" w:rsidRDefault="00BF5A7E" w:rsidP="001A1F8A">
      <w:pPr>
        <w:spacing w:line="360" w:lineRule="auto"/>
        <w:jc w:val="both"/>
        <w:rPr>
          <w:rFonts w:ascii="Arial" w:hAnsi="Arial"/>
        </w:rPr>
      </w:pPr>
      <w:r w:rsidRPr="00BF5A7E">
        <w:rPr>
          <w:rFonts w:ascii="Arial" w:hAnsi="Arial"/>
        </w:rPr>
        <w:lastRenderedPageBreak/>
        <w:t>EPR systems have also helped reduce medication and documentation errors. Digital prescribing and automated alerts can identify potential drug interactions, allergies or missing information, improving patient safety and reducing clinical risks (Aldosari, 2023).</w:t>
      </w:r>
    </w:p>
    <w:p w14:paraId="1F185255" w14:textId="49039EC5" w:rsidR="00BF5A7E" w:rsidRPr="00BF5A7E" w:rsidRDefault="00BF5A7E" w:rsidP="00BF5A7E">
      <w:pPr>
        <w:spacing w:line="360" w:lineRule="auto"/>
        <w:jc w:val="both"/>
        <w:rPr>
          <w:rFonts w:ascii="Arial" w:hAnsi="Arial"/>
        </w:rPr>
      </w:pPr>
      <w:r w:rsidRPr="00BF5A7E">
        <w:rPr>
          <w:rFonts w:ascii="Arial" w:hAnsi="Arial"/>
        </w:rPr>
        <w:t>In addition, faster information sharing enables healthcare professionals to access test results, referrals and treatment histories more quickly than traditional paper-based systems. This supports timely decision-making and more efficient care delivery. Better coordination across services, including primary care, hospitals and community services, further contributes to integrated and person-centred care (NHS England, 2023).</w:t>
      </w:r>
    </w:p>
    <w:p w14:paraId="031B5974" w14:textId="77777777" w:rsidR="00BF5A7E" w:rsidRPr="00BF5A7E" w:rsidRDefault="00BF5A7E" w:rsidP="00BF5A7E">
      <w:pPr>
        <w:spacing w:line="360" w:lineRule="auto"/>
        <w:jc w:val="both"/>
        <w:rPr>
          <w:rFonts w:ascii="Arial" w:hAnsi="Arial"/>
        </w:rPr>
      </w:pPr>
      <w:r w:rsidRPr="00BF5A7E">
        <w:rPr>
          <w:rFonts w:ascii="Arial" w:hAnsi="Arial"/>
        </w:rPr>
        <w:t>However, despite these advantages, EPR implementation also presents several challenges. System downtime can significantly disrupt service delivery because healthcare professionals rely heavily on digital systems to access patient information. When systems fail, staff may need to revert to manual processes, causing delays and increasing workload. Interoperability remains another major issue. Although digital transformation aims to improve information sharing, different organisations often use different systems that cannot fully communicate with one another, limiting the benefits of integrated care (Asthana, Jones and Sheaff, 2019).</w:t>
      </w:r>
    </w:p>
    <w:p w14:paraId="4B43710F" w14:textId="77777777" w:rsidR="00BF5A7E" w:rsidRPr="00BF5A7E" w:rsidRDefault="00BF5A7E" w:rsidP="00BF5A7E">
      <w:pPr>
        <w:spacing w:line="360" w:lineRule="auto"/>
        <w:jc w:val="both"/>
        <w:rPr>
          <w:rFonts w:ascii="Arial" w:hAnsi="Arial"/>
        </w:rPr>
      </w:pPr>
      <w:r w:rsidRPr="00BF5A7E">
        <w:rPr>
          <w:rFonts w:ascii="Arial" w:hAnsi="Arial"/>
        </w:rPr>
        <w:t>Financial costs also represent a significant challenge. Implementing and maintaining EPR systems requires substantial investment in software, infrastructure, training and cybersecurity measures. Furthermore, increased dependence on technology can create risks if systems become unavailable due to technical failures or cyberattacks.</w:t>
      </w:r>
    </w:p>
    <w:p w14:paraId="755535F3" w14:textId="77777777" w:rsidR="00BF5A7E" w:rsidRPr="00BF5A7E" w:rsidRDefault="00BF5A7E" w:rsidP="00BF5A7E">
      <w:pPr>
        <w:spacing w:line="360" w:lineRule="auto"/>
        <w:jc w:val="both"/>
        <w:rPr>
          <w:rFonts w:ascii="Arial" w:hAnsi="Arial"/>
        </w:rPr>
      </w:pPr>
      <w:r w:rsidRPr="00BF5A7E">
        <w:rPr>
          <w:rFonts w:ascii="Arial" w:hAnsi="Arial"/>
        </w:rPr>
        <w:t>Overall, EPR has improved service efficiency and quality of care by supporting safer decision-making, reducing duplication and enhancing coordination between services. Nevertheless, these improvements are not universal. The extent of success often depends on system integration, organisational readiness and ongoing investment. Therefore, while EPR has the potential to enhance healthcare delivery significantly, its effectiveness relies on addressing technical, financial and operational challenges that continue to affect implementation across the NHS.</w:t>
      </w:r>
    </w:p>
    <w:p w14:paraId="28532540" w14:textId="2472F00A" w:rsidR="00BF5A7E" w:rsidRPr="00BF5A7E" w:rsidRDefault="00BF5A7E" w:rsidP="00BF5A7E">
      <w:pPr>
        <w:pStyle w:val="Heading1"/>
      </w:pPr>
      <w:bookmarkStart w:id="4" w:name="_Toc233151777"/>
      <w:r w:rsidRPr="00BF5A7E">
        <w:lastRenderedPageBreak/>
        <w:t>Impact on Patients and Service Users</w:t>
      </w:r>
      <w:bookmarkEnd w:id="4"/>
    </w:p>
    <w:p w14:paraId="18C8C339" w14:textId="77777777" w:rsidR="00BF5A7E" w:rsidRPr="00BF5A7E" w:rsidRDefault="00BF5A7E" w:rsidP="00BF5A7E">
      <w:pPr>
        <w:spacing w:line="360" w:lineRule="auto"/>
        <w:jc w:val="both"/>
        <w:rPr>
          <w:rFonts w:ascii="Arial" w:hAnsi="Arial"/>
        </w:rPr>
      </w:pPr>
      <w:r w:rsidRPr="00BF5A7E">
        <w:rPr>
          <w:rFonts w:ascii="Arial" w:hAnsi="Arial"/>
        </w:rPr>
        <w:t>Electronic Patient Records (EPR) have significantly influenced the experiences of patients and service users within UK health and social care. One major benefit is improved patient safety. Healthcare professionals can access accurate and up-to-date information, reducing the risk of medication errors, duplicated tests and inappropriate treatments (Aldosari, 2023). EPR systems also support more personalised care because clinicians can view a patient's complete medical history, allowing treatment decisions to be tailored to individual needs. This aligns with the NHS goal of delivering person-centred care through digital transformation (DHSC, 2022).</w:t>
      </w:r>
    </w:p>
    <w:p w14:paraId="637DDAC9" w14:textId="0C801577" w:rsidR="00090328" w:rsidRDefault="00BF5A7E" w:rsidP="002E03E5">
      <w:pPr>
        <w:spacing w:line="360" w:lineRule="auto"/>
        <w:jc w:val="both"/>
      </w:pPr>
      <w:r w:rsidRPr="00BF5A7E">
        <w:rPr>
          <w:rFonts w:ascii="Arial" w:hAnsi="Arial"/>
        </w:rPr>
        <w:t xml:space="preserve">Another advantage is improved access to information. Patients increasingly benefit from digital services that allow them to view parts of their health records, appointments and test results online. </w:t>
      </w:r>
    </w:p>
    <w:p w14:paraId="68F6134F" w14:textId="408619E4" w:rsidR="00BF5A7E" w:rsidRPr="00BF5A7E" w:rsidRDefault="00BF5A7E" w:rsidP="00BF5A7E">
      <w:pPr>
        <w:spacing w:line="360" w:lineRule="auto"/>
        <w:jc w:val="both"/>
        <w:rPr>
          <w:rFonts w:ascii="Arial" w:hAnsi="Arial"/>
        </w:rPr>
      </w:pPr>
      <w:r w:rsidRPr="00BF5A7E">
        <w:rPr>
          <w:rFonts w:ascii="Arial" w:hAnsi="Arial"/>
        </w:rPr>
        <w:t>In addition, EPR reduces the need for patients to repeatedly explain their medical history when moving between services, improving convenience and continuity of care (NHS England, 2023).</w:t>
      </w:r>
    </w:p>
    <w:p w14:paraId="434FA0FB" w14:textId="77777777" w:rsidR="00BF5A7E" w:rsidRPr="00BF5A7E" w:rsidRDefault="00BF5A7E" w:rsidP="00BF5A7E">
      <w:pPr>
        <w:spacing w:line="360" w:lineRule="auto"/>
        <w:jc w:val="both"/>
        <w:rPr>
          <w:rFonts w:ascii="Arial" w:hAnsi="Arial"/>
        </w:rPr>
      </w:pPr>
      <w:r w:rsidRPr="00BF5A7E">
        <w:rPr>
          <w:rFonts w:ascii="Arial" w:hAnsi="Arial"/>
        </w:rPr>
        <w:t>Despite these benefits, concerns remain regarding privacy and data sharing. Patients may worry about who can access their personal information and whether their data is adequately protected. The Information Commissioner’s Office (ICO) emphasises the importance of transparency and confidentiality when handling health information (ICO, 2024). Furthermore, digital exclusion remains a significant challenge. Older adults, individuals with limited digital skills and disadvantaged groups may struggle to access digital health services, potentially increasing existing health inequalities.</w:t>
      </w:r>
    </w:p>
    <w:p w14:paraId="60DF8A82" w14:textId="77777777" w:rsidR="00BF5A7E" w:rsidRPr="00BF5A7E" w:rsidRDefault="00BF5A7E" w:rsidP="00BF5A7E">
      <w:pPr>
        <w:spacing w:line="360" w:lineRule="auto"/>
        <w:jc w:val="both"/>
        <w:rPr>
          <w:rFonts w:ascii="Arial" w:hAnsi="Arial"/>
        </w:rPr>
      </w:pPr>
      <w:r w:rsidRPr="00BF5A7E">
        <w:rPr>
          <w:rFonts w:ascii="Arial" w:hAnsi="Arial"/>
        </w:rPr>
        <w:t>From a critical perspective, EPR can empower patients by improving access to information and encouraging greater involvement in healthcare decisions. However, empowerment is not experienced equally by all patients. Those with limited digital access or concerns about data security may benefit less from digital records. Therefore, while EPR has the potential to enhance patient autonomy and engagement, its success depends on addressing privacy concerns and ensuring inclusive access for all service users.</w:t>
      </w:r>
    </w:p>
    <w:p w14:paraId="40FE20A2" w14:textId="712C0D42" w:rsidR="00BF5A7E" w:rsidRPr="00BF5A7E" w:rsidRDefault="00BF5A7E" w:rsidP="00BF5A7E">
      <w:pPr>
        <w:pStyle w:val="Heading1"/>
      </w:pPr>
      <w:bookmarkStart w:id="5" w:name="_Toc233151778"/>
      <w:r w:rsidRPr="00BF5A7E">
        <w:lastRenderedPageBreak/>
        <w:t>Impact on Communities</w:t>
      </w:r>
      <w:bookmarkEnd w:id="5"/>
    </w:p>
    <w:p w14:paraId="7A820597" w14:textId="28C43FA9" w:rsidR="001A1F8A" w:rsidRPr="00C40834" w:rsidRDefault="00BF5A7E" w:rsidP="001A1F8A">
      <w:pPr>
        <w:spacing w:line="360" w:lineRule="auto"/>
        <w:jc w:val="both"/>
        <w:rPr>
          <w:rFonts w:ascii="Arial" w:hAnsi="Arial"/>
        </w:rPr>
      </w:pPr>
      <w:r w:rsidRPr="00BF5A7E">
        <w:rPr>
          <w:rFonts w:ascii="Arial" w:hAnsi="Arial"/>
        </w:rPr>
        <w:t>Electronic Patient Records (EPR) have the potential to improve health outcomes at a community level by supporting better population health management. Digital records allow healthcare organisations to collect and analyse large amounts of health data, helping identify trends, monitor disease patterns and target public health interventions more effectively (DHSC, 2022).</w:t>
      </w:r>
      <w:r w:rsidR="001A1F8A">
        <w:rPr>
          <w:rFonts w:ascii="Arial" w:hAnsi="Arial"/>
        </w:rPr>
        <w:t xml:space="preserve"> </w:t>
      </w:r>
    </w:p>
    <w:p w14:paraId="7036C82E" w14:textId="691D5C40" w:rsidR="00BF5A7E" w:rsidRPr="00BF5A7E" w:rsidRDefault="00BF5A7E" w:rsidP="00BF5A7E">
      <w:pPr>
        <w:spacing w:line="360" w:lineRule="auto"/>
        <w:jc w:val="both"/>
        <w:rPr>
          <w:rFonts w:ascii="Arial" w:hAnsi="Arial"/>
        </w:rPr>
      </w:pPr>
      <w:r w:rsidRPr="00BF5A7E">
        <w:rPr>
          <w:rFonts w:ascii="Arial" w:hAnsi="Arial"/>
        </w:rPr>
        <w:t xml:space="preserve"> This can support preventive healthcare strategies and improve resource allocation within communities. EPR also promotes improved service integration by enabling information sharing between hospitals, primary care, community services and social care providers. As a result, patients may experience more coordinated and continuous care across different settings (NHS England, 2023).</w:t>
      </w:r>
    </w:p>
    <w:p w14:paraId="00AA8B0B" w14:textId="77777777" w:rsidR="00BF5A7E" w:rsidRDefault="00BF5A7E" w:rsidP="00BF5A7E">
      <w:pPr>
        <w:spacing w:line="360" w:lineRule="auto"/>
        <w:jc w:val="both"/>
        <w:rPr>
          <w:rFonts w:ascii="Arial" w:hAnsi="Arial"/>
        </w:rPr>
      </w:pPr>
      <w:r w:rsidRPr="00BF5A7E">
        <w:rPr>
          <w:rFonts w:ascii="Arial" w:hAnsi="Arial"/>
        </w:rPr>
        <w:t>Another benefit is enhanced public health planning. Accurate digital data enables healthcare organisations to respond more effectively to local health needs and emerging health challenges. Furthermore, EPR can improve access to healthcare across geographical locations because authorised professionals can access patient information regardless of where treatment is provided, supporting continuity of care for mobile populations and rural communities.</w:t>
      </w:r>
    </w:p>
    <w:p w14:paraId="1DDFFECD" w14:textId="0BCB1089" w:rsidR="00C40834" w:rsidRPr="00BF5A7E" w:rsidRDefault="00C40834" w:rsidP="00BF5A7E">
      <w:pPr>
        <w:spacing w:line="360" w:lineRule="auto"/>
        <w:jc w:val="both"/>
        <w:rPr>
          <w:rFonts w:ascii="Arial" w:hAnsi="Arial"/>
        </w:rPr>
      </w:pPr>
      <w:r w:rsidRPr="00C40834">
        <w:rPr>
          <w:rFonts w:ascii="Arial" w:hAnsi="Arial"/>
        </w:rPr>
        <w:t>However, achieving these benefits requires meaningful co-production with service users, carers and community organisations to ensure digital services meet the needs of diverse populations and do not widen existing health inequalities (DHSC, 2022; Digital Care Hub, 2024).</w:t>
      </w:r>
    </w:p>
    <w:p w14:paraId="29A4E210" w14:textId="77777777" w:rsidR="00BF5A7E" w:rsidRPr="00BF5A7E" w:rsidRDefault="00BF5A7E" w:rsidP="00BF5A7E">
      <w:pPr>
        <w:spacing w:line="360" w:lineRule="auto"/>
        <w:jc w:val="both"/>
        <w:rPr>
          <w:rFonts w:ascii="Arial" w:hAnsi="Arial"/>
        </w:rPr>
      </w:pPr>
      <w:r w:rsidRPr="00BF5A7E">
        <w:rPr>
          <w:rFonts w:ascii="Arial" w:hAnsi="Arial"/>
        </w:rPr>
        <w:t>However, the benefits of EPR are not experienced equally. The digital divide remains a significant challenge, particularly for older adults, people with disabilities, low-income groups and those with limited digital skills. These barriers can contribute to existing health inequalities by reducing engagement with digital health services (Digital Care Hub, 2024). In addition, some vulnerable groups may face difficulties understanding how their data is used or accessing digital health information.</w:t>
      </w:r>
    </w:p>
    <w:p w14:paraId="35815B14" w14:textId="77777777" w:rsidR="00BF5A7E" w:rsidRPr="00BF5A7E" w:rsidRDefault="00BF5A7E" w:rsidP="00BF5A7E">
      <w:pPr>
        <w:spacing w:line="360" w:lineRule="auto"/>
        <w:jc w:val="both"/>
        <w:rPr>
          <w:rFonts w:ascii="Arial" w:hAnsi="Arial"/>
        </w:rPr>
      </w:pPr>
      <w:r w:rsidRPr="00BF5A7E">
        <w:rPr>
          <w:rFonts w:ascii="Arial" w:hAnsi="Arial"/>
        </w:rPr>
        <w:t xml:space="preserve">Critically, EPR has the potential to reduce inequalities through better coordination and targeted healthcare planning. However, without investment in digital inclusion, education and accessible services, EPR may unintentionally widen existing </w:t>
      </w:r>
      <w:r w:rsidRPr="00BF5A7E">
        <w:rPr>
          <w:rFonts w:ascii="Arial" w:hAnsi="Arial"/>
        </w:rPr>
        <w:lastRenderedPageBreak/>
        <w:t>disparities. Therefore, digital transformation must be accompanied by measures that ensure all communities can benefit equally from technological innovation.</w:t>
      </w:r>
    </w:p>
    <w:p w14:paraId="2BD27BED" w14:textId="2CBEA508" w:rsidR="00BD5AAC" w:rsidRPr="00BD5AAC" w:rsidRDefault="00BD5AAC" w:rsidP="00BD5AAC">
      <w:pPr>
        <w:pStyle w:val="Heading1"/>
      </w:pPr>
      <w:bookmarkStart w:id="6" w:name="_Toc233151779"/>
      <w:r w:rsidRPr="00BD5AAC">
        <w:t>Conclusion and Recommendations</w:t>
      </w:r>
      <w:bookmarkEnd w:id="6"/>
    </w:p>
    <w:p w14:paraId="44E90212" w14:textId="77777777" w:rsidR="00BD5AAC" w:rsidRPr="00BD5AAC" w:rsidRDefault="00BD5AAC" w:rsidP="00BD5AAC">
      <w:pPr>
        <w:spacing w:line="360" w:lineRule="auto"/>
        <w:jc w:val="both"/>
        <w:rPr>
          <w:rFonts w:ascii="Arial" w:hAnsi="Arial"/>
        </w:rPr>
      </w:pPr>
      <w:r w:rsidRPr="00BD5AAC">
        <w:rPr>
          <w:rFonts w:ascii="Arial" w:hAnsi="Arial"/>
        </w:rPr>
        <w:t>Electronic Patient Records (EPR) have become a key component of digital transformation within UK health and social care. This report has demonstrated that EPR offers several important benefits, including improved access to patient information, better communication between professionals, enhanced continuity of care and more effective public health planning. These advantages can contribute to improved patient safety, service efficiency and integrated care. However, the findings also highlight significant challenges, including workforce adaptation, interoperability issues, cybersecurity risks and digital exclusion. Therefore, although EPR is a valuable digital innovation, its success depends on how effectively these barriers are managed.</w:t>
      </w:r>
    </w:p>
    <w:p w14:paraId="3A01579D" w14:textId="77777777" w:rsidR="00BD5AAC" w:rsidRPr="00BD5AAC" w:rsidRDefault="00BD5AAC" w:rsidP="00BD5AAC">
      <w:pPr>
        <w:spacing w:line="360" w:lineRule="auto"/>
        <w:jc w:val="both"/>
        <w:rPr>
          <w:rFonts w:ascii="Arial" w:hAnsi="Arial"/>
        </w:rPr>
      </w:pPr>
      <w:r w:rsidRPr="00BD5AAC">
        <w:rPr>
          <w:rFonts w:ascii="Arial" w:hAnsi="Arial"/>
        </w:rPr>
        <w:t>Overall, the evidence suggests that the benefits of EPR outweigh the limitations, particularly when implementation is supported by strong leadership, adequate resources and workforce engagement. To maximise the benefits of EPR, healthcare organisations should continue investing in staff digital training and professional development. Stronger cybersecurity measures are required to protect sensitive patient information and maintain public trust. Greater interoperability between healthcare systems should be prioritised to improve information sharing. In addition, strategies to reduce digital exclusion should be implemented to ensure equitable access. Finally, continued investment in digital infrastructure is essential to support sustainable and effective digital transformation across the NHS and social care sectors.</w:t>
      </w:r>
    </w:p>
    <w:p w14:paraId="64FBE3FA" w14:textId="091B2197" w:rsidR="00BD5AAC" w:rsidRDefault="00BD5AAC">
      <w:pPr>
        <w:rPr>
          <w:rFonts w:ascii="Arial" w:hAnsi="Arial"/>
        </w:rPr>
      </w:pPr>
      <w:r>
        <w:rPr>
          <w:rFonts w:ascii="Arial" w:hAnsi="Arial"/>
        </w:rPr>
        <w:br w:type="page"/>
      </w:r>
    </w:p>
    <w:p w14:paraId="70E45CCB" w14:textId="77044D4E" w:rsidR="00BA1F67" w:rsidRDefault="00BD5AAC" w:rsidP="00BD5AAC">
      <w:pPr>
        <w:pStyle w:val="Heading1"/>
      </w:pPr>
      <w:bookmarkStart w:id="7" w:name="_Toc233151780"/>
      <w:r>
        <w:lastRenderedPageBreak/>
        <w:t>Refrences:</w:t>
      </w:r>
      <w:bookmarkEnd w:id="7"/>
    </w:p>
    <w:p w14:paraId="2303DEFE" w14:textId="77777777" w:rsidR="00FB6EC0" w:rsidRPr="00FB6EC0" w:rsidRDefault="00FB6EC0" w:rsidP="00FB6EC0">
      <w:pPr>
        <w:spacing w:line="360" w:lineRule="auto"/>
        <w:rPr>
          <w:rFonts w:ascii="Arial" w:hAnsi="Arial" w:cs="Arial"/>
        </w:rPr>
      </w:pPr>
      <w:r w:rsidRPr="00FB6EC0">
        <w:rPr>
          <w:rFonts w:ascii="Arial" w:hAnsi="Arial" w:cs="Arial"/>
        </w:rPr>
        <w:t xml:space="preserve">Asthana, S., Jones, R. and Sheaff, R. (2019) ‘Why does the NHS struggle to adopt eHealth innovations? A review of macro, meso and micro factors’, </w:t>
      </w:r>
      <w:r w:rsidRPr="00FB6EC0">
        <w:rPr>
          <w:rFonts w:ascii="Arial" w:hAnsi="Arial" w:cs="Arial"/>
          <w:i/>
          <w:iCs/>
        </w:rPr>
        <w:t>BMC Health Services Research</w:t>
      </w:r>
      <w:r w:rsidRPr="00FB6EC0">
        <w:rPr>
          <w:rFonts w:ascii="Arial" w:hAnsi="Arial" w:cs="Arial"/>
        </w:rPr>
        <w:t xml:space="preserve">, 19(984). Available at: </w:t>
      </w:r>
      <w:hyperlink r:id="rId9" w:history="1">
        <w:r w:rsidRPr="00FB6EC0">
          <w:rPr>
            <w:rStyle w:val="Hyperlink"/>
            <w:rFonts w:ascii="Arial" w:hAnsi="Arial" w:cs="Arial"/>
          </w:rPr>
          <w:t>https://pmc.ncbi.nlm.nih.gov/articles/PMC6925468/</w:t>
        </w:r>
      </w:hyperlink>
      <w:r w:rsidRPr="00FB6EC0">
        <w:rPr>
          <w:rFonts w:ascii="Arial" w:hAnsi="Arial" w:cs="Arial"/>
        </w:rPr>
        <w:t xml:space="preserve"> (Accessed: 16 June 2026).</w:t>
      </w:r>
    </w:p>
    <w:p w14:paraId="668E6B2C" w14:textId="77777777" w:rsidR="00FB6EC0" w:rsidRPr="00FB6EC0" w:rsidRDefault="00FB6EC0" w:rsidP="00FB6EC0">
      <w:pPr>
        <w:spacing w:line="360" w:lineRule="auto"/>
        <w:rPr>
          <w:rFonts w:ascii="Arial" w:hAnsi="Arial" w:cs="Arial"/>
        </w:rPr>
      </w:pPr>
      <w:r w:rsidRPr="00FB6EC0">
        <w:rPr>
          <w:rFonts w:ascii="Arial" w:hAnsi="Arial" w:cs="Arial"/>
        </w:rPr>
        <w:t xml:space="preserve">Asthana, S., Jones, R. and Sheaff, R. (2019) ‘Why does the NHS struggle to adopt eHealth innovations? A review of macro, meso and micro factors’, </w:t>
      </w:r>
      <w:r w:rsidRPr="00FB6EC0">
        <w:rPr>
          <w:rFonts w:ascii="Arial" w:hAnsi="Arial" w:cs="Arial"/>
          <w:i/>
          <w:iCs/>
        </w:rPr>
        <w:t>BMC Health Services Research</w:t>
      </w:r>
      <w:r w:rsidRPr="00FB6EC0">
        <w:rPr>
          <w:rFonts w:ascii="Arial" w:hAnsi="Arial" w:cs="Arial"/>
        </w:rPr>
        <w:t xml:space="preserve">, 19(984). Available at: </w:t>
      </w:r>
      <w:hyperlink r:id="rId10" w:history="1">
        <w:r w:rsidRPr="00FB6EC0">
          <w:rPr>
            <w:rStyle w:val="Hyperlink"/>
            <w:rFonts w:ascii="Arial" w:hAnsi="Arial" w:cs="Arial"/>
          </w:rPr>
          <w:t>https://pmc.ncbi.nlm.nih.gov/articles/PMC6925468/</w:t>
        </w:r>
      </w:hyperlink>
      <w:r w:rsidRPr="00FB6EC0">
        <w:rPr>
          <w:rFonts w:ascii="Arial" w:hAnsi="Arial" w:cs="Arial"/>
        </w:rPr>
        <w:t xml:space="preserve"> (Accessed: 18 June 2026).</w:t>
      </w:r>
    </w:p>
    <w:p w14:paraId="00B259F8" w14:textId="77777777" w:rsidR="00FB6EC0" w:rsidRPr="00FB6EC0" w:rsidRDefault="00FB6EC0" w:rsidP="00FB6EC0">
      <w:pPr>
        <w:spacing w:line="360" w:lineRule="auto"/>
        <w:rPr>
          <w:rFonts w:ascii="Arial" w:hAnsi="Arial" w:cs="Arial"/>
        </w:rPr>
      </w:pPr>
      <w:r w:rsidRPr="00FB6EC0">
        <w:rPr>
          <w:rFonts w:ascii="Arial" w:hAnsi="Arial" w:cs="Arial"/>
        </w:rPr>
        <w:t xml:space="preserve">CSL (2022) </w:t>
      </w:r>
      <w:r w:rsidRPr="00FB6EC0">
        <w:rPr>
          <w:rFonts w:ascii="Arial" w:hAnsi="Arial" w:cs="Arial"/>
          <w:i/>
          <w:iCs/>
        </w:rPr>
        <w:t>U.S. patients get full access to medical records</w:t>
      </w:r>
      <w:r w:rsidRPr="00FB6EC0">
        <w:rPr>
          <w:rFonts w:ascii="Arial" w:hAnsi="Arial" w:cs="Arial"/>
        </w:rPr>
        <w:t xml:space="preserve"> [online image]. Available at: </w:t>
      </w:r>
      <w:hyperlink r:id="rId11" w:history="1">
        <w:r w:rsidRPr="00FB6EC0">
          <w:rPr>
            <w:rStyle w:val="Hyperlink"/>
            <w:rFonts w:ascii="Arial" w:hAnsi="Arial" w:cs="Arial"/>
          </w:rPr>
          <w:t>https://www.csl.com/we-are-csl/vita-original-stories/2022/us-patients-get-full-access-to-medical-records</w:t>
        </w:r>
      </w:hyperlink>
      <w:r w:rsidRPr="00FB6EC0">
        <w:rPr>
          <w:rFonts w:ascii="Arial" w:hAnsi="Arial" w:cs="Arial"/>
        </w:rPr>
        <w:t xml:space="preserve"> (Accessed: 21 June 2026).</w:t>
      </w:r>
    </w:p>
    <w:p w14:paraId="5532308C" w14:textId="77777777" w:rsidR="00FB6EC0" w:rsidRPr="00FB6EC0" w:rsidRDefault="00FB6EC0" w:rsidP="00FB6EC0">
      <w:pPr>
        <w:spacing w:line="360" w:lineRule="auto"/>
        <w:rPr>
          <w:rFonts w:ascii="Arial" w:hAnsi="Arial" w:cs="Arial"/>
        </w:rPr>
      </w:pPr>
      <w:r w:rsidRPr="00FB6EC0">
        <w:rPr>
          <w:rFonts w:ascii="Arial" w:hAnsi="Arial" w:cs="Arial"/>
        </w:rPr>
        <w:t xml:space="preserve">Department of Health and Social Care (2022) </w:t>
      </w:r>
      <w:r w:rsidRPr="00FB6EC0">
        <w:rPr>
          <w:rFonts w:ascii="Arial" w:hAnsi="Arial" w:cs="Arial"/>
          <w:i/>
          <w:iCs/>
        </w:rPr>
        <w:t>A plan for digital health and social care</w:t>
      </w:r>
      <w:r w:rsidRPr="00FB6EC0">
        <w:rPr>
          <w:rFonts w:ascii="Arial" w:hAnsi="Arial" w:cs="Arial"/>
        </w:rPr>
        <w:t xml:space="preserve">. London: Department of Health and Social Care. Available at: </w:t>
      </w:r>
      <w:hyperlink r:id="rId12" w:history="1">
        <w:r w:rsidRPr="00FB6EC0">
          <w:rPr>
            <w:rStyle w:val="Hyperlink"/>
            <w:rFonts w:ascii="Arial" w:hAnsi="Arial" w:cs="Arial"/>
          </w:rPr>
          <w:t>https://www.gov.uk/government/publications/a-plan-for-digital-health-and-social-care</w:t>
        </w:r>
      </w:hyperlink>
      <w:r w:rsidRPr="00FB6EC0">
        <w:rPr>
          <w:rFonts w:ascii="Arial" w:hAnsi="Arial" w:cs="Arial"/>
        </w:rPr>
        <w:t xml:space="preserve"> (Accessed: 15 June 2026).</w:t>
      </w:r>
    </w:p>
    <w:p w14:paraId="017D4035" w14:textId="77777777" w:rsidR="00FB6EC0" w:rsidRPr="00FB6EC0" w:rsidRDefault="00FB6EC0" w:rsidP="00FB6EC0">
      <w:pPr>
        <w:spacing w:line="360" w:lineRule="auto"/>
        <w:rPr>
          <w:rFonts w:ascii="Arial" w:hAnsi="Arial" w:cs="Arial"/>
        </w:rPr>
      </w:pPr>
      <w:r w:rsidRPr="00FB6EC0">
        <w:rPr>
          <w:rFonts w:ascii="Arial" w:hAnsi="Arial" w:cs="Arial"/>
        </w:rPr>
        <w:t xml:space="preserve">Department of Health and Social Care (2022) </w:t>
      </w:r>
      <w:r w:rsidRPr="00FB6EC0">
        <w:rPr>
          <w:rFonts w:ascii="Arial" w:hAnsi="Arial" w:cs="Arial"/>
          <w:i/>
          <w:iCs/>
        </w:rPr>
        <w:t>A plan for digital health and social care</w:t>
      </w:r>
      <w:r w:rsidRPr="00FB6EC0">
        <w:rPr>
          <w:rFonts w:ascii="Arial" w:hAnsi="Arial" w:cs="Arial"/>
        </w:rPr>
        <w:t xml:space="preserve">. Available at: </w:t>
      </w:r>
      <w:hyperlink r:id="rId13" w:history="1">
        <w:r w:rsidRPr="00FB6EC0">
          <w:rPr>
            <w:rStyle w:val="Hyperlink"/>
            <w:rFonts w:ascii="Arial" w:hAnsi="Arial" w:cs="Arial"/>
          </w:rPr>
          <w:t>https://www.gov.uk/government/publications/a-plan-for-digital-health-and-social-care/a-plan-for-digital-health-and-social-care</w:t>
        </w:r>
      </w:hyperlink>
      <w:r w:rsidRPr="00FB6EC0">
        <w:rPr>
          <w:rFonts w:ascii="Arial" w:hAnsi="Arial" w:cs="Arial"/>
        </w:rPr>
        <w:t xml:space="preserve"> (Accessed: 20 June 2026).</w:t>
      </w:r>
    </w:p>
    <w:p w14:paraId="3D14EBEC" w14:textId="77777777" w:rsidR="00FB6EC0" w:rsidRPr="00FB6EC0" w:rsidRDefault="00FB6EC0" w:rsidP="00FB6EC0">
      <w:pPr>
        <w:spacing w:line="360" w:lineRule="auto"/>
        <w:rPr>
          <w:rFonts w:ascii="Arial" w:hAnsi="Arial" w:cs="Arial"/>
        </w:rPr>
      </w:pPr>
      <w:r w:rsidRPr="00FB6EC0">
        <w:rPr>
          <w:rFonts w:ascii="Arial" w:hAnsi="Arial" w:cs="Arial"/>
        </w:rPr>
        <w:t xml:space="preserve">Department of Health and Social Care (2023) </w:t>
      </w:r>
      <w:r w:rsidRPr="00FB6EC0">
        <w:rPr>
          <w:rFonts w:ascii="Arial" w:hAnsi="Arial" w:cs="Arial"/>
          <w:i/>
          <w:iCs/>
        </w:rPr>
        <w:t>Digital working in adult social care: What good looks like</w:t>
      </w:r>
      <w:r w:rsidRPr="00FB6EC0">
        <w:rPr>
          <w:rFonts w:ascii="Arial" w:hAnsi="Arial" w:cs="Arial"/>
        </w:rPr>
        <w:t xml:space="preserve">. Available at: </w:t>
      </w:r>
      <w:hyperlink r:id="rId14" w:history="1">
        <w:r w:rsidRPr="00FB6EC0">
          <w:rPr>
            <w:rStyle w:val="Hyperlink"/>
            <w:rFonts w:ascii="Arial" w:hAnsi="Arial" w:cs="Arial"/>
          </w:rPr>
          <w:t>https://www.gov.uk/government/publications/digital-working-in-adult-social-care-what-good-looks-like/digital-working-in-adult-social-care-what-good-looks-like-for-local-authorities-and-care-providers</w:t>
        </w:r>
      </w:hyperlink>
      <w:r w:rsidRPr="00FB6EC0">
        <w:rPr>
          <w:rFonts w:ascii="Arial" w:hAnsi="Arial" w:cs="Arial"/>
        </w:rPr>
        <w:t xml:space="preserve"> (Accessed: 17 June 2026).</w:t>
      </w:r>
    </w:p>
    <w:p w14:paraId="66AB9F30" w14:textId="77777777" w:rsidR="00FB6EC0" w:rsidRPr="00FB6EC0" w:rsidRDefault="00FB6EC0" w:rsidP="00FB6EC0">
      <w:pPr>
        <w:spacing w:line="360" w:lineRule="auto"/>
        <w:rPr>
          <w:rFonts w:ascii="Arial" w:hAnsi="Arial" w:cs="Arial"/>
        </w:rPr>
      </w:pPr>
      <w:r w:rsidRPr="00FB6EC0">
        <w:rPr>
          <w:rFonts w:ascii="Arial" w:hAnsi="Arial" w:cs="Arial"/>
        </w:rPr>
        <w:t xml:space="preserve">Digital Care Hub (2024) </w:t>
      </w:r>
      <w:r w:rsidRPr="00FB6EC0">
        <w:rPr>
          <w:rFonts w:ascii="Arial" w:hAnsi="Arial" w:cs="Arial"/>
          <w:i/>
          <w:iCs/>
        </w:rPr>
        <w:t>Digital transformation in adult social care</w:t>
      </w:r>
      <w:r w:rsidRPr="00FB6EC0">
        <w:rPr>
          <w:rFonts w:ascii="Arial" w:hAnsi="Arial" w:cs="Arial"/>
        </w:rPr>
        <w:t xml:space="preserve">. Available at: </w:t>
      </w:r>
      <w:hyperlink r:id="rId15" w:history="1">
        <w:r w:rsidRPr="00FB6EC0">
          <w:rPr>
            <w:rStyle w:val="Hyperlink"/>
            <w:rFonts w:ascii="Arial" w:hAnsi="Arial" w:cs="Arial"/>
          </w:rPr>
          <w:t>https://www.digitalcarehub.co.uk/</w:t>
        </w:r>
      </w:hyperlink>
      <w:r w:rsidRPr="00FB6EC0">
        <w:rPr>
          <w:rFonts w:ascii="Arial" w:hAnsi="Arial" w:cs="Arial"/>
        </w:rPr>
        <w:t xml:space="preserve"> (Accessed: 22 June 2026).</w:t>
      </w:r>
    </w:p>
    <w:p w14:paraId="6106F3AA" w14:textId="77777777" w:rsidR="00FB6EC0" w:rsidRPr="00FB6EC0" w:rsidRDefault="00FB6EC0" w:rsidP="00FB6EC0">
      <w:pPr>
        <w:spacing w:line="360" w:lineRule="auto"/>
        <w:rPr>
          <w:rFonts w:ascii="Arial" w:hAnsi="Arial" w:cs="Arial"/>
        </w:rPr>
      </w:pPr>
      <w:r w:rsidRPr="00FB6EC0">
        <w:rPr>
          <w:rFonts w:ascii="Arial" w:hAnsi="Arial" w:cs="Arial"/>
        </w:rPr>
        <w:t xml:space="preserve">Health Foundation (2025) </w:t>
      </w:r>
      <w:r w:rsidRPr="00FB6EC0">
        <w:rPr>
          <w:rFonts w:ascii="Arial" w:hAnsi="Arial" w:cs="Arial"/>
          <w:i/>
          <w:iCs/>
        </w:rPr>
        <w:t>Electronic patient records: Why the NHS urgently needs a strategy to reap the benefits</w:t>
      </w:r>
      <w:r w:rsidRPr="00FB6EC0">
        <w:rPr>
          <w:rFonts w:ascii="Arial" w:hAnsi="Arial" w:cs="Arial"/>
        </w:rPr>
        <w:t xml:space="preserve">. Available at: </w:t>
      </w:r>
      <w:hyperlink r:id="rId16" w:history="1">
        <w:r w:rsidRPr="00FB6EC0">
          <w:rPr>
            <w:rStyle w:val="Hyperlink"/>
            <w:rFonts w:ascii="Arial" w:hAnsi="Arial" w:cs="Arial"/>
          </w:rPr>
          <w:t>https://www.health.org.uk/reports-and-analysis/analysis/electronic-patient-records-nhs-strategy</w:t>
        </w:r>
      </w:hyperlink>
      <w:r w:rsidRPr="00FB6EC0">
        <w:rPr>
          <w:rFonts w:ascii="Arial" w:hAnsi="Arial" w:cs="Arial"/>
        </w:rPr>
        <w:t xml:space="preserve"> (Accessed: 19 June 2026).</w:t>
      </w:r>
    </w:p>
    <w:p w14:paraId="62BEAAEE" w14:textId="77777777" w:rsidR="00FB6EC0" w:rsidRPr="00FB6EC0" w:rsidRDefault="00FB6EC0" w:rsidP="00FB6EC0">
      <w:pPr>
        <w:spacing w:line="360" w:lineRule="auto"/>
        <w:rPr>
          <w:rFonts w:ascii="Arial" w:hAnsi="Arial" w:cs="Arial"/>
        </w:rPr>
      </w:pPr>
      <w:r w:rsidRPr="00FB6EC0">
        <w:rPr>
          <w:rFonts w:ascii="Arial" w:hAnsi="Arial" w:cs="Arial"/>
        </w:rPr>
        <w:lastRenderedPageBreak/>
        <w:t xml:space="preserve">Health Foundation (2025) </w:t>
      </w:r>
      <w:r w:rsidRPr="00FB6EC0">
        <w:rPr>
          <w:rFonts w:ascii="Arial" w:hAnsi="Arial" w:cs="Arial"/>
          <w:i/>
          <w:iCs/>
        </w:rPr>
        <w:t>Estimated £21 billion required over the next 5 years to digitise NHS and adult social care across the UK</w:t>
      </w:r>
      <w:r w:rsidRPr="00FB6EC0">
        <w:rPr>
          <w:rFonts w:ascii="Arial" w:hAnsi="Arial" w:cs="Arial"/>
        </w:rPr>
        <w:t xml:space="preserve">. Available at: </w:t>
      </w:r>
      <w:hyperlink r:id="rId17" w:history="1">
        <w:r w:rsidRPr="00FB6EC0">
          <w:rPr>
            <w:rStyle w:val="Hyperlink"/>
            <w:rFonts w:ascii="Arial" w:hAnsi="Arial" w:cs="Arial"/>
          </w:rPr>
          <w:t>https://www.health.org.uk/press-office/press-releases/estimated-21-billion-required-over-next-5-years-to-digitise-nhs-and-adult-social-care-across-uk</w:t>
        </w:r>
      </w:hyperlink>
      <w:r w:rsidRPr="00FB6EC0">
        <w:rPr>
          <w:rFonts w:ascii="Arial" w:hAnsi="Arial" w:cs="Arial"/>
        </w:rPr>
        <w:t xml:space="preserve"> (Accessed: 18 June 2026).</w:t>
      </w:r>
    </w:p>
    <w:p w14:paraId="47B05510" w14:textId="77777777" w:rsidR="00FB6EC0" w:rsidRPr="00FB6EC0" w:rsidRDefault="00FB6EC0" w:rsidP="00FB6EC0">
      <w:pPr>
        <w:spacing w:line="360" w:lineRule="auto"/>
        <w:rPr>
          <w:rFonts w:ascii="Arial" w:hAnsi="Arial" w:cs="Arial"/>
        </w:rPr>
      </w:pPr>
      <w:r w:rsidRPr="00FB6EC0">
        <w:rPr>
          <w:rFonts w:ascii="Arial" w:hAnsi="Arial" w:cs="Arial"/>
        </w:rPr>
        <w:t xml:space="preserve">Information Commissioner’s Office (2024) </w:t>
      </w:r>
      <w:r w:rsidRPr="00FB6EC0">
        <w:rPr>
          <w:rFonts w:ascii="Arial" w:hAnsi="Arial" w:cs="Arial"/>
          <w:i/>
          <w:iCs/>
        </w:rPr>
        <w:t>Transparency in health and social care</w:t>
      </w:r>
      <w:r w:rsidRPr="00FB6EC0">
        <w:rPr>
          <w:rFonts w:ascii="Arial" w:hAnsi="Arial" w:cs="Arial"/>
        </w:rPr>
        <w:t xml:space="preserve">. Available at: </w:t>
      </w:r>
      <w:hyperlink r:id="rId18" w:history="1">
        <w:r w:rsidRPr="00FB6EC0">
          <w:rPr>
            <w:rStyle w:val="Hyperlink"/>
            <w:rFonts w:ascii="Arial" w:hAnsi="Arial" w:cs="Arial"/>
          </w:rPr>
          <w:t>https://ico.org.uk/for-organisations/uk-gdpr-guidance-and-resources/data-protection-principles/transparency-in-health-and-social-care/</w:t>
        </w:r>
      </w:hyperlink>
      <w:r w:rsidRPr="00FB6EC0">
        <w:rPr>
          <w:rFonts w:ascii="Arial" w:hAnsi="Arial" w:cs="Arial"/>
        </w:rPr>
        <w:t xml:space="preserve"> (Accessed: 21 June 2026).</w:t>
      </w:r>
    </w:p>
    <w:p w14:paraId="52BC102B" w14:textId="77777777" w:rsidR="00FB6EC0" w:rsidRPr="00FB6EC0" w:rsidRDefault="00FB6EC0" w:rsidP="00FB6EC0">
      <w:pPr>
        <w:spacing w:line="360" w:lineRule="auto"/>
        <w:rPr>
          <w:rFonts w:ascii="Arial" w:hAnsi="Arial" w:cs="Arial"/>
        </w:rPr>
      </w:pPr>
      <w:r w:rsidRPr="00FB6EC0">
        <w:rPr>
          <w:rFonts w:ascii="Arial" w:hAnsi="Arial" w:cs="Arial"/>
        </w:rPr>
        <w:t xml:space="preserve">NHS (2025) </w:t>
      </w:r>
      <w:r w:rsidRPr="00FB6EC0">
        <w:rPr>
          <w:rFonts w:ascii="Arial" w:hAnsi="Arial" w:cs="Arial"/>
          <w:i/>
          <w:iCs/>
        </w:rPr>
        <w:t>NHS App and digital access to health records</w:t>
      </w:r>
      <w:r w:rsidRPr="00FB6EC0">
        <w:rPr>
          <w:rFonts w:ascii="Arial" w:hAnsi="Arial" w:cs="Arial"/>
        </w:rPr>
        <w:t xml:space="preserve">. Available at: </w:t>
      </w:r>
      <w:hyperlink r:id="rId19" w:history="1">
        <w:r w:rsidRPr="00FB6EC0">
          <w:rPr>
            <w:rStyle w:val="Hyperlink"/>
            <w:rFonts w:ascii="Arial" w:hAnsi="Arial" w:cs="Arial"/>
          </w:rPr>
          <w:t>https://www.nhs.uk/nhs-app/</w:t>
        </w:r>
      </w:hyperlink>
      <w:r w:rsidRPr="00FB6EC0">
        <w:rPr>
          <w:rFonts w:ascii="Arial" w:hAnsi="Arial" w:cs="Arial"/>
        </w:rPr>
        <w:t xml:space="preserve"> (Accessed: 16 June 2026).</w:t>
      </w:r>
    </w:p>
    <w:p w14:paraId="13C514CB" w14:textId="77777777" w:rsidR="00FB6EC0" w:rsidRPr="00FB6EC0" w:rsidRDefault="00FB6EC0" w:rsidP="00FB6EC0">
      <w:pPr>
        <w:spacing w:line="360" w:lineRule="auto"/>
        <w:rPr>
          <w:rFonts w:ascii="Arial" w:hAnsi="Arial" w:cs="Arial"/>
        </w:rPr>
      </w:pPr>
      <w:r w:rsidRPr="00FB6EC0">
        <w:rPr>
          <w:rFonts w:ascii="Arial" w:hAnsi="Arial" w:cs="Arial"/>
        </w:rPr>
        <w:t xml:space="preserve">NHS England (2023) </w:t>
      </w:r>
      <w:r w:rsidRPr="00FB6EC0">
        <w:rPr>
          <w:rFonts w:ascii="Arial" w:hAnsi="Arial" w:cs="Arial"/>
          <w:i/>
          <w:iCs/>
        </w:rPr>
        <w:t>Digital education and training: Good practice guidelines for GP electronic patient records</w:t>
      </w:r>
      <w:r w:rsidRPr="00FB6EC0">
        <w:rPr>
          <w:rFonts w:ascii="Arial" w:hAnsi="Arial" w:cs="Arial"/>
        </w:rPr>
        <w:t xml:space="preserve">. Available at: </w:t>
      </w:r>
      <w:hyperlink r:id="rId20" w:history="1">
        <w:r w:rsidRPr="00FB6EC0">
          <w:rPr>
            <w:rStyle w:val="Hyperlink"/>
            <w:rFonts w:ascii="Arial" w:hAnsi="Arial" w:cs="Arial"/>
          </w:rPr>
          <w:t>https://www.england.nhs.uk/long-read/digital-education-and-training/</w:t>
        </w:r>
      </w:hyperlink>
      <w:r w:rsidRPr="00FB6EC0">
        <w:rPr>
          <w:rFonts w:ascii="Arial" w:hAnsi="Arial" w:cs="Arial"/>
        </w:rPr>
        <w:t xml:space="preserve"> (Accessed: 22 June 2026).</w:t>
      </w:r>
    </w:p>
    <w:p w14:paraId="0ABB7B0D" w14:textId="77777777" w:rsidR="00FB6EC0" w:rsidRPr="00FB6EC0" w:rsidRDefault="00FB6EC0" w:rsidP="00FB6EC0">
      <w:pPr>
        <w:spacing w:line="360" w:lineRule="auto"/>
        <w:rPr>
          <w:rFonts w:ascii="Arial" w:hAnsi="Arial" w:cs="Arial"/>
        </w:rPr>
      </w:pPr>
      <w:r w:rsidRPr="00FB6EC0">
        <w:rPr>
          <w:rFonts w:ascii="Arial" w:hAnsi="Arial" w:cs="Arial"/>
        </w:rPr>
        <w:t xml:space="preserve">NHS England (2023) </w:t>
      </w:r>
      <w:r w:rsidRPr="00FB6EC0">
        <w:rPr>
          <w:rFonts w:ascii="Arial" w:hAnsi="Arial" w:cs="Arial"/>
          <w:i/>
          <w:iCs/>
        </w:rPr>
        <w:t>Digital transformation</w:t>
      </w:r>
      <w:r w:rsidRPr="00FB6EC0">
        <w:rPr>
          <w:rFonts w:ascii="Arial" w:hAnsi="Arial" w:cs="Arial"/>
        </w:rPr>
        <w:t xml:space="preserve">. Available at: </w:t>
      </w:r>
      <w:hyperlink r:id="rId21" w:history="1">
        <w:r w:rsidRPr="00FB6EC0">
          <w:rPr>
            <w:rStyle w:val="Hyperlink"/>
            <w:rFonts w:ascii="Arial" w:hAnsi="Arial" w:cs="Arial"/>
          </w:rPr>
          <w:t>https://www.england.nhs.uk/digitaltechnology/</w:t>
        </w:r>
      </w:hyperlink>
      <w:r w:rsidRPr="00FB6EC0">
        <w:rPr>
          <w:rFonts w:ascii="Arial" w:hAnsi="Arial" w:cs="Arial"/>
        </w:rPr>
        <w:t xml:space="preserve"> (Accessed: 17 June 2026).</w:t>
      </w:r>
    </w:p>
    <w:p w14:paraId="556C6A41" w14:textId="77777777" w:rsidR="00FB6EC0" w:rsidRPr="00FB6EC0" w:rsidRDefault="00FB6EC0" w:rsidP="00FB6EC0">
      <w:pPr>
        <w:spacing w:line="360" w:lineRule="auto"/>
        <w:rPr>
          <w:rFonts w:ascii="Arial" w:hAnsi="Arial" w:cs="Arial"/>
        </w:rPr>
      </w:pPr>
      <w:r w:rsidRPr="00FB6EC0">
        <w:rPr>
          <w:rFonts w:ascii="Arial" w:hAnsi="Arial" w:cs="Arial"/>
        </w:rPr>
        <w:t xml:space="preserve">NHS England (2023) </w:t>
      </w:r>
      <w:r w:rsidRPr="00FB6EC0">
        <w:rPr>
          <w:rFonts w:ascii="Arial" w:hAnsi="Arial" w:cs="Arial"/>
          <w:i/>
          <w:iCs/>
        </w:rPr>
        <w:t>What Good Looks Like Framework</w:t>
      </w:r>
      <w:r w:rsidRPr="00FB6EC0">
        <w:rPr>
          <w:rFonts w:ascii="Arial" w:hAnsi="Arial" w:cs="Arial"/>
        </w:rPr>
        <w:t xml:space="preserve">. Available at: </w:t>
      </w:r>
      <w:hyperlink r:id="rId22" w:history="1">
        <w:r w:rsidRPr="00FB6EC0">
          <w:rPr>
            <w:rStyle w:val="Hyperlink"/>
            <w:rFonts w:ascii="Arial" w:hAnsi="Arial" w:cs="Arial"/>
          </w:rPr>
          <w:t>https://future.nhs.uk/WhatGoodLooksLikeKnowledge/grouphome</w:t>
        </w:r>
      </w:hyperlink>
      <w:r w:rsidRPr="00FB6EC0">
        <w:rPr>
          <w:rFonts w:ascii="Arial" w:hAnsi="Arial" w:cs="Arial"/>
        </w:rPr>
        <w:t xml:space="preserve"> (Accessed: 20 June 2026).</w:t>
      </w:r>
    </w:p>
    <w:p w14:paraId="3B3512DC" w14:textId="77777777" w:rsidR="00FB6EC0" w:rsidRPr="00FB6EC0" w:rsidRDefault="00FB6EC0" w:rsidP="00FB6EC0">
      <w:pPr>
        <w:spacing w:line="360" w:lineRule="auto"/>
        <w:rPr>
          <w:rFonts w:ascii="Arial" w:hAnsi="Arial" w:cs="Arial"/>
        </w:rPr>
      </w:pPr>
      <w:r w:rsidRPr="00FB6EC0">
        <w:rPr>
          <w:rFonts w:ascii="Arial" w:hAnsi="Arial" w:cs="Arial"/>
        </w:rPr>
        <w:t xml:space="preserve">NHS England (2024) </w:t>
      </w:r>
      <w:r w:rsidRPr="00FB6EC0">
        <w:rPr>
          <w:rFonts w:ascii="Arial" w:hAnsi="Arial" w:cs="Arial"/>
          <w:i/>
          <w:iCs/>
        </w:rPr>
        <w:t>Digitising the frontline</w:t>
      </w:r>
      <w:r w:rsidRPr="00FB6EC0">
        <w:rPr>
          <w:rFonts w:ascii="Arial" w:hAnsi="Arial" w:cs="Arial"/>
        </w:rPr>
        <w:t xml:space="preserve">. Available at: </w:t>
      </w:r>
      <w:hyperlink r:id="rId23" w:history="1">
        <w:r w:rsidRPr="00FB6EC0">
          <w:rPr>
            <w:rStyle w:val="Hyperlink"/>
            <w:rFonts w:ascii="Arial" w:hAnsi="Arial" w:cs="Arial"/>
          </w:rPr>
          <w:t>https://www.england.nhs.uk/digitaltechnology/digitising-the-frontline/</w:t>
        </w:r>
      </w:hyperlink>
      <w:r w:rsidRPr="00FB6EC0">
        <w:rPr>
          <w:rFonts w:ascii="Arial" w:hAnsi="Arial" w:cs="Arial"/>
        </w:rPr>
        <w:t xml:space="preserve"> (Accessed: 19 June 2026).</w:t>
      </w:r>
    </w:p>
    <w:p w14:paraId="37F412E0" w14:textId="77777777" w:rsidR="00FB6EC0" w:rsidRPr="00FB6EC0" w:rsidRDefault="00FB6EC0" w:rsidP="00FB6EC0"/>
    <w:sectPr w:rsidR="00FB6EC0" w:rsidRPr="00FB6EC0" w:rsidSect="0086736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478DE" w14:textId="77777777" w:rsidR="006A01D5" w:rsidRDefault="006A01D5" w:rsidP="00E63396">
      <w:pPr>
        <w:spacing w:after="0" w:line="240" w:lineRule="auto"/>
      </w:pPr>
      <w:r>
        <w:separator/>
      </w:r>
    </w:p>
  </w:endnote>
  <w:endnote w:type="continuationSeparator" w:id="0">
    <w:p w14:paraId="43B10A53" w14:textId="77777777" w:rsidR="006A01D5" w:rsidRDefault="006A01D5" w:rsidP="00E63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6902440"/>
      <w:docPartObj>
        <w:docPartGallery w:val="Page Numbers (Bottom of Page)"/>
        <w:docPartUnique/>
      </w:docPartObj>
    </w:sdtPr>
    <w:sdtEndPr>
      <w:rPr>
        <w:noProof/>
      </w:rPr>
    </w:sdtEndPr>
    <w:sdtContent>
      <w:p w14:paraId="7D57BEB0" w14:textId="1E8E9357" w:rsidR="00E63396" w:rsidRDefault="00E633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5502AE" w14:textId="77777777" w:rsidR="00E63396" w:rsidRDefault="00E63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AC66F" w14:textId="77777777" w:rsidR="006A01D5" w:rsidRDefault="006A01D5" w:rsidP="00E63396">
      <w:pPr>
        <w:spacing w:after="0" w:line="240" w:lineRule="auto"/>
      </w:pPr>
      <w:r>
        <w:separator/>
      </w:r>
    </w:p>
  </w:footnote>
  <w:footnote w:type="continuationSeparator" w:id="0">
    <w:p w14:paraId="27DE22CB" w14:textId="77777777" w:rsidR="006A01D5" w:rsidRDefault="006A01D5" w:rsidP="00E633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375F3"/>
    <w:multiLevelType w:val="hybridMultilevel"/>
    <w:tmpl w:val="910AB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F14444"/>
    <w:multiLevelType w:val="hybridMultilevel"/>
    <w:tmpl w:val="687E0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97D30"/>
    <w:multiLevelType w:val="hybridMultilevel"/>
    <w:tmpl w:val="B79A0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5762471">
    <w:abstractNumId w:val="2"/>
  </w:num>
  <w:num w:numId="2" w16cid:durableId="544296748">
    <w:abstractNumId w:val="1"/>
  </w:num>
  <w:num w:numId="3" w16cid:durableId="485586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67A"/>
    <w:rsid w:val="00090328"/>
    <w:rsid w:val="000B3472"/>
    <w:rsid w:val="001301DD"/>
    <w:rsid w:val="001A1F8A"/>
    <w:rsid w:val="001E6358"/>
    <w:rsid w:val="00272093"/>
    <w:rsid w:val="002E03E5"/>
    <w:rsid w:val="002F50FC"/>
    <w:rsid w:val="003076FD"/>
    <w:rsid w:val="00324719"/>
    <w:rsid w:val="003820CB"/>
    <w:rsid w:val="00406B36"/>
    <w:rsid w:val="0065167A"/>
    <w:rsid w:val="006A01D5"/>
    <w:rsid w:val="00774D5A"/>
    <w:rsid w:val="007B71A2"/>
    <w:rsid w:val="008377DA"/>
    <w:rsid w:val="00845565"/>
    <w:rsid w:val="00857856"/>
    <w:rsid w:val="0086736E"/>
    <w:rsid w:val="009219D6"/>
    <w:rsid w:val="00BA1F67"/>
    <w:rsid w:val="00BB5740"/>
    <w:rsid w:val="00BD5AAC"/>
    <w:rsid w:val="00BF5A7E"/>
    <w:rsid w:val="00C40834"/>
    <w:rsid w:val="00C46A33"/>
    <w:rsid w:val="00E63396"/>
    <w:rsid w:val="00ED03C1"/>
    <w:rsid w:val="00F57D11"/>
    <w:rsid w:val="00FB6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CDA9"/>
  <w15:chartTrackingRefBased/>
  <w15:docId w15:val="{62480A32-9827-44E8-8700-3D076C876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1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1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1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1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1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1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1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1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1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1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1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1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1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1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1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167A"/>
    <w:rPr>
      <w:rFonts w:eastAsiaTheme="majorEastAsia" w:cstheme="majorBidi"/>
      <w:color w:val="272727" w:themeColor="text1" w:themeTint="D8"/>
    </w:rPr>
  </w:style>
  <w:style w:type="paragraph" w:styleId="Title">
    <w:name w:val="Title"/>
    <w:basedOn w:val="Normal"/>
    <w:next w:val="Normal"/>
    <w:link w:val="TitleChar"/>
    <w:uiPriority w:val="10"/>
    <w:qFormat/>
    <w:rsid w:val="00651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1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1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1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167A"/>
    <w:pPr>
      <w:spacing w:before="160"/>
      <w:jc w:val="center"/>
    </w:pPr>
    <w:rPr>
      <w:i/>
      <w:iCs/>
      <w:color w:val="404040" w:themeColor="text1" w:themeTint="BF"/>
    </w:rPr>
  </w:style>
  <w:style w:type="character" w:customStyle="1" w:styleId="QuoteChar">
    <w:name w:val="Quote Char"/>
    <w:basedOn w:val="DefaultParagraphFont"/>
    <w:link w:val="Quote"/>
    <w:uiPriority w:val="29"/>
    <w:rsid w:val="0065167A"/>
    <w:rPr>
      <w:i/>
      <w:iCs/>
      <w:color w:val="404040" w:themeColor="text1" w:themeTint="BF"/>
    </w:rPr>
  </w:style>
  <w:style w:type="paragraph" w:styleId="ListParagraph">
    <w:name w:val="List Paragraph"/>
    <w:basedOn w:val="Normal"/>
    <w:uiPriority w:val="34"/>
    <w:qFormat/>
    <w:rsid w:val="0065167A"/>
    <w:pPr>
      <w:ind w:left="720"/>
      <w:contextualSpacing/>
    </w:pPr>
  </w:style>
  <w:style w:type="character" w:styleId="IntenseEmphasis">
    <w:name w:val="Intense Emphasis"/>
    <w:basedOn w:val="DefaultParagraphFont"/>
    <w:uiPriority w:val="21"/>
    <w:qFormat/>
    <w:rsid w:val="0065167A"/>
    <w:rPr>
      <w:i/>
      <w:iCs/>
      <w:color w:val="0F4761" w:themeColor="accent1" w:themeShade="BF"/>
    </w:rPr>
  </w:style>
  <w:style w:type="paragraph" w:styleId="IntenseQuote">
    <w:name w:val="Intense Quote"/>
    <w:basedOn w:val="Normal"/>
    <w:next w:val="Normal"/>
    <w:link w:val="IntenseQuoteChar"/>
    <w:uiPriority w:val="30"/>
    <w:qFormat/>
    <w:rsid w:val="00651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167A"/>
    <w:rPr>
      <w:i/>
      <w:iCs/>
      <w:color w:val="0F4761" w:themeColor="accent1" w:themeShade="BF"/>
    </w:rPr>
  </w:style>
  <w:style w:type="character" w:styleId="IntenseReference">
    <w:name w:val="Intense Reference"/>
    <w:basedOn w:val="DefaultParagraphFont"/>
    <w:uiPriority w:val="32"/>
    <w:qFormat/>
    <w:rsid w:val="0065167A"/>
    <w:rPr>
      <w:b/>
      <w:bCs/>
      <w:smallCaps/>
      <w:color w:val="0F4761" w:themeColor="accent1" w:themeShade="BF"/>
      <w:spacing w:val="5"/>
    </w:rPr>
  </w:style>
  <w:style w:type="character" w:styleId="Hyperlink">
    <w:name w:val="Hyperlink"/>
    <w:basedOn w:val="DefaultParagraphFont"/>
    <w:uiPriority w:val="99"/>
    <w:unhideWhenUsed/>
    <w:rsid w:val="00BD5AAC"/>
    <w:rPr>
      <w:color w:val="467886" w:themeColor="hyperlink"/>
      <w:u w:val="single"/>
    </w:rPr>
  </w:style>
  <w:style w:type="character" w:styleId="UnresolvedMention">
    <w:name w:val="Unresolved Mention"/>
    <w:basedOn w:val="DefaultParagraphFont"/>
    <w:uiPriority w:val="99"/>
    <w:semiHidden/>
    <w:unhideWhenUsed/>
    <w:rsid w:val="00BD5AAC"/>
    <w:rPr>
      <w:color w:val="605E5C"/>
      <w:shd w:val="clear" w:color="auto" w:fill="E1DFDD"/>
    </w:rPr>
  </w:style>
  <w:style w:type="character" w:styleId="FollowedHyperlink">
    <w:name w:val="FollowedHyperlink"/>
    <w:basedOn w:val="DefaultParagraphFont"/>
    <w:uiPriority w:val="99"/>
    <w:semiHidden/>
    <w:unhideWhenUsed/>
    <w:rsid w:val="00BD5AAC"/>
    <w:rPr>
      <w:color w:val="96607D" w:themeColor="followedHyperlink"/>
      <w:u w:val="single"/>
    </w:rPr>
  </w:style>
  <w:style w:type="paragraph" w:styleId="NormalWeb">
    <w:name w:val="Normal (Web)"/>
    <w:basedOn w:val="Normal"/>
    <w:uiPriority w:val="99"/>
    <w:semiHidden/>
    <w:unhideWhenUsed/>
    <w:rsid w:val="001A1F8A"/>
    <w:rPr>
      <w:rFonts w:ascii="Times New Roman" w:hAnsi="Times New Roman" w:cs="Times New Roman"/>
    </w:rPr>
  </w:style>
  <w:style w:type="paragraph" w:styleId="Caption">
    <w:name w:val="caption"/>
    <w:basedOn w:val="Normal"/>
    <w:next w:val="Normal"/>
    <w:uiPriority w:val="35"/>
    <w:unhideWhenUsed/>
    <w:qFormat/>
    <w:rsid w:val="00090328"/>
    <w:pPr>
      <w:spacing w:after="200" w:line="240" w:lineRule="auto"/>
    </w:pPr>
    <w:rPr>
      <w:i/>
      <w:iCs/>
      <w:color w:val="0E2841" w:themeColor="text2"/>
      <w:sz w:val="18"/>
      <w:szCs w:val="18"/>
    </w:rPr>
  </w:style>
  <w:style w:type="table" w:styleId="GridTable5Dark-Accent2">
    <w:name w:val="Grid Table 5 Dark Accent 2"/>
    <w:basedOn w:val="TableNormal"/>
    <w:uiPriority w:val="50"/>
    <w:rsid w:val="008377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TOCHeading">
    <w:name w:val="TOC Heading"/>
    <w:basedOn w:val="Heading1"/>
    <w:next w:val="Normal"/>
    <w:uiPriority w:val="39"/>
    <w:unhideWhenUsed/>
    <w:qFormat/>
    <w:rsid w:val="0086736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736E"/>
    <w:pPr>
      <w:spacing w:after="100"/>
    </w:pPr>
  </w:style>
  <w:style w:type="paragraph" w:styleId="NoSpacing">
    <w:name w:val="No Spacing"/>
    <w:link w:val="NoSpacingChar"/>
    <w:uiPriority w:val="1"/>
    <w:qFormat/>
    <w:rsid w:val="0086736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6736E"/>
    <w:rPr>
      <w:rFonts w:eastAsiaTheme="minorEastAsia"/>
      <w:kern w:val="0"/>
      <w:sz w:val="22"/>
      <w:szCs w:val="22"/>
      <w:lang w:val="en-US"/>
      <w14:ligatures w14:val="none"/>
    </w:rPr>
  </w:style>
  <w:style w:type="paragraph" w:styleId="Header">
    <w:name w:val="header"/>
    <w:basedOn w:val="Normal"/>
    <w:link w:val="HeaderChar"/>
    <w:uiPriority w:val="99"/>
    <w:unhideWhenUsed/>
    <w:rsid w:val="00E63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396"/>
  </w:style>
  <w:style w:type="paragraph" w:styleId="Footer">
    <w:name w:val="footer"/>
    <w:basedOn w:val="Normal"/>
    <w:link w:val="FooterChar"/>
    <w:uiPriority w:val="99"/>
    <w:unhideWhenUsed/>
    <w:rsid w:val="00E63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a-plan-for-digital-health-and-social-care/a-plan-for-digital-health-and-social-care" TargetMode="External"/><Relationship Id="rId18" Type="http://schemas.openxmlformats.org/officeDocument/2006/relationships/hyperlink" Target="https://ico.org.uk/for-organisations/uk-gdpr-guidance-and-resources/data-protection-principles/transparency-in-health-and-social-car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digitaltechnology/" TargetMode="External"/><Relationship Id="rId7" Type="http://schemas.openxmlformats.org/officeDocument/2006/relationships/endnotes" Target="endnotes.xml"/><Relationship Id="rId12" Type="http://schemas.openxmlformats.org/officeDocument/2006/relationships/hyperlink" Target="https://www.gov.uk/government/publications/a-plan-for-digital-health-and-social-care" TargetMode="External"/><Relationship Id="rId17" Type="http://schemas.openxmlformats.org/officeDocument/2006/relationships/hyperlink" Target="https://www.health.org.uk/press-office/press-releases/estimated-21-billion-required-over-next-5-years-to-digitise-nhs-and-adult-social-care-across-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lth.org.uk/reports-and-analysis/analysis/electronic-patient-records-nhs-strategy" TargetMode="External"/><Relationship Id="rId20" Type="http://schemas.openxmlformats.org/officeDocument/2006/relationships/hyperlink" Target="https://www.england.nhs.uk/long-read/digital-education-and-trai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sl.com/we-are-csl/vita-original-stories/2022/us-patients-get-full-access-to-medical-record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digitalcarehub.co.uk/" TargetMode="External"/><Relationship Id="rId23" Type="http://schemas.openxmlformats.org/officeDocument/2006/relationships/hyperlink" Target="https://www.england.nhs.uk/digitaltechnology/digitising-the-frontline/" TargetMode="External"/><Relationship Id="rId10" Type="http://schemas.openxmlformats.org/officeDocument/2006/relationships/hyperlink" Target="https://pmc.ncbi.nlm.nih.gov/articles/PMC6925468/" TargetMode="External"/><Relationship Id="rId19" Type="http://schemas.openxmlformats.org/officeDocument/2006/relationships/hyperlink" Target="https://www.nhs.uk/nhs-app/" TargetMode="External"/><Relationship Id="rId4" Type="http://schemas.openxmlformats.org/officeDocument/2006/relationships/settings" Target="settings.xml"/><Relationship Id="rId9" Type="http://schemas.openxmlformats.org/officeDocument/2006/relationships/hyperlink" Target="https://pmc.ncbi.nlm.nih.gov/articles/PMC6925468/" TargetMode="External"/><Relationship Id="rId14" Type="http://schemas.openxmlformats.org/officeDocument/2006/relationships/hyperlink" Target="https://www.gov.uk/government/publications/digital-working-in-adult-social-care-what-good-looks-like/digital-working-in-adult-social-care-what-good-looks-like-for-local-authorities-and-care-providers" TargetMode="External"/><Relationship Id="rId22" Type="http://schemas.openxmlformats.org/officeDocument/2006/relationships/hyperlink" Target="https://future.nhs.uk/WhatGoodLooksLikeKnowledge/group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81B3E-C9DE-42C4-9FEC-F16D8FE73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3328</Words>
  <Characters>18974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Written Report</dc:title>
  <dc:subject>Module code: BMHP6026</dc:subject>
  <dc:creator>Iftekhar Rashid</dc:creator>
  <cp:keywords/>
  <dc:description/>
  <cp:lastModifiedBy>Iftekhar Rashid</cp:lastModifiedBy>
  <cp:revision>20</cp:revision>
  <cp:lastPrinted>2026-06-23T23:35:00Z</cp:lastPrinted>
  <dcterms:created xsi:type="dcterms:W3CDTF">2026-06-23T20:53:00Z</dcterms:created>
  <dcterms:modified xsi:type="dcterms:W3CDTF">2026-06-26T19:35:00Z</dcterms:modified>
</cp:coreProperties>
</file>