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C10B1" w14:textId="6288487E" w:rsidR="00041916" w:rsidRPr="00041916" w:rsidRDefault="00041916" w:rsidP="00041916">
      <w:pPr>
        <w:pStyle w:val="TableParagraph"/>
        <w:spacing w:line="360" w:lineRule="auto"/>
        <w:ind w:left="40"/>
        <w:jc w:val="center"/>
        <w:rPr>
          <w:spacing w:val="-2"/>
        </w:rPr>
      </w:pPr>
      <w:r w:rsidRPr="00041916">
        <w:rPr>
          <w:rFonts w:eastAsiaTheme="minorEastAsia"/>
          <w:color w:val="000000" w:themeColor="text1"/>
          <w:kern w:val="24"/>
        </w:rPr>
        <w:t>Amanda McCann – 2521421</w:t>
      </w:r>
      <w:r w:rsidRPr="00041916">
        <w:rPr>
          <w:rFonts w:eastAsiaTheme="minorEastAsia"/>
          <w:color w:val="000000" w:themeColor="text1"/>
          <w:kern w:val="24"/>
        </w:rPr>
        <w:br/>
      </w:r>
      <w:r w:rsidRPr="00041916">
        <w:rPr>
          <w:bCs/>
        </w:rPr>
        <w:t>Introduction to Public Health</w:t>
      </w:r>
      <w:r w:rsidRPr="00041916">
        <w:rPr>
          <w:rFonts w:eastAsiaTheme="minorEastAsia"/>
          <w:color w:val="000000" w:themeColor="text1"/>
          <w:kern w:val="24"/>
        </w:rPr>
        <w:br/>
        <w:t>(</w:t>
      </w:r>
      <w:r w:rsidRPr="00041916">
        <w:rPr>
          <w:bCs/>
        </w:rPr>
        <w:t>LCHS4008</w:t>
      </w:r>
      <w:r w:rsidRPr="00041916">
        <w:rPr>
          <w:rFonts w:eastAsiaTheme="minorEastAsia"/>
          <w:color w:val="000000" w:themeColor="text1"/>
          <w:kern w:val="24"/>
        </w:rPr>
        <w:t>_BIRM)</w:t>
      </w:r>
      <w:r w:rsidRPr="00041916">
        <w:rPr>
          <w:rFonts w:eastAsiaTheme="minorEastAsia"/>
          <w:color w:val="000000" w:themeColor="text1"/>
          <w:kern w:val="24"/>
        </w:rPr>
        <w:br/>
        <w:t>Category: Birmingham Campus</w:t>
      </w:r>
      <w:r w:rsidRPr="00041916">
        <w:rPr>
          <w:rFonts w:eastAsiaTheme="minorEastAsia"/>
          <w:color w:val="000000" w:themeColor="text1"/>
          <w:kern w:val="24"/>
        </w:rPr>
        <w:br/>
        <w:t xml:space="preserve">Lecturer </w:t>
      </w:r>
      <w:proofErr w:type="gramStart"/>
      <w:r w:rsidRPr="00041916">
        <w:rPr>
          <w:rFonts w:eastAsiaTheme="minorEastAsia"/>
          <w:color w:val="000000" w:themeColor="text1"/>
          <w:kern w:val="24"/>
        </w:rPr>
        <w:t>–</w:t>
      </w:r>
      <w:r w:rsidRPr="00041916">
        <w:rPr>
          <w:color w:val="242130"/>
          <w:shd w:val="clear" w:color="auto" w:fill="FFFFFF"/>
        </w:rPr>
        <w:t xml:space="preserve"> </w:t>
      </w:r>
      <w:r w:rsidRPr="00041916">
        <w:rPr>
          <w:color w:val="242130"/>
          <w:shd w:val="clear" w:color="auto" w:fill="FFFFFF"/>
        </w:rPr>
        <w:t> Aishat</w:t>
      </w:r>
      <w:proofErr w:type="gramEnd"/>
      <w:r w:rsidRPr="00041916">
        <w:rPr>
          <w:color w:val="242130"/>
          <w:shd w:val="clear" w:color="auto" w:fill="FFFFFF"/>
        </w:rPr>
        <w:t xml:space="preserve"> Bakre</w:t>
      </w:r>
      <w:r w:rsidRPr="00041916">
        <w:rPr>
          <w:rFonts w:eastAsiaTheme="minorEastAsia"/>
          <w:color w:val="000000" w:themeColor="text1"/>
          <w:kern w:val="24"/>
        </w:rPr>
        <w:br/>
      </w:r>
      <w:r w:rsidRPr="00041916">
        <w:t>Assessment</w:t>
      </w:r>
      <w:r w:rsidRPr="00041916">
        <w:rPr>
          <w:spacing w:val="-9"/>
        </w:rPr>
        <w:t xml:space="preserve"> </w:t>
      </w:r>
      <w:r w:rsidRPr="00041916">
        <w:t>2</w:t>
      </w:r>
      <w:r w:rsidRPr="00041916">
        <w:rPr>
          <w:spacing w:val="-11"/>
        </w:rPr>
        <w:t xml:space="preserve"> </w:t>
      </w:r>
      <w:r w:rsidRPr="00041916">
        <w:rPr>
          <w:spacing w:val="-10"/>
        </w:rPr>
        <w:t>-</w:t>
      </w:r>
      <w:r w:rsidRPr="00041916">
        <w:rPr>
          <w:spacing w:val="-10"/>
        </w:rPr>
        <w:t xml:space="preserve"> </w:t>
      </w:r>
      <w:r w:rsidRPr="00041916">
        <w:rPr>
          <w:spacing w:val="-2"/>
        </w:rPr>
        <w:t>Report on a Health Issue</w:t>
      </w:r>
    </w:p>
    <w:p w14:paraId="5DF1CB91" w14:textId="77777777" w:rsidR="00041916" w:rsidRPr="00041916" w:rsidRDefault="00041916" w:rsidP="00041916">
      <w:pPr>
        <w:pStyle w:val="TableParagraph"/>
        <w:spacing w:line="360" w:lineRule="auto"/>
        <w:ind w:left="40"/>
        <w:jc w:val="center"/>
        <w:rPr>
          <w:spacing w:val="-2"/>
        </w:rPr>
      </w:pPr>
    </w:p>
    <w:p w14:paraId="12901A36" w14:textId="77777777" w:rsidR="00041916" w:rsidRPr="00041916" w:rsidRDefault="00041916" w:rsidP="00041916">
      <w:pPr>
        <w:spacing w:before="100" w:beforeAutospacing="1" w:after="100" w:afterAutospacing="1" w:line="360" w:lineRule="auto"/>
        <w:jc w:val="center"/>
        <w:outlineLvl w:val="1"/>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Coronary Heart Disease: Measurement, Control, and Community Impact</w:t>
      </w:r>
    </w:p>
    <w:p w14:paraId="568A5C27" w14:textId="77777777" w:rsidR="00041916" w:rsidRPr="00041916" w:rsidRDefault="00041916" w:rsidP="00041916">
      <w:pPr>
        <w:pStyle w:val="TableParagraph"/>
        <w:spacing w:line="360" w:lineRule="auto"/>
        <w:ind w:left="40"/>
        <w:jc w:val="center"/>
        <w:rPr>
          <w:spacing w:val="-2"/>
        </w:rPr>
      </w:pPr>
    </w:p>
    <w:p w14:paraId="77D1565B" w14:textId="77777777" w:rsidR="00041916" w:rsidRPr="00041916" w:rsidRDefault="00041916" w:rsidP="00041916">
      <w:pPr>
        <w:pStyle w:val="TableParagraph"/>
        <w:spacing w:line="360" w:lineRule="auto"/>
        <w:ind w:left="40"/>
        <w:jc w:val="center"/>
        <w:rPr>
          <w:spacing w:val="-2"/>
        </w:rPr>
      </w:pPr>
    </w:p>
    <w:p w14:paraId="305AE9E6" w14:textId="77777777" w:rsidR="00041916" w:rsidRPr="00041916" w:rsidRDefault="00041916" w:rsidP="00041916">
      <w:pPr>
        <w:pStyle w:val="TableParagraph"/>
        <w:spacing w:line="360" w:lineRule="auto"/>
        <w:ind w:left="40"/>
        <w:jc w:val="center"/>
        <w:rPr>
          <w:spacing w:val="-2"/>
        </w:rPr>
      </w:pPr>
    </w:p>
    <w:p w14:paraId="6E7EA970" w14:textId="77777777" w:rsidR="00041916" w:rsidRPr="00041916" w:rsidRDefault="00041916" w:rsidP="00041916">
      <w:pPr>
        <w:pStyle w:val="TableParagraph"/>
        <w:spacing w:line="360" w:lineRule="auto"/>
        <w:ind w:left="40"/>
        <w:jc w:val="center"/>
        <w:rPr>
          <w:spacing w:val="-2"/>
        </w:rPr>
      </w:pPr>
    </w:p>
    <w:p w14:paraId="397891B7" w14:textId="77777777" w:rsidR="00041916" w:rsidRPr="00041916" w:rsidRDefault="00041916" w:rsidP="00041916">
      <w:pPr>
        <w:pStyle w:val="TableParagraph"/>
        <w:spacing w:line="360" w:lineRule="auto"/>
        <w:ind w:left="40"/>
        <w:jc w:val="center"/>
        <w:rPr>
          <w:spacing w:val="-2"/>
        </w:rPr>
      </w:pPr>
    </w:p>
    <w:p w14:paraId="42E418D6" w14:textId="77777777" w:rsidR="00041916" w:rsidRPr="00041916" w:rsidRDefault="00041916" w:rsidP="00041916">
      <w:pPr>
        <w:pStyle w:val="TableParagraph"/>
        <w:spacing w:line="360" w:lineRule="auto"/>
        <w:ind w:left="40"/>
        <w:jc w:val="center"/>
        <w:rPr>
          <w:spacing w:val="-2"/>
        </w:rPr>
      </w:pPr>
    </w:p>
    <w:p w14:paraId="75AFD91F" w14:textId="77777777" w:rsidR="00041916" w:rsidRPr="00041916" w:rsidRDefault="00041916" w:rsidP="00041916">
      <w:pPr>
        <w:pStyle w:val="TableParagraph"/>
        <w:spacing w:line="360" w:lineRule="auto"/>
        <w:ind w:left="40"/>
        <w:jc w:val="center"/>
        <w:rPr>
          <w:spacing w:val="-2"/>
        </w:rPr>
      </w:pPr>
    </w:p>
    <w:p w14:paraId="2D803941" w14:textId="77777777" w:rsidR="00041916" w:rsidRPr="00041916" w:rsidRDefault="00041916" w:rsidP="00041916">
      <w:pPr>
        <w:pStyle w:val="TableParagraph"/>
        <w:spacing w:line="360" w:lineRule="auto"/>
        <w:ind w:left="40"/>
        <w:jc w:val="center"/>
        <w:rPr>
          <w:spacing w:val="-2"/>
        </w:rPr>
      </w:pPr>
    </w:p>
    <w:p w14:paraId="38144917" w14:textId="77777777" w:rsidR="00041916" w:rsidRPr="00041916" w:rsidRDefault="00041916" w:rsidP="00041916">
      <w:pPr>
        <w:pStyle w:val="TableParagraph"/>
        <w:spacing w:line="360" w:lineRule="auto"/>
        <w:ind w:left="40"/>
        <w:jc w:val="center"/>
        <w:rPr>
          <w:spacing w:val="-2"/>
        </w:rPr>
      </w:pPr>
    </w:p>
    <w:p w14:paraId="50AAA469" w14:textId="77777777" w:rsidR="00041916" w:rsidRPr="00041916" w:rsidRDefault="00041916" w:rsidP="00041916">
      <w:pPr>
        <w:pStyle w:val="TableParagraph"/>
        <w:spacing w:line="360" w:lineRule="auto"/>
        <w:ind w:left="40"/>
        <w:jc w:val="center"/>
        <w:rPr>
          <w:spacing w:val="-2"/>
        </w:rPr>
      </w:pPr>
    </w:p>
    <w:p w14:paraId="5EF28387" w14:textId="77777777" w:rsidR="00041916" w:rsidRPr="00041916" w:rsidRDefault="00041916" w:rsidP="00041916">
      <w:pPr>
        <w:pStyle w:val="TableParagraph"/>
        <w:spacing w:line="360" w:lineRule="auto"/>
        <w:ind w:left="40"/>
        <w:jc w:val="center"/>
        <w:rPr>
          <w:spacing w:val="-2"/>
        </w:rPr>
      </w:pPr>
    </w:p>
    <w:p w14:paraId="37725EEC" w14:textId="77777777" w:rsidR="00041916" w:rsidRPr="00041916" w:rsidRDefault="00041916" w:rsidP="00041916">
      <w:pPr>
        <w:pStyle w:val="TableParagraph"/>
        <w:spacing w:line="360" w:lineRule="auto"/>
        <w:ind w:left="40"/>
        <w:jc w:val="center"/>
        <w:rPr>
          <w:spacing w:val="-2"/>
        </w:rPr>
      </w:pPr>
    </w:p>
    <w:p w14:paraId="3F67120A" w14:textId="77777777" w:rsidR="00041916" w:rsidRPr="00041916" w:rsidRDefault="00041916" w:rsidP="00041916">
      <w:pPr>
        <w:pStyle w:val="TableParagraph"/>
        <w:spacing w:line="360" w:lineRule="auto"/>
        <w:ind w:left="40"/>
        <w:jc w:val="center"/>
        <w:rPr>
          <w:spacing w:val="-2"/>
        </w:rPr>
      </w:pPr>
    </w:p>
    <w:p w14:paraId="5CD9C09D" w14:textId="77777777" w:rsidR="00041916" w:rsidRPr="00041916" w:rsidRDefault="00041916" w:rsidP="00041916">
      <w:pPr>
        <w:pStyle w:val="TableParagraph"/>
        <w:spacing w:line="360" w:lineRule="auto"/>
        <w:ind w:left="40"/>
        <w:jc w:val="center"/>
        <w:rPr>
          <w:spacing w:val="-2"/>
        </w:rPr>
      </w:pPr>
    </w:p>
    <w:p w14:paraId="48CCF27E" w14:textId="77777777" w:rsidR="00041916" w:rsidRPr="00041916" w:rsidRDefault="00041916" w:rsidP="00041916">
      <w:pPr>
        <w:pStyle w:val="TableParagraph"/>
        <w:spacing w:line="360" w:lineRule="auto"/>
        <w:ind w:left="40"/>
        <w:jc w:val="center"/>
        <w:rPr>
          <w:spacing w:val="-2"/>
        </w:rPr>
      </w:pPr>
    </w:p>
    <w:p w14:paraId="325FF9EE" w14:textId="77777777" w:rsidR="00041916" w:rsidRPr="00041916" w:rsidRDefault="00041916" w:rsidP="00041916">
      <w:pPr>
        <w:pStyle w:val="TableParagraph"/>
        <w:spacing w:line="360" w:lineRule="auto"/>
        <w:ind w:left="40"/>
        <w:jc w:val="center"/>
        <w:rPr>
          <w:spacing w:val="-2"/>
        </w:rPr>
      </w:pPr>
    </w:p>
    <w:p w14:paraId="5DD35867" w14:textId="77777777" w:rsidR="00041916" w:rsidRPr="00041916" w:rsidRDefault="00041916" w:rsidP="00041916">
      <w:pPr>
        <w:pStyle w:val="TableParagraph"/>
        <w:spacing w:line="360" w:lineRule="auto"/>
        <w:ind w:left="40"/>
        <w:jc w:val="center"/>
        <w:rPr>
          <w:spacing w:val="-2"/>
        </w:rPr>
      </w:pPr>
    </w:p>
    <w:p w14:paraId="049975F1" w14:textId="77777777" w:rsidR="00041916" w:rsidRPr="00041916" w:rsidRDefault="00041916" w:rsidP="00041916">
      <w:pPr>
        <w:pStyle w:val="TableParagraph"/>
        <w:spacing w:line="360" w:lineRule="auto"/>
        <w:ind w:left="40"/>
        <w:jc w:val="center"/>
        <w:rPr>
          <w:spacing w:val="-2"/>
        </w:rPr>
      </w:pPr>
    </w:p>
    <w:p w14:paraId="6E7C9EE7" w14:textId="77777777" w:rsidR="00041916" w:rsidRPr="00041916" w:rsidRDefault="00041916" w:rsidP="00041916">
      <w:pPr>
        <w:pStyle w:val="TableParagraph"/>
        <w:spacing w:line="360" w:lineRule="auto"/>
        <w:ind w:left="40"/>
        <w:jc w:val="center"/>
        <w:rPr>
          <w:spacing w:val="-2"/>
        </w:rPr>
      </w:pPr>
    </w:p>
    <w:p w14:paraId="2B05DC6A" w14:textId="77777777" w:rsidR="00041916" w:rsidRPr="00041916" w:rsidRDefault="00041916" w:rsidP="00041916">
      <w:pPr>
        <w:pStyle w:val="TableParagraph"/>
        <w:spacing w:line="360" w:lineRule="auto"/>
        <w:ind w:left="40"/>
        <w:jc w:val="center"/>
        <w:rPr>
          <w:spacing w:val="-2"/>
        </w:rPr>
      </w:pPr>
    </w:p>
    <w:p w14:paraId="72E644A3" w14:textId="77777777" w:rsidR="00041916" w:rsidRPr="00041916" w:rsidRDefault="00041916" w:rsidP="00041916">
      <w:pPr>
        <w:pStyle w:val="TableParagraph"/>
        <w:spacing w:line="360" w:lineRule="auto"/>
        <w:ind w:left="40"/>
        <w:jc w:val="center"/>
        <w:rPr>
          <w:spacing w:val="-2"/>
        </w:rPr>
      </w:pPr>
    </w:p>
    <w:p w14:paraId="77368AF6" w14:textId="77777777" w:rsidR="00041916" w:rsidRPr="00041916" w:rsidRDefault="00041916" w:rsidP="00041916">
      <w:pPr>
        <w:pStyle w:val="TableParagraph"/>
        <w:spacing w:line="360" w:lineRule="auto"/>
        <w:ind w:left="40"/>
        <w:jc w:val="center"/>
        <w:rPr>
          <w:spacing w:val="-2"/>
        </w:rPr>
      </w:pPr>
    </w:p>
    <w:p w14:paraId="3310A069" w14:textId="77777777" w:rsidR="00041916" w:rsidRPr="00041916" w:rsidRDefault="00041916" w:rsidP="00041916">
      <w:pPr>
        <w:pStyle w:val="TableParagraph"/>
        <w:spacing w:line="360" w:lineRule="auto"/>
        <w:ind w:left="40"/>
        <w:jc w:val="center"/>
        <w:rPr>
          <w:spacing w:val="-2"/>
        </w:rPr>
      </w:pPr>
    </w:p>
    <w:p w14:paraId="6F1D2186" w14:textId="77777777" w:rsidR="00041916" w:rsidRPr="00041916" w:rsidRDefault="00041916" w:rsidP="00041916">
      <w:pPr>
        <w:pStyle w:val="TableParagraph"/>
        <w:spacing w:line="360" w:lineRule="auto"/>
        <w:ind w:left="40"/>
        <w:jc w:val="center"/>
        <w:rPr>
          <w:spacing w:val="-2"/>
        </w:rPr>
      </w:pPr>
    </w:p>
    <w:p w14:paraId="3B337632" w14:textId="77777777" w:rsidR="00041916" w:rsidRPr="00041916" w:rsidRDefault="00041916" w:rsidP="00041916">
      <w:pPr>
        <w:pStyle w:val="TableParagraph"/>
        <w:spacing w:line="360" w:lineRule="auto"/>
        <w:ind w:left="40"/>
        <w:jc w:val="center"/>
        <w:rPr>
          <w:spacing w:val="-2"/>
        </w:rPr>
      </w:pPr>
    </w:p>
    <w:p w14:paraId="7B512729" w14:textId="77777777" w:rsidR="00041916" w:rsidRPr="00041916" w:rsidRDefault="00041916" w:rsidP="00041916">
      <w:pPr>
        <w:pStyle w:val="TableParagraph"/>
        <w:spacing w:line="360" w:lineRule="auto"/>
        <w:ind w:left="40"/>
        <w:jc w:val="center"/>
        <w:rPr>
          <w:spacing w:val="-2"/>
        </w:rPr>
      </w:pPr>
    </w:p>
    <w:p w14:paraId="2D442939" w14:textId="77777777" w:rsidR="00041916" w:rsidRPr="00041916" w:rsidRDefault="00041916" w:rsidP="0004191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FB1DE2D" w14:textId="05E49566" w:rsidR="00041916" w:rsidRPr="00041916" w:rsidRDefault="00041916" w:rsidP="0004191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41916">
        <w:rPr>
          <w:rFonts w:ascii="Arial" w:eastAsia="Times New Roman" w:hAnsi="Arial" w:cs="Arial"/>
          <w:b/>
          <w:bCs/>
          <w:kern w:val="0"/>
          <w:sz w:val="22"/>
          <w:szCs w:val="22"/>
          <w:lang w:eastAsia="en-GB"/>
          <w14:ligatures w14:val="none"/>
        </w:rPr>
        <w:t>Approaches Used to Measure and Monitor Coronary Heart Disease</w:t>
      </w:r>
    </w:p>
    <w:p w14:paraId="45A55544"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Monitoring CHD is essential for understanding disease trends, identifying at</w:t>
      </w:r>
      <w:r w:rsidRPr="00041916">
        <w:rPr>
          <w:rFonts w:ascii="Arial" w:eastAsia="Times New Roman" w:hAnsi="Arial" w:cs="Arial"/>
          <w:kern w:val="0"/>
          <w:sz w:val="22"/>
          <w:szCs w:val="22"/>
          <w:lang w:eastAsia="en-GB"/>
          <w14:ligatures w14:val="none"/>
        </w:rPr>
        <w:noBreakHyphen/>
        <w:t>risk populations, and planning effective public health interventions. Epidemiological surveillance is a key approach, involving the systematic collection and analysis of health data. In the UK, CHD incidence and mortality are monitored through national datasets such as the Office for National Statistics (ONS), NHS Digital, and the Quality and Outcomes Framework (QOF), which collects data from GP practices on cardiovascular risk factors (NHS Digital, 2023). These systems allow health professionals to track patterns over time and identify inequalities, such as higher CHD rates in deprived communities.</w:t>
      </w:r>
    </w:p>
    <w:p w14:paraId="72C4E146"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Screening programmes also play a vital role in monitoring CHD risk. The NHS Health Check programme invites adults aged 40–74 for cardiovascular risk assessment, including blood pressure checks, cholesterol testing, and lifestyle evaluation. This enables early identification of individuals at risk of CHD and supports preventative interventions (Public Health England, 2019). Additionally, clinical monitoring tools such as electrocardiograms (ECGs), echocardiograms, and blood tests for biomarkers like troponin help diagnose and monitor disease progression.</w:t>
      </w:r>
    </w:p>
    <w:p w14:paraId="060336E4"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Population</w:t>
      </w:r>
      <w:r w:rsidRPr="00041916">
        <w:rPr>
          <w:rFonts w:ascii="Arial" w:eastAsia="Times New Roman" w:hAnsi="Arial" w:cs="Arial"/>
          <w:kern w:val="0"/>
          <w:sz w:val="22"/>
          <w:szCs w:val="22"/>
          <w:lang w:eastAsia="en-GB"/>
          <w14:ligatures w14:val="none"/>
        </w:rPr>
        <w:noBreakHyphen/>
        <w:t>level monitoring also includes analysing behavioural risk factors such as smoking rates, obesity prevalence, and physical activity levels. These indicators are collected through national surveys such as the Health Survey for England, helping policymakers understand the wider determinants influencing CHD incidence (ONS, 2023). Together, these approaches provide a comprehensive picture of CHD within communities.</w:t>
      </w:r>
    </w:p>
    <w:p w14:paraId="445D7111" w14:textId="77777777" w:rsidR="00041916" w:rsidRPr="00041916" w:rsidRDefault="00041916" w:rsidP="0004191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41916">
        <w:rPr>
          <w:rFonts w:ascii="Arial" w:eastAsia="Times New Roman" w:hAnsi="Arial" w:cs="Arial"/>
          <w:b/>
          <w:bCs/>
          <w:kern w:val="0"/>
          <w:sz w:val="22"/>
          <w:szCs w:val="22"/>
          <w:lang w:eastAsia="en-GB"/>
          <w14:ligatures w14:val="none"/>
        </w:rPr>
        <w:t>How Coronary Heart Disease Is Controlled</w:t>
      </w:r>
    </w:p>
    <w:p w14:paraId="4FC76168"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Controlling CHD requires a combination of medical treatment, lifestyle interventions, and public health strategies. At the clinical level, CHD is managed through medications such as statins, beta</w:t>
      </w:r>
      <w:r w:rsidRPr="00041916">
        <w:rPr>
          <w:rFonts w:ascii="Arial" w:eastAsia="Times New Roman" w:hAnsi="Arial" w:cs="Arial"/>
          <w:kern w:val="0"/>
          <w:sz w:val="22"/>
          <w:szCs w:val="22"/>
          <w:lang w:eastAsia="en-GB"/>
          <w14:ligatures w14:val="none"/>
        </w:rPr>
        <w:noBreakHyphen/>
        <w:t>blockers, antiplatelet drugs, and ACE inhibitors, which help reduce cholesterol, lower blood pressure, and prevent blood clots (NICE, 2023). In more severe cases, surgical interventions such as coronary artery bypass grafting (CABG) or angioplasty may be required to restore blood flow.</w:t>
      </w:r>
    </w:p>
    <w:p w14:paraId="2EF0B085"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 xml:space="preserve">Lifestyle modification is a cornerstone of CHD control. Public health campaigns encourage smoking cessation, healthy eating, increased physical activity, and weight management. </w:t>
      </w:r>
      <w:r w:rsidRPr="00041916">
        <w:rPr>
          <w:rFonts w:ascii="Arial" w:eastAsia="Times New Roman" w:hAnsi="Arial" w:cs="Arial"/>
          <w:kern w:val="0"/>
          <w:sz w:val="22"/>
          <w:szCs w:val="22"/>
          <w:lang w:eastAsia="en-GB"/>
          <w14:ligatures w14:val="none"/>
        </w:rPr>
        <w:lastRenderedPageBreak/>
        <w:t>Smoking cessation services, community exercise programmes, and dietetic support are widely used to reduce risk factors. Evidence shows that lifestyle changes can significantly reduce the likelihood of heart attacks and improve long</w:t>
      </w:r>
      <w:r w:rsidRPr="00041916">
        <w:rPr>
          <w:rFonts w:ascii="Arial" w:eastAsia="Times New Roman" w:hAnsi="Arial" w:cs="Arial"/>
          <w:kern w:val="0"/>
          <w:sz w:val="22"/>
          <w:szCs w:val="22"/>
          <w:lang w:eastAsia="en-GB"/>
          <w14:ligatures w14:val="none"/>
        </w:rPr>
        <w:noBreakHyphen/>
        <w:t>term outcomes (BHF, 2024).</w:t>
      </w:r>
    </w:p>
    <w:p w14:paraId="62B09AB5"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At a population level, CHD control is supported by national policies such as the UK Tobacco Control Plan, sugar reduction strategies, and initiatives to reduce salt intake in processed foods. These policies aim to address environmental and behavioural determinants of CHD. The introduction of smoke</w:t>
      </w:r>
      <w:r w:rsidRPr="00041916">
        <w:rPr>
          <w:rFonts w:ascii="Arial" w:eastAsia="Times New Roman" w:hAnsi="Arial" w:cs="Arial"/>
          <w:kern w:val="0"/>
          <w:sz w:val="22"/>
          <w:szCs w:val="22"/>
          <w:lang w:eastAsia="en-GB"/>
          <w14:ligatures w14:val="none"/>
        </w:rPr>
        <w:noBreakHyphen/>
        <w:t>free legislation in 2007, for example, led to a measurable reduction in heart attack admissions (Department of Health, 2018).</w:t>
      </w:r>
    </w:p>
    <w:p w14:paraId="2C2BFB08"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Health inequalities are also addressed through targeted interventions in high</w:t>
      </w:r>
      <w:r w:rsidRPr="00041916">
        <w:rPr>
          <w:rFonts w:ascii="Arial" w:eastAsia="Times New Roman" w:hAnsi="Arial" w:cs="Arial"/>
          <w:kern w:val="0"/>
          <w:sz w:val="22"/>
          <w:szCs w:val="22"/>
          <w:lang w:eastAsia="en-GB"/>
          <w14:ligatures w14:val="none"/>
        </w:rPr>
        <w:noBreakHyphen/>
        <w:t>risk communities. For example, community health workers may support individuals with low health literacy, while culturally tailored programmes help engage minority ethnic groups who experience higher CHD risk. Effective control therefore requires a multi</w:t>
      </w:r>
      <w:r w:rsidRPr="00041916">
        <w:rPr>
          <w:rFonts w:ascii="Arial" w:eastAsia="Times New Roman" w:hAnsi="Arial" w:cs="Arial"/>
          <w:kern w:val="0"/>
          <w:sz w:val="22"/>
          <w:szCs w:val="22"/>
          <w:lang w:eastAsia="en-GB"/>
          <w14:ligatures w14:val="none"/>
        </w:rPr>
        <w:noBreakHyphen/>
        <w:t>layered approach involving clinical care, behavioural support, and structural policy changes.</w:t>
      </w:r>
    </w:p>
    <w:p w14:paraId="2E4A1D40" w14:textId="77777777" w:rsidR="00041916" w:rsidRPr="00041916" w:rsidRDefault="00041916" w:rsidP="0004191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41916">
        <w:rPr>
          <w:rFonts w:ascii="Arial" w:eastAsia="Times New Roman" w:hAnsi="Arial" w:cs="Arial"/>
          <w:b/>
          <w:bCs/>
          <w:kern w:val="0"/>
          <w:sz w:val="22"/>
          <w:szCs w:val="22"/>
          <w:lang w:eastAsia="en-GB"/>
          <w14:ligatures w14:val="none"/>
        </w:rPr>
        <w:t>Consequences of Coronary Heart Disease on Communities</w:t>
      </w:r>
    </w:p>
    <w:p w14:paraId="6C50F4B1"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CHD has significant physical, psychological, social, and economic consequences for individuals and communities. Physically, CHD can lead to chronic pain, reduced mobility, fatigue, and long</w:t>
      </w:r>
      <w:r w:rsidRPr="00041916">
        <w:rPr>
          <w:rFonts w:ascii="Arial" w:eastAsia="Times New Roman" w:hAnsi="Arial" w:cs="Arial"/>
          <w:kern w:val="0"/>
          <w:sz w:val="22"/>
          <w:szCs w:val="22"/>
          <w:lang w:eastAsia="en-GB"/>
          <w14:ligatures w14:val="none"/>
        </w:rPr>
        <w:noBreakHyphen/>
        <w:t>term disability. Many individuals experience reduced independence and may require ongoing support from carers or social care services. Psychologically, CHD is associated with anxiety, depression, and reduced quality of life, particularly following a heart attack (NICE, 2023).</w:t>
      </w:r>
    </w:p>
    <w:p w14:paraId="78C81F56"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Socially, CHD can limit a person’s ability to work, participate in community activities, or maintain relationships. This can lead to social isolation, especially among older adults. Families may also experience stress due to caring responsibilities or financial strain.</w:t>
      </w:r>
    </w:p>
    <w:p w14:paraId="30671BF5"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Economically, CHD places a substantial burden on the NHS and social care system. The cost of hospital admissions, medications, rehabilitation, and long</w:t>
      </w:r>
      <w:r w:rsidRPr="00041916">
        <w:rPr>
          <w:rFonts w:ascii="Arial" w:eastAsia="Times New Roman" w:hAnsi="Arial" w:cs="Arial"/>
          <w:kern w:val="0"/>
          <w:sz w:val="22"/>
          <w:szCs w:val="22"/>
          <w:lang w:eastAsia="en-GB"/>
          <w14:ligatures w14:val="none"/>
        </w:rPr>
        <w:noBreakHyphen/>
        <w:t xml:space="preserve">term care is significant. In the UK, cardiovascular disease costs the economy an estimated </w:t>
      </w:r>
      <w:r w:rsidRPr="00041916">
        <w:rPr>
          <w:rFonts w:ascii="Arial" w:eastAsia="Times New Roman" w:hAnsi="Arial" w:cs="Arial"/>
          <w:b/>
          <w:bCs/>
          <w:kern w:val="0"/>
          <w:sz w:val="22"/>
          <w:szCs w:val="22"/>
          <w:lang w:eastAsia="en-GB"/>
          <w14:ligatures w14:val="none"/>
        </w:rPr>
        <w:t>£19 billion per year</w:t>
      </w:r>
      <w:r w:rsidRPr="00041916">
        <w:rPr>
          <w:rFonts w:ascii="Arial" w:eastAsia="Times New Roman" w:hAnsi="Arial" w:cs="Arial"/>
          <w:kern w:val="0"/>
          <w:sz w:val="22"/>
          <w:szCs w:val="22"/>
          <w:lang w:eastAsia="en-GB"/>
          <w14:ligatures w14:val="none"/>
        </w:rPr>
        <w:t>, including healthcare costs and lost productivity (BHF, 2024). Communities with high levels of deprivation often experience higher CHD rates, exacerbating existing inequalities and placing additional pressure on local services.</w:t>
      </w:r>
    </w:p>
    <w:p w14:paraId="7EA84743"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 xml:space="preserve">CHD also affects community wellbeing more broadly. High prevalence rates can reduce workforce participation, increase demand for social housing adaptations, and place strain on </w:t>
      </w:r>
      <w:r w:rsidRPr="00041916">
        <w:rPr>
          <w:rFonts w:ascii="Arial" w:eastAsia="Times New Roman" w:hAnsi="Arial" w:cs="Arial"/>
          <w:kern w:val="0"/>
          <w:sz w:val="22"/>
          <w:szCs w:val="22"/>
          <w:lang w:eastAsia="en-GB"/>
          <w14:ligatures w14:val="none"/>
        </w:rPr>
        <w:lastRenderedPageBreak/>
        <w:t>voluntary organisations providing support. These consequences highlight the need for comprehensive community</w:t>
      </w:r>
      <w:r w:rsidRPr="00041916">
        <w:rPr>
          <w:rFonts w:ascii="Arial" w:eastAsia="Times New Roman" w:hAnsi="Arial" w:cs="Arial"/>
          <w:kern w:val="0"/>
          <w:sz w:val="22"/>
          <w:szCs w:val="22"/>
          <w:lang w:eastAsia="en-GB"/>
          <w14:ligatures w14:val="none"/>
        </w:rPr>
        <w:noBreakHyphen/>
        <w:t>based prevention and support strategies.</w:t>
      </w:r>
    </w:p>
    <w:p w14:paraId="18C2DD90" w14:textId="77777777" w:rsidR="00041916" w:rsidRPr="00041916" w:rsidRDefault="00041916" w:rsidP="0004191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041916">
        <w:rPr>
          <w:rFonts w:ascii="Arial" w:eastAsia="Times New Roman" w:hAnsi="Arial" w:cs="Arial"/>
          <w:b/>
          <w:bCs/>
          <w:kern w:val="0"/>
          <w:sz w:val="22"/>
          <w:szCs w:val="22"/>
          <w:lang w:eastAsia="en-GB"/>
          <w14:ligatures w14:val="none"/>
        </w:rPr>
        <w:t>Health and Social Care Support Services Required for Individuals with CHD</w:t>
      </w:r>
    </w:p>
    <w:p w14:paraId="06BA997C"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A wide range of health and social care services are required to support individuals living with CHD. Primary care plays a central role in ongoing monitoring, medication management, and lifestyle advice. GPs and practice nurses provide regular reviews, blood pressure checks, and cholesterol monitoring, ensuring that treatment plans remain effective.</w:t>
      </w:r>
    </w:p>
    <w:p w14:paraId="3F9ED80E"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Cardiac rehabilitation is a key service for individuals recovering from heart attacks or surgery. These programmes combine exercise, education, and psychological support to improve recovery and reduce the risk of future cardiac events. Evidence shows that cardiac rehabilitation significantly improves survival rates and quality of life (NICE, 2023).</w:t>
      </w:r>
    </w:p>
    <w:p w14:paraId="4BD358CB"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Social care services also play an important role, particularly for individuals with reduced mobility or long</w:t>
      </w:r>
      <w:r w:rsidRPr="00041916">
        <w:rPr>
          <w:rFonts w:ascii="Arial" w:eastAsia="Times New Roman" w:hAnsi="Arial" w:cs="Arial"/>
          <w:kern w:val="0"/>
          <w:sz w:val="22"/>
          <w:szCs w:val="22"/>
          <w:lang w:eastAsia="en-GB"/>
          <w14:ligatures w14:val="none"/>
        </w:rPr>
        <w:noBreakHyphen/>
        <w:t>term disability. Support may include home care, equipment provision, adaptations to the home environment, and assistance with daily living activities. Community support groups, voluntary organisations, and charities such as the British Heart Foundation provide emotional support, information, and practical advice.</w:t>
      </w:r>
    </w:p>
    <w:p w14:paraId="06023712"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Mental health support is essential, as many individuals with CHD experience anxiety or depression. Counselling, cognitive behavioural therapy (CBT), and peer support groups can help individuals cope with the psychological impact of the disease.</w:t>
      </w:r>
    </w:p>
    <w:p w14:paraId="1E07606B"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Public health services also contribute by delivering prevention programmes, community health checks, and targeted interventions for high</w:t>
      </w:r>
      <w:r w:rsidRPr="00041916">
        <w:rPr>
          <w:rFonts w:ascii="Arial" w:eastAsia="Times New Roman" w:hAnsi="Arial" w:cs="Arial"/>
          <w:kern w:val="0"/>
          <w:sz w:val="22"/>
          <w:szCs w:val="22"/>
          <w:lang w:eastAsia="en-GB"/>
          <w14:ligatures w14:val="none"/>
        </w:rPr>
        <w:noBreakHyphen/>
        <w:t>risk groups. These services help reduce incidence rates and support early detection.</w:t>
      </w:r>
    </w:p>
    <w:p w14:paraId="1C0AA929"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Overall, effective CHD management requires integrated, person</w:t>
      </w:r>
      <w:r w:rsidRPr="00041916">
        <w:rPr>
          <w:rFonts w:ascii="Arial" w:eastAsia="Times New Roman" w:hAnsi="Arial" w:cs="Arial"/>
          <w:kern w:val="0"/>
          <w:sz w:val="22"/>
          <w:szCs w:val="22"/>
          <w:lang w:eastAsia="en-GB"/>
          <w14:ligatures w14:val="none"/>
        </w:rPr>
        <w:noBreakHyphen/>
        <w:t>centred care involving collaboration between health professionals, social care providers, and community organisations.</w:t>
      </w:r>
    </w:p>
    <w:p w14:paraId="60085DE3" w14:textId="7F449A68" w:rsidR="00041916" w:rsidRPr="00041916" w:rsidRDefault="00041916" w:rsidP="00041916">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041916">
        <w:rPr>
          <w:rFonts w:ascii="Arial" w:eastAsia="Times New Roman" w:hAnsi="Arial" w:cs="Arial"/>
          <w:b/>
          <w:bCs/>
          <w:kern w:val="36"/>
          <w:sz w:val="22"/>
          <w:szCs w:val="22"/>
          <w:lang w:eastAsia="en-GB"/>
          <w14:ligatures w14:val="none"/>
        </w:rPr>
        <w:t xml:space="preserve"> Conclusion </w:t>
      </w:r>
    </w:p>
    <w:p w14:paraId="3C06BF0F" w14:textId="77777777" w:rsidR="00041916" w:rsidRPr="00041916" w:rsidRDefault="00041916" w:rsidP="00041916">
      <w:pPr>
        <w:spacing w:before="100" w:beforeAutospacing="1" w:after="100" w:afterAutospacing="1" w:line="360" w:lineRule="auto"/>
        <w:rPr>
          <w:rFonts w:ascii="Arial" w:eastAsia="Times New Roman" w:hAnsi="Arial" w:cs="Arial"/>
          <w:kern w:val="0"/>
          <w:sz w:val="22"/>
          <w:szCs w:val="22"/>
          <w:lang w:eastAsia="en-GB"/>
          <w14:ligatures w14:val="none"/>
        </w:rPr>
      </w:pPr>
      <w:r w:rsidRPr="00041916">
        <w:rPr>
          <w:rFonts w:ascii="Arial" w:eastAsia="Times New Roman" w:hAnsi="Arial" w:cs="Arial"/>
          <w:kern w:val="0"/>
          <w:sz w:val="22"/>
          <w:szCs w:val="22"/>
          <w:lang w:eastAsia="en-GB"/>
          <w14:ligatures w14:val="none"/>
        </w:rPr>
        <w:t xml:space="preserve">Coronary Heart Disease remains a major public health challenge, affecting millions of people worldwide and placing significant pressure on health and social care services. This report has demonstrated that CHD can be effectively monitored through epidemiological surveillance, screening programmes, and clinical assessments. Control strategies require a </w:t>
      </w:r>
      <w:r w:rsidRPr="00041916">
        <w:rPr>
          <w:rFonts w:ascii="Arial" w:eastAsia="Times New Roman" w:hAnsi="Arial" w:cs="Arial"/>
          <w:kern w:val="0"/>
          <w:sz w:val="22"/>
          <w:szCs w:val="22"/>
          <w:lang w:eastAsia="en-GB"/>
          <w14:ligatures w14:val="none"/>
        </w:rPr>
        <w:lastRenderedPageBreak/>
        <w:t>combination of medical treatment, lifestyle interventions, and national public health policies aimed at reducing risk factors. The consequences of CHD extend beyond physical health, impacting psychological wellbeing, social participation, and economic stability within communities. A wide range of health and social care services—including primary care, cardiac rehabilitation, mental health support, and social care interventions—are essential to meet the needs of individuals living with CHD. Addressing CHD requires a holistic, multi</w:t>
      </w:r>
      <w:r w:rsidRPr="00041916">
        <w:rPr>
          <w:rFonts w:ascii="Arial" w:eastAsia="Times New Roman" w:hAnsi="Arial" w:cs="Arial"/>
          <w:kern w:val="0"/>
          <w:sz w:val="22"/>
          <w:szCs w:val="22"/>
          <w:lang w:eastAsia="en-GB"/>
          <w14:ligatures w14:val="none"/>
        </w:rPr>
        <w:noBreakHyphen/>
        <w:t>agency approach that tackles both individual risk factors and wider social determinants of health. Continued investment in prevention, early detection, and community</w:t>
      </w:r>
      <w:r w:rsidRPr="00041916">
        <w:rPr>
          <w:rFonts w:ascii="Arial" w:eastAsia="Times New Roman" w:hAnsi="Arial" w:cs="Arial"/>
          <w:kern w:val="0"/>
          <w:sz w:val="22"/>
          <w:szCs w:val="22"/>
          <w:lang w:eastAsia="en-GB"/>
          <w14:ligatures w14:val="none"/>
        </w:rPr>
        <w:noBreakHyphen/>
        <w:t>based support is vital for reducing the burden of CHD.</w:t>
      </w:r>
    </w:p>
    <w:p w14:paraId="7E6EECDE" w14:textId="77777777" w:rsidR="00041916" w:rsidRPr="00041916" w:rsidRDefault="00041916" w:rsidP="00041916">
      <w:pPr>
        <w:pStyle w:val="TableParagraph"/>
        <w:spacing w:line="360" w:lineRule="auto"/>
        <w:ind w:left="40"/>
        <w:rPr>
          <w:color w:val="242130"/>
          <w:shd w:val="clear" w:color="auto" w:fill="FFFFFF"/>
        </w:rPr>
      </w:pPr>
    </w:p>
    <w:p w14:paraId="0D7DAB9A" w14:textId="77777777" w:rsidR="00041916" w:rsidRPr="00041916" w:rsidRDefault="00041916" w:rsidP="00041916">
      <w:pPr>
        <w:pStyle w:val="TableParagraph"/>
        <w:spacing w:line="360" w:lineRule="auto"/>
        <w:ind w:left="40"/>
        <w:rPr>
          <w:color w:val="242130"/>
          <w:shd w:val="clear" w:color="auto" w:fill="FFFFFF"/>
        </w:rPr>
      </w:pPr>
    </w:p>
    <w:p w14:paraId="3BD5604B" w14:textId="77777777" w:rsidR="00041916" w:rsidRPr="00041916" w:rsidRDefault="00041916" w:rsidP="00041916">
      <w:pPr>
        <w:pStyle w:val="TableParagraph"/>
        <w:spacing w:line="360" w:lineRule="auto"/>
        <w:ind w:left="40"/>
        <w:rPr>
          <w:color w:val="242130"/>
          <w:shd w:val="clear" w:color="auto" w:fill="FFFFFF"/>
        </w:rPr>
      </w:pPr>
    </w:p>
    <w:p w14:paraId="27C582A0" w14:textId="77777777" w:rsidR="00041916" w:rsidRPr="00041916" w:rsidRDefault="00041916" w:rsidP="00041916">
      <w:pPr>
        <w:pStyle w:val="TableParagraph"/>
        <w:spacing w:line="360" w:lineRule="auto"/>
        <w:ind w:left="40"/>
        <w:rPr>
          <w:color w:val="242130"/>
          <w:shd w:val="clear" w:color="auto" w:fill="FFFFFF"/>
        </w:rPr>
      </w:pPr>
    </w:p>
    <w:p w14:paraId="73B01F6A" w14:textId="77777777" w:rsidR="00041916" w:rsidRPr="00041916" w:rsidRDefault="00041916" w:rsidP="00041916">
      <w:pPr>
        <w:pStyle w:val="TableParagraph"/>
        <w:spacing w:line="360" w:lineRule="auto"/>
        <w:ind w:left="40"/>
        <w:rPr>
          <w:color w:val="242130"/>
          <w:shd w:val="clear" w:color="auto" w:fill="FFFFFF"/>
        </w:rPr>
      </w:pPr>
    </w:p>
    <w:p w14:paraId="39A5BCBA" w14:textId="77777777" w:rsidR="00041916" w:rsidRPr="00041916" w:rsidRDefault="00041916" w:rsidP="00041916">
      <w:pPr>
        <w:pStyle w:val="TableParagraph"/>
        <w:spacing w:line="360" w:lineRule="auto"/>
        <w:ind w:left="40"/>
        <w:rPr>
          <w:color w:val="242130"/>
          <w:shd w:val="clear" w:color="auto" w:fill="FFFFFF"/>
        </w:rPr>
      </w:pPr>
    </w:p>
    <w:p w14:paraId="66110CE9" w14:textId="77777777" w:rsidR="00041916" w:rsidRPr="00041916" w:rsidRDefault="00041916" w:rsidP="00041916">
      <w:pPr>
        <w:pStyle w:val="TableParagraph"/>
        <w:spacing w:line="360" w:lineRule="auto"/>
        <w:ind w:left="40"/>
        <w:rPr>
          <w:color w:val="242130"/>
          <w:shd w:val="clear" w:color="auto" w:fill="FFFFFF"/>
        </w:rPr>
      </w:pPr>
    </w:p>
    <w:p w14:paraId="43D2388D" w14:textId="77777777" w:rsidR="00041916" w:rsidRPr="00041916" w:rsidRDefault="00041916" w:rsidP="00041916">
      <w:pPr>
        <w:pStyle w:val="TableParagraph"/>
        <w:spacing w:line="360" w:lineRule="auto"/>
        <w:ind w:left="40"/>
        <w:rPr>
          <w:color w:val="242130"/>
          <w:shd w:val="clear" w:color="auto" w:fill="FFFFFF"/>
        </w:rPr>
      </w:pPr>
    </w:p>
    <w:p w14:paraId="3AFB9669" w14:textId="77777777" w:rsidR="00041916" w:rsidRPr="00041916" w:rsidRDefault="00041916" w:rsidP="00041916">
      <w:pPr>
        <w:pStyle w:val="TableParagraph"/>
        <w:spacing w:line="360" w:lineRule="auto"/>
        <w:ind w:left="40"/>
        <w:rPr>
          <w:color w:val="242130"/>
          <w:shd w:val="clear" w:color="auto" w:fill="FFFFFF"/>
        </w:rPr>
      </w:pPr>
    </w:p>
    <w:p w14:paraId="29304546" w14:textId="77777777" w:rsidR="00041916" w:rsidRPr="00041916" w:rsidRDefault="00041916" w:rsidP="00041916">
      <w:pPr>
        <w:pStyle w:val="TableParagraph"/>
        <w:spacing w:line="360" w:lineRule="auto"/>
        <w:ind w:left="40"/>
        <w:rPr>
          <w:color w:val="242130"/>
          <w:shd w:val="clear" w:color="auto" w:fill="FFFFFF"/>
        </w:rPr>
      </w:pPr>
    </w:p>
    <w:p w14:paraId="5B7E9154" w14:textId="77777777" w:rsidR="00041916" w:rsidRPr="00041916" w:rsidRDefault="00041916" w:rsidP="00041916">
      <w:pPr>
        <w:pStyle w:val="TableParagraph"/>
        <w:spacing w:line="360" w:lineRule="auto"/>
        <w:ind w:left="40"/>
        <w:rPr>
          <w:color w:val="242130"/>
          <w:shd w:val="clear" w:color="auto" w:fill="FFFFFF"/>
        </w:rPr>
      </w:pPr>
    </w:p>
    <w:p w14:paraId="30BB39DA" w14:textId="77777777" w:rsidR="00041916" w:rsidRPr="00041916" w:rsidRDefault="00041916" w:rsidP="00041916">
      <w:pPr>
        <w:pStyle w:val="TableParagraph"/>
        <w:spacing w:line="360" w:lineRule="auto"/>
        <w:ind w:left="40"/>
        <w:rPr>
          <w:color w:val="242130"/>
          <w:shd w:val="clear" w:color="auto" w:fill="FFFFFF"/>
        </w:rPr>
      </w:pPr>
    </w:p>
    <w:p w14:paraId="3E114C76" w14:textId="77777777" w:rsidR="00041916" w:rsidRPr="00041916" w:rsidRDefault="00041916" w:rsidP="00041916">
      <w:pPr>
        <w:pStyle w:val="TableParagraph"/>
        <w:spacing w:line="360" w:lineRule="auto"/>
        <w:ind w:left="40"/>
        <w:rPr>
          <w:color w:val="242130"/>
          <w:shd w:val="clear" w:color="auto" w:fill="FFFFFF"/>
        </w:rPr>
      </w:pPr>
    </w:p>
    <w:p w14:paraId="316DCD72" w14:textId="77777777" w:rsidR="00041916" w:rsidRPr="00041916" w:rsidRDefault="00041916" w:rsidP="00041916">
      <w:pPr>
        <w:pStyle w:val="TableParagraph"/>
        <w:spacing w:line="360" w:lineRule="auto"/>
        <w:ind w:left="40"/>
        <w:rPr>
          <w:color w:val="242130"/>
          <w:shd w:val="clear" w:color="auto" w:fill="FFFFFF"/>
        </w:rPr>
      </w:pPr>
    </w:p>
    <w:p w14:paraId="36F9EE91" w14:textId="77777777" w:rsidR="00041916" w:rsidRPr="00041916" w:rsidRDefault="00041916" w:rsidP="00041916">
      <w:pPr>
        <w:pStyle w:val="TableParagraph"/>
        <w:spacing w:line="360" w:lineRule="auto"/>
        <w:ind w:left="40"/>
        <w:rPr>
          <w:color w:val="242130"/>
          <w:shd w:val="clear" w:color="auto" w:fill="FFFFFF"/>
        </w:rPr>
      </w:pPr>
    </w:p>
    <w:p w14:paraId="55B7A85F" w14:textId="77777777" w:rsidR="00041916" w:rsidRPr="00041916" w:rsidRDefault="00041916" w:rsidP="00041916">
      <w:pPr>
        <w:pStyle w:val="TableParagraph"/>
        <w:spacing w:line="360" w:lineRule="auto"/>
        <w:ind w:left="40"/>
        <w:rPr>
          <w:color w:val="242130"/>
          <w:shd w:val="clear" w:color="auto" w:fill="FFFFFF"/>
        </w:rPr>
      </w:pPr>
    </w:p>
    <w:p w14:paraId="36562A06" w14:textId="77777777" w:rsidR="00041916" w:rsidRPr="00041916" w:rsidRDefault="00041916" w:rsidP="00041916">
      <w:pPr>
        <w:pStyle w:val="TableParagraph"/>
        <w:spacing w:line="360" w:lineRule="auto"/>
        <w:ind w:left="40"/>
        <w:rPr>
          <w:color w:val="242130"/>
          <w:shd w:val="clear" w:color="auto" w:fill="FFFFFF"/>
        </w:rPr>
      </w:pPr>
    </w:p>
    <w:p w14:paraId="12BA4A96" w14:textId="77777777" w:rsidR="00041916" w:rsidRPr="00041916" w:rsidRDefault="00041916" w:rsidP="00041916">
      <w:pPr>
        <w:pStyle w:val="TableParagraph"/>
        <w:spacing w:line="360" w:lineRule="auto"/>
        <w:ind w:left="40"/>
        <w:rPr>
          <w:color w:val="242130"/>
          <w:shd w:val="clear" w:color="auto" w:fill="FFFFFF"/>
        </w:rPr>
      </w:pPr>
    </w:p>
    <w:p w14:paraId="22DB0B47" w14:textId="77777777" w:rsidR="00041916" w:rsidRPr="00041916" w:rsidRDefault="00041916" w:rsidP="00041916">
      <w:pPr>
        <w:pStyle w:val="TableParagraph"/>
        <w:spacing w:line="360" w:lineRule="auto"/>
        <w:ind w:left="40"/>
        <w:rPr>
          <w:color w:val="242130"/>
          <w:shd w:val="clear" w:color="auto" w:fill="FFFFFF"/>
        </w:rPr>
      </w:pPr>
    </w:p>
    <w:p w14:paraId="3417C0EB" w14:textId="77777777" w:rsidR="00041916" w:rsidRPr="00041916" w:rsidRDefault="00041916" w:rsidP="00041916">
      <w:pPr>
        <w:pStyle w:val="TableParagraph"/>
        <w:spacing w:line="360" w:lineRule="auto"/>
        <w:ind w:left="40"/>
        <w:rPr>
          <w:color w:val="242130"/>
          <w:shd w:val="clear" w:color="auto" w:fill="FFFFFF"/>
        </w:rPr>
      </w:pPr>
    </w:p>
    <w:p w14:paraId="4E59EC12" w14:textId="77777777" w:rsidR="00041916" w:rsidRPr="00041916" w:rsidRDefault="00041916" w:rsidP="00041916">
      <w:pPr>
        <w:pStyle w:val="TableParagraph"/>
        <w:spacing w:line="360" w:lineRule="auto"/>
        <w:ind w:left="40"/>
        <w:rPr>
          <w:color w:val="242130"/>
          <w:shd w:val="clear" w:color="auto" w:fill="FFFFFF"/>
        </w:rPr>
      </w:pPr>
    </w:p>
    <w:p w14:paraId="3D4241AD" w14:textId="77777777" w:rsidR="00041916" w:rsidRPr="00041916" w:rsidRDefault="00041916" w:rsidP="00041916">
      <w:pPr>
        <w:pStyle w:val="TableParagraph"/>
        <w:spacing w:line="360" w:lineRule="auto"/>
        <w:ind w:left="40"/>
        <w:rPr>
          <w:color w:val="242130"/>
          <w:shd w:val="clear" w:color="auto" w:fill="FFFFFF"/>
        </w:rPr>
      </w:pPr>
    </w:p>
    <w:p w14:paraId="3813F19B" w14:textId="77777777" w:rsidR="00041916" w:rsidRPr="00041916" w:rsidRDefault="00041916" w:rsidP="00041916">
      <w:pPr>
        <w:pStyle w:val="TableParagraph"/>
        <w:spacing w:line="360" w:lineRule="auto"/>
        <w:ind w:left="40"/>
        <w:rPr>
          <w:color w:val="242130"/>
          <w:shd w:val="clear" w:color="auto" w:fill="FFFFFF"/>
        </w:rPr>
      </w:pPr>
    </w:p>
    <w:p w14:paraId="61F75DC2" w14:textId="77777777" w:rsidR="00041916" w:rsidRPr="00041916" w:rsidRDefault="00041916" w:rsidP="00041916">
      <w:pPr>
        <w:pStyle w:val="TableParagraph"/>
        <w:spacing w:line="360" w:lineRule="auto"/>
        <w:ind w:left="40"/>
        <w:rPr>
          <w:color w:val="242130"/>
          <w:shd w:val="clear" w:color="auto" w:fill="FFFFFF"/>
        </w:rPr>
      </w:pPr>
    </w:p>
    <w:p w14:paraId="24758579" w14:textId="77777777" w:rsidR="00041916" w:rsidRPr="00041916" w:rsidRDefault="00041916" w:rsidP="00041916">
      <w:pPr>
        <w:pStyle w:val="TableParagraph"/>
        <w:spacing w:line="360" w:lineRule="auto"/>
        <w:ind w:left="40"/>
        <w:rPr>
          <w:color w:val="242130"/>
          <w:shd w:val="clear" w:color="auto" w:fill="FFFFFF"/>
        </w:rPr>
      </w:pPr>
    </w:p>
    <w:p w14:paraId="07186A5B" w14:textId="77777777" w:rsidR="00041916" w:rsidRPr="00041916" w:rsidRDefault="00041916" w:rsidP="00041916">
      <w:pPr>
        <w:pStyle w:val="TableParagraph"/>
        <w:spacing w:line="360" w:lineRule="auto"/>
        <w:ind w:left="40"/>
        <w:rPr>
          <w:color w:val="242130"/>
          <w:shd w:val="clear" w:color="auto" w:fill="FFFFFF"/>
        </w:rPr>
      </w:pPr>
    </w:p>
    <w:p w14:paraId="097F617B" w14:textId="77777777" w:rsidR="00041916" w:rsidRPr="00041916" w:rsidRDefault="00041916" w:rsidP="00041916">
      <w:pPr>
        <w:pStyle w:val="TableParagraph"/>
        <w:spacing w:line="360" w:lineRule="auto"/>
        <w:ind w:left="40"/>
        <w:rPr>
          <w:color w:val="242130"/>
          <w:shd w:val="clear" w:color="auto" w:fill="FFFFFF"/>
        </w:rPr>
      </w:pPr>
    </w:p>
    <w:p w14:paraId="74D4A521" w14:textId="33D45AE8" w:rsidR="00041916" w:rsidRPr="00041916" w:rsidRDefault="00041916" w:rsidP="00041916">
      <w:pPr>
        <w:pStyle w:val="TableParagraph"/>
        <w:spacing w:line="360" w:lineRule="auto"/>
        <w:ind w:left="40"/>
        <w:rPr>
          <w:color w:val="242130"/>
          <w:shd w:val="clear" w:color="auto" w:fill="FFFFFF"/>
        </w:rPr>
      </w:pPr>
      <w:r w:rsidRPr="00041916">
        <w:rPr>
          <w:color w:val="242130"/>
          <w:shd w:val="clear" w:color="auto" w:fill="FFFFFF"/>
        </w:rPr>
        <w:lastRenderedPageBreak/>
        <w:t>Reference List</w:t>
      </w:r>
    </w:p>
    <w:p w14:paraId="1768A3CE" w14:textId="77777777" w:rsidR="00041916" w:rsidRPr="00041916" w:rsidRDefault="00041916" w:rsidP="00041916">
      <w:pPr>
        <w:pStyle w:val="NormalWeb"/>
        <w:spacing w:line="360" w:lineRule="auto"/>
        <w:rPr>
          <w:rFonts w:ascii="Arial" w:hAnsi="Arial" w:cs="Arial"/>
          <w:sz w:val="22"/>
          <w:szCs w:val="22"/>
        </w:rPr>
      </w:pPr>
      <w:r w:rsidRPr="00041916">
        <w:rPr>
          <w:rFonts w:ascii="Arial" w:hAnsi="Arial" w:cs="Arial"/>
          <w:sz w:val="22"/>
          <w:szCs w:val="22"/>
        </w:rPr>
        <w:t xml:space="preserve">British Heart Foundation (2024) </w:t>
      </w:r>
      <w:r w:rsidRPr="00041916">
        <w:rPr>
          <w:rStyle w:val="Emphasis"/>
          <w:rFonts w:ascii="Arial" w:hAnsi="Arial" w:cs="Arial"/>
          <w:sz w:val="22"/>
          <w:szCs w:val="22"/>
        </w:rPr>
        <w:t>Heart and Circulatory Disease Statistics 2024</w:t>
      </w:r>
      <w:r w:rsidRPr="00041916">
        <w:rPr>
          <w:rFonts w:ascii="Arial" w:hAnsi="Arial" w:cs="Arial"/>
          <w:sz w:val="22"/>
          <w:szCs w:val="22"/>
        </w:rPr>
        <w:t>. London: BHF.</w:t>
      </w:r>
    </w:p>
    <w:p w14:paraId="2460D18E" w14:textId="77777777" w:rsidR="00041916" w:rsidRPr="00041916" w:rsidRDefault="00041916" w:rsidP="00041916">
      <w:pPr>
        <w:pStyle w:val="NormalWeb"/>
        <w:spacing w:line="360" w:lineRule="auto"/>
        <w:rPr>
          <w:rFonts w:ascii="Arial" w:hAnsi="Arial" w:cs="Arial"/>
          <w:sz w:val="22"/>
          <w:szCs w:val="22"/>
        </w:rPr>
      </w:pPr>
      <w:r w:rsidRPr="00041916">
        <w:rPr>
          <w:rFonts w:ascii="Arial" w:hAnsi="Arial" w:cs="Arial"/>
          <w:sz w:val="22"/>
          <w:szCs w:val="22"/>
        </w:rPr>
        <w:t xml:space="preserve">Department of Health (2018) </w:t>
      </w:r>
      <w:r w:rsidRPr="00041916">
        <w:rPr>
          <w:rStyle w:val="Emphasis"/>
          <w:rFonts w:ascii="Arial" w:hAnsi="Arial" w:cs="Arial"/>
          <w:sz w:val="22"/>
          <w:szCs w:val="22"/>
        </w:rPr>
        <w:t>Smoke-free England: One Year On</w:t>
      </w:r>
      <w:r w:rsidRPr="00041916">
        <w:rPr>
          <w:rFonts w:ascii="Arial" w:hAnsi="Arial" w:cs="Arial"/>
          <w:sz w:val="22"/>
          <w:szCs w:val="22"/>
        </w:rPr>
        <w:t>. London: DHSC.</w:t>
      </w:r>
    </w:p>
    <w:p w14:paraId="31540582" w14:textId="77777777" w:rsidR="00041916" w:rsidRPr="00041916" w:rsidRDefault="00041916" w:rsidP="00041916">
      <w:pPr>
        <w:pStyle w:val="NormalWeb"/>
        <w:spacing w:line="360" w:lineRule="auto"/>
        <w:rPr>
          <w:rFonts w:ascii="Arial" w:hAnsi="Arial" w:cs="Arial"/>
          <w:sz w:val="22"/>
          <w:szCs w:val="22"/>
        </w:rPr>
      </w:pPr>
      <w:r w:rsidRPr="00041916">
        <w:rPr>
          <w:rFonts w:ascii="Arial" w:hAnsi="Arial" w:cs="Arial"/>
          <w:sz w:val="22"/>
          <w:szCs w:val="22"/>
        </w:rPr>
        <w:t xml:space="preserve">NHS Digital (2023) </w:t>
      </w:r>
      <w:r w:rsidRPr="00041916">
        <w:rPr>
          <w:rStyle w:val="Emphasis"/>
          <w:rFonts w:ascii="Arial" w:hAnsi="Arial" w:cs="Arial"/>
          <w:sz w:val="22"/>
          <w:szCs w:val="22"/>
        </w:rPr>
        <w:t>Quality and Outcomes Framework (QOF) 2023</w:t>
      </w:r>
      <w:r w:rsidRPr="00041916">
        <w:rPr>
          <w:rFonts w:ascii="Arial" w:hAnsi="Arial" w:cs="Arial"/>
          <w:sz w:val="22"/>
          <w:szCs w:val="22"/>
        </w:rPr>
        <w:t xml:space="preserve">. Available at: </w:t>
      </w:r>
      <w:hyperlink r:id="rId4" w:history="1">
        <w:r w:rsidRPr="00041916">
          <w:rPr>
            <w:rStyle w:val="Hyperlink"/>
            <w:rFonts w:ascii="Arial" w:hAnsi="Arial" w:cs="Arial"/>
            <w:sz w:val="22"/>
            <w:szCs w:val="22"/>
          </w:rPr>
          <w:t>https://digital.nhs.uk</w:t>
        </w:r>
      </w:hyperlink>
      <w:r w:rsidRPr="00041916">
        <w:rPr>
          <w:rFonts w:ascii="Arial" w:hAnsi="Arial" w:cs="Arial"/>
          <w:sz w:val="22"/>
          <w:szCs w:val="22"/>
        </w:rPr>
        <w:t xml:space="preserve"> (Accessed: 19 May 2026).</w:t>
      </w:r>
    </w:p>
    <w:p w14:paraId="7F642CA8" w14:textId="77777777" w:rsidR="00041916" w:rsidRPr="00041916" w:rsidRDefault="00041916" w:rsidP="00041916">
      <w:pPr>
        <w:pStyle w:val="NormalWeb"/>
        <w:spacing w:line="360" w:lineRule="auto"/>
        <w:rPr>
          <w:rFonts w:ascii="Arial" w:hAnsi="Arial" w:cs="Arial"/>
          <w:sz w:val="22"/>
          <w:szCs w:val="22"/>
        </w:rPr>
      </w:pPr>
      <w:r w:rsidRPr="00041916">
        <w:rPr>
          <w:rFonts w:ascii="Arial" w:hAnsi="Arial" w:cs="Arial"/>
          <w:sz w:val="22"/>
          <w:szCs w:val="22"/>
        </w:rPr>
        <w:t xml:space="preserve">NICE (2023) </w:t>
      </w:r>
      <w:proofErr w:type="gramStart"/>
      <w:r w:rsidRPr="00041916">
        <w:rPr>
          <w:rStyle w:val="Emphasis"/>
          <w:rFonts w:ascii="Arial" w:hAnsi="Arial" w:cs="Arial"/>
          <w:sz w:val="22"/>
          <w:szCs w:val="22"/>
        </w:rPr>
        <w:t>Cardiovascular Disease</w:t>
      </w:r>
      <w:proofErr w:type="gramEnd"/>
      <w:r w:rsidRPr="00041916">
        <w:rPr>
          <w:rStyle w:val="Emphasis"/>
          <w:rFonts w:ascii="Arial" w:hAnsi="Arial" w:cs="Arial"/>
          <w:sz w:val="22"/>
          <w:szCs w:val="22"/>
        </w:rPr>
        <w:t>: Risk Assessment and Management</w:t>
      </w:r>
      <w:r w:rsidRPr="00041916">
        <w:rPr>
          <w:rFonts w:ascii="Arial" w:hAnsi="Arial" w:cs="Arial"/>
          <w:sz w:val="22"/>
          <w:szCs w:val="22"/>
        </w:rPr>
        <w:t>. London: National Institute for Health and Care Excellence.</w:t>
      </w:r>
    </w:p>
    <w:p w14:paraId="41122078" w14:textId="77777777" w:rsidR="00041916" w:rsidRPr="00041916" w:rsidRDefault="00041916" w:rsidP="00041916">
      <w:pPr>
        <w:pStyle w:val="NormalWeb"/>
        <w:spacing w:line="360" w:lineRule="auto"/>
        <w:rPr>
          <w:rFonts w:ascii="Arial" w:hAnsi="Arial" w:cs="Arial"/>
          <w:sz w:val="22"/>
          <w:szCs w:val="22"/>
        </w:rPr>
      </w:pPr>
      <w:r w:rsidRPr="00041916">
        <w:rPr>
          <w:rFonts w:ascii="Arial" w:hAnsi="Arial" w:cs="Arial"/>
          <w:sz w:val="22"/>
          <w:szCs w:val="22"/>
        </w:rPr>
        <w:t xml:space="preserve">Office for National Statistics (2023) </w:t>
      </w:r>
      <w:r w:rsidRPr="00041916">
        <w:rPr>
          <w:rStyle w:val="Emphasis"/>
          <w:rFonts w:ascii="Arial" w:hAnsi="Arial" w:cs="Arial"/>
          <w:sz w:val="22"/>
          <w:szCs w:val="22"/>
        </w:rPr>
        <w:t>Health Survey for England: Cardiovascular Disease</w:t>
      </w:r>
      <w:r w:rsidRPr="00041916">
        <w:rPr>
          <w:rFonts w:ascii="Arial" w:hAnsi="Arial" w:cs="Arial"/>
          <w:sz w:val="22"/>
          <w:szCs w:val="22"/>
        </w:rPr>
        <w:t>. London: ONS.</w:t>
      </w:r>
    </w:p>
    <w:p w14:paraId="6F7463BF" w14:textId="77777777" w:rsidR="00041916" w:rsidRPr="00041916" w:rsidRDefault="00041916" w:rsidP="00041916">
      <w:pPr>
        <w:pStyle w:val="NormalWeb"/>
        <w:spacing w:line="360" w:lineRule="auto"/>
        <w:rPr>
          <w:rFonts w:ascii="Arial" w:hAnsi="Arial" w:cs="Arial"/>
          <w:sz w:val="22"/>
          <w:szCs w:val="22"/>
        </w:rPr>
      </w:pPr>
      <w:r w:rsidRPr="00041916">
        <w:rPr>
          <w:rFonts w:ascii="Arial" w:hAnsi="Arial" w:cs="Arial"/>
          <w:sz w:val="22"/>
          <w:szCs w:val="22"/>
        </w:rPr>
        <w:t xml:space="preserve">Public Health England (2019) </w:t>
      </w:r>
      <w:r w:rsidRPr="00041916">
        <w:rPr>
          <w:rStyle w:val="Emphasis"/>
          <w:rFonts w:ascii="Arial" w:hAnsi="Arial" w:cs="Arial"/>
          <w:sz w:val="22"/>
          <w:szCs w:val="22"/>
        </w:rPr>
        <w:t>NHS Health Check Programme Standards</w:t>
      </w:r>
      <w:r w:rsidRPr="00041916">
        <w:rPr>
          <w:rFonts w:ascii="Arial" w:hAnsi="Arial" w:cs="Arial"/>
          <w:sz w:val="22"/>
          <w:szCs w:val="22"/>
        </w:rPr>
        <w:t>. London: PHE.</w:t>
      </w:r>
    </w:p>
    <w:p w14:paraId="5F239384" w14:textId="77777777" w:rsidR="00041916" w:rsidRPr="00041916" w:rsidRDefault="00041916" w:rsidP="00041916">
      <w:pPr>
        <w:pStyle w:val="NormalWeb"/>
        <w:spacing w:line="360" w:lineRule="auto"/>
        <w:rPr>
          <w:rFonts w:ascii="Arial" w:hAnsi="Arial" w:cs="Arial"/>
          <w:sz w:val="22"/>
          <w:szCs w:val="22"/>
        </w:rPr>
      </w:pPr>
      <w:r w:rsidRPr="00041916">
        <w:rPr>
          <w:rFonts w:ascii="Arial" w:hAnsi="Arial" w:cs="Arial"/>
          <w:sz w:val="22"/>
          <w:szCs w:val="22"/>
        </w:rPr>
        <w:t xml:space="preserve">World Health Organization (2023) </w:t>
      </w:r>
      <w:r w:rsidRPr="00041916">
        <w:rPr>
          <w:rStyle w:val="Emphasis"/>
          <w:rFonts w:ascii="Arial" w:hAnsi="Arial" w:cs="Arial"/>
          <w:sz w:val="22"/>
          <w:szCs w:val="22"/>
        </w:rPr>
        <w:t>Global Health Estimates: Cardiovascular Diseases</w:t>
      </w:r>
      <w:r w:rsidRPr="00041916">
        <w:rPr>
          <w:rFonts w:ascii="Arial" w:hAnsi="Arial" w:cs="Arial"/>
          <w:sz w:val="22"/>
          <w:szCs w:val="22"/>
        </w:rPr>
        <w:t>. Geneva: WHO.</w:t>
      </w:r>
    </w:p>
    <w:p w14:paraId="43F12279" w14:textId="77777777" w:rsidR="00041916" w:rsidRPr="00041916" w:rsidRDefault="00041916" w:rsidP="00041916">
      <w:pPr>
        <w:pStyle w:val="TableParagraph"/>
        <w:spacing w:line="360" w:lineRule="auto"/>
        <w:ind w:left="40"/>
        <w:rPr>
          <w:color w:val="242130"/>
          <w:shd w:val="clear" w:color="auto" w:fill="FFFFFF"/>
        </w:rPr>
      </w:pPr>
    </w:p>
    <w:p w14:paraId="68A0C59C" w14:textId="77777777" w:rsidR="003A4E79" w:rsidRPr="00041916" w:rsidRDefault="003A4E79" w:rsidP="00041916">
      <w:pPr>
        <w:spacing w:line="360" w:lineRule="auto"/>
        <w:rPr>
          <w:rFonts w:ascii="Arial" w:hAnsi="Arial" w:cs="Arial"/>
          <w:sz w:val="22"/>
          <w:szCs w:val="22"/>
        </w:rPr>
      </w:pPr>
    </w:p>
    <w:sectPr w:rsidR="003A4E79" w:rsidRPr="000419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916"/>
    <w:rsid w:val="00041916"/>
    <w:rsid w:val="003A4E79"/>
    <w:rsid w:val="00710083"/>
    <w:rsid w:val="00BA4DD8"/>
    <w:rsid w:val="00D92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C74F0"/>
  <w15:chartTrackingRefBased/>
  <w15:docId w15:val="{A61C70E6-0583-4B86-84BE-E88DE85C1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9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19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19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19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19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19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19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19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19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9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19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19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19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19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19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19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19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1916"/>
    <w:rPr>
      <w:rFonts w:eastAsiaTheme="majorEastAsia" w:cstheme="majorBidi"/>
      <w:color w:val="272727" w:themeColor="text1" w:themeTint="D8"/>
    </w:rPr>
  </w:style>
  <w:style w:type="paragraph" w:styleId="Title">
    <w:name w:val="Title"/>
    <w:basedOn w:val="Normal"/>
    <w:next w:val="Normal"/>
    <w:link w:val="TitleChar"/>
    <w:uiPriority w:val="10"/>
    <w:qFormat/>
    <w:rsid w:val="000419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9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9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9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1916"/>
    <w:pPr>
      <w:spacing w:before="160"/>
      <w:jc w:val="center"/>
    </w:pPr>
    <w:rPr>
      <w:i/>
      <w:iCs/>
      <w:color w:val="404040" w:themeColor="text1" w:themeTint="BF"/>
    </w:rPr>
  </w:style>
  <w:style w:type="character" w:customStyle="1" w:styleId="QuoteChar">
    <w:name w:val="Quote Char"/>
    <w:basedOn w:val="DefaultParagraphFont"/>
    <w:link w:val="Quote"/>
    <w:uiPriority w:val="29"/>
    <w:rsid w:val="00041916"/>
    <w:rPr>
      <w:i/>
      <w:iCs/>
      <w:color w:val="404040" w:themeColor="text1" w:themeTint="BF"/>
    </w:rPr>
  </w:style>
  <w:style w:type="paragraph" w:styleId="ListParagraph">
    <w:name w:val="List Paragraph"/>
    <w:basedOn w:val="Normal"/>
    <w:uiPriority w:val="34"/>
    <w:qFormat/>
    <w:rsid w:val="00041916"/>
    <w:pPr>
      <w:ind w:left="720"/>
      <w:contextualSpacing/>
    </w:pPr>
  </w:style>
  <w:style w:type="character" w:styleId="IntenseEmphasis">
    <w:name w:val="Intense Emphasis"/>
    <w:basedOn w:val="DefaultParagraphFont"/>
    <w:uiPriority w:val="21"/>
    <w:qFormat/>
    <w:rsid w:val="00041916"/>
    <w:rPr>
      <w:i/>
      <w:iCs/>
      <w:color w:val="0F4761" w:themeColor="accent1" w:themeShade="BF"/>
    </w:rPr>
  </w:style>
  <w:style w:type="paragraph" w:styleId="IntenseQuote">
    <w:name w:val="Intense Quote"/>
    <w:basedOn w:val="Normal"/>
    <w:next w:val="Normal"/>
    <w:link w:val="IntenseQuoteChar"/>
    <w:uiPriority w:val="30"/>
    <w:qFormat/>
    <w:rsid w:val="000419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1916"/>
    <w:rPr>
      <w:i/>
      <w:iCs/>
      <w:color w:val="0F4761" w:themeColor="accent1" w:themeShade="BF"/>
    </w:rPr>
  </w:style>
  <w:style w:type="character" w:styleId="IntenseReference">
    <w:name w:val="Intense Reference"/>
    <w:basedOn w:val="DefaultParagraphFont"/>
    <w:uiPriority w:val="32"/>
    <w:qFormat/>
    <w:rsid w:val="00041916"/>
    <w:rPr>
      <w:b/>
      <w:bCs/>
      <w:smallCaps/>
      <w:color w:val="0F4761" w:themeColor="accent1" w:themeShade="BF"/>
      <w:spacing w:val="5"/>
    </w:rPr>
  </w:style>
  <w:style w:type="paragraph" w:styleId="NormalWeb">
    <w:name w:val="Normal (Web)"/>
    <w:basedOn w:val="Normal"/>
    <w:uiPriority w:val="99"/>
    <w:semiHidden/>
    <w:unhideWhenUsed/>
    <w:rsid w:val="0004191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TableParagraph">
    <w:name w:val="Table Paragraph"/>
    <w:basedOn w:val="Normal"/>
    <w:uiPriority w:val="1"/>
    <w:qFormat/>
    <w:rsid w:val="00041916"/>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styleId="Emphasis">
    <w:name w:val="Emphasis"/>
    <w:basedOn w:val="DefaultParagraphFont"/>
    <w:uiPriority w:val="20"/>
    <w:qFormat/>
    <w:rsid w:val="00041916"/>
    <w:rPr>
      <w:i/>
      <w:iCs/>
    </w:rPr>
  </w:style>
  <w:style w:type="character" w:styleId="Hyperlink">
    <w:name w:val="Hyperlink"/>
    <w:basedOn w:val="DefaultParagraphFont"/>
    <w:uiPriority w:val="99"/>
    <w:semiHidden/>
    <w:unhideWhenUsed/>
    <w:rsid w:val="0004191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1367</Words>
  <Characters>7795</Characters>
  <Application>Microsoft Office Word</Application>
  <DocSecurity>0</DocSecurity>
  <Lines>64</Lines>
  <Paragraphs>18</Paragraphs>
  <ScaleCrop>false</ScaleCrop>
  <Company/>
  <LinksUpToDate>false</LinksUpToDate>
  <CharactersWithSpaces>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McCann</dc:creator>
  <cp:keywords/>
  <dc:description/>
  <cp:lastModifiedBy>Adele McCann</cp:lastModifiedBy>
  <cp:revision>1</cp:revision>
  <dcterms:created xsi:type="dcterms:W3CDTF">2026-05-19T14:06:00Z</dcterms:created>
  <dcterms:modified xsi:type="dcterms:W3CDTF">2026-05-19T14:13:00Z</dcterms:modified>
</cp:coreProperties>
</file>