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A44517" w14:textId="77777777" w:rsidR="00D561AF" w:rsidRDefault="00F84C1C">
      <w:pPr>
        <w:spacing w:after="129" w:line="259" w:lineRule="auto"/>
        <w:ind w:left="0" w:right="2111" w:firstLine="0"/>
        <w:jc w:val="right"/>
      </w:pPr>
      <w:r>
        <w:rPr>
          <w:noProof/>
        </w:rPr>
        <w:drawing>
          <wp:inline distT="0" distB="0" distL="0" distR="0" wp14:anchorId="76725B4C" wp14:editId="1C256746">
            <wp:extent cx="3209925" cy="1428750"/>
            <wp:effectExtent l="0" t="0" r="0" b="0"/>
            <wp:docPr id="241" name="Picture 241"/>
            <wp:cNvGraphicFramePr/>
            <a:graphic xmlns:a="http://schemas.openxmlformats.org/drawingml/2006/main">
              <a:graphicData uri="http://schemas.openxmlformats.org/drawingml/2006/picture">
                <pic:pic xmlns:pic="http://schemas.openxmlformats.org/drawingml/2006/picture">
                  <pic:nvPicPr>
                    <pic:cNvPr id="241" name="Picture 241"/>
                    <pic:cNvPicPr/>
                  </pic:nvPicPr>
                  <pic:blipFill>
                    <a:blip r:embed="rId6"/>
                    <a:stretch>
                      <a:fillRect/>
                    </a:stretch>
                  </pic:blipFill>
                  <pic:spPr>
                    <a:xfrm>
                      <a:off x="0" y="0"/>
                      <a:ext cx="3209925" cy="1428750"/>
                    </a:xfrm>
                    <a:prstGeom prst="rect">
                      <a:avLst/>
                    </a:prstGeom>
                  </pic:spPr>
                </pic:pic>
              </a:graphicData>
            </a:graphic>
          </wp:inline>
        </w:drawing>
      </w:r>
      <w:r>
        <w:rPr>
          <w:rFonts w:ascii="Aptos" w:eastAsia="Aptos" w:hAnsi="Aptos" w:cs="Aptos"/>
          <w:sz w:val="24"/>
        </w:rPr>
        <w:t xml:space="preserve"> </w:t>
      </w:r>
    </w:p>
    <w:p w14:paraId="71FB2AD7" w14:textId="77777777" w:rsidR="00D561AF" w:rsidRDefault="00F84C1C">
      <w:pPr>
        <w:spacing w:after="182" w:line="259" w:lineRule="auto"/>
        <w:ind w:left="62" w:firstLine="0"/>
        <w:jc w:val="center"/>
      </w:pPr>
      <w:r>
        <w:rPr>
          <w:rFonts w:ascii="Arial Nova" w:eastAsia="Arial Nova" w:hAnsi="Arial Nova" w:cs="Arial Nova"/>
          <w:sz w:val="24"/>
        </w:rPr>
        <w:t xml:space="preserve"> </w:t>
      </w:r>
    </w:p>
    <w:p w14:paraId="4BA76FBE" w14:textId="77777777" w:rsidR="00D561AF" w:rsidRDefault="00F84C1C">
      <w:pPr>
        <w:spacing w:after="182" w:line="259" w:lineRule="auto"/>
        <w:ind w:left="62" w:firstLine="0"/>
        <w:jc w:val="center"/>
      </w:pPr>
      <w:r>
        <w:rPr>
          <w:rFonts w:ascii="Arial Nova" w:eastAsia="Arial Nova" w:hAnsi="Arial Nova" w:cs="Arial Nova"/>
          <w:sz w:val="24"/>
        </w:rPr>
        <w:t xml:space="preserve"> </w:t>
      </w:r>
    </w:p>
    <w:p w14:paraId="7176AC9A" w14:textId="77777777" w:rsidR="00D561AF" w:rsidRDefault="00F84C1C">
      <w:pPr>
        <w:spacing w:after="187" w:line="259" w:lineRule="auto"/>
        <w:ind w:left="62" w:firstLine="0"/>
        <w:jc w:val="center"/>
      </w:pPr>
      <w:r>
        <w:rPr>
          <w:rFonts w:ascii="Arial Nova" w:eastAsia="Arial Nova" w:hAnsi="Arial Nova" w:cs="Arial Nova"/>
          <w:sz w:val="24"/>
        </w:rPr>
        <w:t xml:space="preserve"> </w:t>
      </w:r>
    </w:p>
    <w:p w14:paraId="70C89551" w14:textId="77777777" w:rsidR="00D561AF" w:rsidRDefault="00F84C1C">
      <w:pPr>
        <w:spacing w:after="182" w:line="259" w:lineRule="auto"/>
        <w:ind w:left="62" w:firstLine="0"/>
        <w:jc w:val="center"/>
      </w:pPr>
      <w:r>
        <w:rPr>
          <w:rFonts w:ascii="Arial Nova" w:eastAsia="Arial Nova" w:hAnsi="Arial Nova" w:cs="Arial Nova"/>
          <w:sz w:val="24"/>
        </w:rPr>
        <w:t xml:space="preserve"> </w:t>
      </w:r>
    </w:p>
    <w:p w14:paraId="5A152A8D" w14:textId="77777777" w:rsidR="00D561AF" w:rsidRDefault="00F84C1C">
      <w:pPr>
        <w:spacing w:after="227" w:line="259" w:lineRule="auto"/>
        <w:ind w:left="62" w:firstLine="0"/>
        <w:jc w:val="center"/>
      </w:pPr>
      <w:r>
        <w:rPr>
          <w:rFonts w:ascii="Arial Nova" w:eastAsia="Arial Nova" w:hAnsi="Arial Nova" w:cs="Arial Nova"/>
          <w:sz w:val="24"/>
        </w:rPr>
        <w:t xml:space="preserve"> </w:t>
      </w:r>
    </w:p>
    <w:p w14:paraId="790E533D" w14:textId="77777777" w:rsidR="00D561AF" w:rsidRDefault="00F84C1C">
      <w:pPr>
        <w:spacing w:after="187" w:line="259" w:lineRule="auto"/>
        <w:ind w:left="-5"/>
        <w:jc w:val="left"/>
      </w:pPr>
      <w:r>
        <w:rPr>
          <w:rFonts w:ascii="Arial Nova" w:eastAsia="Arial Nova" w:hAnsi="Arial Nova" w:cs="Arial Nova"/>
          <w:sz w:val="28"/>
        </w:rPr>
        <w:t xml:space="preserve">Student Name: Lucie Dunkova </w:t>
      </w:r>
    </w:p>
    <w:p w14:paraId="359C3A34" w14:textId="77777777" w:rsidR="00D561AF" w:rsidRDefault="00F84C1C">
      <w:pPr>
        <w:spacing w:after="187" w:line="259" w:lineRule="auto"/>
        <w:ind w:left="-5"/>
        <w:jc w:val="left"/>
      </w:pPr>
      <w:r>
        <w:rPr>
          <w:rFonts w:ascii="Arial Nova" w:eastAsia="Arial Nova" w:hAnsi="Arial Nova" w:cs="Arial Nova"/>
          <w:sz w:val="28"/>
        </w:rPr>
        <w:t xml:space="preserve">Student number: 2241882 </w:t>
      </w:r>
    </w:p>
    <w:p w14:paraId="4571BE13" w14:textId="77777777" w:rsidR="00D561AF" w:rsidRDefault="00F84C1C">
      <w:pPr>
        <w:spacing w:after="187" w:line="259" w:lineRule="auto"/>
        <w:ind w:left="-5"/>
        <w:jc w:val="left"/>
      </w:pPr>
      <w:proofErr w:type="spellStart"/>
      <w:r>
        <w:rPr>
          <w:rFonts w:ascii="Arial Nova" w:eastAsia="Arial Nova" w:hAnsi="Arial Nova" w:cs="Arial Nova"/>
          <w:sz w:val="28"/>
        </w:rPr>
        <w:t>Programme</w:t>
      </w:r>
      <w:proofErr w:type="spellEnd"/>
      <w:r>
        <w:rPr>
          <w:rFonts w:ascii="Arial Nova" w:eastAsia="Arial Nova" w:hAnsi="Arial Nova" w:cs="Arial Nova"/>
          <w:sz w:val="28"/>
        </w:rPr>
        <w:t xml:space="preserve">: BSc Health and Social Care </w:t>
      </w:r>
    </w:p>
    <w:p w14:paraId="3795A8EF" w14:textId="77777777" w:rsidR="00D561AF" w:rsidRDefault="00F84C1C">
      <w:pPr>
        <w:spacing w:after="187" w:line="259" w:lineRule="auto"/>
        <w:ind w:left="-5"/>
        <w:jc w:val="left"/>
      </w:pPr>
      <w:r>
        <w:rPr>
          <w:rFonts w:ascii="Arial Nova" w:eastAsia="Arial Nova" w:hAnsi="Arial Nova" w:cs="Arial Nova"/>
          <w:sz w:val="28"/>
        </w:rPr>
        <w:t xml:space="preserve">Module: Changemakers: Creativity and Value Creation </w:t>
      </w:r>
    </w:p>
    <w:p w14:paraId="037E9DFD" w14:textId="77777777" w:rsidR="00D561AF" w:rsidRDefault="00F84C1C">
      <w:pPr>
        <w:spacing w:after="187" w:line="259" w:lineRule="auto"/>
        <w:ind w:left="-5"/>
        <w:jc w:val="left"/>
      </w:pPr>
      <w:r>
        <w:rPr>
          <w:rFonts w:ascii="Arial Nova" w:eastAsia="Arial Nova" w:hAnsi="Arial Nova" w:cs="Arial Nova"/>
          <w:sz w:val="28"/>
        </w:rPr>
        <w:t xml:space="preserve">Module code: BMHP5014 </w:t>
      </w:r>
    </w:p>
    <w:p w14:paraId="2B7F9920" w14:textId="77777777" w:rsidR="00D561AF" w:rsidRDefault="00F84C1C">
      <w:pPr>
        <w:spacing w:after="187" w:line="259" w:lineRule="auto"/>
        <w:ind w:left="-5"/>
        <w:jc w:val="left"/>
      </w:pPr>
      <w:r>
        <w:rPr>
          <w:rFonts w:ascii="Arial Nova" w:eastAsia="Arial Nova" w:hAnsi="Arial Nova" w:cs="Arial Nova"/>
          <w:sz w:val="28"/>
        </w:rPr>
        <w:t xml:space="preserve">Lecturer: Alice Clayton </w:t>
      </w:r>
    </w:p>
    <w:p w14:paraId="59222C87" w14:textId="77777777" w:rsidR="00D561AF" w:rsidRDefault="00F84C1C">
      <w:pPr>
        <w:spacing w:after="187" w:line="259" w:lineRule="auto"/>
        <w:ind w:left="-5"/>
        <w:jc w:val="left"/>
      </w:pPr>
      <w:r>
        <w:rPr>
          <w:rFonts w:ascii="Arial Nova" w:eastAsia="Arial Nova" w:hAnsi="Arial Nova" w:cs="Arial Nova"/>
          <w:sz w:val="28"/>
        </w:rPr>
        <w:t xml:space="preserve">Assignment Title: Component 1: Online Portfolio of Set Exercises </w:t>
      </w:r>
    </w:p>
    <w:p w14:paraId="0F1310F6" w14:textId="77777777" w:rsidR="00D561AF" w:rsidRDefault="00F84C1C">
      <w:pPr>
        <w:spacing w:after="619" w:line="259" w:lineRule="auto"/>
        <w:ind w:left="0" w:firstLine="0"/>
        <w:jc w:val="left"/>
      </w:pPr>
      <w:r>
        <w:rPr>
          <w:rFonts w:ascii="Arial Nova" w:eastAsia="Arial Nova" w:hAnsi="Arial Nova" w:cs="Arial Nova"/>
          <w:sz w:val="28"/>
        </w:rPr>
        <w:t xml:space="preserve"> </w:t>
      </w:r>
    </w:p>
    <w:p w14:paraId="697E5FA4" w14:textId="77777777" w:rsidR="00D561AF" w:rsidRDefault="00F84C1C">
      <w:pPr>
        <w:spacing w:after="0" w:line="259" w:lineRule="auto"/>
        <w:ind w:left="194" w:firstLine="0"/>
        <w:jc w:val="center"/>
      </w:pPr>
      <w:r>
        <w:rPr>
          <w:rFonts w:ascii="Arial Nova" w:eastAsia="Arial Nova" w:hAnsi="Arial Nova" w:cs="Arial Nova"/>
          <w:sz w:val="72"/>
        </w:rPr>
        <w:t xml:space="preserve"> </w:t>
      </w:r>
    </w:p>
    <w:bookmarkStart w:id="0" w:name="_MON_1824881747"/>
    <w:bookmarkEnd w:id="0"/>
    <w:p w14:paraId="30281236" w14:textId="18429CB5" w:rsidR="00D561AF" w:rsidRDefault="004C6E33">
      <w:pPr>
        <w:spacing w:after="673" w:line="259" w:lineRule="auto"/>
        <w:ind w:left="57" w:firstLine="0"/>
        <w:jc w:val="center"/>
      </w:pPr>
      <w:r>
        <w:object w:dxaOrig="9360" w:dyaOrig="4232" w14:anchorId="4E8297C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468pt;height:211.85pt" o:ole="">
            <v:imagedata r:id="rId7" o:title=""/>
          </v:shape>
          <o:OLEObject Type="Embed" ProgID="Word.Document.12" ShapeID="_x0000_i1032" DrawAspect="Content" ObjectID="_1824881788" r:id="rId8">
            <o:FieldCodes>\s</o:FieldCodes>
          </o:OLEObject>
        </w:object>
      </w:r>
      <w:r w:rsidR="001D0CA0">
        <w:object w:dxaOrig="1538" w:dyaOrig="995" w14:anchorId="14457A65">
          <v:shape id="_x0000_i1031" type="#_x0000_t75" style="width:77.55pt;height:49.85pt" o:ole="">
            <v:imagedata r:id="rId9" o:title=""/>
          </v:shape>
          <o:OLEObject Type="Embed" ProgID="Package" ShapeID="_x0000_i1031" DrawAspect="Icon" ObjectID="_1824881789" r:id="rId10"/>
        </w:object>
      </w:r>
      <w:r w:rsidR="00F84C1C">
        <w:rPr>
          <w:rFonts w:ascii="Arial Nova" w:eastAsia="Arial Nova" w:hAnsi="Arial Nova" w:cs="Arial Nova"/>
        </w:rPr>
        <w:t xml:space="preserve"> </w:t>
      </w:r>
    </w:p>
    <w:p w14:paraId="0C4F7038" w14:textId="77777777" w:rsidR="00D561AF" w:rsidRDefault="00F84C1C">
      <w:pPr>
        <w:spacing w:after="0" w:line="259" w:lineRule="auto"/>
        <w:ind w:left="194" w:firstLine="0"/>
        <w:jc w:val="center"/>
      </w:pPr>
      <w:r>
        <w:rPr>
          <w:rFonts w:ascii="Arial Nova" w:eastAsia="Arial Nova" w:hAnsi="Arial Nova" w:cs="Arial Nova"/>
          <w:sz w:val="72"/>
        </w:rPr>
        <w:t xml:space="preserve"> </w:t>
      </w:r>
    </w:p>
    <w:p w14:paraId="5E90DC93" w14:textId="77777777" w:rsidR="00D561AF" w:rsidRDefault="00F84C1C">
      <w:pPr>
        <w:spacing w:after="230" w:line="259" w:lineRule="auto"/>
        <w:ind w:left="0" w:right="4488" w:firstLine="0"/>
        <w:jc w:val="right"/>
      </w:pPr>
      <w:r>
        <w:rPr>
          <w:rFonts w:ascii="Arial Nova" w:eastAsia="Arial Nova" w:hAnsi="Arial Nova" w:cs="Arial Nova"/>
          <w:sz w:val="72"/>
        </w:rPr>
        <w:t xml:space="preserve"> </w:t>
      </w:r>
    </w:p>
    <w:p w14:paraId="766AD122" w14:textId="77777777" w:rsidR="00D561AF" w:rsidRDefault="00F84C1C">
      <w:pPr>
        <w:spacing w:after="235" w:line="259" w:lineRule="auto"/>
        <w:ind w:left="0" w:right="4488" w:firstLine="0"/>
        <w:jc w:val="right"/>
      </w:pPr>
      <w:r>
        <w:rPr>
          <w:rFonts w:ascii="Arial Nova" w:eastAsia="Arial Nova" w:hAnsi="Arial Nova" w:cs="Arial Nova"/>
          <w:sz w:val="72"/>
        </w:rPr>
        <w:t xml:space="preserve"> </w:t>
      </w:r>
    </w:p>
    <w:p w14:paraId="7AE60E78" w14:textId="77777777" w:rsidR="00D561AF" w:rsidRDefault="00F84C1C">
      <w:pPr>
        <w:spacing w:after="230" w:line="259" w:lineRule="auto"/>
        <w:ind w:left="0" w:right="4488" w:firstLine="0"/>
        <w:jc w:val="right"/>
      </w:pPr>
      <w:r>
        <w:rPr>
          <w:rFonts w:ascii="Arial Nova" w:eastAsia="Arial Nova" w:hAnsi="Arial Nova" w:cs="Arial Nova"/>
          <w:sz w:val="72"/>
        </w:rPr>
        <w:t xml:space="preserve"> </w:t>
      </w:r>
    </w:p>
    <w:p w14:paraId="66C5FADE" w14:textId="77777777" w:rsidR="00D561AF" w:rsidRDefault="00F84C1C">
      <w:pPr>
        <w:spacing w:after="235" w:line="259" w:lineRule="auto"/>
        <w:ind w:left="0" w:right="4488" w:firstLine="0"/>
        <w:jc w:val="right"/>
      </w:pPr>
      <w:r>
        <w:rPr>
          <w:rFonts w:ascii="Arial Nova" w:eastAsia="Arial Nova" w:hAnsi="Arial Nova" w:cs="Arial Nova"/>
          <w:sz w:val="72"/>
        </w:rPr>
        <w:t xml:space="preserve"> </w:t>
      </w:r>
    </w:p>
    <w:p w14:paraId="5435F86E" w14:textId="77777777" w:rsidR="00D561AF" w:rsidRDefault="00F84C1C">
      <w:pPr>
        <w:spacing w:after="230" w:line="259" w:lineRule="auto"/>
        <w:ind w:left="0" w:right="4488" w:firstLine="0"/>
        <w:jc w:val="right"/>
      </w:pPr>
      <w:r>
        <w:rPr>
          <w:rFonts w:ascii="Arial Nova" w:eastAsia="Arial Nova" w:hAnsi="Arial Nova" w:cs="Arial Nova"/>
          <w:sz w:val="72"/>
        </w:rPr>
        <w:t xml:space="preserve"> </w:t>
      </w:r>
    </w:p>
    <w:p w14:paraId="35886F60" w14:textId="77777777" w:rsidR="00D561AF" w:rsidRDefault="00F84C1C">
      <w:pPr>
        <w:spacing w:after="4" w:line="259" w:lineRule="auto"/>
        <w:ind w:left="0" w:firstLine="0"/>
        <w:jc w:val="left"/>
      </w:pPr>
      <w:r>
        <w:rPr>
          <w:rFonts w:ascii="Arial Nova" w:eastAsia="Arial Nova" w:hAnsi="Arial Nova" w:cs="Arial Nova"/>
          <w:sz w:val="72"/>
        </w:rPr>
        <w:t xml:space="preserve"> </w:t>
      </w:r>
    </w:p>
    <w:p w14:paraId="4E25806E" w14:textId="77777777" w:rsidR="00D561AF" w:rsidRDefault="00F84C1C">
      <w:pPr>
        <w:spacing w:after="0" w:line="259" w:lineRule="auto"/>
        <w:ind w:left="0" w:firstLine="0"/>
        <w:jc w:val="left"/>
      </w:pPr>
      <w:r>
        <w:rPr>
          <w:sz w:val="44"/>
        </w:rPr>
        <w:t xml:space="preserve"> </w:t>
      </w:r>
      <w:r>
        <w:rPr>
          <w:sz w:val="44"/>
        </w:rPr>
        <w:tab/>
      </w:r>
      <w:r>
        <w:rPr>
          <w:rFonts w:ascii="Arial Nova" w:eastAsia="Arial Nova" w:hAnsi="Arial Nova" w:cs="Arial Nova"/>
          <w:sz w:val="44"/>
        </w:rPr>
        <w:t xml:space="preserve"> </w:t>
      </w:r>
    </w:p>
    <w:p w14:paraId="0FBCCB8A" w14:textId="77777777" w:rsidR="00D561AF" w:rsidRDefault="00F84C1C">
      <w:pPr>
        <w:pStyle w:val="Heading1"/>
        <w:ind w:left="-5"/>
      </w:pPr>
      <w:r>
        <w:t>Task 1 – Concept Map</w:t>
      </w:r>
      <w:r>
        <w:rPr>
          <w:u w:val="none"/>
        </w:rPr>
        <w:t xml:space="preserve"> </w:t>
      </w:r>
    </w:p>
    <w:p w14:paraId="58D91CDC" w14:textId="77777777" w:rsidR="00D561AF" w:rsidRDefault="00F84C1C">
      <w:pPr>
        <w:spacing w:after="106"/>
        <w:ind w:left="-5"/>
      </w:pPr>
      <w:r>
        <w:t xml:space="preserve">Creativity plays a driving role in the health and social care sector to create new and effective means of enhancing the quality-of-care delivery, patient experience and the quality of the services provided. It also challenges the practitioners to be creative and contemplate new ways out of the old problems like staff shortage, patient engagement, and technology integration into care (Kennel and Lowndes, 2023). As an illustration, it is possible to implement innovative digital solutions such as telehealth platforms or assistive technologies to facilitate more effective communication and monitoring and enhance accessibility and patient safety. When these creative ideas result in </w:t>
      </w:r>
      <w:r>
        <w:lastRenderedPageBreak/>
        <w:t xml:space="preserve">valuable outcomes to the patients, the staff, and organizations, value creation will be born. It entails improvement in quality of care, customer satisfaction and better utilization of resources. </w:t>
      </w:r>
    </w:p>
    <w:p w14:paraId="1C3518D0" w14:textId="77777777" w:rsidR="00D561AF" w:rsidRDefault="00F84C1C">
      <w:pPr>
        <w:spacing w:after="222" w:line="259" w:lineRule="auto"/>
        <w:ind w:left="0" w:right="32" w:firstLine="0"/>
        <w:jc w:val="right"/>
      </w:pPr>
      <w:r>
        <w:rPr>
          <w:noProof/>
        </w:rPr>
        <w:drawing>
          <wp:inline distT="0" distB="0" distL="0" distR="0" wp14:anchorId="61F7BB39" wp14:editId="77D66EE4">
            <wp:extent cx="5828665" cy="3552825"/>
            <wp:effectExtent l="0" t="0" r="0" b="0"/>
            <wp:docPr id="302" name="Picture 302"/>
            <wp:cNvGraphicFramePr/>
            <a:graphic xmlns:a="http://schemas.openxmlformats.org/drawingml/2006/main">
              <a:graphicData uri="http://schemas.openxmlformats.org/drawingml/2006/picture">
                <pic:pic xmlns:pic="http://schemas.openxmlformats.org/drawingml/2006/picture">
                  <pic:nvPicPr>
                    <pic:cNvPr id="302" name="Picture 302"/>
                    <pic:cNvPicPr/>
                  </pic:nvPicPr>
                  <pic:blipFill>
                    <a:blip r:embed="rId11"/>
                    <a:stretch>
                      <a:fillRect/>
                    </a:stretch>
                  </pic:blipFill>
                  <pic:spPr>
                    <a:xfrm>
                      <a:off x="0" y="0"/>
                      <a:ext cx="5828665" cy="3552825"/>
                    </a:xfrm>
                    <a:prstGeom prst="rect">
                      <a:avLst/>
                    </a:prstGeom>
                  </pic:spPr>
                </pic:pic>
              </a:graphicData>
            </a:graphic>
          </wp:inline>
        </w:drawing>
      </w:r>
      <w:r>
        <w:t xml:space="preserve"> </w:t>
      </w:r>
    </w:p>
    <w:p w14:paraId="3C05A4D3" w14:textId="720711DF" w:rsidR="00D561AF" w:rsidRDefault="00F84C1C">
      <w:pPr>
        <w:ind w:left="-5"/>
      </w:pPr>
      <w:r>
        <w:t>As an example, a creatively formulated person-</w:t>
      </w:r>
      <w:proofErr w:type="spellStart"/>
      <w:r>
        <w:t>centred</w:t>
      </w:r>
      <w:proofErr w:type="spellEnd"/>
      <w:r>
        <w:t xml:space="preserve"> care plan can enhance patient well-being and </w:t>
      </w:r>
      <w:proofErr w:type="spellStart"/>
      <w:r>
        <w:t>minimise</w:t>
      </w:r>
      <w:proofErr w:type="spellEnd"/>
      <w:r>
        <w:t xml:space="preserve"> hospital </w:t>
      </w:r>
      <w:proofErr w:type="gramStart"/>
      <w:r>
        <w:t>readmissions</w:t>
      </w:r>
      <w:proofErr w:type="gramEnd"/>
      <w:r>
        <w:t xml:space="preserve"> thereby generating social and economic value. Creativity and value creation are also combined to motivate health and social care improvement based on the culture of constant learning and adjustment. As medical workers cooperate and exchange innovative ideas, they can come up with sustainable innovations that enhance efficiency and equity of services. Such a process creates a dynamic loop, where creativity drives innovation, innovation drives value creation and value created drives improvement of further quality, access, and sustainability of care services to all.  </w:t>
      </w:r>
    </w:p>
    <w:p w14:paraId="3F911482" w14:textId="77777777" w:rsidR="00D561AF" w:rsidRDefault="00D561AF">
      <w:pPr>
        <w:sectPr w:rsidR="00D561AF">
          <w:headerReference w:type="even" r:id="rId12"/>
          <w:headerReference w:type="default" r:id="rId13"/>
          <w:headerReference w:type="first" r:id="rId14"/>
          <w:pgSz w:w="12240" w:h="15840"/>
          <w:pgMar w:top="1440" w:right="1432" w:bottom="1489" w:left="1441" w:header="720" w:footer="720" w:gutter="0"/>
          <w:cols w:space="720"/>
        </w:sectPr>
      </w:pPr>
    </w:p>
    <w:p w14:paraId="3BCCA19C" w14:textId="77777777" w:rsidR="00D561AF" w:rsidRDefault="00F84C1C">
      <w:pPr>
        <w:pStyle w:val="Heading1"/>
        <w:ind w:left="-5"/>
      </w:pPr>
      <w:r>
        <w:lastRenderedPageBreak/>
        <w:t>Task 2 Self-Reflection of Group Activity</w:t>
      </w:r>
      <w:r>
        <w:rPr>
          <w:u w:val="none"/>
        </w:rPr>
        <w:t xml:space="preserve"> </w:t>
      </w:r>
    </w:p>
    <w:p w14:paraId="3460A41B" w14:textId="77777777" w:rsidR="00D561AF" w:rsidRDefault="00F84C1C">
      <w:pPr>
        <w:spacing w:after="160" w:line="360" w:lineRule="auto"/>
        <w:ind w:left="-5" w:right="-7"/>
      </w:pPr>
      <w:r>
        <w:rPr>
          <w:rFonts w:cs="Arial"/>
          <w:i/>
        </w:rPr>
        <w:t xml:space="preserve">Complete a self-Reflection on the Convergent/Divergent thinking class activity using a reflective model (250 words, 1 source) </w:t>
      </w:r>
    </w:p>
    <w:p w14:paraId="7A846FC1" w14:textId="77777777" w:rsidR="00D561AF" w:rsidRDefault="00F84C1C">
      <w:pPr>
        <w:spacing w:after="0"/>
        <w:ind w:left="-5"/>
      </w:pPr>
      <w:r>
        <w:t xml:space="preserve">I have used the Reflective Cycle by Gibbs (1988) to reflect on my experience in </w:t>
      </w:r>
      <w:proofErr w:type="gramStart"/>
      <w:r>
        <w:t>the convergent</w:t>
      </w:r>
      <w:proofErr w:type="gramEnd"/>
      <w:r>
        <w:t xml:space="preserve"> and divergent thinking class activity. </w:t>
      </w:r>
    </w:p>
    <w:p w14:paraId="45C0380C" w14:textId="77777777" w:rsidR="00D561AF" w:rsidRDefault="00F84C1C">
      <w:pPr>
        <w:spacing w:after="293" w:line="259" w:lineRule="auto"/>
        <w:ind w:left="14" w:right="-207" w:firstLine="0"/>
        <w:jc w:val="left"/>
      </w:pPr>
      <w:r>
        <w:rPr>
          <w:rFonts w:ascii="Calibri" w:eastAsia="Calibri" w:hAnsi="Calibri" w:cs="Calibri"/>
          <w:noProof/>
        </w:rPr>
        <mc:AlternateContent>
          <mc:Choice Requires="wpg">
            <w:drawing>
              <wp:inline distT="0" distB="0" distL="0" distR="0" wp14:anchorId="78692453" wp14:editId="74A37BF6">
                <wp:extent cx="6070955" cy="3695459"/>
                <wp:effectExtent l="0" t="0" r="0" b="0"/>
                <wp:docPr id="6369" name="Group 6369"/>
                <wp:cNvGraphicFramePr/>
                <a:graphic xmlns:a="http://schemas.openxmlformats.org/drawingml/2006/main">
                  <a:graphicData uri="http://schemas.microsoft.com/office/word/2010/wordprocessingGroup">
                    <wpg:wgp>
                      <wpg:cNvGrpSpPr/>
                      <wpg:grpSpPr>
                        <a:xfrm>
                          <a:off x="0" y="0"/>
                          <a:ext cx="6070955" cy="3695459"/>
                          <a:chOff x="0" y="0"/>
                          <a:chExt cx="6070955" cy="3695459"/>
                        </a:xfrm>
                      </wpg:grpSpPr>
                      <wps:wsp>
                        <wps:cNvPr id="324" name="Rectangle 324"/>
                        <wps:cNvSpPr/>
                        <wps:spPr>
                          <a:xfrm>
                            <a:off x="6032119" y="3564150"/>
                            <a:ext cx="51652" cy="174642"/>
                          </a:xfrm>
                          <a:prstGeom prst="rect">
                            <a:avLst/>
                          </a:prstGeom>
                          <a:ln>
                            <a:noFill/>
                          </a:ln>
                        </wps:spPr>
                        <wps:txbx>
                          <w:txbxContent>
                            <w:p w14:paraId="05802345" w14:textId="77777777" w:rsidR="00D561AF" w:rsidRDefault="00F84C1C">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351" name="Picture 351"/>
                          <pic:cNvPicPr/>
                        </pic:nvPicPr>
                        <pic:blipFill>
                          <a:blip r:embed="rId15"/>
                          <a:stretch>
                            <a:fillRect/>
                          </a:stretch>
                        </pic:blipFill>
                        <pic:spPr>
                          <a:xfrm>
                            <a:off x="0" y="0"/>
                            <a:ext cx="6001639" cy="3655314"/>
                          </a:xfrm>
                          <a:prstGeom prst="rect">
                            <a:avLst/>
                          </a:prstGeom>
                        </pic:spPr>
                      </pic:pic>
                      <pic:pic xmlns:pic="http://schemas.openxmlformats.org/drawingml/2006/picture">
                        <pic:nvPicPr>
                          <pic:cNvPr id="353" name="Picture 353"/>
                          <pic:cNvPicPr/>
                        </pic:nvPicPr>
                        <pic:blipFill>
                          <a:blip r:embed="rId16"/>
                          <a:stretch>
                            <a:fillRect/>
                          </a:stretch>
                        </pic:blipFill>
                        <pic:spPr>
                          <a:xfrm>
                            <a:off x="66675" y="65024"/>
                            <a:ext cx="5819775" cy="3474339"/>
                          </a:xfrm>
                          <a:prstGeom prst="rect">
                            <a:avLst/>
                          </a:prstGeom>
                        </pic:spPr>
                      </pic:pic>
                      <wps:wsp>
                        <wps:cNvPr id="354" name="Shape 354"/>
                        <wps:cNvSpPr/>
                        <wps:spPr>
                          <a:xfrm>
                            <a:off x="47625" y="45974"/>
                            <a:ext cx="5857875" cy="3512439"/>
                          </a:xfrm>
                          <a:custGeom>
                            <a:avLst/>
                            <a:gdLst/>
                            <a:ahLst/>
                            <a:cxnLst/>
                            <a:rect l="0" t="0" r="0" b="0"/>
                            <a:pathLst>
                              <a:path w="5857875" h="3512439">
                                <a:moveTo>
                                  <a:pt x="0" y="3512439"/>
                                </a:moveTo>
                                <a:lnTo>
                                  <a:pt x="5857875" y="3512439"/>
                                </a:lnTo>
                                <a:lnTo>
                                  <a:pt x="5857875" y="0"/>
                                </a:lnTo>
                                <a:lnTo>
                                  <a:pt x="0" y="0"/>
                                </a:lnTo>
                                <a:close/>
                              </a:path>
                            </a:pathLst>
                          </a:custGeom>
                          <a:ln w="38100" cap="sq">
                            <a:miter lim="127000"/>
                          </a:ln>
                        </wps:spPr>
                        <wps:style>
                          <a:lnRef idx="1">
                            <a:srgbClr val="00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369" style="width:478.028pt;height:290.981pt;mso-position-horizontal-relative:char;mso-position-vertical-relative:line" coordsize="60709,36954">
                <v:rect id="Rectangle 324" style="position:absolute;width:516;height:1746;left:60321;top:35641;" filled="f" stroked="f">
                  <v:textbox inset="0,0,0,0">
                    <w:txbxContent>
                      <w:p>
                        <w:pPr>
                          <w:spacing w:before="0" w:after="160" w:line="259" w:lineRule="auto"/>
                          <w:ind w:left="0" w:firstLine="0"/>
                          <w:jc w:val="left"/>
                        </w:pPr>
                        <w:r>
                          <w:rPr/>
                          <w:t xml:space="preserve"> </w:t>
                        </w:r>
                      </w:p>
                    </w:txbxContent>
                  </v:textbox>
                </v:rect>
                <v:shape id="Picture 351" style="position:absolute;width:60016;height:36553;left:0;top:0;" filled="f">
                  <v:imagedata r:id="rId17"/>
                </v:shape>
                <v:shape id="Picture 353" style="position:absolute;width:58197;height:34743;left:666;top:650;" filled="f">
                  <v:imagedata r:id="rId18"/>
                </v:shape>
                <v:shape id="Shape 354" style="position:absolute;width:58578;height:35124;left:476;top:459;" coordsize="5857875,3512439" path="m0,3512439l5857875,3512439l5857875,0l0,0x">
                  <v:stroke weight="3pt" endcap="square" joinstyle="miter" miterlimit="10" on="true" color="#000000"/>
                  <v:fill on="false" color="#000000" opacity="0"/>
                </v:shape>
              </v:group>
            </w:pict>
          </mc:Fallback>
        </mc:AlternateContent>
      </w:r>
    </w:p>
    <w:p w14:paraId="7A3304A4" w14:textId="77777777" w:rsidR="00D561AF" w:rsidRDefault="00F84C1C">
      <w:pPr>
        <w:ind w:left="-5"/>
      </w:pPr>
      <w:r>
        <w:rPr>
          <w:rFonts w:cs="Arial"/>
          <w:b/>
        </w:rPr>
        <w:t>Description</w:t>
      </w:r>
      <w:r>
        <w:t xml:space="preserve"> - The given exercise included brainstorming on numerous innovative concepts (divergent thinking) and reducing them to the most efficient solutions (convergent thinking). My team was assigned with the responsibility of innovating new methods that will enhance patient involvement in health and social care. </w:t>
      </w:r>
    </w:p>
    <w:p w14:paraId="1245F115" w14:textId="77777777" w:rsidR="00D561AF" w:rsidRDefault="00F84C1C">
      <w:pPr>
        <w:ind w:left="-5"/>
      </w:pPr>
      <w:r>
        <w:rPr>
          <w:rFonts w:cs="Arial"/>
          <w:b/>
        </w:rPr>
        <w:t>Feelings</w:t>
      </w:r>
      <w:r>
        <w:t xml:space="preserve"> - At first, I was a bit hesitant to come up with ideas without any limits. Nevertheless, as the conversation went on, I was increasingly confident and eager to consider various positions. </w:t>
      </w:r>
    </w:p>
    <w:p w14:paraId="203E5C84" w14:textId="77777777" w:rsidR="00D561AF" w:rsidRDefault="00F84C1C">
      <w:pPr>
        <w:ind w:left="-5"/>
      </w:pPr>
      <w:r>
        <w:rPr>
          <w:rFonts w:cs="Arial"/>
          <w:b/>
        </w:rPr>
        <w:t>Evaluation</w:t>
      </w:r>
      <w:r>
        <w:t xml:space="preserve"> - The task proved useful since it enabled me to strike a balance between creativity and logic. Divergent thinking made me think in a broad way, whereas convergent thinking made me critically analyze and narrow thoughts down to realistic solutions. </w:t>
      </w:r>
    </w:p>
    <w:p w14:paraId="136FFC0A" w14:textId="77777777" w:rsidR="00D561AF" w:rsidRDefault="00F84C1C">
      <w:pPr>
        <w:ind w:left="-5"/>
      </w:pPr>
      <w:r>
        <w:rPr>
          <w:rFonts w:cs="Arial"/>
          <w:b/>
        </w:rPr>
        <w:lastRenderedPageBreak/>
        <w:t>Analysis</w:t>
      </w:r>
      <w:r>
        <w:t xml:space="preserve"> - I gained knowledge that the two styles of thinking are vital in problem solving. Divergent thinking in a health and social care setting enables novel service innovations, whereas convergent thinking makes the solutions suggested effective and </w:t>
      </w:r>
      <w:proofErr w:type="gramStart"/>
      <w:r>
        <w:t>evidence-based</w:t>
      </w:r>
      <w:proofErr w:type="gramEnd"/>
      <w:r>
        <w:t xml:space="preserve">. </w:t>
      </w:r>
    </w:p>
    <w:p w14:paraId="4A24B511" w14:textId="77777777" w:rsidR="00D561AF" w:rsidRDefault="00F84C1C">
      <w:pPr>
        <w:ind w:left="-5"/>
      </w:pPr>
      <w:r>
        <w:rPr>
          <w:rFonts w:cs="Arial"/>
          <w:b/>
        </w:rPr>
        <w:t>Conclusion and Action Plan</w:t>
      </w:r>
      <w:r>
        <w:t xml:space="preserve"> - Next time around I will be aware of the two thinking approaches </w:t>
      </w:r>
      <w:proofErr w:type="gramStart"/>
      <w:r>
        <w:t>in order to</w:t>
      </w:r>
      <w:proofErr w:type="gramEnd"/>
      <w:r>
        <w:t xml:space="preserve"> generate and appraise ideas in a better way. Another area that I would like to improve is my teamwork and idea-evaluation skills that I would develop by discussing them in the group and reflecting on them (Sundgren, 2021).  </w:t>
      </w:r>
      <w:r>
        <w:br w:type="page"/>
      </w:r>
    </w:p>
    <w:p w14:paraId="7D43382C" w14:textId="77777777" w:rsidR="00D561AF" w:rsidRDefault="00F84C1C">
      <w:pPr>
        <w:pStyle w:val="Heading1"/>
        <w:ind w:left="-5"/>
      </w:pPr>
      <w:r>
        <w:lastRenderedPageBreak/>
        <w:t>Task 3 Case Study of a UK innovation</w:t>
      </w:r>
      <w:r>
        <w:rPr>
          <w:u w:val="none"/>
        </w:rPr>
        <w:t xml:space="preserve"> </w:t>
      </w:r>
    </w:p>
    <w:p w14:paraId="16CED883" w14:textId="77777777" w:rsidR="00D561AF" w:rsidRDefault="00F84C1C">
      <w:pPr>
        <w:ind w:left="-5"/>
      </w:pPr>
      <w:r>
        <w:t xml:space="preserve">NHS Virtual Wards </w:t>
      </w:r>
      <w:proofErr w:type="spellStart"/>
      <w:r>
        <w:t>programme</w:t>
      </w:r>
      <w:proofErr w:type="spellEnd"/>
      <w:r>
        <w:t xml:space="preserve"> is one of the new strategies that prove that creativity has the potential to change the way care is provided and bring value to both patients and health system. Hospital care is also traditional whereby patients </w:t>
      </w:r>
      <w:proofErr w:type="gramStart"/>
      <w:r>
        <w:t>have to</w:t>
      </w:r>
      <w:proofErr w:type="gramEnd"/>
      <w:r>
        <w:t xml:space="preserve"> stay in </w:t>
      </w:r>
      <w:proofErr w:type="gramStart"/>
      <w:r>
        <w:t>a bed</w:t>
      </w:r>
      <w:proofErr w:type="gramEnd"/>
      <w:r>
        <w:t xml:space="preserve"> yet there are conditions that can be safely treated at home. This assumption is questioned by the virtual ward model, which offers patients with a level of care comparable to that of a hospital, without requiring patients to attend a physical hospital but instead in the comfort of their own homes with a blend of </w:t>
      </w:r>
      <w:proofErr w:type="spellStart"/>
      <w:r>
        <w:t>remotemonitoring</w:t>
      </w:r>
      <w:proofErr w:type="spellEnd"/>
      <w:r>
        <w:t xml:space="preserve"> technologies, digital platforms, and multidisciplinary clinical teams. The vital signs of the patients are continuously </w:t>
      </w:r>
      <w:proofErr w:type="gramStart"/>
      <w:r>
        <w:t>checked</w:t>
      </w:r>
      <w:proofErr w:type="gramEnd"/>
      <w:r>
        <w:t xml:space="preserve"> and the clinicians can still make an intervention </w:t>
      </w:r>
      <w:proofErr w:type="gramStart"/>
      <w:r>
        <w:t>in case</w:t>
      </w:r>
      <w:proofErr w:type="gramEnd"/>
      <w:r>
        <w:t xml:space="preserve"> there is a sign of worsening. This method meant a creative way to solve problems: leaders and clinicians would diverge in their thinking to consider different models of care and converge and then narrow the system to its clinical safety, governance, and operating requirements. </w:t>
      </w:r>
    </w:p>
    <w:p w14:paraId="1854DC0E" w14:textId="77777777" w:rsidR="00D561AF" w:rsidRDefault="00F84C1C">
      <w:pPr>
        <w:ind w:left="-5"/>
      </w:pPr>
      <w:r>
        <w:t xml:space="preserve">It has been indicated that virtual </w:t>
      </w:r>
      <w:proofErr w:type="gramStart"/>
      <w:r>
        <w:t>wards</w:t>
      </w:r>
      <w:proofErr w:type="gramEnd"/>
      <w:r>
        <w:t xml:space="preserve"> are beneficial. A scrum conducted by Norman et al. (2023) revealed that both hospital-at-home and virtual ward services were as effective as conventional inpatient care and lessened the importance of long-term residential care. The patient experience, autonomy, and patient satisfaction were reported to have improved as patients stated that they felt safer and more supported at home. To add to that, a regional assessment in Cornwall revealed that virtual wards led to a reduction of unnecessary hospital stays, empowerment of patients to be self-management, and confidence in the care team (Lyndon et al., 2025). </w:t>
      </w:r>
    </w:p>
    <w:p w14:paraId="0A8ABCFC" w14:textId="77777777" w:rsidR="00D561AF" w:rsidRDefault="00F84C1C">
      <w:pPr>
        <w:ind w:left="-5"/>
      </w:pPr>
      <w:r>
        <w:t xml:space="preserve">Considering the system, virtual wards off-load hospitals since they generate more free beds to address a more critical case. According to the NHS data, the </w:t>
      </w:r>
      <w:proofErr w:type="spellStart"/>
      <w:r>
        <w:t>programme</w:t>
      </w:r>
      <w:proofErr w:type="spellEnd"/>
      <w:r>
        <w:t xml:space="preserve"> led to cost-saving, operational efficiency, and increased capacity of the </w:t>
      </w:r>
      <w:proofErr w:type="gramStart"/>
      <w:r>
        <w:t>staffs</w:t>
      </w:r>
      <w:proofErr w:type="gramEnd"/>
      <w:r>
        <w:t xml:space="preserve"> to pay attention to patients with higher acuity across various virtual ward sites. It shows that the innovative redesign of care passages and incorporation of digital technology could create physical value </w:t>
      </w:r>
      <w:proofErr w:type="gramStart"/>
      <w:r>
        <w:t>to</w:t>
      </w:r>
      <w:proofErr w:type="gramEnd"/>
      <w:r>
        <w:t xml:space="preserve"> both patients and </w:t>
      </w:r>
      <w:proofErr w:type="gramStart"/>
      <w:r>
        <w:t>the health service</w:t>
      </w:r>
      <w:proofErr w:type="gramEnd"/>
      <w:r>
        <w:t xml:space="preserve">. </w:t>
      </w:r>
    </w:p>
    <w:p w14:paraId="0780D65C" w14:textId="77777777" w:rsidR="00D561AF" w:rsidRDefault="00F84C1C">
      <w:pPr>
        <w:ind w:left="-5"/>
      </w:pPr>
      <w:r>
        <w:t xml:space="preserve">On balance, the examples of virtual </w:t>
      </w:r>
      <w:proofErr w:type="gramStart"/>
      <w:r>
        <w:t>wards</w:t>
      </w:r>
      <w:proofErr w:type="gramEnd"/>
      <w:r>
        <w:t xml:space="preserve"> demonstrate that the innovation in health and social care is not restricted to the use of technical resources only. The initiative acts as a roadmap towards the application of creativity in bringing about value creation and significant change in </w:t>
      </w:r>
      <w:proofErr w:type="gramStart"/>
      <w:r>
        <w:t>the health</w:t>
      </w:r>
      <w:proofErr w:type="gramEnd"/>
      <w:r>
        <w:t xml:space="preserve"> and social care. </w:t>
      </w:r>
      <w:r>
        <w:tab/>
        <w:t xml:space="preserve"> </w:t>
      </w:r>
    </w:p>
    <w:p w14:paraId="74AC2D7C" w14:textId="77777777" w:rsidR="00D561AF" w:rsidRDefault="00D561AF">
      <w:pPr>
        <w:sectPr w:rsidR="00D561AF">
          <w:headerReference w:type="even" r:id="rId19"/>
          <w:headerReference w:type="default" r:id="rId20"/>
          <w:headerReference w:type="first" r:id="rId21"/>
          <w:pgSz w:w="12240" w:h="15840"/>
          <w:pgMar w:top="1490" w:right="1431" w:bottom="2329" w:left="1441" w:header="720" w:footer="720" w:gutter="0"/>
          <w:cols w:space="720"/>
        </w:sectPr>
      </w:pPr>
    </w:p>
    <w:p w14:paraId="0C59D261" w14:textId="77777777" w:rsidR="00D561AF" w:rsidRDefault="00F84C1C">
      <w:pPr>
        <w:pStyle w:val="Heading1"/>
        <w:ind w:left="-5"/>
      </w:pPr>
      <w:r>
        <w:lastRenderedPageBreak/>
        <w:t>Task 4 Research Task</w:t>
      </w:r>
      <w:r>
        <w:rPr>
          <w:u w:val="none"/>
        </w:rPr>
        <w:t xml:space="preserve"> </w:t>
      </w:r>
    </w:p>
    <w:p w14:paraId="6CE88F1B" w14:textId="77777777" w:rsidR="00D561AF" w:rsidRDefault="00F84C1C">
      <w:pPr>
        <w:spacing w:after="160" w:line="361" w:lineRule="auto"/>
        <w:ind w:left="0" w:firstLine="0"/>
        <w:jc w:val="left"/>
      </w:pPr>
      <w:r>
        <w:t xml:space="preserve">One of the contemporary problems in health and social care is the stigma of mental health, which still limits access to treatment and assistance. Two scholarly articles are an insight </w:t>
      </w:r>
      <w:proofErr w:type="gramStart"/>
      <w:r>
        <w:t>to</w:t>
      </w:r>
      <w:proofErr w:type="gramEnd"/>
      <w:r>
        <w:t xml:space="preserve"> the causes of this ongoing issue. </w:t>
      </w:r>
    </w:p>
    <w:p w14:paraId="30C6DDAB" w14:textId="77777777" w:rsidR="00D561AF" w:rsidRDefault="00F84C1C">
      <w:pPr>
        <w:ind w:left="-5"/>
      </w:pPr>
      <w:r>
        <w:t xml:space="preserve">In the study, Evans-Lacko et al. (2012) explored the attitudes of the population about mental illness and its effects on self-perception among people in 14 European countries. The research established that in communities where individuals had more negative or stigmatizing attitudes toward mental illness, individuals with such conditions had a greater degree of self-stigmatization and were perceived to have been discriminated. This stigma within feelings diminished the level of confidence, as well as the readiness to seek any professional assistance. Conversely, in those nations which had more liberal and tolerant attitudes, individuals said they felt stronger and less embarrassed. The research concluded that the public stigma had a direct impact on </w:t>
      </w:r>
      <w:proofErr w:type="spellStart"/>
      <w:proofErr w:type="gramStart"/>
      <w:r>
        <w:t>selfstigmatization</w:t>
      </w:r>
      <w:proofErr w:type="spellEnd"/>
      <w:proofErr w:type="gramEnd"/>
      <w:r>
        <w:t xml:space="preserve"> which posed psychological barrier to the people accessing proper mental health care. </w:t>
      </w:r>
    </w:p>
    <w:p w14:paraId="5832C14F" w14:textId="77777777" w:rsidR="00D561AF" w:rsidRDefault="00F84C1C">
      <w:pPr>
        <w:ind w:left="-5"/>
      </w:pPr>
      <w:r>
        <w:t xml:space="preserve">In the same way, Williamson et al. (2019) explored the perceived stigma and barriers to care in the UK Armed Forces and veterans. The researchers found out that individuals with likely mental illnesses, including depression or PTSD, tended to have more fear of the stigmatization of the weak or having adverse career outcomes in case they sought help. Barriers to care-seeking like confidentiality issues and problems with meeting appointments were additional factors which deterred care-seeking. The authors have noted the combination of institutional culture and </w:t>
      </w:r>
      <w:proofErr w:type="spellStart"/>
      <w:r>
        <w:t>internalised</w:t>
      </w:r>
      <w:proofErr w:type="spellEnd"/>
      <w:r>
        <w:t xml:space="preserve"> stigma in lowering the uptake of treatment. </w:t>
      </w:r>
    </w:p>
    <w:p w14:paraId="2E2EEBE3" w14:textId="77777777" w:rsidR="00D561AF" w:rsidRDefault="00F84C1C">
      <w:pPr>
        <w:ind w:left="-5"/>
      </w:pPr>
      <w:r>
        <w:t xml:space="preserve">Combined, these studies help to reveal the idea that mental health stigma is both a product of both social and institutional forces and justifies the implementation of specific anti-stigma efforts and supportive workplace practices that would ensure early intervention and accessible care. </w:t>
      </w:r>
    </w:p>
    <w:p w14:paraId="591C246D" w14:textId="77777777" w:rsidR="00D561AF" w:rsidRDefault="00F84C1C">
      <w:pPr>
        <w:spacing w:after="0" w:line="259" w:lineRule="auto"/>
        <w:ind w:left="0" w:firstLine="0"/>
        <w:jc w:val="left"/>
      </w:pPr>
      <w:r>
        <w:t xml:space="preserve"> </w:t>
      </w:r>
      <w:r>
        <w:tab/>
        <w:t xml:space="preserve"> </w:t>
      </w:r>
    </w:p>
    <w:p w14:paraId="27AE55F2" w14:textId="77777777" w:rsidR="00D561AF" w:rsidRDefault="00F84C1C">
      <w:pPr>
        <w:pStyle w:val="Heading2"/>
        <w:ind w:left="881"/>
      </w:pPr>
      <w:r>
        <w:rPr>
          <w:rFonts w:ascii="Calibri" w:eastAsia="Calibri" w:hAnsi="Calibri" w:cs="Calibri"/>
          <w:noProof/>
        </w:rPr>
        <w:lastRenderedPageBreak/>
        <mc:AlternateContent>
          <mc:Choice Requires="wpg">
            <w:drawing>
              <wp:anchor distT="0" distB="0" distL="114300" distR="114300" simplePos="0" relativeHeight="251658240" behindDoc="0" locked="0" layoutInCell="1" allowOverlap="1" wp14:anchorId="3ED7774A" wp14:editId="6B083383">
                <wp:simplePos x="0" y="0"/>
                <wp:positionH relativeFrom="column">
                  <wp:posOffset>0</wp:posOffset>
                </wp:positionH>
                <wp:positionV relativeFrom="paragraph">
                  <wp:posOffset>117580</wp:posOffset>
                </wp:positionV>
                <wp:extent cx="1102360" cy="15875"/>
                <wp:effectExtent l="0" t="0" r="0" b="0"/>
                <wp:wrapNone/>
                <wp:docPr id="6799" name="Group 6799"/>
                <wp:cNvGraphicFramePr/>
                <a:graphic xmlns:a="http://schemas.openxmlformats.org/drawingml/2006/main">
                  <a:graphicData uri="http://schemas.microsoft.com/office/word/2010/wordprocessingGroup">
                    <wpg:wgp>
                      <wpg:cNvGrpSpPr/>
                      <wpg:grpSpPr>
                        <a:xfrm>
                          <a:off x="0" y="0"/>
                          <a:ext cx="1102360" cy="15875"/>
                          <a:chOff x="0" y="0"/>
                          <a:chExt cx="1102360" cy="15875"/>
                        </a:xfrm>
                      </wpg:grpSpPr>
                      <wps:wsp>
                        <wps:cNvPr id="7536" name="Shape 7536"/>
                        <wps:cNvSpPr/>
                        <wps:spPr>
                          <a:xfrm>
                            <a:off x="0" y="0"/>
                            <a:ext cx="1102360" cy="15875"/>
                          </a:xfrm>
                          <a:custGeom>
                            <a:avLst/>
                            <a:gdLst/>
                            <a:ahLst/>
                            <a:cxnLst/>
                            <a:rect l="0" t="0" r="0" b="0"/>
                            <a:pathLst>
                              <a:path w="1102360" h="15875">
                                <a:moveTo>
                                  <a:pt x="0" y="0"/>
                                </a:moveTo>
                                <a:lnTo>
                                  <a:pt x="1102360" y="0"/>
                                </a:lnTo>
                                <a:lnTo>
                                  <a:pt x="1102360" y="15875"/>
                                </a:lnTo>
                                <a:lnTo>
                                  <a:pt x="0" y="15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799" style="width:86.8pt;height:1.25pt;position:absolute;z-index:8;mso-position-horizontal-relative:text;mso-position-horizontal:absolute;margin-left:0pt;mso-position-vertical-relative:text;margin-top:9.2583pt;" coordsize="11023,158">
                <v:shape id="Shape 7537" style="position:absolute;width:11023;height:158;left:0;top:0;" coordsize="1102360,15875" path="m0,0l1102360,0l1102360,15875l0,15875l0,0">
                  <v:stroke weight="0pt" endcap="flat" joinstyle="miter" miterlimit="10" on="false" color="#000000" opacity="0"/>
                  <v:fill on="true" color="#000000"/>
                </v:shape>
              </v:group>
            </w:pict>
          </mc:Fallback>
        </mc:AlternateContent>
      </w:r>
      <w:r>
        <w:t xml:space="preserve">Podcast </w:t>
      </w:r>
    </w:p>
    <w:p w14:paraId="6623F16A" w14:textId="77777777" w:rsidR="00D561AF" w:rsidRDefault="00F84C1C">
      <w:pPr>
        <w:spacing w:after="160" w:line="360" w:lineRule="auto"/>
        <w:ind w:left="-5" w:right="-7"/>
      </w:pPr>
      <w:r>
        <w:rPr>
          <w:rFonts w:cs="Arial"/>
          <w:i/>
        </w:rPr>
        <w:t xml:space="preserve">Record a two-minute Podcast introducing your idea for component 2 using </w:t>
      </w:r>
      <w:hyperlink r:id="rId22">
        <w:r>
          <w:rPr>
            <w:rFonts w:cs="Arial"/>
            <w:i/>
            <w:color w:val="467886"/>
            <w:u w:val="single" w:color="467886"/>
          </w:rPr>
          <w:t>https://www.rev.com/onlinevoicerecorder</w:t>
        </w:r>
      </w:hyperlink>
      <w:hyperlink r:id="rId23">
        <w:r>
          <w:rPr>
            <w:rFonts w:cs="Arial"/>
            <w:i/>
          </w:rPr>
          <w:t xml:space="preserve"> </w:t>
        </w:r>
      </w:hyperlink>
      <w:r>
        <w:rPr>
          <w:rFonts w:cs="Arial"/>
          <w:i/>
        </w:rPr>
        <w:t xml:space="preserve">The MP3 audio must be downloaded and embedded as a file (see guidance video on how to do this here: https://www.youtube.com/watch?v=D21isId0agw) or an accessible OneDrive link if using a </w:t>
      </w:r>
      <w:proofErr w:type="spellStart"/>
      <w:r>
        <w:rPr>
          <w:rFonts w:cs="Arial"/>
          <w:i/>
        </w:rPr>
        <w:t>chromebook</w:t>
      </w:r>
      <w:proofErr w:type="spellEnd"/>
      <w:r>
        <w:rPr>
          <w:rFonts w:cs="Arial"/>
          <w:i/>
        </w:rPr>
        <w:t xml:space="preserve"> (make accessibility – anybody) before inserting into your portfolio. Check the accessibility of the link before submitting. </w:t>
      </w:r>
    </w:p>
    <w:p w14:paraId="0BF15ACF" w14:textId="77777777" w:rsidR="00D561AF" w:rsidRDefault="00F84C1C">
      <w:pPr>
        <w:spacing w:after="267" w:line="259" w:lineRule="auto"/>
        <w:ind w:left="0" w:firstLine="0"/>
        <w:jc w:val="left"/>
      </w:pPr>
      <w:r>
        <w:t xml:space="preserve"> </w:t>
      </w:r>
    </w:p>
    <w:p w14:paraId="45356EDF" w14:textId="77777777" w:rsidR="00D561AF" w:rsidRDefault="00F84C1C">
      <w:pPr>
        <w:spacing w:after="267" w:line="259" w:lineRule="auto"/>
        <w:ind w:left="0" w:firstLine="0"/>
        <w:jc w:val="left"/>
      </w:pPr>
      <w:r>
        <w:rPr>
          <w:rFonts w:cs="Arial"/>
          <w:i/>
        </w:rPr>
        <w:t xml:space="preserve"> </w:t>
      </w:r>
    </w:p>
    <w:p w14:paraId="2DEB3947" w14:textId="77777777" w:rsidR="00D561AF" w:rsidRDefault="00F84C1C">
      <w:pPr>
        <w:spacing w:after="267" w:line="259" w:lineRule="auto"/>
        <w:ind w:left="0" w:firstLine="0"/>
        <w:jc w:val="left"/>
      </w:pPr>
      <w:r>
        <w:rPr>
          <w:rFonts w:cs="Arial"/>
          <w:i/>
        </w:rPr>
        <w:t xml:space="preserve"> </w:t>
      </w:r>
    </w:p>
    <w:p w14:paraId="34013196" w14:textId="77777777" w:rsidR="00D561AF" w:rsidRDefault="00F84C1C">
      <w:pPr>
        <w:spacing w:after="267" w:line="259" w:lineRule="auto"/>
        <w:ind w:left="0" w:firstLine="0"/>
        <w:jc w:val="left"/>
      </w:pPr>
      <w:r>
        <w:rPr>
          <w:rFonts w:cs="Arial"/>
          <w:i/>
        </w:rPr>
        <w:t xml:space="preserve"> </w:t>
      </w:r>
    </w:p>
    <w:p w14:paraId="2CD80456" w14:textId="77777777" w:rsidR="00D561AF" w:rsidRDefault="00F84C1C">
      <w:pPr>
        <w:spacing w:after="267" w:line="259" w:lineRule="auto"/>
        <w:ind w:left="0" w:firstLine="0"/>
        <w:jc w:val="left"/>
      </w:pPr>
      <w:r>
        <w:rPr>
          <w:rFonts w:cs="Arial"/>
          <w:i/>
        </w:rPr>
        <w:t xml:space="preserve"> </w:t>
      </w:r>
    </w:p>
    <w:p w14:paraId="762B1D99" w14:textId="77777777" w:rsidR="00D561AF" w:rsidRDefault="00F84C1C">
      <w:pPr>
        <w:spacing w:after="267" w:line="259" w:lineRule="auto"/>
        <w:ind w:left="0" w:firstLine="0"/>
        <w:jc w:val="left"/>
      </w:pPr>
      <w:r>
        <w:t xml:space="preserve"> </w:t>
      </w:r>
    </w:p>
    <w:p w14:paraId="6F1B65EC" w14:textId="77777777" w:rsidR="00D561AF" w:rsidRDefault="00F84C1C">
      <w:pPr>
        <w:spacing w:after="267" w:line="259" w:lineRule="auto"/>
        <w:ind w:left="0" w:firstLine="0"/>
        <w:jc w:val="left"/>
      </w:pPr>
      <w:r>
        <w:t xml:space="preserve"> </w:t>
      </w:r>
    </w:p>
    <w:p w14:paraId="09220BCB" w14:textId="77777777" w:rsidR="00D561AF" w:rsidRDefault="00F84C1C">
      <w:pPr>
        <w:spacing w:after="262" w:line="259" w:lineRule="auto"/>
        <w:ind w:left="0" w:firstLine="0"/>
        <w:jc w:val="left"/>
      </w:pPr>
      <w:r>
        <w:t xml:space="preserve"> </w:t>
      </w:r>
    </w:p>
    <w:p w14:paraId="7A2B245D" w14:textId="77777777" w:rsidR="00D561AF" w:rsidRDefault="00F84C1C">
      <w:pPr>
        <w:spacing w:after="267" w:line="259" w:lineRule="auto"/>
        <w:ind w:left="0" w:firstLine="0"/>
        <w:jc w:val="left"/>
      </w:pPr>
      <w:r>
        <w:t xml:space="preserve"> </w:t>
      </w:r>
    </w:p>
    <w:p w14:paraId="641EF7C6" w14:textId="77777777" w:rsidR="00D561AF" w:rsidRDefault="00F84C1C">
      <w:pPr>
        <w:spacing w:after="267" w:line="259" w:lineRule="auto"/>
        <w:ind w:left="0" w:firstLine="0"/>
        <w:jc w:val="left"/>
      </w:pPr>
      <w:r>
        <w:t xml:space="preserve"> </w:t>
      </w:r>
    </w:p>
    <w:p w14:paraId="131447AA" w14:textId="77777777" w:rsidR="00D561AF" w:rsidRDefault="00F84C1C">
      <w:pPr>
        <w:spacing w:after="267" w:line="259" w:lineRule="auto"/>
        <w:ind w:left="0" w:firstLine="0"/>
        <w:jc w:val="left"/>
      </w:pPr>
      <w:r>
        <w:t xml:space="preserve"> </w:t>
      </w:r>
    </w:p>
    <w:p w14:paraId="0C0E0B58" w14:textId="77777777" w:rsidR="00D561AF" w:rsidRDefault="00F84C1C">
      <w:pPr>
        <w:spacing w:after="267" w:line="259" w:lineRule="auto"/>
        <w:ind w:left="0" w:firstLine="0"/>
        <w:jc w:val="left"/>
      </w:pPr>
      <w:r>
        <w:t xml:space="preserve"> </w:t>
      </w:r>
    </w:p>
    <w:p w14:paraId="11D5E67E" w14:textId="77777777" w:rsidR="00D561AF" w:rsidRDefault="00F84C1C">
      <w:pPr>
        <w:spacing w:after="286" w:line="259" w:lineRule="auto"/>
        <w:ind w:left="0" w:firstLine="0"/>
        <w:jc w:val="left"/>
      </w:pPr>
      <w:r>
        <w:t xml:space="preserve"> </w:t>
      </w:r>
    </w:p>
    <w:p w14:paraId="55F83A1A" w14:textId="77777777" w:rsidR="00D561AF" w:rsidRDefault="00F84C1C">
      <w:pPr>
        <w:spacing w:after="0" w:line="259" w:lineRule="auto"/>
        <w:ind w:left="0" w:firstLine="0"/>
        <w:jc w:val="left"/>
      </w:pPr>
      <w:r>
        <w:t xml:space="preserve"> </w:t>
      </w:r>
      <w:r>
        <w:tab/>
        <w:t xml:space="preserve"> </w:t>
      </w:r>
    </w:p>
    <w:p w14:paraId="2ED9D87B" w14:textId="77777777" w:rsidR="00D561AF" w:rsidRDefault="00F84C1C">
      <w:pPr>
        <w:spacing w:after="267" w:line="259" w:lineRule="auto"/>
        <w:ind w:left="881"/>
        <w:jc w:val="lef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34AD1C6E" wp14:editId="70287AC1">
                <wp:simplePos x="0" y="0"/>
                <wp:positionH relativeFrom="column">
                  <wp:posOffset>0</wp:posOffset>
                </wp:positionH>
                <wp:positionV relativeFrom="paragraph">
                  <wp:posOffset>117580</wp:posOffset>
                </wp:positionV>
                <wp:extent cx="3036570" cy="15875"/>
                <wp:effectExtent l="0" t="0" r="0" b="0"/>
                <wp:wrapNone/>
                <wp:docPr id="6737" name="Group 6737"/>
                <wp:cNvGraphicFramePr/>
                <a:graphic xmlns:a="http://schemas.openxmlformats.org/drawingml/2006/main">
                  <a:graphicData uri="http://schemas.microsoft.com/office/word/2010/wordprocessingGroup">
                    <wpg:wgp>
                      <wpg:cNvGrpSpPr/>
                      <wpg:grpSpPr>
                        <a:xfrm>
                          <a:off x="0" y="0"/>
                          <a:ext cx="3036570" cy="15875"/>
                          <a:chOff x="0" y="0"/>
                          <a:chExt cx="3036570" cy="15875"/>
                        </a:xfrm>
                      </wpg:grpSpPr>
                      <wps:wsp>
                        <wps:cNvPr id="7538" name="Shape 7538"/>
                        <wps:cNvSpPr/>
                        <wps:spPr>
                          <a:xfrm>
                            <a:off x="0" y="0"/>
                            <a:ext cx="3036570" cy="15875"/>
                          </a:xfrm>
                          <a:custGeom>
                            <a:avLst/>
                            <a:gdLst/>
                            <a:ahLst/>
                            <a:cxnLst/>
                            <a:rect l="0" t="0" r="0" b="0"/>
                            <a:pathLst>
                              <a:path w="3036570" h="15875">
                                <a:moveTo>
                                  <a:pt x="0" y="0"/>
                                </a:moveTo>
                                <a:lnTo>
                                  <a:pt x="3036570" y="0"/>
                                </a:lnTo>
                                <a:lnTo>
                                  <a:pt x="3036570" y="15875"/>
                                </a:lnTo>
                                <a:lnTo>
                                  <a:pt x="0" y="15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737" style="width:239.1pt;height:1.25pt;position:absolute;z-index:8;mso-position-horizontal-relative:text;mso-position-horizontal:absolute;margin-left:0pt;mso-position-vertical-relative:text;margin-top:9.2583pt;" coordsize="30365,158">
                <v:shape id="Shape 7539" style="position:absolute;width:30365;height:158;left:0;top:0;" coordsize="3036570,15875" path="m0,0l3036570,0l3036570,15875l0,15875l0,0">
                  <v:stroke weight="0pt" endcap="flat" joinstyle="miter" miterlimit="10" on="false" color="#000000" opacity="0"/>
                  <v:fill on="true" color="#000000"/>
                </v:shape>
              </v:group>
            </w:pict>
          </mc:Fallback>
        </mc:AlternateContent>
      </w:r>
      <w:r>
        <w:rPr>
          <w:rFonts w:cs="Arial"/>
          <w:b/>
        </w:rPr>
        <w:t xml:space="preserve">NHS Leadership Framework Analysis </w:t>
      </w:r>
    </w:p>
    <w:p w14:paraId="7652A2C6" w14:textId="77777777" w:rsidR="00D561AF" w:rsidRDefault="00F84C1C">
      <w:pPr>
        <w:pStyle w:val="Heading2"/>
        <w:ind w:left="10"/>
      </w:pPr>
      <w:r>
        <w:lastRenderedPageBreak/>
        <w:t>Summary of the key components of the NHS Leadership Competency Framework (LCF)</w:t>
      </w:r>
      <w:r>
        <w:rPr>
          <w:color w:val="FF0000"/>
        </w:rPr>
        <w:t xml:space="preserve"> </w:t>
      </w:r>
    </w:p>
    <w:p w14:paraId="5B3B79B1" w14:textId="77777777" w:rsidR="00D561AF" w:rsidRDefault="00F84C1C">
      <w:pPr>
        <w:ind w:left="-5"/>
      </w:pPr>
      <w:r>
        <w:t xml:space="preserve">NHS Leadership Competency Framework is a collection of six primary domains that inform the leadership </w:t>
      </w:r>
      <w:proofErr w:type="spellStart"/>
      <w:r>
        <w:t>behaviours</w:t>
      </w:r>
      <w:proofErr w:type="spellEnd"/>
      <w:r>
        <w:t xml:space="preserve"> and development in the health service (NHS England, 2024). First, driving high-quality and sustainable outcomes aims at providing safe and effective care and incorporating long-term changes. Second, setting strategy and bringing transformation on a long-term basis focuses on the development of vision, future planning and </w:t>
      </w:r>
      <w:proofErr w:type="spellStart"/>
      <w:r>
        <w:t>utilisation</w:t>
      </w:r>
      <w:proofErr w:type="spellEnd"/>
      <w:r>
        <w:t xml:space="preserve"> of data to guide change. Third, promoting equality and inclusion and reducing health and workforce inequalities is a way that makes leaders do what they can to eradicate disparities and promote inclusive cultures. Fourth, furnishing good governance and </w:t>
      </w:r>
      <w:proofErr w:type="gramStart"/>
      <w:r>
        <w:t>assurances</w:t>
      </w:r>
      <w:proofErr w:type="gramEnd"/>
      <w:r>
        <w:t xml:space="preserve"> entails accountability, sound decision making and accountability transparency. Fifth, establishing a caring, fair and positive culture focuses on respectful care, psychological safety among personnel and patients and free-flowing feedback. Lastly, building trusted relationships with partners and communities emphasizes working across </w:t>
      </w:r>
      <w:proofErr w:type="spellStart"/>
      <w:r>
        <w:t>organisational</w:t>
      </w:r>
      <w:proofErr w:type="spellEnd"/>
      <w:r>
        <w:t xml:space="preserve"> borders, co-production with patients and good external </w:t>
      </w:r>
      <w:proofErr w:type="gramStart"/>
      <w:r>
        <w:t>relationship</w:t>
      </w:r>
      <w:proofErr w:type="gramEnd"/>
      <w:r>
        <w:t xml:space="preserve">. These elements combined, help leaders to provide equitable and quality care by harmonizing </w:t>
      </w:r>
      <w:proofErr w:type="spellStart"/>
      <w:r>
        <w:t>behaviours</w:t>
      </w:r>
      <w:proofErr w:type="spellEnd"/>
      <w:r>
        <w:t xml:space="preserve">, systems and culture on a common platform. </w:t>
      </w:r>
    </w:p>
    <w:p w14:paraId="13B86D92" w14:textId="77777777" w:rsidR="00D561AF" w:rsidRDefault="00F84C1C">
      <w:pPr>
        <w:spacing w:after="161" w:line="361" w:lineRule="auto"/>
        <w:ind w:left="0" w:firstLine="0"/>
        <w:jc w:val="left"/>
      </w:pPr>
      <w:r>
        <w:rPr>
          <w:rFonts w:cs="Arial"/>
          <w:b/>
        </w:rPr>
        <w:t xml:space="preserve">Using the component “Creating a compassionate, just and positive culture” to encourage creativity and improve care </w:t>
      </w:r>
    </w:p>
    <w:p w14:paraId="25502D97" w14:textId="77777777" w:rsidR="00D561AF" w:rsidRDefault="00F84C1C">
      <w:pPr>
        <w:ind w:left="-5"/>
      </w:pPr>
      <w:r>
        <w:t xml:space="preserve">When a leader aims at building a caring, fair and good culture, it prepares the path to innovation. Indicatively, an active listening approach that appreciates employee ideas, which is not associated with top-down dictates, allows a leader to create psychological safety that will lead employees to innovate regarding changes in care delivery. They can also have frequent forums in which employees contemplate what is effective and what is ineffective and apply that knowledge to test new models of care (Care Quality Commission, 2024). The leader fosters trust and </w:t>
      </w:r>
      <w:proofErr w:type="gramStart"/>
      <w:r>
        <w:t>encourages</w:t>
      </w:r>
      <w:proofErr w:type="gramEnd"/>
      <w:r>
        <w:t xml:space="preserve"> an experimental culture by rewarding and acknowledging the employees whenever they make unique suggestions (even the ones that do not translate into immediate success). This, in its turn, can have an impact on patient outcomes, more efficient workflow and higher staff engagement, which can be seen as associated with the objective of high-quality and sustainable care. </w:t>
      </w:r>
      <w:r>
        <w:tab/>
        <w:t xml:space="preserve"> </w:t>
      </w:r>
    </w:p>
    <w:p w14:paraId="0FF1D280" w14:textId="77777777" w:rsidR="00D561AF" w:rsidRDefault="00F84C1C">
      <w:pPr>
        <w:pStyle w:val="Heading2"/>
        <w:ind w:left="881"/>
      </w:pPr>
      <w:r>
        <w:rPr>
          <w:rFonts w:ascii="Calibri" w:eastAsia="Calibri" w:hAnsi="Calibri" w:cs="Calibri"/>
          <w:noProof/>
        </w:rPr>
        <w:lastRenderedPageBreak/>
        <mc:AlternateContent>
          <mc:Choice Requires="wpg">
            <w:drawing>
              <wp:anchor distT="0" distB="0" distL="114300" distR="114300" simplePos="0" relativeHeight="251660288" behindDoc="0" locked="0" layoutInCell="1" allowOverlap="1" wp14:anchorId="5BFA334D" wp14:editId="288EEE1C">
                <wp:simplePos x="0" y="0"/>
                <wp:positionH relativeFrom="column">
                  <wp:posOffset>0</wp:posOffset>
                </wp:positionH>
                <wp:positionV relativeFrom="paragraph">
                  <wp:posOffset>117580</wp:posOffset>
                </wp:positionV>
                <wp:extent cx="2477516" cy="15875"/>
                <wp:effectExtent l="0" t="0" r="0" b="0"/>
                <wp:wrapNone/>
                <wp:docPr id="6976" name="Group 6976"/>
                <wp:cNvGraphicFramePr/>
                <a:graphic xmlns:a="http://schemas.openxmlformats.org/drawingml/2006/main">
                  <a:graphicData uri="http://schemas.microsoft.com/office/word/2010/wordprocessingGroup">
                    <wpg:wgp>
                      <wpg:cNvGrpSpPr/>
                      <wpg:grpSpPr>
                        <a:xfrm>
                          <a:off x="0" y="0"/>
                          <a:ext cx="2477516" cy="15875"/>
                          <a:chOff x="0" y="0"/>
                          <a:chExt cx="2477516" cy="15875"/>
                        </a:xfrm>
                      </wpg:grpSpPr>
                      <wps:wsp>
                        <wps:cNvPr id="7540" name="Shape 7540"/>
                        <wps:cNvSpPr/>
                        <wps:spPr>
                          <a:xfrm>
                            <a:off x="0" y="0"/>
                            <a:ext cx="2477516" cy="15875"/>
                          </a:xfrm>
                          <a:custGeom>
                            <a:avLst/>
                            <a:gdLst/>
                            <a:ahLst/>
                            <a:cxnLst/>
                            <a:rect l="0" t="0" r="0" b="0"/>
                            <a:pathLst>
                              <a:path w="2477516" h="15875">
                                <a:moveTo>
                                  <a:pt x="0" y="0"/>
                                </a:moveTo>
                                <a:lnTo>
                                  <a:pt x="2477516" y="0"/>
                                </a:lnTo>
                                <a:lnTo>
                                  <a:pt x="2477516" y="15875"/>
                                </a:lnTo>
                                <a:lnTo>
                                  <a:pt x="0" y="15875"/>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976" style="width:195.08pt;height:1.25pt;position:absolute;z-index:10;mso-position-horizontal-relative:text;mso-position-horizontal:absolute;margin-left:0pt;mso-position-vertical-relative:text;margin-top:9.25829pt;" coordsize="24775,158">
                <v:shape id="Shape 7541" style="position:absolute;width:24775;height:158;left:0;top:0;" coordsize="2477516,15875" path="m0,0l2477516,0l2477516,15875l0,15875l0,0">
                  <v:stroke weight="0pt" endcap="flat" joinstyle="miter" miterlimit="10" on="false" color="#000000" opacity="0"/>
                  <v:fill on="true" color="#000000"/>
                </v:shape>
              </v:group>
            </w:pict>
          </mc:Fallback>
        </mc:AlternateContent>
      </w:r>
      <w:r>
        <w:t xml:space="preserve">Self-Reflection Journal Entry </w:t>
      </w:r>
    </w:p>
    <w:p w14:paraId="4B252768" w14:textId="77777777" w:rsidR="00D561AF" w:rsidRDefault="00F84C1C">
      <w:pPr>
        <w:spacing w:after="178"/>
        <w:ind w:left="-5"/>
      </w:pPr>
      <w:r>
        <w:t xml:space="preserve">During this module, I have gained a great deal of knowledge regarding creativity and value creation in health and social care. Originally, I understood creativity as a characteristic that is mainly related to art or design, but I have come to understand that it is a critical aspect of enhancing care delivery, problem-solving, and patient outcomes. I have learned to view creativity as the nature of thinking in a different way, adapting to difficulties, and getting new ways to solve problems that improve the level and efficiency of care. The value creation information made me aware of how innovation can be converted into tangible value to patients, staff and </w:t>
      </w:r>
      <w:proofErr w:type="spellStart"/>
      <w:r>
        <w:t>organisations</w:t>
      </w:r>
      <w:proofErr w:type="spellEnd"/>
      <w:r>
        <w:t xml:space="preserve">. Such innovative solutions as digital health tools or new means of communications can make it more accessible, enhance patient satisfaction, and </w:t>
      </w:r>
      <w:proofErr w:type="spellStart"/>
      <w:r>
        <w:t>maximise</w:t>
      </w:r>
      <w:proofErr w:type="spellEnd"/>
      <w:r>
        <w:t xml:space="preserve"> the use of scarce resources, as examples. I have also </w:t>
      </w:r>
      <w:proofErr w:type="spellStart"/>
      <w:r>
        <w:t>realised</w:t>
      </w:r>
      <w:proofErr w:type="spellEnd"/>
      <w:r>
        <w:t xml:space="preserve"> that not only </w:t>
      </w:r>
      <w:proofErr w:type="gramStart"/>
      <w:r>
        <w:t>are financial but also social value creation</w:t>
      </w:r>
      <w:proofErr w:type="gramEnd"/>
      <w:r>
        <w:t xml:space="preserve"> not only financial, but also quantifiable in terms of trust, empowerment and well-being. This new-found attitude has made this learning part of my practice since it has made me stay open and </w:t>
      </w:r>
      <w:proofErr w:type="spellStart"/>
      <w:r>
        <w:t>solutionoriented</w:t>
      </w:r>
      <w:proofErr w:type="spellEnd"/>
      <w:r>
        <w:t xml:space="preserve"> when I face any challenges in my profession. Now, I am determined to use creative thinking in solving service gaps and engage other colleagues in the development of </w:t>
      </w:r>
      <w:proofErr w:type="spellStart"/>
      <w:r>
        <w:t>patientcentred</w:t>
      </w:r>
      <w:proofErr w:type="spellEnd"/>
      <w:r>
        <w:t xml:space="preserve"> improvements. Finally, the module has boosted my self-confidence in my ability to play a key role in innovation and positive change within the context of health and social care environments. </w:t>
      </w:r>
    </w:p>
    <w:p w14:paraId="6B658F61" w14:textId="77777777" w:rsidR="00D561AF" w:rsidRDefault="00F84C1C">
      <w:pPr>
        <w:spacing w:after="0" w:line="259" w:lineRule="auto"/>
        <w:ind w:left="0" w:firstLine="0"/>
        <w:jc w:val="left"/>
      </w:pPr>
      <w:r>
        <w:t xml:space="preserve"> </w:t>
      </w:r>
      <w:r>
        <w:tab/>
        <w:t xml:space="preserve"> </w:t>
      </w:r>
    </w:p>
    <w:p w14:paraId="323A6AD5" w14:textId="77777777" w:rsidR="00D561AF" w:rsidRDefault="00D561AF">
      <w:pPr>
        <w:sectPr w:rsidR="00D561AF">
          <w:headerReference w:type="even" r:id="rId24"/>
          <w:headerReference w:type="default" r:id="rId25"/>
          <w:headerReference w:type="first" r:id="rId26"/>
          <w:pgSz w:w="12240" w:h="15840"/>
          <w:pgMar w:top="1490" w:right="1379" w:bottom="2874" w:left="1441" w:header="1490" w:footer="720" w:gutter="0"/>
          <w:pgNumType w:start="4"/>
          <w:cols w:space="720"/>
          <w:titlePg/>
        </w:sectPr>
      </w:pPr>
    </w:p>
    <w:p w14:paraId="06214B1E" w14:textId="77777777" w:rsidR="00D561AF" w:rsidRDefault="00F84C1C">
      <w:pPr>
        <w:pStyle w:val="Heading2"/>
        <w:ind w:left="10"/>
      </w:pPr>
      <w:r>
        <w:lastRenderedPageBreak/>
        <w:t xml:space="preserve">Reference List </w:t>
      </w:r>
    </w:p>
    <w:p w14:paraId="464B7A4A" w14:textId="77777777" w:rsidR="00D561AF" w:rsidRDefault="00F84C1C">
      <w:pPr>
        <w:spacing w:after="160" w:line="361" w:lineRule="auto"/>
        <w:ind w:left="-5" w:right="-14"/>
      </w:pPr>
      <w:r>
        <w:t xml:space="preserve">Care Quality Commission (2024). </w:t>
      </w:r>
      <w:r>
        <w:rPr>
          <w:rFonts w:cs="Arial"/>
          <w:i/>
        </w:rPr>
        <w:t>Capable, compassionate, and inclusive leaders - Care Quality Commission</w:t>
      </w:r>
      <w:r>
        <w:t xml:space="preserve">. Available at: </w:t>
      </w:r>
      <w:hyperlink r:id="rId27">
        <w:r>
          <w:rPr>
            <w:color w:val="467886"/>
            <w:u w:val="single" w:color="467886"/>
          </w:rPr>
          <w:t>https://www.cqc.org.uk/guidance</w:t>
        </w:r>
      </w:hyperlink>
      <w:hyperlink r:id="rId28">
        <w:r>
          <w:rPr>
            <w:color w:val="467886"/>
            <w:u w:val="single" w:color="467886"/>
          </w:rPr>
          <w:t>-</w:t>
        </w:r>
      </w:hyperlink>
      <w:hyperlink r:id="rId29">
        <w:r>
          <w:rPr>
            <w:color w:val="467886"/>
            <w:u w:val="single" w:color="467886"/>
          </w:rPr>
          <w:t>regulation</w:t>
        </w:r>
      </w:hyperlink>
      <w:hyperlink r:id="rId30">
        <w:r>
          <w:rPr>
            <w:color w:val="467886"/>
            <w:u w:val="single" w:color="467886"/>
          </w:rPr>
          <w:t>-</w:t>
        </w:r>
      </w:hyperlink>
      <w:hyperlink r:id="rId31">
        <w:r>
          <w:rPr>
            <w:color w:val="467886"/>
            <w:u w:val="single" w:color="467886"/>
          </w:rPr>
          <w:t>nhs</w:t>
        </w:r>
      </w:hyperlink>
      <w:hyperlink r:id="rId32">
        <w:r>
          <w:rPr>
            <w:color w:val="467886"/>
            <w:u w:val="single" w:color="467886"/>
          </w:rPr>
          <w:t>-</w:t>
        </w:r>
      </w:hyperlink>
      <w:hyperlink r:id="rId33">
        <w:r>
          <w:rPr>
            <w:color w:val="467886"/>
            <w:u w:val="single" w:color="467886"/>
          </w:rPr>
          <w:t>key</w:t>
        </w:r>
      </w:hyperlink>
      <w:hyperlink r:id="rId34">
        <w:r>
          <w:rPr>
            <w:color w:val="467886"/>
            <w:u w:val="single" w:color="467886"/>
          </w:rPr>
          <w:t>-</w:t>
        </w:r>
      </w:hyperlink>
      <w:hyperlink r:id="rId35">
        <w:r>
          <w:rPr>
            <w:color w:val="467886"/>
            <w:u w:val="single" w:color="467886"/>
          </w:rPr>
          <w:t>question</w:t>
        </w:r>
      </w:hyperlink>
      <w:hyperlink r:id="rId36">
        <w:r>
          <w:rPr>
            <w:color w:val="467886"/>
            <w:u w:val="single" w:color="467886"/>
          </w:rPr>
          <w:t>-</w:t>
        </w:r>
      </w:hyperlink>
      <w:hyperlink r:id="rId37">
        <w:r>
          <w:rPr>
            <w:color w:val="467886"/>
            <w:u w:val="single" w:color="467886"/>
          </w:rPr>
          <w:t>well</w:t>
        </w:r>
      </w:hyperlink>
      <w:hyperlink r:id="rId38"/>
      <w:hyperlink r:id="rId39">
        <w:r>
          <w:rPr>
            <w:color w:val="467886"/>
            <w:u w:val="single" w:color="467886"/>
          </w:rPr>
          <w:t>led</w:t>
        </w:r>
      </w:hyperlink>
      <w:hyperlink r:id="rId40">
        <w:r>
          <w:rPr>
            <w:color w:val="467886"/>
            <w:u w:val="single" w:color="467886"/>
          </w:rPr>
          <w:t>-</w:t>
        </w:r>
      </w:hyperlink>
      <w:hyperlink r:id="rId41">
        <w:r>
          <w:rPr>
            <w:color w:val="467886"/>
            <w:u w:val="single" w:color="467886"/>
          </w:rPr>
          <w:t>leaders</w:t>
        </w:r>
      </w:hyperlink>
      <w:hyperlink r:id="rId42">
        <w:r>
          <w:t>.</w:t>
        </w:r>
      </w:hyperlink>
      <w:r>
        <w:t xml:space="preserve"> </w:t>
      </w:r>
    </w:p>
    <w:p w14:paraId="589F5228" w14:textId="77777777" w:rsidR="00D561AF" w:rsidRDefault="00F84C1C">
      <w:pPr>
        <w:ind w:left="-5"/>
      </w:pPr>
      <w:r>
        <w:t xml:space="preserve">Evans-Lacko, S., Brohan, E., </w:t>
      </w:r>
      <w:proofErr w:type="spellStart"/>
      <w:r>
        <w:t>Mojtabai</w:t>
      </w:r>
      <w:proofErr w:type="spellEnd"/>
      <w:r>
        <w:t xml:space="preserve">, R. and Thornicroft, G., (2012). Association between public views of mental illness and self-stigma among individuals with mental illness in 14 European countries. </w:t>
      </w:r>
      <w:r>
        <w:rPr>
          <w:rFonts w:cs="Arial"/>
          <w:i/>
        </w:rPr>
        <w:t>Psychological medicine</w:t>
      </w:r>
      <w:r>
        <w:t xml:space="preserve">, </w:t>
      </w:r>
      <w:r>
        <w:rPr>
          <w:rFonts w:cs="Arial"/>
          <w:i/>
        </w:rPr>
        <w:t>42</w:t>
      </w:r>
      <w:r>
        <w:t xml:space="preserve">(8), pp.1741-1752. </w:t>
      </w:r>
    </w:p>
    <w:p w14:paraId="731FAA3C" w14:textId="77777777" w:rsidR="00D561AF" w:rsidRDefault="00F84C1C">
      <w:pPr>
        <w:ind w:left="-5"/>
      </w:pPr>
      <w:r>
        <w:t xml:space="preserve">Fazal, N., Webb, A., Bangoura, J. and El </w:t>
      </w:r>
      <w:proofErr w:type="spellStart"/>
      <w:r>
        <w:t>Nasharty</w:t>
      </w:r>
      <w:proofErr w:type="spellEnd"/>
      <w:r>
        <w:t xml:space="preserve">, M., (2020). Telehealth: improving maternity services </w:t>
      </w:r>
      <w:proofErr w:type="gramStart"/>
      <w:r>
        <w:t>by</w:t>
      </w:r>
      <w:proofErr w:type="gramEnd"/>
      <w:r>
        <w:t xml:space="preserve"> modern technology. </w:t>
      </w:r>
      <w:r>
        <w:rPr>
          <w:rFonts w:cs="Arial"/>
          <w:i/>
        </w:rPr>
        <w:t>BMJ open quality</w:t>
      </w:r>
      <w:r>
        <w:t xml:space="preserve">, </w:t>
      </w:r>
      <w:r>
        <w:rPr>
          <w:rFonts w:cs="Arial"/>
          <w:i/>
        </w:rPr>
        <w:t>9</w:t>
      </w:r>
      <w:r>
        <w:t xml:space="preserve">(4), p.e000895. </w:t>
      </w:r>
    </w:p>
    <w:p w14:paraId="20D2BA9B" w14:textId="77777777" w:rsidR="00D561AF" w:rsidRDefault="00F84C1C">
      <w:pPr>
        <w:ind w:left="-5"/>
      </w:pPr>
      <w:r>
        <w:t xml:space="preserve">Gibbs, G., (1988). Learning by doing: A guide to teaching and learning methods. </w:t>
      </w:r>
      <w:r>
        <w:rPr>
          <w:rFonts w:cs="Arial"/>
          <w:i/>
        </w:rPr>
        <w:t>Further Education Unit</w:t>
      </w:r>
      <w:r>
        <w:t xml:space="preserve">. </w:t>
      </w:r>
    </w:p>
    <w:p w14:paraId="4F4D9B0F" w14:textId="77777777" w:rsidR="00D561AF" w:rsidRDefault="00F84C1C">
      <w:pPr>
        <w:ind w:left="-5"/>
      </w:pPr>
      <w:r>
        <w:t xml:space="preserve">Kennel, V. and Lowndes, B.R., (2023). Creativity in health care. In </w:t>
      </w:r>
      <w:r>
        <w:rPr>
          <w:rFonts w:cs="Arial"/>
          <w:i/>
        </w:rPr>
        <w:t>Handbook of Organizational Creativity</w:t>
      </w:r>
      <w:r>
        <w:t xml:space="preserve"> (pp. 343-360). Academic Press. </w:t>
      </w:r>
    </w:p>
    <w:p w14:paraId="6F42649D" w14:textId="77777777" w:rsidR="00D561AF" w:rsidRDefault="00F84C1C">
      <w:pPr>
        <w:ind w:left="-5"/>
      </w:pPr>
      <w:r>
        <w:t xml:space="preserve">Lyndon, H., Viney, T. and Slade, V., (2025). A Service Evaluation of Virtual Wards in Cornwall, UK. </w:t>
      </w:r>
      <w:r>
        <w:rPr>
          <w:rFonts w:cs="Arial"/>
          <w:i/>
        </w:rPr>
        <w:t>Oxford Open Digital Health</w:t>
      </w:r>
      <w:r>
        <w:t xml:space="preserve">. Doi: </w:t>
      </w:r>
      <w:hyperlink r:id="rId43">
        <w:r>
          <w:rPr>
            <w:color w:val="467886"/>
            <w:u w:val="single" w:color="467886"/>
          </w:rPr>
          <w:t>https://doi.org/10.1093/oodh/oqaf008</w:t>
        </w:r>
      </w:hyperlink>
      <w:hyperlink r:id="rId44">
        <w:r>
          <w:t>.</w:t>
        </w:r>
      </w:hyperlink>
      <w:r>
        <w:t xml:space="preserve"> </w:t>
      </w:r>
    </w:p>
    <w:p w14:paraId="611AD6E4" w14:textId="77777777" w:rsidR="00D561AF" w:rsidRDefault="00F84C1C">
      <w:pPr>
        <w:spacing w:after="160" w:line="361" w:lineRule="auto"/>
        <w:ind w:left="-5" w:right="-14"/>
      </w:pPr>
      <w:r>
        <w:t xml:space="preserve">NHS England (2024). </w:t>
      </w:r>
      <w:r>
        <w:rPr>
          <w:rFonts w:cs="Arial"/>
          <w:i/>
        </w:rPr>
        <w:t>NHS England» NHS leadership competency framework for board members</w:t>
      </w:r>
      <w:r>
        <w:t xml:space="preserve">. Available at: </w:t>
      </w:r>
      <w:hyperlink r:id="rId45">
        <w:r>
          <w:rPr>
            <w:color w:val="467886"/>
            <w:u w:val="single" w:color="467886"/>
          </w:rPr>
          <w:t>https://www.england.nhs.uk/long</w:t>
        </w:r>
      </w:hyperlink>
      <w:hyperlink r:id="rId46">
        <w:r>
          <w:rPr>
            <w:color w:val="467886"/>
            <w:u w:val="single" w:color="467886"/>
          </w:rPr>
          <w:t>-</w:t>
        </w:r>
      </w:hyperlink>
      <w:hyperlink r:id="rId47">
        <w:r>
          <w:rPr>
            <w:color w:val="467886"/>
            <w:u w:val="single" w:color="467886"/>
          </w:rPr>
          <w:t>read/nhs</w:t>
        </w:r>
      </w:hyperlink>
      <w:hyperlink r:id="rId48">
        <w:r>
          <w:rPr>
            <w:color w:val="467886"/>
            <w:u w:val="single" w:color="467886"/>
          </w:rPr>
          <w:t>-</w:t>
        </w:r>
      </w:hyperlink>
      <w:hyperlink r:id="rId49">
        <w:r>
          <w:rPr>
            <w:color w:val="467886"/>
            <w:u w:val="single" w:color="467886"/>
          </w:rPr>
          <w:t>leadership</w:t>
        </w:r>
      </w:hyperlink>
      <w:hyperlink r:id="rId50">
        <w:r>
          <w:rPr>
            <w:color w:val="467886"/>
            <w:u w:val="single" w:color="467886"/>
          </w:rPr>
          <w:t>-</w:t>
        </w:r>
      </w:hyperlink>
      <w:hyperlink r:id="rId51">
        <w:r>
          <w:rPr>
            <w:color w:val="467886"/>
            <w:u w:val="single" w:color="467886"/>
          </w:rPr>
          <w:t>competency</w:t>
        </w:r>
      </w:hyperlink>
      <w:hyperlink r:id="rId52">
        <w:r>
          <w:rPr>
            <w:color w:val="467886"/>
            <w:u w:val="single" w:color="467886"/>
          </w:rPr>
          <w:t>-</w:t>
        </w:r>
      </w:hyperlink>
      <w:hyperlink r:id="rId53">
        <w:r>
          <w:rPr>
            <w:color w:val="467886"/>
            <w:u w:val="single" w:color="467886"/>
          </w:rPr>
          <w:t>framework</w:t>
        </w:r>
      </w:hyperlink>
      <w:hyperlink r:id="rId54">
        <w:r>
          <w:rPr>
            <w:color w:val="467886"/>
            <w:u w:val="single" w:color="467886"/>
          </w:rPr>
          <w:t>-</w:t>
        </w:r>
      </w:hyperlink>
      <w:hyperlink r:id="rId55">
        <w:r>
          <w:rPr>
            <w:color w:val="467886"/>
            <w:u w:val="single" w:color="467886"/>
          </w:rPr>
          <w:t>for</w:t>
        </w:r>
      </w:hyperlink>
      <w:hyperlink r:id="rId56"/>
      <w:hyperlink r:id="rId57">
        <w:r>
          <w:rPr>
            <w:color w:val="467886"/>
            <w:u w:val="single" w:color="467886"/>
          </w:rPr>
          <w:t>board</w:t>
        </w:r>
      </w:hyperlink>
      <w:hyperlink r:id="rId58">
        <w:r>
          <w:rPr>
            <w:color w:val="467886"/>
            <w:u w:val="single" w:color="467886"/>
          </w:rPr>
          <w:t>-</w:t>
        </w:r>
      </w:hyperlink>
      <w:hyperlink r:id="rId59">
        <w:r>
          <w:rPr>
            <w:color w:val="467886"/>
            <w:u w:val="single" w:color="467886"/>
          </w:rPr>
          <w:t>members/</w:t>
        </w:r>
      </w:hyperlink>
      <w:hyperlink r:id="rId60">
        <w:r>
          <w:t>.</w:t>
        </w:r>
      </w:hyperlink>
      <w:r>
        <w:t xml:space="preserve"> </w:t>
      </w:r>
    </w:p>
    <w:p w14:paraId="5DB2CC68" w14:textId="77777777" w:rsidR="00D561AF" w:rsidRDefault="00F84C1C">
      <w:pPr>
        <w:ind w:left="-5"/>
      </w:pPr>
      <w:r>
        <w:t xml:space="preserve">Norman, G., Bennett, P. and Vardy, E.R.L.C., (2023). Virtual wards: a rapid evidence synthesis and implications for the care of older people. </w:t>
      </w:r>
      <w:r>
        <w:rPr>
          <w:rFonts w:cs="Arial"/>
          <w:i/>
        </w:rPr>
        <w:t>Age and Ageing</w:t>
      </w:r>
      <w:r>
        <w:t xml:space="preserve">, 52(1). Doi: </w:t>
      </w:r>
      <w:hyperlink r:id="rId61">
        <w:r>
          <w:rPr>
            <w:color w:val="467886"/>
            <w:u w:val="single" w:color="467886"/>
          </w:rPr>
          <w:t>https://doi.org/10.1093/ageing/afac319</w:t>
        </w:r>
      </w:hyperlink>
      <w:hyperlink r:id="rId62">
        <w:r>
          <w:t>.</w:t>
        </w:r>
      </w:hyperlink>
      <w:r>
        <w:t xml:space="preserve">  </w:t>
      </w:r>
    </w:p>
    <w:p w14:paraId="2F589AFB" w14:textId="77777777" w:rsidR="00D561AF" w:rsidRDefault="00F84C1C">
      <w:pPr>
        <w:ind w:left="-5"/>
      </w:pPr>
      <w:r>
        <w:t xml:space="preserve">Sundgren, M.K., </w:t>
      </w:r>
      <w:proofErr w:type="spellStart"/>
      <w:r>
        <w:t>Millear</w:t>
      </w:r>
      <w:proofErr w:type="spellEnd"/>
      <w:r>
        <w:t xml:space="preserve">, P.M., Dawber, C. and Medoro, L., (2021). Reflective practice groups and </w:t>
      </w:r>
      <w:proofErr w:type="gramStart"/>
      <w:r>
        <w:t>nurse</w:t>
      </w:r>
      <w:proofErr w:type="gramEnd"/>
      <w:r>
        <w:t xml:space="preserve"> professional quality of life. </w:t>
      </w:r>
      <w:r>
        <w:rPr>
          <w:rFonts w:cs="Arial"/>
          <w:i/>
        </w:rPr>
        <w:t>The Australian Journal of Advanced Nursing</w:t>
      </w:r>
      <w:r>
        <w:t xml:space="preserve">, </w:t>
      </w:r>
      <w:r>
        <w:rPr>
          <w:rFonts w:cs="Arial"/>
          <w:i/>
        </w:rPr>
        <w:t>38</w:t>
      </w:r>
      <w:r>
        <w:t xml:space="preserve">(4), pp.49-67. </w:t>
      </w:r>
    </w:p>
    <w:p w14:paraId="753E69EB" w14:textId="77777777" w:rsidR="00D561AF" w:rsidRDefault="00F84C1C">
      <w:pPr>
        <w:ind w:left="-5"/>
      </w:pPr>
      <w:r>
        <w:t xml:space="preserve">Williamson, V., Greenberg, N. and </w:t>
      </w:r>
      <w:proofErr w:type="spellStart"/>
      <w:r>
        <w:t>Stevelink</w:t>
      </w:r>
      <w:proofErr w:type="spellEnd"/>
      <w:r>
        <w:t xml:space="preserve">, S.A., (2019). Perceived stigma and barriers to care in UK Armed Forces personnel and veterans with and without probable mental disorders. </w:t>
      </w:r>
      <w:r>
        <w:rPr>
          <w:rFonts w:cs="Arial"/>
          <w:i/>
        </w:rPr>
        <w:t>BMC psychology</w:t>
      </w:r>
      <w:r>
        <w:t xml:space="preserve">, </w:t>
      </w:r>
      <w:r>
        <w:rPr>
          <w:rFonts w:cs="Arial"/>
          <w:i/>
        </w:rPr>
        <w:t>7</w:t>
      </w:r>
      <w:r>
        <w:t>(1), p.75.</w:t>
      </w:r>
      <w:r>
        <w:rPr>
          <w:rFonts w:ascii="Aptos" w:eastAsia="Aptos" w:hAnsi="Aptos" w:cs="Aptos"/>
          <w:sz w:val="44"/>
        </w:rPr>
        <w:t xml:space="preserve"> </w:t>
      </w:r>
    </w:p>
    <w:sectPr w:rsidR="00D561AF">
      <w:headerReference w:type="even" r:id="rId63"/>
      <w:headerReference w:type="default" r:id="rId64"/>
      <w:headerReference w:type="first" r:id="rId65"/>
      <w:pgSz w:w="12240" w:h="15840"/>
      <w:pgMar w:top="1440" w:right="1432" w:bottom="1440"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10BFBA" w14:textId="77777777" w:rsidR="006C68E8" w:rsidRDefault="006C68E8">
      <w:pPr>
        <w:spacing w:after="0" w:line="240" w:lineRule="auto"/>
      </w:pPr>
      <w:r>
        <w:separator/>
      </w:r>
    </w:p>
  </w:endnote>
  <w:endnote w:type="continuationSeparator" w:id="0">
    <w:p w14:paraId="5250F5D3" w14:textId="77777777" w:rsidR="006C68E8" w:rsidRDefault="006C68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B8747" w14:textId="77777777" w:rsidR="006C68E8" w:rsidRDefault="006C68E8">
      <w:pPr>
        <w:spacing w:after="0" w:line="240" w:lineRule="auto"/>
      </w:pPr>
      <w:r>
        <w:separator/>
      </w:r>
    </w:p>
  </w:footnote>
  <w:footnote w:type="continuationSeparator" w:id="0">
    <w:p w14:paraId="5C882666" w14:textId="77777777" w:rsidR="006C68E8" w:rsidRDefault="006C68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78566C" w14:textId="77777777" w:rsidR="00D561AF" w:rsidRDefault="00D561AF">
    <w:pPr>
      <w:spacing w:after="160" w:line="259" w:lineRule="auto"/>
      <w:ind w:left="0" w:firstLine="0"/>
      <w:jc w:val="lef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1181F0" w14:textId="77777777" w:rsidR="00D561AF" w:rsidRDefault="00D561AF">
    <w:pPr>
      <w:spacing w:after="16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03D93" w14:textId="77777777" w:rsidR="00D561AF" w:rsidRDefault="00D561AF">
    <w:pPr>
      <w:spacing w:after="160" w:line="259" w:lineRule="auto"/>
      <w:ind w:left="0" w:firstLine="0"/>
      <w:jc w:val="lef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197C0" w14:textId="77777777" w:rsidR="00D561AF" w:rsidRDefault="00F84C1C">
    <w:pPr>
      <w:spacing w:after="0" w:line="259" w:lineRule="auto"/>
      <w:ind w:left="751" w:firstLine="0"/>
      <w:jc w:val="left"/>
    </w:pPr>
    <w:r>
      <w:rPr>
        <w:rFonts w:cs="Arial"/>
        <w:b/>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37494" w14:textId="77777777" w:rsidR="00D561AF" w:rsidRDefault="00D561AF">
    <w:pPr>
      <w:spacing w:after="160" w:line="259" w:lineRule="auto"/>
      <w:ind w:left="0" w:firstLine="0"/>
      <w:jc w:val="left"/>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F7753" w14:textId="77777777" w:rsidR="00D561AF" w:rsidRDefault="00F84C1C">
    <w:pPr>
      <w:spacing w:after="0" w:line="259" w:lineRule="auto"/>
      <w:ind w:left="751" w:firstLine="0"/>
      <w:jc w:val="left"/>
    </w:pPr>
    <w:r>
      <w:rPr>
        <w:rFonts w:cs="Arial"/>
        <w:b/>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2C893" w14:textId="77777777" w:rsidR="00D561AF" w:rsidRDefault="00F84C1C">
    <w:pPr>
      <w:spacing w:after="0" w:line="259" w:lineRule="auto"/>
      <w:ind w:left="0" w:firstLine="0"/>
      <w:jc w:val="left"/>
    </w:pPr>
    <w:r>
      <w:rPr>
        <w:rFonts w:cs="Arial"/>
        <w:b/>
      </w:rPr>
      <w:t xml:space="preserve">Task </w:t>
    </w:r>
    <w:r>
      <w:fldChar w:fldCharType="begin"/>
    </w:r>
    <w:r>
      <w:instrText xml:space="preserve"> PAGE   \* MERGEFORMAT </w:instrText>
    </w:r>
    <w:r>
      <w:fldChar w:fldCharType="separate"/>
    </w:r>
    <w:r>
      <w:rPr>
        <w:rFonts w:cs="Arial"/>
        <w:b/>
      </w:rPr>
      <w:t>6</w:t>
    </w:r>
    <w:r>
      <w:rPr>
        <w:rFonts w:cs="Arial"/>
        <w:b/>
      </w:rPr>
      <w:fldChar w:fldCharType="end"/>
    </w:r>
    <w:r>
      <w:rPr>
        <w:rFonts w:cs="Arial"/>
        <w:b/>
      </w:rPr>
      <w:t xml:space="preserve"> -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9C438A" w14:textId="77777777" w:rsidR="00D561AF" w:rsidRDefault="00F84C1C">
    <w:pPr>
      <w:spacing w:after="0" w:line="259" w:lineRule="auto"/>
      <w:ind w:left="0" w:firstLine="0"/>
      <w:jc w:val="left"/>
    </w:pPr>
    <w:r>
      <w:rPr>
        <w:rFonts w:cs="Arial"/>
        <w:b/>
      </w:rPr>
      <w:t xml:space="preserve">Task </w:t>
    </w:r>
    <w:r>
      <w:fldChar w:fldCharType="begin"/>
    </w:r>
    <w:r>
      <w:instrText xml:space="preserve"> PAGE   \* MERGEFORMAT </w:instrText>
    </w:r>
    <w:r>
      <w:fldChar w:fldCharType="separate"/>
    </w:r>
    <w:r>
      <w:rPr>
        <w:rFonts w:cs="Arial"/>
        <w:b/>
      </w:rPr>
      <w:t>6</w:t>
    </w:r>
    <w:r>
      <w:rPr>
        <w:rFonts w:cs="Arial"/>
        <w:b/>
      </w:rPr>
      <w:fldChar w:fldCharType="end"/>
    </w:r>
    <w:r>
      <w:rPr>
        <w:rFonts w:cs="Arial"/>
        <w:b/>
      </w:rPr>
      <w:t xml:space="preserve"> -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EA1CB" w14:textId="77777777" w:rsidR="00D561AF" w:rsidRDefault="00F84C1C">
    <w:pPr>
      <w:spacing w:after="0" w:line="259" w:lineRule="auto"/>
      <w:ind w:left="751" w:firstLine="0"/>
      <w:jc w:val="left"/>
    </w:pPr>
    <w:r>
      <w:rPr>
        <w:rFonts w:cs="Arial"/>
        <w:b/>
      </w:rP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D7867" w14:textId="77777777" w:rsidR="00D561AF" w:rsidRDefault="00D561AF">
    <w:pPr>
      <w:spacing w:after="160" w:line="259" w:lineRule="auto"/>
      <w:ind w:left="0" w:firstLine="0"/>
      <w:jc w:val="left"/>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50BF0" w14:textId="77777777" w:rsidR="00D561AF" w:rsidRDefault="00D561AF">
    <w:pPr>
      <w:spacing w:after="160" w:line="259" w:lineRule="auto"/>
      <w:ind w:left="0" w:firstLine="0"/>
      <w:jc w:val="left"/>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4680F" w14:textId="77777777" w:rsidR="00D561AF" w:rsidRDefault="00D561AF">
    <w:pPr>
      <w:spacing w:after="160" w:line="259" w:lineRule="auto"/>
      <w:ind w:left="0" w:firstLine="0"/>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4"/>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1AF"/>
    <w:rsid w:val="001D0CA0"/>
    <w:rsid w:val="004C6E33"/>
    <w:rsid w:val="00604B59"/>
    <w:rsid w:val="006C68E8"/>
    <w:rsid w:val="00C03D6E"/>
    <w:rsid w:val="00D561AF"/>
    <w:rsid w:val="00F84C1C"/>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decimalSymbol w:val="."/>
  <w:listSeparator w:val=","/>
  <w14:docId w14:val="41564F30"/>
  <w15:docId w15:val="{B73272B2-A88B-8C44-B43A-2BAA1CD1A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6" w:line="363" w:lineRule="auto"/>
      <w:ind w:left="10" w:hanging="10"/>
      <w:jc w:val="both"/>
    </w:pPr>
    <w:rPr>
      <w:rFonts w:ascii="Arial" w:eastAsia="Arial" w:hAnsi="Arial" w:cs="Times New Roman"/>
      <w:color w:val="000000"/>
      <w:lang w:val="en" w:eastAsia="en"/>
    </w:rPr>
  </w:style>
  <w:style w:type="paragraph" w:styleId="Heading1">
    <w:name w:val="heading 1"/>
    <w:next w:val="Normal"/>
    <w:link w:val="Heading1Char"/>
    <w:uiPriority w:val="9"/>
    <w:qFormat/>
    <w:pPr>
      <w:keepNext/>
      <w:keepLines/>
      <w:spacing w:after="267" w:line="259" w:lineRule="auto"/>
      <w:ind w:left="10" w:hanging="10"/>
      <w:outlineLvl w:val="0"/>
    </w:pPr>
    <w:rPr>
      <w:rFonts w:ascii="Arial" w:eastAsia="Arial" w:hAnsi="Arial" w:cs="Arial"/>
      <w:b/>
      <w:color w:val="000000"/>
      <w:u w:val="single" w:color="000000"/>
    </w:rPr>
  </w:style>
  <w:style w:type="paragraph" w:styleId="Heading2">
    <w:name w:val="heading 2"/>
    <w:next w:val="Normal"/>
    <w:link w:val="Heading2Char"/>
    <w:uiPriority w:val="9"/>
    <w:unhideWhenUsed/>
    <w:qFormat/>
    <w:pPr>
      <w:keepNext/>
      <w:keepLines/>
      <w:spacing w:after="267" w:line="259" w:lineRule="auto"/>
      <w:ind w:left="896"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2"/>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eader" Target="header9.xml"/><Relationship Id="rId21" Type="http://schemas.openxmlformats.org/officeDocument/2006/relationships/header" Target="header6.xml"/><Relationship Id="rId34" Type="http://schemas.openxmlformats.org/officeDocument/2006/relationships/hyperlink" Target="https://www.cqc.org.uk/guidance-regulation-nhs-key-question-well-led-leaders" TargetMode="External"/><Relationship Id="rId42" Type="http://schemas.openxmlformats.org/officeDocument/2006/relationships/hyperlink" Target="https://www.cqc.org.uk/guidance-regulation-nhs-key-question-well-led-leaders" TargetMode="External"/><Relationship Id="rId47" Type="http://schemas.openxmlformats.org/officeDocument/2006/relationships/hyperlink" Target="https://www.england.nhs.uk/long-read/nhs-leadership-competency-framework-for-board-members/" TargetMode="External"/><Relationship Id="rId50" Type="http://schemas.openxmlformats.org/officeDocument/2006/relationships/hyperlink" Target="https://www.england.nhs.uk/long-read/nhs-leadership-competency-framework-for-board-members/" TargetMode="External"/><Relationship Id="rId55" Type="http://schemas.openxmlformats.org/officeDocument/2006/relationships/hyperlink" Target="https://www.england.nhs.uk/long-read/nhs-leadership-competency-framework-for-board-members/" TargetMode="External"/><Relationship Id="rId63" Type="http://schemas.openxmlformats.org/officeDocument/2006/relationships/header" Target="header10.xml"/><Relationship Id="rId7" Type="http://schemas.openxmlformats.org/officeDocument/2006/relationships/image" Target="media/image2.emf"/><Relationship Id="rId2" Type="http://schemas.openxmlformats.org/officeDocument/2006/relationships/settings" Target="settings.xml"/><Relationship Id="rId16" Type="http://schemas.openxmlformats.org/officeDocument/2006/relationships/image" Target="media/image6.jpg"/><Relationship Id="rId29" Type="http://schemas.openxmlformats.org/officeDocument/2006/relationships/hyperlink" Target="https://www.cqc.org.uk/guidance-regulation-nhs-key-question-well-led-leaders" TargetMode="External"/><Relationship Id="rId11" Type="http://schemas.openxmlformats.org/officeDocument/2006/relationships/image" Target="media/image4.jpg"/><Relationship Id="rId24" Type="http://schemas.openxmlformats.org/officeDocument/2006/relationships/header" Target="header7.xml"/><Relationship Id="rId32" Type="http://schemas.openxmlformats.org/officeDocument/2006/relationships/hyperlink" Target="https://www.cqc.org.uk/guidance-regulation-nhs-key-question-well-led-leaders" TargetMode="External"/><Relationship Id="rId37" Type="http://schemas.openxmlformats.org/officeDocument/2006/relationships/hyperlink" Target="https://www.cqc.org.uk/guidance-regulation-nhs-key-question-well-led-leaders" TargetMode="External"/><Relationship Id="rId40" Type="http://schemas.openxmlformats.org/officeDocument/2006/relationships/hyperlink" Target="https://www.cqc.org.uk/guidance-regulation-nhs-key-question-well-led-leaders" TargetMode="External"/><Relationship Id="rId45" Type="http://schemas.openxmlformats.org/officeDocument/2006/relationships/hyperlink" Target="https://www.england.nhs.uk/long-read/nhs-leadership-competency-framework-for-board-members/" TargetMode="External"/><Relationship Id="rId53" Type="http://schemas.openxmlformats.org/officeDocument/2006/relationships/hyperlink" Target="https://www.england.nhs.uk/long-read/nhs-leadership-competency-framework-for-board-members/" TargetMode="External"/><Relationship Id="rId58" Type="http://schemas.openxmlformats.org/officeDocument/2006/relationships/hyperlink" Target="https://www.england.nhs.uk/long-read/nhs-leadership-competency-framework-for-board-members/" TargetMode="External"/><Relationship Id="rId66" Type="http://schemas.openxmlformats.org/officeDocument/2006/relationships/fontTable" Target="fontTable.xml"/><Relationship Id="rId5" Type="http://schemas.openxmlformats.org/officeDocument/2006/relationships/endnotes" Target="endnotes.xml"/><Relationship Id="rId61" Type="http://schemas.openxmlformats.org/officeDocument/2006/relationships/hyperlink" Target="https://doi.org/10.1093/ageing/afac319" TargetMode="External"/><Relationship Id="rId19" Type="http://schemas.openxmlformats.org/officeDocument/2006/relationships/header" Target="header4.xml"/><Relationship Id="rId14" Type="http://schemas.openxmlformats.org/officeDocument/2006/relationships/header" Target="header3.xml"/><Relationship Id="rId22" Type="http://schemas.openxmlformats.org/officeDocument/2006/relationships/hyperlink" Target="https://www.rev.com/onlinevoicerecorder" TargetMode="External"/><Relationship Id="rId27" Type="http://schemas.openxmlformats.org/officeDocument/2006/relationships/hyperlink" Target="https://www.cqc.org.uk/guidance-regulation-nhs-key-question-well-led-leaders" TargetMode="External"/><Relationship Id="rId30" Type="http://schemas.openxmlformats.org/officeDocument/2006/relationships/hyperlink" Target="https://www.cqc.org.uk/guidance-regulation-nhs-key-question-well-led-leaders" TargetMode="External"/><Relationship Id="rId35" Type="http://schemas.openxmlformats.org/officeDocument/2006/relationships/hyperlink" Target="https://www.cqc.org.uk/guidance-regulation-nhs-key-question-well-led-leaders" TargetMode="External"/><Relationship Id="rId43" Type="http://schemas.openxmlformats.org/officeDocument/2006/relationships/hyperlink" Target="https://doi.org/10.1093/oodh/oqaf008" TargetMode="External"/><Relationship Id="rId48" Type="http://schemas.openxmlformats.org/officeDocument/2006/relationships/hyperlink" Target="https://www.england.nhs.uk/long-read/nhs-leadership-competency-framework-for-board-members/" TargetMode="External"/><Relationship Id="rId56" Type="http://schemas.openxmlformats.org/officeDocument/2006/relationships/hyperlink" Target="https://www.england.nhs.uk/long-read/nhs-leadership-competency-framework-for-board-members/" TargetMode="External"/><Relationship Id="rId64" Type="http://schemas.openxmlformats.org/officeDocument/2006/relationships/header" Target="header11.xml"/><Relationship Id="rId8" Type="http://schemas.openxmlformats.org/officeDocument/2006/relationships/package" Target="embeddings/Microsoft_Word_Document.docx"/><Relationship Id="rId51" Type="http://schemas.openxmlformats.org/officeDocument/2006/relationships/hyperlink" Target="https://www.england.nhs.uk/long-read/nhs-leadership-competency-framework-for-board-members/" TargetMode="External"/><Relationship Id="rId3"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image" Target="media/image2.png"/><Relationship Id="rId25" Type="http://schemas.openxmlformats.org/officeDocument/2006/relationships/header" Target="header8.xml"/><Relationship Id="rId33" Type="http://schemas.openxmlformats.org/officeDocument/2006/relationships/hyperlink" Target="https://www.cqc.org.uk/guidance-regulation-nhs-key-question-well-led-leaders" TargetMode="External"/><Relationship Id="rId38" Type="http://schemas.openxmlformats.org/officeDocument/2006/relationships/hyperlink" Target="https://www.cqc.org.uk/guidance-regulation-nhs-key-question-well-led-leaders" TargetMode="External"/><Relationship Id="rId46" Type="http://schemas.openxmlformats.org/officeDocument/2006/relationships/hyperlink" Target="https://www.england.nhs.uk/long-read/nhs-leadership-competency-framework-for-board-members/" TargetMode="External"/><Relationship Id="rId59" Type="http://schemas.openxmlformats.org/officeDocument/2006/relationships/hyperlink" Target="https://www.england.nhs.uk/long-read/nhs-leadership-competency-framework-for-board-members/" TargetMode="External"/><Relationship Id="rId67" Type="http://schemas.openxmlformats.org/officeDocument/2006/relationships/theme" Target="theme/theme1.xml"/><Relationship Id="rId20" Type="http://schemas.openxmlformats.org/officeDocument/2006/relationships/header" Target="header5.xml"/><Relationship Id="rId41" Type="http://schemas.openxmlformats.org/officeDocument/2006/relationships/hyperlink" Target="https://www.cqc.org.uk/guidance-regulation-nhs-key-question-well-led-leaders" TargetMode="External"/><Relationship Id="rId54" Type="http://schemas.openxmlformats.org/officeDocument/2006/relationships/hyperlink" Target="https://www.england.nhs.uk/long-read/nhs-leadership-competency-framework-for-board-members/" TargetMode="External"/><Relationship Id="rId62" Type="http://schemas.openxmlformats.org/officeDocument/2006/relationships/hyperlink" Target="https://doi.org/10.1093/ageing/afac319" TargetMode="External"/><Relationship Id="rId1" Type="http://schemas.openxmlformats.org/officeDocument/2006/relationships/styles" Target="styles.xml"/><Relationship Id="rId6" Type="http://schemas.openxmlformats.org/officeDocument/2006/relationships/image" Target="media/image1.jpg"/><Relationship Id="rId15" Type="http://schemas.openxmlformats.org/officeDocument/2006/relationships/image" Target="media/image5.png"/><Relationship Id="rId23" Type="http://schemas.openxmlformats.org/officeDocument/2006/relationships/hyperlink" Target="https://www.rev.com/onlinevoicerecorder" TargetMode="External"/><Relationship Id="rId28" Type="http://schemas.openxmlformats.org/officeDocument/2006/relationships/hyperlink" Target="https://www.cqc.org.uk/guidance-regulation-nhs-key-question-well-led-leaders" TargetMode="External"/><Relationship Id="rId36" Type="http://schemas.openxmlformats.org/officeDocument/2006/relationships/hyperlink" Target="https://www.cqc.org.uk/guidance-regulation-nhs-key-question-well-led-leaders" TargetMode="External"/><Relationship Id="rId49" Type="http://schemas.openxmlformats.org/officeDocument/2006/relationships/hyperlink" Target="https://www.england.nhs.uk/long-read/nhs-leadership-competency-framework-for-board-members/" TargetMode="External"/><Relationship Id="rId57" Type="http://schemas.openxmlformats.org/officeDocument/2006/relationships/hyperlink" Target="https://www.england.nhs.uk/long-read/nhs-leadership-competency-framework-for-board-members/" TargetMode="External"/><Relationship Id="rId10" Type="http://schemas.openxmlformats.org/officeDocument/2006/relationships/oleObject" Target="embeddings/oleObject1.bin"/><Relationship Id="rId31" Type="http://schemas.openxmlformats.org/officeDocument/2006/relationships/hyperlink" Target="https://www.cqc.org.uk/guidance-regulation-nhs-key-question-well-led-leaders" TargetMode="External"/><Relationship Id="rId44" Type="http://schemas.openxmlformats.org/officeDocument/2006/relationships/hyperlink" Target="https://doi.org/10.1093/oodh/oqaf008" TargetMode="External"/><Relationship Id="rId52" Type="http://schemas.openxmlformats.org/officeDocument/2006/relationships/hyperlink" Target="https://www.england.nhs.uk/long-read/nhs-leadership-competency-framework-for-board-members/" TargetMode="External"/><Relationship Id="rId60" Type="http://schemas.openxmlformats.org/officeDocument/2006/relationships/hyperlink" Target="https://www.england.nhs.uk/long-read/nhs-leadership-competency-framework-for-board-members/" TargetMode="External"/><Relationship Id="rId65" Type="http://schemas.openxmlformats.org/officeDocument/2006/relationships/header" Target="header12.xml"/><Relationship Id="rId4" Type="http://schemas.openxmlformats.org/officeDocument/2006/relationships/footnotes" Target="footnotes.xml"/><Relationship Id="rId9" Type="http://schemas.openxmlformats.org/officeDocument/2006/relationships/image" Target="media/image3.emf"/><Relationship Id="rId13" Type="http://schemas.openxmlformats.org/officeDocument/2006/relationships/header" Target="header2.xml"/><Relationship Id="rId18" Type="http://schemas.openxmlformats.org/officeDocument/2006/relationships/image" Target="media/image3.jpg"/><Relationship Id="rId39" Type="http://schemas.openxmlformats.org/officeDocument/2006/relationships/hyperlink" Target="https://www.cqc.org.uk/guidance-regulation-nhs-key-question-well-led-lea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2393</Words>
  <Characters>15824</Characters>
  <Application>Microsoft Office Word</Application>
  <DocSecurity>0</DocSecurity>
  <Lines>210</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cp:lastModifiedBy>roman dunka</cp:lastModifiedBy>
  <cp:revision>2</cp:revision>
  <dcterms:created xsi:type="dcterms:W3CDTF">2025-11-17T10:50:00Z</dcterms:created>
  <dcterms:modified xsi:type="dcterms:W3CDTF">2025-11-17T10:50:00Z</dcterms:modified>
</cp:coreProperties>
</file>