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0FC84" w14:textId="77777777" w:rsidR="002F64CD" w:rsidRDefault="002F64CD" w:rsidP="00032478">
      <w:pPr>
        <w:spacing w:line="360" w:lineRule="auto"/>
      </w:pPr>
      <w:r>
        <w:t>Student Name: Rabina Akhtar</w:t>
      </w:r>
    </w:p>
    <w:p w14:paraId="3A742A0C" w14:textId="77777777" w:rsidR="002F64CD" w:rsidRDefault="002F64CD" w:rsidP="00032478">
      <w:pPr>
        <w:spacing w:line="360" w:lineRule="auto"/>
      </w:pPr>
      <w:r>
        <w:t>Student ID: 2421435</w:t>
      </w:r>
    </w:p>
    <w:p w14:paraId="157DDCE3" w14:textId="77777777" w:rsidR="002F64CD" w:rsidRDefault="002F64CD" w:rsidP="00032478">
      <w:pPr>
        <w:spacing w:line="360" w:lineRule="auto"/>
      </w:pPr>
      <w:r>
        <w:t>Module: Psychology in Health and Social Care</w:t>
      </w:r>
    </w:p>
    <w:p w14:paraId="188FB1BB" w14:textId="77777777" w:rsidR="002F64CD" w:rsidRDefault="002F64CD" w:rsidP="00032478">
      <w:pPr>
        <w:spacing w:line="360" w:lineRule="auto"/>
      </w:pPr>
      <w:r>
        <w:t>Module Code: LCHS4010</w:t>
      </w:r>
    </w:p>
    <w:p w14:paraId="5BA20E6D" w14:textId="77777777" w:rsidR="002F64CD" w:rsidRDefault="002F64CD" w:rsidP="00032478">
      <w:pPr>
        <w:spacing w:line="360" w:lineRule="auto"/>
      </w:pPr>
      <w:r>
        <w:t>Lecturer: Neale Haddon</w:t>
      </w:r>
    </w:p>
    <w:p w14:paraId="73104DFA" w14:textId="77777777" w:rsidR="002F64CD" w:rsidRDefault="002F64CD" w:rsidP="00032478">
      <w:pPr>
        <w:spacing w:line="360" w:lineRule="auto"/>
      </w:pPr>
      <w:r>
        <w:t>Word Count: 1490</w:t>
      </w:r>
    </w:p>
    <w:p w14:paraId="538C5C9E" w14:textId="77777777" w:rsidR="002F64CD" w:rsidRDefault="002F64CD" w:rsidP="00032478">
      <w:pPr>
        <w:spacing w:line="360" w:lineRule="auto"/>
      </w:pPr>
      <w:r>
        <w:t xml:space="preserve"> </w:t>
      </w:r>
    </w:p>
    <w:p w14:paraId="4AC9E959" w14:textId="77777777" w:rsidR="002F64CD" w:rsidRDefault="002F64CD" w:rsidP="00032478">
      <w:pPr>
        <w:spacing w:line="360" w:lineRule="auto"/>
      </w:pPr>
      <w:r>
        <w:t>Discuss the impact of social media on mental health in adolescence</w:t>
      </w:r>
    </w:p>
    <w:p w14:paraId="3F09CDE7" w14:textId="77777777" w:rsidR="002F64CD" w:rsidRDefault="002F64CD" w:rsidP="00032478">
      <w:pPr>
        <w:spacing w:line="360" w:lineRule="auto"/>
      </w:pPr>
      <w:r>
        <w:t xml:space="preserve"> </w:t>
      </w:r>
    </w:p>
    <w:p w14:paraId="762CF733" w14:textId="77777777" w:rsidR="002F64CD" w:rsidRDefault="002F64CD" w:rsidP="00032478">
      <w:pPr>
        <w:spacing w:line="360" w:lineRule="auto"/>
      </w:pPr>
      <w:r>
        <w:t>Adolescence is a distinct developmental stage characterised by significant physical, cognitive, emotional, and social change, typically occurring between the ages of 12 and 18 years. During this period, young people begin to separate from their parents, form closer peer relationships, and actively seek to establish their own identity and place within society (Bradley and Wildman, 2019). In contemporary society, this development takes place within a digital environment; statistics indicate that over 90% of adolescents in the United Kingdom have access to a smartphone, and the majority spend several hours every day using social media platforms such as Instagram, TikTok, Snapchat, and Facebook (Ofcom, 2023). This widespread use has sparked intense debate regarding whether social media is beneficial or harmful to psychological well</w:t>
      </w:r>
      <w:r>
        <w:rPr>
          <w:rFonts w:ascii="Cambria Math" w:hAnsi="Cambria Math" w:cs="Cambria Math"/>
        </w:rPr>
        <w:t>‑</w:t>
      </w:r>
      <w:r>
        <w:t>being. While some research highlights opportunities for connection and support, other studies link heavy usage to increased rates of anxiety, depression, low self</w:t>
      </w:r>
      <w:r>
        <w:rPr>
          <w:rFonts w:ascii="Cambria Math" w:hAnsi="Cambria Math" w:cs="Cambria Math"/>
        </w:rPr>
        <w:t>‑</w:t>
      </w:r>
      <w:r>
        <w:t>esteem, and body image dissatisfaction (Royal Society for Public Health, 2017). To understand these varying outcomes, it is necessary to apply psychological theories that explain how adolescents grow, relate to others, and construct their sense of self. This essay will discuss the impact of social media on adolescent mental health, drawing specifically upon Erik Erikson’s theory of psychosocial development and John Bowlby’s attachment theory. It will explore how these theories explain both the risks and benefits of digital interaction, and evaluate the relevance and limitations of each approach.</w:t>
      </w:r>
    </w:p>
    <w:p w14:paraId="36144907" w14:textId="77777777" w:rsidR="002F64CD" w:rsidRDefault="002F64CD" w:rsidP="00032478">
      <w:pPr>
        <w:spacing w:line="360" w:lineRule="auto"/>
      </w:pPr>
      <w:r>
        <w:t xml:space="preserve"> </w:t>
      </w:r>
    </w:p>
    <w:p w14:paraId="434261CB" w14:textId="77777777" w:rsidR="002F64CD" w:rsidRDefault="002F64CD" w:rsidP="00032478">
      <w:pPr>
        <w:spacing w:line="360" w:lineRule="auto"/>
      </w:pPr>
      <w:r>
        <w:t>To understand the psychological effects of social media, it is first important to examine the evidence regarding its impact on mental health. Research suggests that the relationship is complex and not simply positive or negative. On one hand, social media offers significant opportunities for social connection. For many young people, especially those who feel isolated or belong to minority groups, online spaces provide access to communities where they can share experiences and receive emotional support (NSPCC, 2022). It can also act as a source of information and education, allowing adolescents to learn about mental health issues and access resources that may be difficult to find in their immediate environment. However, there is also substantial evidence pointing to harmful outcomes. The Royal Society for Public Health (2017) found a clear link between high social media usage and increased levels of anxiety, depression, and poor sleep patterns. Key factors identified include exposure to cyberbullying, which can have severe and long</w:t>
      </w:r>
      <w:r>
        <w:rPr>
          <w:rFonts w:ascii="Cambria Math" w:hAnsi="Cambria Math" w:cs="Cambria Math"/>
        </w:rPr>
        <w:t>‑</w:t>
      </w:r>
      <w:r>
        <w:t>lasting psychological effects, and the phenomenon of social comparison. Platforms are often filled with carefully curated images and lifestyles, creating unrealistic standards of beauty, success, and happiness. Adolescents frequently compare their real lives to these idealised representations, leading to feelings of inadequacy, low self</w:t>
      </w:r>
      <w:r>
        <w:rPr>
          <w:rFonts w:ascii="Cambria Math" w:hAnsi="Cambria Math" w:cs="Cambria Math"/>
        </w:rPr>
        <w:t>‑</w:t>
      </w:r>
      <w:r>
        <w:t>worth, and the belief that they are missing out — a concept often referred to as Fear Of Missing Out (FOMO) (Twenge et al., 2023). Furthermore, the constant availability of social media can disrupt sleep cycles and reduce the time available for face</w:t>
      </w:r>
      <w:r>
        <w:rPr>
          <w:rFonts w:ascii="Cambria Math" w:hAnsi="Cambria Math" w:cs="Cambria Math"/>
        </w:rPr>
        <w:t>‑</w:t>
      </w:r>
      <w:r>
        <w:t>to</w:t>
      </w:r>
      <w:r>
        <w:rPr>
          <w:rFonts w:ascii="Cambria Math" w:hAnsi="Cambria Math" w:cs="Cambria Math"/>
        </w:rPr>
        <w:t>‑</w:t>
      </w:r>
      <w:r>
        <w:t>face interaction, both of which are essential for emotional regulation and healthy development.</w:t>
      </w:r>
    </w:p>
    <w:p w14:paraId="64AE70D3" w14:textId="77777777" w:rsidR="002F64CD" w:rsidRDefault="002F64CD" w:rsidP="00032478">
      <w:pPr>
        <w:spacing w:line="360" w:lineRule="auto"/>
      </w:pPr>
      <w:r>
        <w:t xml:space="preserve"> </w:t>
      </w:r>
    </w:p>
    <w:p w14:paraId="132B44D1" w14:textId="77777777" w:rsidR="002F64CD" w:rsidRDefault="002F64CD" w:rsidP="00032478">
      <w:pPr>
        <w:spacing w:line="360" w:lineRule="auto"/>
      </w:pPr>
      <w:r>
        <w:t>The first theory that helps explain why adolescents are particularly vulnerable or receptive to these influences is Erik Erikson’s Theory of Psychosocial Development. Erikson (1968) proposed that human development occurs across eight distinct stages throughout the lifespan, each defined by a specific psychological conflict or crisis that the individual must resolve. The stage relevant to adolescence is termed Identity versus Role Confusion. Erikson argued that during these years, the primary developmental task is to answer the question: “Who am I?” Adolescents explore different roles, values, beliefs, and social groups as they attempt to build a coherent sense of self. Success in this stage leads to the virtue of fidelity — the ability to commit to others and accept oneself — whereas difficulty resolving it results in role confusion, uncertainty about one’s place in the world, and low self</w:t>
      </w:r>
      <w:r>
        <w:rPr>
          <w:rFonts w:ascii="Cambria Math" w:hAnsi="Cambria Math" w:cs="Cambria Math"/>
        </w:rPr>
        <w:t>‑</w:t>
      </w:r>
      <w:r>
        <w:t>esteem.</w:t>
      </w:r>
    </w:p>
    <w:p w14:paraId="7DFBCA8F" w14:textId="77777777" w:rsidR="002F64CD" w:rsidRDefault="002F64CD" w:rsidP="00032478">
      <w:pPr>
        <w:spacing w:line="360" w:lineRule="auto"/>
      </w:pPr>
      <w:r>
        <w:t xml:space="preserve"> </w:t>
      </w:r>
    </w:p>
    <w:p w14:paraId="3F96B879" w14:textId="77777777" w:rsidR="002F64CD" w:rsidRDefault="002F64CD" w:rsidP="00032478">
      <w:pPr>
        <w:spacing w:line="360" w:lineRule="auto"/>
      </w:pPr>
      <w:r>
        <w:t>Applying this theory to social media reveals why it has such a profound impact. Social media platforms have become modern “theatres” where the work of identity formation takes place. On the positive side, they offer a low</w:t>
      </w:r>
      <w:r>
        <w:rPr>
          <w:rFonts w:ascii="Cambria Math" w:hAnsi="Cambria Math" w:cs="Cambria Math"/>
        </w:rPr>
        <w:t>‑</w:t>
      </w:r>
      <w:r>
        <w:t>risk environment to experiment with different interests, styles, and opinions. Adolescents can join groups related to music, sports, politics, or hobbies, allowing them to explore aspects of their personality that they may feel unable to express at home or school (Bradley and Wildman, 2019). This exploration supports the developmental need described by Erikson and can strengthen identity development. However, social media also creates significant challenges that hinder the resolution of this conflict. Because validation on these platforms is often measured through likes, comments, and shares, adolescents may begin to define their self</w:t>
      </w:r>
      <w:r>
        <w:rPr>
          <w:rFonts w:ascii="Cambria Math" w:hAnsi="Cambria Math" w:cs="Cambria Math"/>
        </w:rPr>
        <w:t>‑</w:t>
      </w:r>
      <w:r>
        <w:t>worth based on external feedback rather than internal values. If an individual receives little interaction or negative feedback, this reinforces role confusion and the belief that they are not valuable or accepted. Additionally, the pressure to present a “perfect” version of oneself creates a gap between the ideal self shown online and the real self experienced offline. Erikson’s theory suggests that such dissonance causes psychological distress, manifesting as anxiety or depression, because the adolescent fails to form a unified and authentic identity.</w:t>
      </w:r>
    </w:p>
    <w:p w14:paraId="142FE2C9" w14:textId="77777777" w:rsidR="002F64CD" w:rsidRDefault="002F64CD" w:rsidP="00032478">
      <w:pPr>
        <w:spacing w:line="360" w:lineRule="auto"/>
      </w:pPr>
      <w:r>
        <w:t xml:space="preserve"> </w:t>
      </w:r>
    </w:p>
    <w:p w14:paraId="0C1BF0EB" w14:textId="77777777" w:rsidR="002F64CD" w:rsidRDefault="002F64CD" w:rsidP="00032478">
      <w:pPr>
        <w:spacing w:line="360" w:lineRule="auto"/>
      </w:pPr>
      <w:r>
        <w:t>When evaluating Erikson’s theory, it remains highly valuable for health and social care practice because it highlights why peer approval and image matter so much to teenagers. It explains that their behaviour online is not merely superficial, but part of a necessary developmental process. However, the theory has limitations. Erikson based his observations on Western cultural contexts in the mid</w:t>
      </w:r>
      <w:r>
        <w:rPr>
          <w:rFonts w:ascii="Cambria Math" w:hAnsi="Cambria Math" w:cs="Cambria Math"/>
        </w:rPr>
        <w:t>‑</w:t>
      </w:r>
      <w:r>
        <w:t>20th century, long before the existence of digital technology. Consequently, he did not anticipate how identity could become fragmented across multiple online profiles or how permanent digital footprints might alter the developmental timeline. Furthermore, Erikson focuses heavily on social and environmental factors (“nurture”), paying less attention to biological or neurological changes that occur in adolescence, which also influence impulse control and emotional stability. Despite these limitations, his framework remains the primary way professionals understand the search for identity and the resulting mental health risks when that search goes wrong.</w:t>
      </w:r>
    </w:p>
    <w:p w14:paraId="26F62E2E" w14:textId="77777777" w:rsidR="002F64CD" w:rsidRDefault="002F64CD" w:rsidP="00032478">
      <w:pPr>
        <w:spacing w:line="360" w:lineRule="auto"/>
      </w:pPr>
      <w:r>
        <w:t xml:space="preserve"> </w:t>
      </w:r>
    </w:p>
    <w:p w14:paraId="4D566723" w14:textId="77777777" w:rsidR="002F64CD" w:rsidRDefault="002F64CD" w:rsidP="00032478">
      <w:pPr>
        <w:spacing w:line="360" w:lineRule="auto"/>
      </w:pPr>
      <w:r>
        <w:t>The second theory that provides essential insight is John Bowlby’s Attachment Theory. Bowlby (1969) argued that the quality of the emotional bond formed between an infant and their primary caregiver creates an internal working model — a set of expectations about oneself, relationships, and the reliability of others. This early attachment style is not fixed, but it tends to remain relatively stable and influences how an individual relates to people throughout their life. Bowlby identified three main styles: secure attachment, where the individual feels worthy of love and trusts others; insecure</w:t>
      </w:r>
      <w:r>
        <w:rPr>
          <w:rFonts w:ascii="Cambria Math" w:hAnsi="Cambria Math" w:cs="Cambria Math"/>
        </w:rPr>
        <w:t>‑</w:t>
      </w:r>
      <w:r>
        <w:t>avoidant attachment, where there is a tendency to distance oneself from others due to fear of rejection; and insecure</w:t>
      </w:r>
      <w:r>
        <w:rPr>
          <w:rFonts w:ascii="Cambria Math" w:hAnsi="Cambria Math" w:cs="Cambria Math"/>
        </w:rPr>
        <w:t>‑</w:t>
      </w:r>
      <w:r>
        <w:t>anxious attachment, characterised by a strong need for closeness but a persistent fear of abandonment or unavailability.</w:t>
      </w:r>
    </w:p>
    <w:p w14:paraId="06BF8E0C" w14:textId="77777777" w:rsidR="002F64CD" w:rsidRDefault="002F64CD" w:rsidP="00032478">
      <w:pPr>
        <w:spacing w:line="360" w:lineRule="auto"/>
      </w:pPr>
      <w:r>
        <w:t xml:space="preserve"> </w:t>
      </w:r>
    </w:p>
    <w:p w14:paraId="7DB91E26" w14:textId="77777777" w:rsidR="002F64CD" w:rsidRDefault="002F64CD" w:rsidP="00032478">
      <w:pPr>
        <w:spacing w:line="360" w:lineRule="auto"/>
      </w:pPr>
      <w:r>
        <w:t>Attachment theory explains why social media affects different adolescents in different ways. For those with a secure attachment style, social media is generally a positive tool. Because they already possess an internal sense of worth and security, they are able to use platforms to maintain friendships and share experiences without becoming overly dependent on them. They are less likely to take negative comments personally and are better able to balance online and offline life. In contrast, adolescents with insecure attachment styles are at much higher risk of poor mental health outcomes. For example, an adolescent with an anxious attachment style has a deep</w:t>
      </w:r>
      <w:r>
        <w:rPr>
          <w:rFonts w:ascii="Cambria Math" w:hAnsi="Cambria Math" w:cs="Cambria Math"/>
        </w:rPr>
        <w:t>‑</w:t>
      </w:r>
      <w:r>
        <w:t>seated fear that they are unlovable or that others will leave them. Social media can exacerbate these feelings; if a friend does not reply immediately or posts photos from an event they were not invited to, this is interpreted as confirmation of rejection (NSPCC, 2022). Such individuals may engage in excessive monitoring of others or post frequently to seek reassurance, yet never feel truly satisfied or secure. Additionally, online communication lacks the non</w:t>
      </w:r>
      <w:r>
        <w:rPr>
          <w:rFonts w:ascii="Cambria Math" w:hAnsi="Cambria Math" w:cs="Cambria Math"/>
        </w:rPr>
        <w:t>‑</w:t>
      </w:r>
      <w:r>
        <w:t>verbal cues — such as tone of voice, facial expression, and physical touch — that Bowlby identified as essential for emotional regulation and building trust. For vulnerable young people, relying on text</w:t>
      </w:r>
      <w:r>
        <w:rPr>
          <w:rFonts w:ascii="Cambria Math" w:hAnsi="Cambria Math" w:cs="Cambria Math"/>
        </w:rPr>
        <w:t>‑</w:t>
      </w:r>
      <w:r>
        <w:t>based interaction can weaken the quality of relationships and increase feelings of isolation and loneliness, which are precursors to depression.</w:t>
      </w:r>
    </w:p>
    <w:p w14:paraId="41C6960F" w14:textId="77777777" w:rsidR="002F64CD" w:rsidRDefault="002F64CD" w:rsidP="00032478">
      <w:pPr>
        <w:spacing w:line="360" w:lineRule="auto"/>
      </w:pPr>
      <w:r>
        <w:t xml:space="preserve"> </w:t>
      </w:r>
    </w:p>
    <w:p w14:paraId="7A7799D5" w14:textId="77777777" w:rsidR="002F64CD" w:rsidRDefault="002F64CD" w:rsidP="00032478">
      <w:pPr>
        <w:spacing w:line="360" w:lineRule="auto"/>
      </w:pPr>
      <w:r>
        <w:t>When evaluating Bowlby’s theory, it offers a strong explanation for individual differences in vulnerability, showing that social media does not affect everyone equally but interacts with existing patterns of relating to others. It is widely applied in health and social care to understand relationship difficulties and emotional needs. However, it also has limitations. It can be seen as somewhat deterministic, implying that early experiences set a lifelong pattern; modern research shows that attachment styles can change and improve through positive relationships, therapy, and supportive environments later in life (Gross, 2020). Furthermore, the theory focuses primarily on close, intimate relationships and does not fully account for the influence of large peer groups, online communities, or the commercial design of social media platforms, which also shape how young people interact and feel.</w:t>
      </w:r>
    </w:p>
    <w:p w14:paraId="59557F28" w14:textId="77777777" w:rsidR="002F64CD" w:rsidRDefault="002F64CD" w:rsidP="00032478">
      <w:pPr>
        <w:spacing w:line="360" w:lineRule="auto"/>
      </w:pPr>
      <w:r>
        <w:t xml:space="preserve"> </w:t>
      </w:r>
    </w:p>
    <w:p w14:paraId="3FFC0842" w14:textId="77777777" w:rsidR="002F64CD" w:rsidRDefault="002F64CD" w:rsidP="00032478">
      <w:pPr>
        <w:spacing w:line="360" w:lineRule="auto"/>
      </w:pPr>
      <w:r>
        <w:t>When considered together, these two theories offer a comprehensive picture. Erikson describes the goal of adolescence: finding oneself and one’s place. Bowlby describes the foundation: the security or insecurity with which the adolescent approaches that goal. Social media interacts with both. It provides the tools and the audience for identity formation, but it does so in an environment where feedback is public, quantifiable, and often unkind. Furthermore, biological changes in the adolescent brain make the reward system highly sensitive to social feedback, while environmental factors such as family support or peer culture determine whether that feedback is interpreted positively or negatively. This interaction of nature and nurture determines the ultimate impact on mental health.</w:t>
      </w:r>
    </w:p>
    <w:p w14:paraId="42D5A6F1" w14:textId="77777777" w:rsidR="002F64CD" w:rsidRDefault="002F64CD" w:rsidP="00032478">
      <w:pPr>
        <w:spacing w:line="360" w:lineRule="auto"/>
      </w:pPr>
      <w:r>
        <w:t xml:space="preserve"> </w:t>
      </w:r>
    </w:p>
    <w:p w14:paraId="197232A9" w14:textId="77777777" w:rsidR="002F64CD" w:rsidRDefault="002F64CD" w:rsidP="00032478">
      <w:pPr>
        <w:spacing w:line="360" w:lineRule="auto"/>
      </w:pPr>
      <w:r>
        <w:t>In conclusion, the impact of social media on mental health in adolescence is significant but highly individual, acting as both a powerful opportunity for development and a major source of psychological risk. Research confirms that while it facilitates connection and identity exploration, it is also strongly associated with anxiety, depression, and low self</w:t>
      </w:r>
      <w:r>
        <w:rPr>
          <w:rFonts w:ascii="Cambria Math" w:hAnsi="Cambria Math" w:cs="Cambria Math"/>
        </w:rPr>
        <w:t>‑</w:t>
      </w:r>
      <w:r>
        <w:t>esteem, driven by issues such as cyberbullying, social comparison, and sleep loss. Through the lens of Erikson’s psychosocial theory, it becomes clear that social media has become the central arena for the adolescent task of identity formation. When used to explore interests and connect with peers, it supports healthy development; however, when self</w:t>
      </w:r>
      <w:r>
        <w:rPr>
          <w:rFonts w:ascii="Cambria Math" w:hAnsi="Cambria Math" w:cs="Cambria Math"/>
        </w:rPr>
        <w:t>‑</w:t>
      </w:r>
      <w:r>
        <w:t>worth becomes tied to online validation, it leads to role confusion and distress. Bowlby’s attachment theory further explains why these outcomes vary so widely: securely attached adolescents tend to thrive or cope well online, whereas those with insecure patterns find their anxieties about rejection and abandonment are amplified in the digital world. Although both theories have limitations, together these frameworks are vital for health and social care practice. They enable professionals to understand that “screen time” is not just a habit, but a psychological process. Effective support involves helping young people use digital tools to build a secure and authentic sense of self, ensuring that social media supports rather than damages their mental well</w:t>
      </w:r>
      <w:r>
        <w:rPr>
          <w:rFonts w:ascii="Cambria Math" w:hAnsi="Cambria Math" w:cs="Cambria Math"/>
        </w:rPr>
        <w:t>‑</w:t>
      </w:r>
      <w:r>
        <w:t>being.</w:t>
      </w:r>
    </w:p>
    <w:p w14:paraId="4D0E3F55" w14:textId="77777777" w:rsidR="002F64CD" w:rsidRDefault="002F64CD" w:rsidP="00032478">
      <w:pPr>
        <w:spacing w:line="360" w:lineRule="auto"/>
      </w:pPr>
      <w:r>
        <w:t xml:space="preserve"> </w:t>
      </w:r>
    </w:p>
    <w:p w14:paraId="36A073B9" w14:textId="77777777" w:rsidR="002F64CD" w:rsidRDefault="002F64CD" w:rsidP="00032478">
      <w:pPr>
        <w:spacing w:line="360" w:lineRule="auto"/>
      </w:pPr>
      <w:r>
        <w:t> </w:t>
      </w:r>
    </w:p>
    <w:p w14:paraId="448463DD" w14:textId="77777777" w:rsidR="002F64CD" w:rsidRDefault="002F64CD" w:rsidP="00032478">
      <w:pPr>
        <w:spacing w:line="360" w:lineRule="auto"/>
      </w:pPr>
      <w:r>
        <w:t xml:space="preserve"> </w:t>
      </w:r>
    </w:p>
    <w:p w14:paraId="25F7DF17" w14:textId="77777777" w:rsidR="002F64CD" w:rsidRDefault="002F64CD" w:rsidP="00032478">
      <w:pPr>
        <w:spacing w:line="360" w:lineRule="auto"/>
      </w:pPr>
      <w:r>
        <w:t>References</w:t>
      </w:r>
    </w:p>
    <w:p w14:paraId="31364BF9" w14:textId="77777777" w:rsidR="002F64CD" w:rsidRDefault="002F64CD" w:rsidP="00032478">
      <w:pPr>
        <w:spacing w:line="360" w:lineRule="auto"/>
      </w:pPr>
      <w:r>
        <w:t xml:space="preserve"> </w:t>
      </w:r>
    </w:p>
    <w:p w14:paraId="0B0D6867" w14:textId="77777777" w:rsidR="002F64CD" w:rsidRDefault="002F64CD" w:rsidP="00032478">
      <w:pPr>
        <w:spacing w:line="360" w:lineRule="auto"/>
      </w:pPr>
      <w:r>
        <w:t>Bowlby, J. (1969) Attachment and Loss: Volume 1, Attachment. London: Hogarth Press.</w:t>
      </w:r>
    </w:p>
    <w:p w14:paraId="1C6ADBD6" w14:textId="77777777" w:rsidR="002F64CD" w:rsidRDefault="002F64CD" w:rsidP="00032478">
      <w:pPr>
        <w:spacing w:line="360" w:lineRule="auto"/>
      </w:pPr>
      <w:r>
        <w:t xml:space="preserve"> </w:t>
      </w:r>
    </w:p>
    <w:p w14:paraId="4A805EDC" w14:textId="77777777" w:rsidR="002F64CD" w:rsidRDefault="002F64CD" w:rsidP="00032478">
      <w:pPr>
        <w:spacing w:line="360" w:lineRule="auto"/>
      </w:pPr>
      <w:r>
        <w:t>Bradley, S. and Wildman, K. (2019) Psychology for Health and Social Care. 2nd edn. Exeter: Learning Matters.</w:t>
      </w:r>
    </w:p>
    <w:p w14:paraId="39C3E7A7" w14:textId="77777777" w:rsidR="002F64CD" w:rsidRDefault="002F64CD" w:rsidP="00032478">
      <w:pPr>
        <w:spacing w:line="360" w:lineRule="auto"/>
      </w:pPr>
      <w:r>
        <w:t xml:space="preserve"> </w:t>
      </w:r>
    </w:p>
    <w:p w14:paraId="2B9AC151" w14:textId="77777777" w:rsidR="002F64CD" w:rsidRDefault="002F64CD" w:rsidP="00032478">
      <w:pPr>
        <w:spacing w:line="360" w:lineRule="auto"/>
      </w:pPr>
      <w:r>
        <w:t>Erikson, E.H. (1968) Identity: Youth and Crisis. New York: W.W. Norton &amp; Company.</w:t>
      </w:r>
    </w:p>
    <w:p w14:paraId="6AF71D7C" w14:textId="77777777" w:rsidR="002F64CD" w:rsidRDefault="002F64CD" w:rsidP="00032478">
      <w:pPr>
        <w:spacing w:line="360" w:lineRule="auto"/>
      </w:pPr>
      <w:r>
        <w:t xml:space="preserve"> </w:t>
      </w:r>
    </w:p>
    <w:p w14:paraId="25330ED1" w14:textId="77777777" w:rsidR="002F64CD" w:rsidRDefault="002F64CD" w:rsidP="00032478">
      <w:pPr>
        <w:spacing w:line="360" w:lineRule="auto"/>
      </w:pPr>
      <w:r>
        <w:t>Gross, R. (2020) Psychology: The Science of Mind and Behaviour. 7th edn. London: Hodder Education.</w:t>
      </w:r>
    </w:p>
    <w:p w14:paraId="32CC29A4" w14:textId="77777777" w:rsidR="002F64CD" w:rsidRDefault="002F64CD" w:rsidP="00032478">
      <w:pPr>
        <w:spacing w:line="360" w:lineRule="auto"/>
      </w:pPr>
      <w:r>
        <w:t xml:space="preserve"> </w:t>
      </w:r>
    </w:p>
    <w:p w14:paraId="5D663784" w14:textId="77777777" w:rsidR="002F64CD" w:rsidRDefault="002F64CD" w:rsidP="00032478">
      <w:pPr>
        <w:spacing w:line="360" w:lineRule="auto"/>
      </w:pPr>
      <w:r>
        <w:t>NSPCC (2022) Online Risks to Children and Young People: A Review of Current Evidence. London: National Society for the Prevention of Cruelty to Children.</w:t>
      </w:r>
    </w:p>
    <w:p w14:paraId="356CB2F9" w14:textId="77777777" w:rsidR="002F64CD" w:rsidRDefault="002F64CD" w:rsidP="00032478">
      <w:pPr>
        <w:spacing w:line="360" w:lineRule="auto"/>
      </w:pPr>
      <w:r>
        <w:t xml:space="preserve"> </w:t>
      </w:r>
    </w:p>
    <w:p w14:paraId="261AC324" w14:textId="77777777" w:rsidR="002F64CD" w:rsidRPr="004562D4" w:rsidRDefault="002F64CD" w:rsidP="00032478">
      <w:pPr>
        <w:spacing w:line="360" w:lineRule="auto"/>
        <w:rPr>
          <w:rFonts w:ascii="Arial" w:hAnsi="Arial" w:cs="Arial"/>
          <w:sz w:val="22"/>
          <w:szCs w:val="22"/>
        </w:rPr>
      </w:pPr>
      <w:r>
        <w:t>Ofcom (2023) Children and Parents: Media Use and Attitudes Report. London: Office of Communications.</w:t>
      </w:r>
    </w:p>
    <w:p w14:paraId="6BBCF6E5" w14:textId="77777777" w:rsidR="002F64CD" w:rsidRDefault="002F64CD" w:rsidP="00032478">
      <w:pPr>
        <w:spacing w:line="360" w:lineRule="auto"/>
      </w:pPr>
      <w:r>
        <w:t xml:space="preserve"> </w:t>
      </w:r>
    </w:p>
    <w:p w14:paraId="4B589F95" w14:textId="77777777" w:rsidR="002F64CD" w:rsidRDefault="002F64CD" w:rsidP="00032478">
      <w:pPr>
        <w:spacing w:line="360" w:lineRule="auto"/>
      </w:pPr>
      <w:r>
        <w:t>Royal Society for Public Health (2017) #StatusOfMind: Social Media and Young People’s Mental Health and Wellbeing. London: RSPH.</w:t>
      </w:r>
    </w:p>
    <w:p w14:paraId="21EF02A7" w14:textId="77777777" w:rsidR="002F64CD" w:rsidRDefault="002F64CD" w:rsidP="00032478">
      <w:pPr>
        <w:spacing w:line="360" w:lineRule="auto"/>
      </w:pPr>
      <w:r>
        <w:t xml:space="preserve"> </w:t>
      </w:r>
    </w:p>
    <w:p w14:paraId="69458D3E" w14:textId="77777777" w:rsidR="002F64CD" w:rsidRDefault="002F64CD" w:rsidP="00032478">
      <w:pPr>
        <w:spacing w:line="360" w:lineRule="auto"/>
      </w:pPr>
      <w:r>
        <w:t>Twenge, J.M., Campbell, W.K. and Cooper, B. (2023) ‘Social media use and adolescent mental health: Evidence from large</w:t>
      </w:r>
      <w:r>
        <w:rPr>
          <w:rFonts w:ascii="Cambria Math" w:hAnsi="Cambria Math" w:cs="Cambria Math"/>
        </w:rPr>
        <w:t>‑</w:t>
      </w:r>
      <w:r>
        <w:t>scale national data’, Journal of the American Academy of Child &amp; Adolescent Psychiatry, 62(1), pp. 78–86.</w:t>
      </w:r>
    </w:p>
    <w:sectPr w:rsidR="002F64CD">
      <w:footerReference w:type="even"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6C2B6" w14:textId="77777777" w:rsidR="003F2B43" w:rsidRDefault="003F2B43" w:rsidP="00461D82">
      <w:pPr>
        <w:spacing w:after="0" w:line="240" w:lineRule="auto"/>
      </w:pPr>
      <w:r>
        <w:separator/>
      </w:r>
    </w:p>
  </w:endnote>
  <w:endnote w:type="continuationSeparator" w:id="0">
    <w:p w14:paraId="54281048" w14:textId="77777777" w:rsidR="003F2B43" w:rsidRDefault="003F2B43" w:rsidP="00461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2307279"/>
      <w:docPartObj>
        <w:docPartGallery w:val="Page Numbers (Bottom of Page)"/>
        <w:docPartUnique/>
      </w:docPartObj>
    </w:sdtPr>
    <w:sdtContent>
      <w:p w14:paraId="0AD24F83" w14:textId="769A48F3" w:rsidR="00461D82" w:rsidRDefault="00461D82" w:rsidP="00890390">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179267" w14:textId="77777777" w:rsidR="00461D82" w:rsidRDefault="00461D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4365352"/>
      <w:docPartObj>
        <w:docPartGallery w:val="Page Numbers (Bottom of Page)"/>
        <w:docPartUnique/>
      </w:docPartObj>
    </w:sdtPr>
    <w:sdtContent>
      <w:p w14:paraId="69B1553F" w14:textId="09A9BE6F" w:rsidR="00461D82" w:rsidRDefault="00461D82" w:rsidP="00890390">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38284982" w14:textId="77777777" w:rsidR="00461D82" w:rsidRDefault="00461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BAFA2" w14:textId="77777777" w:rsidR="003F2B43" w:rsidRDefault="003F2B43" w:rsidP="00461D82">
      <w:pPr>
        <w:spacing w:after="0" w:line="240" w:lineRule="auto"/>
      </w:pPr>
      <w:r>
        <w:separator/>
      </w:r>
    </w:p>
  </w:footnote>
  <w:footnote w:type="continuationSeparator" w:id="0">
    <w:p w14:paraId="232E55DA" w14:textId="77777777" w:rsidR="003F2B43" w:rsidRDefault="003F2B43" w:rsidP="00461D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4CD"/>
    <w:rsid w:val="00032478"/>
    <w:rsid w:val="00273AAC"/>
    <w:rsid w:val="002F64CD"/>
    <w:rsid w:val="003F2B43"/>
    <w:rsid w:val="004562D4"/>
    <w:rsid w:val="00461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1022C7"/>
  <w15:chartTrackingRefBased/>
  <w15:docId w15:val="{9CFA83FF-CC11-AC4A-8960-1E73FDA11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4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64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64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64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64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64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64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64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64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4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64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64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64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64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64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64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64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64CD"/>
    <w:rPr>
      <w:rFonts w:eastAsiaTheme="majorEastAsia" w:cstheme="majorBidi"/>
      <w:color w:val="272727" w:themeColor="text1" w:themeTint="D8"/>
    </w:rPr>
  </w:style>
  <w:style w:type="paragraph" w:styleId="Title">
    <w:name w:val="Title"/>
    <w:basedOn w:val="Normal"/>
    <w:next w:val="Normal"/>
    <w:link w:val="TitleChar"/>
    <w:uiPriority w:val="10"/>
    <w:qFormat/>
    <w:rsid w:val="002F64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64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64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64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64CD"/>
    <w:pPr>
      <w:spacing w:before="160"/>
      <w:jc w:val="center"/>
    </w:pPr>
    <w:rPr>
      <w:i/>
      <w:iCs/>
      <w:color w:val="404040" w:themeColor="text1" w:themeTint="BF"/>
    </w:rPr>
  </w:style>
  <w:style w:type="character" w:customStyle="1" w:styleId="QuoteChar">
    <w:name w:val="Quote Char"/>
    <w:basedOn w:val="DefaultParagraphFont"/>
    <w:link w:val="Quote"/>
    <w:uiPriority w:val="29"/>
    <w:rsid w:val="002F64CD"/>
    <w:rPr>
      <w:i/>
      <w:iCs/>
      <w:color w:val="404040" w:themeColor="text1" w:themeTint="BF"/>
    </w:rPr>
  </w:style>
  <w:style w:type="paragraph" w:styleId="ListParagraph">
    <w:name w:val="List Paragraph"/>
    <w:basedOn w:val="Normal"/>
    <w:uiPriority w:val="34"/>
    <w:qFormat/>
    <w:rsid w:val="002F64CD"/>
    <w:pPr>
      <w:ind w:left="720"/>
      <w:contextualSpacing/>
    </w:pPr>
  </w:style>
  <w:style w:type="character" w:styleId="IntenseEmphasis">
    <w:name w:val="Intense Emphasis"/>
    <w:basedOn w:val="DefaultParagraphFont"/>
    <w:uiPriority w:val="21"/>
    <w:qFormat/>
    <w:rsid w:val="002F64CD"/>
    <w:rPr>
      <w:i/>
      <w:iCs/>
      <w:color w:val="0F4761" w:themeColor="accent1" w:themeShade="BF"/>
    </w:rPr>
  </w:style>
  <w:style w:type="paragraph" w:styleId="IntenseQuote">
    <w:name w:val="Intense Quote"/>
    <w:basedOn w:val="Normal"/>
    <w:next w:val="Normal"/>
    <w:link w:val="IntenseQuoteChar"/>
    <w:uiPriority w:val="30"/>
    <w:qFormat/>
    <w:rsid w:val="002F64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64CD"/>
    <w:rPr>
      <w:i/>
      <w:iCs/>
      <w:color w:val="0F4761" w:themeColor="accent1" w:themeShade="BF"/>
    </w:rPr>
  </w:style>
  <w:style w:type="character" w:styleId="IntenseReference">
    <w:name w:val="Intense Reference"/>
    <w:basedOn w:val="DefaultParagraphFont"/>
    <w:uiPriority w:val="32"/>
    <w:qFormat/>
    <w:rsid w:val="002F64CD"/>
    <w:rPr>
      <w:b/>
      <w:bCs/>
      <w:smallCaps/>
      <w:color w:val="0F4761" w:themeColor="accent1" w:themeShade="BF"/>
      <w:spacing w:val="5"/>
    </w:rPr>
  </w:style>
  <w:style w:type="paragraph" w:styleId="Header">
    <w:name w:val="header"/>
    <w:basedOn w:val="Normal"/>
    <w:link w:val="HeaderChar"/>
    <w:uiPriority w:val="99"/>
    <w:unhideWhenUsed/>
    <w:rsid w:val="00461D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1D82"/>
  </w:style>
  <w:style w:type="paragraph" w:styleId="Footer">
    <w:name w:val="footer"/>
    <w:basedOn w:val="Normal"/>
    <w:link w:val="FooterChar"/>
    <w:uiPriority w:val="99"/>
    <w:unhideWhenUsed/>
    <w:rsid w:val="00461D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D82"/>
  </w:style>
  <w:style w:type="character" w:styleId="PageNumber">
    <w:name w:val="page number"/>
    <w:basedOn w:val="DefaultParagraphFont"/>
    <w:uiPriority w:val="99"/>
    <w:semiHidden/>
    <w:unhideWhenUsed/>
    <w:rsid w:val="00461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2012</Words>
  <Characters>11475</Characters>
  <Application>Microsoft Office Word</Application>
  <DocSecurity>0</DocSecurity>
  <Lines>95</Lines>
  <Paragraphs>26</Paragraphs>
  <ScaleCrop>false</ScaleCrop>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khan</dc:creator>
  <cp:keywords/>
  <dc:description/>
  <cp:lastModifiedBy>Safa khan</cp:lastModifiedBy>
  <cp:revision>5</cp:revision>
  <dcterms:created xsi:type="dcterms:W3CDTF">2026-06-23T15:06:00Z</dcterms:created>
  <dcterms:modified xsi:type="dcterms:W3CDTF">2026-06-23T15:12:00Z</dcterms:modified>
</cp:coreProperties>
</file>