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9DDED" w14:textId="77777777" w:rsidR="007A5008" w:rsidRDefault="007A5008" w:rsidP="004B4FAE">
      <w:pPr>
        <w:spacing w:line="360" w:lineRule="auto"/>
        <w:rPr>
          <w:rFonts w:ascii="Arial" w:hAnsi="Arial" w:cs="Arial"/>
          <w:b/>
          <w:bCs/>
          <w:sz w:val="28"/>
          <w:szCs w:val="28"/>
          <w:u w:val="single"/>
          <w:lang w:val="en-US"/>
        </w:rPr>
      </w:pPr>
      <w:r>
        <w:rPr>
          <w:rFonts w:ascii="Arial" w:hAnsi="Arial" w:cs="Arial"/>
          <w:b/>
          <w:bCs/>
          <w:noProof/>
          <w:sz w:val="28"/>
          <w:szCs w:val="28"/>
          <w:u w:val="single"/>
          <w:lang w:val="en-US"/>
        </w:rPr>
        <w:drawing>
          <wp:inline distT="0" distB="0" distL="0" distR="0" wp14:anchorId="7E53A8E9" wp14:editId="2F2D5357">
            <wp:extent cx="2526453" cy="1447406"/>
            <wp:effectExtent l="0" t="0" r="7620" b="635"/>
            <wp:docPr id="187461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1876" name="Picture 1874618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30766" cy="1449877"/>
                    </a:xfrm>
                    <a:prstGeom prst="rect">
                      <a:avLst/>
                    </a:prstGeom>
                  </pic:spPr>
                </pic:pic>
              </a:graphicData>
            </a:graphic>
          </wp:inline>
        </w:drawing>
      </w:r>
    </w:p>
    <w:p w14:paraId="56D2D9A6" w14:textId="77777777" w:rsidR="007A5008" w:rsidRDefault="007A5008" w:rsidP="008A31D3">
      <w:pPr>
        <w:spacing w:line="600" w:lineRule="auto"/>
        <w:rPr>
          <w:rFonts w:ascii="Arial" w:hAnsi="Arial" w:cs="Arial"/>
          <w:b/>
          <w:bCs/>
          <w:sz w:val="28"/>
          <w:szCs w:val="28"/>
          <w:u w:val="single"/>
          <w:lang w:val="en-US"/>
        </w:rPr>
      </w:pPr>
    </w:p>
    <w:p w14:paraId="2822CAF0" w14:textId="2B113D06" w:rsidR="007A5008" w:rsidRPr="00DC6CEC" w:rsidRDefault="007A5008" w:rsidP="008A31D3">
      <w:pPr>
        <w:spacing w:line="600" w:lineRule="auto"/>
        <w:rPr>
          <w:rFonts w:ascii="Arial" w:hAnsi="Arial" w:cs="Arial"/>
          <w:b/>
          <w:bCs/>
          <w:sz w:val="28"/>
          <w:szCs w:val="28"/>
        </w:rPr>
      </w:pPr>
      <w:r>
        <w:rPr>
          <w:rFonts w:ascii="Arial" w:hAnsi="Arial" w:cs="Arial"/>
          <w:b/>
          <w:bCs/>
          <w:sz w:val="28"/>
          <w:szCs w:val="28"/>
        </w:rPr>
        <w:t>TITLE:</w:t>
      </w:r>
      <w:r w:rsidRPr="007A5008">
        <w:t xml:space="preserve"> </w:t>
      </w:r>
      <w:r w:rsidR="001F5E96" w:rsidRPr="00DC6CEC">
        <w:rPr>
          <w:rFonts w:ascii="Arial" w:hAnsi="Arial" w:cs="Arial"/>
          <w:b/>
          <w:bCs/>
          <w:sz w:val="28"/>
          <w:szCs w:val="28"/>
        </w:rPr>
        <w:t>Component 2 Written Research Proposal</w:t>
      </w:r>
    </w:p>
    <w:p w14:paraId="21E0D520" w14:textId="443C0189" w:rsidR="007A5008" w:rsidRPr="00B72B53" w:rsidRDefault="007A5008" w:rsidP="008A31D3">
      <w:pPr>
        <w:spacing w:line="600" w:lineRule="auto"/>
        <w:rPr>
          <w:rFonts w:ascii="Arial" w:hAnsi="Arial" w:cs="Arial"/>
          <w:b/>
          <w:bCs/>
          <w:sz w:val="28"/>
          <w:szCs w:val="28"/>
        </w:rPr>
      </w:pPr>
      <w:r w:rsidRPr="00B72B53">
        <w:rPr>
          <w:rFonts w:ascii="Arial" w:hAnsi="Arial" w:cs="Arial"/>
          <w:b/>
          <w:bCs/>
          <w:sz w:val="28"/>
          <w:szCs w:val="28"/>
        </w:rPr>
        <w:t xml:space="preserve">MODULE: </w:t>
      </w:r>
      <w:r w:rsidR="001F5E96">
        <w:rPr>
          <w:rFonts w:ascii="Arial" w:hAnsi="Arial" w:cs="Arial"/>
          <w:b/>
          <w:bCs/>
          <w:sz w:val="28"/>
          <w:szCs w:val="28"/>
        </w:rPr>
        <w:t>Practice-Based</w:t>
      </w:r>
      <w:r w:rsidR="001F5E96" w:rsidRPr="007A5008">
        <w:rPr>
          <w:rFonts w:ascii="Arial" w:hAnsi="Arial" w:cs="Arial"/>
          <w:b/>
          <w:bCs/>
          <w:sz w:val="28"/>
          <w:szCs w:val="28"/>
        </w:rPr>
        <w:t xml:space="preserve"> Research</w:t>
      </w:r>
    </w:p>
    <w:p w14:paraId="495CE7D1" w14:textId="15D3CFD0" w:rsidR="007A5008" w:rsidRPr="00B72B53" w:rsidRDefault="007A5008" w:rsidP="008A31D3">
      <w:pPr>
        <w:spacing w:line="600" w:lineRule="auto"/>
        <w:rPr>
          <w:rFonts w:ascii="Arial" w:hAnsi="Arial" w:cs="Arial"/>
          <w:b/>
          <w:bCs/>
          <w:sz w:val="28"/>
          <w:szCs w:val="28"/>
        </w:rPr>
      </w:pPr>
      <w:r w:rsidRPr="00B72B53">
        <w:rPr>
          <w:rFonts w:ascii="Arial" w:hAnsi="Arial" w:cs="Arial"/>
          <w:b/>
          <w:bCs/>
          <w:sz w:val="28"/>
          <w:szCs w:val="28"/>
        </w:rPr>
        <w:t>(LCHS700</w:t>
      </w:r>
      <w:r w:rsidR="00DC6CEC">
        <w:rPr>
          <w:rFonts w:ascii="Arial" w:hAnsi="Arial" w:cs="Arial"/>
          <w:b/>
          <w:bCs/>
          <w:sz w:val="28"/>
          <w:szCs w:val="28"/>
        </w:rPr>
        <w:t>8</w:t>
      </w:r>
      <w:r w:rsidRPr="00B72B53">
        <w:rPr>
          <w:rFonts w:ascii="Arial" w:hAnsi="Arial" w:cs="Arial"/>
          <w:b/>
          <w:bCs/>
          <w:sz w:val="28"/>
          <w:szCs w:val="28"/>
        </w:rPr>
        <w:t>)</w:t>
      </w:r>
    </w:p>
    <w:p w14:paraId="0C3629CD" w14:textId="77777777" w:rsidR="007A5008" w:rsidRPr="00B72B53" w:rsidRDefault="007A5008" w:rsidP="008A31D3">
      <w:pPr>
        <w:spacing w:line="600" w:lineRule="auto"/>
        <w:rPr>
          <w:rFonts w:ascii="Arial" w:hAnsi="Arial" w:cs="Arial"/>
          <w:b/>
          <w:bCs/>
          <w:sz w:val="28"/>
          <w:szCs w:val="28"/>
        </w:rPr>
      </w:pPr>
      <w:r w:rsidRPr="00B72B53">
        <w:rPr>
          <w:rFonts w:ascii="Arial" w:hAnsi="Arial" w:cs="Arial"/>
          <w:b/>
          <w:bCs/>
          <w:sz w:val="28"/>
          <w:szCs w:val="28"/>
        </w:rPr>
        <w:t>STUDENT NAME: IRENE ANNA PRADEESH</w:t>
      </w:r>
    </w:p>
    <w:p w14:paraId="14EE4E07" w14:textId="77777777" w:rsidR="007A5008" w:rsidRPr="00B72B53" w:rsidRDefault="007A5008" w:rsidP="008A31D3">
      <w:pPr>
        <w:spacing w:line="600" w:lineRule="auto"/>
        <w:rPr>
          <w:rFonts w:ascii="Arial" w:hAnsi="Arial" w:cs="Arial"/>
          <w:b/>
          <w:bCs/>
          <w:sz w:val="28"/>
          <w:szCs w:val="28"/>
        </w:rPr>
      </w:pPr>
      <w:r w:rsidRPr="00B72B53">
        <w:rPr>
          <w:rFonts w:ascii="Arial" w:hAnsi="Arial" w:cs="Arial"/>
          <w:b/>
          <w:bCs/>
          <w:sz w:val="28"/>
          <w:szCs w:val="28"/>
        </w:rPr>
        <w:t>STUDENT ID: 2430629</w:t>
      </w:r>
    </w:p>
    <w:p w14:paraId="153430FF" w14:textId="282ED3CF" w:rsidR="007A5008" w:rsidRDefault="007A5008" w:rsidP="008A31D3">
      <w:pPr>
        <w:spacing w:line="600" w:lineRule="auto"/>
        <w:rPr>
          <w:rFonts w:ascii="Arial" w:hAnsi="Arial" w:cs="Arial"/>
          <w:b/>
          <w:bCs/>
          <w:sz w:val="28"/>
          <w:szCs w:val="28"/>
        </w:rPr>
      </w:pPr>
      <w:r>
        <w:rPr>
          <w:rFonts w:ascii="Arial" w:hAnsi="Arial" w:cs="Arial"/>
          <w:b/>
          <w:bCs/>
          <w:sz w:val="28"/>
          <w:szCs w:val="28"/>
        </w:rPr>
        <w:t>LECTURER:</w:t>
      </w:r>
      <w:r w:rsidR="00DC6CEC">
        <w:rPr>
          <w:rFonts w:ascii="Arial" w:hAnsi="Arial" w:cs="Arial"/>
          <w:b/>
          <w:bCs/>
          <w:sz w:val="28"/>
          <w:szCs w:val="28"/>
        </w:rPr>
        <w:t xml:space="preserve"> </w:t>
      </w:r>
      <w:r w:rsidR="002D6EA7">
        <w:rPr>
          <w:rFonts w:ascii="Arial" w:hAnsi="Arial" w:cs="Arial"/>
          <w:b/>
          <w:bCs/>
          <w:sz w:val="28"/>
          <w:szCs w:val="28"/>
        </w:rPr>
        <w:t>Dr</w:t>
      </w:r>
      <w:r w:rsidR="00DC6CEC" w:rsidRPr="00DC6CEC">
        <w:rPr>
          <w:rFonts w:ascii="Arial" w:hAnsi="Arial" w:cs="Arial"/>
          <w:b/>
          <w:bCs/>
          <w:sz w:val="28"/>
          <w:szCs w:val="28"/>
        </w:rPr>
        <w:t xml:space="preserve"> Diola Bijlhout</w:t>
      </w:r>
    </w:p>
    <w:p w14:paraId="3C5379E3" w14:textId="60A7AA46" w:rsidR="00E44D60" w:rsidRPr="002821D2" w:rsidRDefault="00962729" w:rsidP="002821D2">
      <w:pPr>
        <w:spacing w:line="600" w:lineRule="auto"/>
        <w:rPr>
          <w:rFonts w:ascii="Arial" w:hAnsi="Arial" w:cs="Arial"/>
          <w:b/>
          <w:bCs/>
          <w:sz w:val="28"/>
          <w:szCs w:val="28"/>
          <w:u w:val="single"/>
          <w:lang w:val="en-US"/>
        </w:rPr>
      </w:pPr>
      <w:r w:rsidRPr="002821D2">
        <w:rPr>
          <w:rFonts w:ascii="Arial" w:hAnsi="Arial" w:cs="Arial"/>
          <w:b/>
          <w:bCs/>
          <w:sz w:val="28"/>
          <w:szCs w:val="28"/>
          <w:u w:val="single"/>
          <w:lang w:val="en-US"/>
        </w:rPr>
        <w:t>TITLE OF THE PROPOSED STUDY</w:t>
      </w:r>
    </w:p>
    <w:p w14:paraId="6AAD2E78" w14:textId="68360AC4" w:rsidR="00962729" w:rsidRDefault="0065469B" w:rsidP="004B4FAE">
      <w:pPr>
        <w:spacing w:line="360" w:lineRule="auto"/>
        <w:jc w:val="both"/>
        <w:rPr>
          <w:rFonts w:ascii="Arial" w:hAnsi="Arial" w:cs="Arial"/>
          <w:lang w:val="en-US"/>
        </w:rPr>
      </w:pPr>
      <w:r w:rsidRPr="00403F87">
        <w:rPr>
          <w:rFonts w:ascii="Arial" w:hAnsi="Arial" w:cs="Arial"/>
          <w:lang w:val="en-US"/>
        </w:rPr>
        <w:t xml:space="preserve">A </w:t>
      </w:r>
      <w:r w:rsidR="002821D2">
        <w:rPr>
          <w:rFonts w:ascii="Arial" w:hAnsi="Arial" w:cs="Arial"/>
          <w:lang w:val="en-US"/>
        </w:rPr>
        <w:t xml:space="preserve">critical evaluation </w:t>
      </w:r>
      <w:r w:rsidR="002D6EA7">
        <w:rPr>
          <w:rFonts w:ascii="Arial" w:hAnsi="Arial" w:cs="Arial"/>
          <w:lang w:val="en-US"/>
        </w:rPr>
        <w:t>of the effectiveness</w:t>
      </w:r>
      <w:r w:rsidR="00364D06">
        <w:rPr>
          <w:rFonts w:ascii="Arial" w:hAnsi="Arial" w:cs="Arial"/>
          <w:lang w:val="en-US"/>
        </w:rPr>
        <w:t xml:space="preserve"> and implementation </w:t>
      </w:r>
      <w:r w:rsidR="002D6EA7">
        <w:rPr>
          <w:rFonts w:ascii="Arial" w:hAnsi="Arial" w:cs="Arial"/>
          <w:lang w:val="en-US"/>
        </w:rPr>
        <w:t>of school-based sex education in improving sexual health outcomes among adolescents in England: A systematic review.</w:t>
      </w:r>
    </w:p>
    <w:p w14:paraId="3182A886" w14:textId="77777777" w:rsidR="002821D2" w:rsidRDefault="002821D2" w:rsidP="004B4FAE">
      <w:pPr>
        <w:spacing w:line="360" w:lineRule="auto"/>
        <w:jc w:val="both"/>
        <w:rPr>
          <w:rFonts w:ascii="Arial" w:hAnsi="Arial" w:cs="Arial"/>
          <w:lang w:val="en-US"/>
        </w:rPr>
      </w:pPr>
    </w:p>
    <w:p w14:paraId="0337C9F7" w14:textId="77777777" w:rsidR="002821D2" w:rsidRDefault="002821D2" w:rsidP="004B4FAE">
      <w:pPr>
        <w:spacing w:line="360" w:lineRule="auto"/>
        <w:jc w:val="both"/>
        <w:rPr>
          <w:rFonts w:ascii="Arial" w:hAnsi="Arial" w:cs="Arial"/>
          <w:lang w:val="en-US"/>
        </w:rPr>
      </w:pPr>
    </w:p>
    <w:p w14:paraId="07B72F01" w14:textId="77777777" w:rsidR="002821D2" w:rsidRDefault="002821D2" w:rsidP="004B4FAE">
      <w:pPr>
        <w:spacing w:line="360" w:lineRule="auto"/>
        <w:jc w:val="both"/>
        <w:rPr>
          <w:rFonts w:ascii="Arial" w:hAnsi="Arial" w:cs="Arial"/>
          <w:lang w:val="en-US"/>
        </w:rPr>
      </w:pPr>
    </w:p>
    <w:p w14:paraId="35E516A6" w14:textId="77777777" w:rsidR="002821D2" w:rsidRPr="00403F87" w:rsidRDefault="002821D2" w:rsidP="004B4FAE">
      <w:pPr>
        <w:spacing w:line="360" w:lineRule="auto"/>
        <w:jc w:val="both"/>
        <w:rPr>
          <w:rFonts w:ascii="Arial" w:hAnsi="Arial" w:cs="Arial"/>
          <w:lang w:val="en-US"/>
        </w:rPr>
      </w:pPr>
    </w:p>
    <w:p w14:paraId="21B8C01A" w14:textId="77777777" w:rsidR="002D6EA7" w:rsidRPr="009C6F05" w:rsidRDefault="002D6EA7" w:rsidP="009C6F05">
      <w:pPr>
        <w:spacing w:line="360" w:lineRule="auto"/>
        <w:jc w:val="both"/>
        <w:rPr>
          <w:rFonts w:ascii="Arial" w:hAnsi="Arial" w:cs="Arial"/>
          <w:b/>
          <w:bCs/>
          <w:sz w:val="28"/>
          <w:szCs w:val="28"/>
          <w:u w:val="single"/>
          <w:lang w:val="en-US"/>
        </w:rPr>
      </w:pPr>
    </w:p>
    <w:p w14:paraId="17D8A919" w14:textId="7EA8830F" w:rsidR="002C41A3" w:rsidRPr="002821D2" w:rsidRDefault="002C41A3" w:rsidP="002821D2">
      <w:pPr>
        <w:pStyle w:val="ListParagraph"/>
        <w:numPr>
          <w:ilvl w:val="0"/>
          <w:numId w:val="2"/>
        </w:numPr>
        <w:spacing w:line="360" w:lineRule="auto"/>
        <w:jc w:val="both"/>
        <w:rPr>
          <w:rFonts w:ascii="Arial" w:hAnsi="Arial" w:cs="Arial"/>
          <w:b/>
          <w:bCs/>
          <w:sz w:val="28"/>
          <w:szCs w:val="28"/>
          <w:u w:val="single"/>
          <w:lang w:val="en-US"/>
        </w:rPr>
      </w:pPr>
      <w:r w:rsidRPr="002821D2">
        <w:rPr>
          <w:rFonts w:ascii="Arial" w:hAnsi="Arial" w:cs="Arial"/>
          <w:b/>
          <w:bCs/>
          <w:sz w:val="28"/>
          <w:szCs w:val="28"/>
          <w:u w:val="single"/>
          <w:lang w:val="en-US"/>
        </w:rPr>
        <w:lastRenderedPageBreak/>
        <w:t>PREVALENCE OF THE PROBLEM</w:t>
      </w:r>
    </w:p>
    <w:p w14:paraId="679D5BAA" w14:textId="77777777" w:rsidR="00053C1C" w:rsidRDefault="00053C1C" w:rsidP="004B4FAE">
      <w:pPr>
        <w:spacing w:line="360" w:lineRule="auto"/>
        <w:jc w:val="both"/>
        <w:rPr>
          <w:rFonts w:ascii="Arial" w:hAnsi="Arial" w:cs="Arial"/>
          <w:lang w:val="en-US"/>
        </w:rPr>
      </w:pPr>
      <w:r w:rsidRPr="00053C1C">
        <w:rPr>
          <w:rFonts w:ascii="Arial" w:hAnsi="Arial" w:cs="Arial"/>
          <w:lang w:val="en-US"/>
        </w:rPr>
        <w:t>The adolescent sexual health problem is still very much prevalent in England, especially among people aged between 15 and 24 years. The UK Health Security Agency reports that the number of sexually transmitted infections (STIs) was over 401,800, and those who belonged to the age category 15 to 24 comprised 46% of the total number of patients suffering from an STI.</w:t>
      </w:r>
    </w:p>
    <w:p w14:paraId="70692609" w14:textId="256FF10A" w:rsidR="00147571" w:rsidRPr="00053C1C" w:rsidRDefault="00147571" w:rsidP="004B4FAE">
      <w:pPr>
        <w:spacing w:line="360" w:lineRule="auto"/>
        <w:jc w:val="both"/>
        <w:rPr>
          <w:rFonts w:ascii="Arial" w:hAnsi="Arial" w:cs="Arial"/>
          <w:lang w:val="en-US"/>
        </w:rPr>
      </w:pPr>
      <w:r w:rsidRPr="00147571">
        <w:rPr>
          <w:rFonts w:ascii="Arial" w:hAnsi="Arial" w:cs="Arial"/>
          <w:lang w:val="en-US"/>
        </w:rPr>
        <w:t>The observed trends in diagnoses related to STIs should be considered within the framework of the ongoing COVID-19 pandemic that impacted the provision of sexual healthcare in England. In particular, during 2020 and 2021, the number of tests performed fell as a result of limited clinic access and movement restrictions. As a result, the number of diagnosed STIs seems to decrease at first glance. Nevertheless, recent rises in the number of infections after clinics have returned to operation imply that infection rates have been maintained and hidden. Thus, the use of sex education is important for preventing STIs in the long term.</w:t>
      </w:r>
    </w:p>
    <w:p w14:paraId="15428C11" w14:textId="35C3D37C" w:rsidR="00053C1C" w:rsidRPr="00053C1C" w:rsidRDefault="00053C1C" w:rsidP="004B4FAE">
      <w:pPr>
        <w:spacing w:line="360" w:lineRule="auto"/>
        <w:jc w:val="both"/>
        <w:rPr>
          <w:rFonts w:ascii="Arial" w:hAnsi="Arial" w:cs="Arial"/>
          <w:lang w:val="en-US"/>
        </w:rPr>
      </w:pPr>
      <w:r w:rsidRPr="00053C1C">
        <w:rPr>
          <w:rFonts w:ascii="Arial" w:hAnsi="Arial" w:cs="Arial"/>
          <w:lang w:val="en-US"/>
        </w:rPr>
        <w:t xml:space="preserve">The level of </w:t>
      </w:r>
      <w:r w:rsidR="00BA3AFD">
        <w:rPr>
          <w:rFonts w:ascii="Arial" w:hAnsi="Arial" w:cs="Arial"/>
          <w:lang w:val="en-US"/>
        </w:rPr>
        <w:t>gonorrhoea</w:t>
      </w:r>
      <w:r w:rsidRPr="00053C1C">
        <w:rPr>
          <w:rFonts w:ascii="Arial" w:hAnsi="Arial" w:cs="Arial"/>
          <w:lang w:val="en-US"/>
        </w:rPr>
        <w:t xml:space="preserve"> diagnosis is at its historical peak</w:t>
      </w:r>
      <w:r>
        <w:rPr>
          <w:rFonts w:ascii="Arial" w:hAnsi="Arial" w:cs="Arial"/>
          <w:lang w:val="en-US"/>
        </w:rPr>
        <w:t>,</w:t>
      </w:r>
      <w:r w:rsidRPr="00053C1C">
        <w:rPr>
          <w:rFonts w:ascii="Arial" w:hAnsi="Arial" w:cs="Arial"/>
          <w:lang w:val="en-US"/>
        </w:rPr>
        <w:t xml:space="preserve"> with more </w:t>
      </w:r>
      <w:r w:rsidR="004B4FAE">
        <w:rPr>
          <w:rFonts w:ascii="Arial" w:hAnsi="Arial" w:cs="Arial"/>
          <w:lang w:val="en-US"/>
        </w:rPr>
        <w:t>than a</w:t>
      </w:r>
      <w:r w:rsidRPr="00053C1C">
        <w:rPr>
          <w:rFonts w:ascii="Arial" w:hAnsi="Arial" w:cs="Arial"/>
          <w:lang w:val="en-US"/>
        </w:rPr>
        <w:t xml:space="preserve"> 50% increment in the number of cases from previous years, suggesting that the disease is still being transmitted despite efforts to prevent the infection. Meanwhile, chlamydia infection has been the most frequently diagnosed </w:t>
      </w:r>
      <w:r>
        <w:rPr>
          <w:rFonts w:ascii="Arial" w:hAnsi="Arial" w:cs="Arial"/>
          <w:lang w:val="en-US"/>
        </w:rPr>
        <w:t>sexually transmitted</w:t>
      </w:r>
      <w:r w:rsidRPr="00053C1C">
        <w:rPr>
          <w:rFonts w:ascii="Arial" w:hAnsi="Arial" w:cs="Arial"/>
          <w:lang w:val="en-US"/>
        </w:rPr>
        <w:t xml:space="preserve"> infection among adolescents</w:t>
      </w:r>
      <w:r>
        <w:rPr>
          <w:rFonts w:ascii="Arial" w:hAnsi="Arial" w:cs="Arial"/>
          <w:lang w:val="en-US"/>
        </w:rPr>
        <w:t>,</w:t>
      </w:r>
      <w:r w:rsidRPr="00053C1C">
        <w:rPr>
          <w:rFonts w:ascii="Arial" w:hAnsi="Arial" w:cs="Arial"/>
          <w:lang w:val="en-US"/>
        </w:rPr>
        <w:t xml:space="preserve"> with fluctuating screening rates in recent years due to interruptions within the service delivery process.</w:t>
      </w:r>
    </w:p>
    <w:p w14:paraId="4E8F7D9A" w14:textId="27EAC5D6" w:rsidR="00053C1C" w:rsidRDefault="00053C1C" w:rsidP="004B4FAE">
      <w:pPr>
        <w:spacing w:line="360" w:lineRule="auto"/>
        <w:jc w:val="both"/>
        <w:rPr>
          <w:rFonts w:ascii="Arial" w:hAnsi="Arial" w:cs="Arial"/>
          <w:lang w:val="en-US"/>
        </w:rPr>
      </w:pPr>
      <w:r w:rsidRPr="00053C1C">
        <w:rPr>
          <w:rFonts w:ascii="Arial" w:hAnsi="Arial" w:cs="Arial"/>
          <w:lang w:val="en-US"/>
        </w:rPr>
        <w:t xml:space="preserve">In addition to </w:t>
      </w:r>
      <w:r>
        <w:rPr>
          <w:rFonts w:ascii="Arial" w:hAnsi="Arial" w:cs="Arial"/>
          <w:lang w:val="en-US"/>
        </w:rPr>
        <w:t>sexually transmitted</w:t>
      </w:r>
      <w:r w:rsidRPr="00053C1C">
        <w:rPr>
          <w:rFonts w:ascii="Arial" w:hAnsi="Arial" w:cs="Arial"/>
          <w:lang w:val="en-US"/>
        </w:rPr>
        <w:t xml:space="preserve"> infections, teenage pregnancy rates can be seen as one of the indicators that assess the sexual health situation. For example, according to </w:t>
      </w:r>
      <w:r>
        <w:rPr>
          <w:rFonts w:ascii="Arial" w:hAnsi="Arial" w:cs="Arial"/>
          <w:lang w:val="en-US"/>
        </w:rPr>
        <w:t>statistics released by the Office for National Statistics in 2023, the under-18 conception rate rose to 13.9 per 1,000 women, marking the first increase in the last 10</w:t>
      </w:r>
      <w:r w:rsidRPr="00053C1C">
        <w:rPr>
          <w:rFonts w:ascii="Arial" w:hAnsi="Arial" w:cs="Arial"/>
          <w:lang w:val="en-US"/>
        </w:rPr>
        <w:t xml:space="preserve"> years.</w:t>
      </w:r>
    </w:p>
    <w:p w14:paraId="70A78947" w14:textId="68C969EF" w:rsidR="001E2450" w:rsidRDefault="001E2450" w:rsidP="004B4FAE">
      <w:pPr>
        <w:spacing w:line="360" w:lineRule="auto"/>
        <w:jc w:val="both"/>
        <w:rPr>
          <w:rFonts w:ascii="Arial" w:hAnsi="Arial" w:cs="Arial"/>
          <w:lang w:val="en-US"/>
        </w:rPr>
      </w:pPr>
      <w:r w:rsidRPr="001E2450">
        <w:rPr>
          <w:rFonts w:ascii="Arial" w:hAnsi="Arial" w:cs="Arial"/>
          <w:lang w:val="en-US"/>
        </w:rPr>
        <w:t>Moreover, regional differences provide yet another example of the unequal distribution of sexual health outcomes. The statistics show that higher levels of teenage pregnancy and STIs are recorded in less affluent regions, especially those in Northern England</w:t>
      </w:r>
      <w:r w:rsidR="00775CD7">
        <w:rPr>
          <w:rFonts w:ascii="Arial" w:hAnsi="Arial" w:cs="Arial"/>
          <w:lang w:val="en-US"/>
        </w:rPr>
        <w:t>,</w:t>
      </w:r>
      <w:r w:rsidRPr="001E2450">
        <w:rPr>
          <w:rFonts w:ascii="Arial" w:hAnsi="Arial" w:cs="Arial"/>
          <w:lang w:val="en-US"/>
        </w:rPr>
        <w:t xml:space="preserve"> when contrasted </w:t>
      </w:r>
      <w:r w:rsidR="00643801">
        <w:rPr>
          <w:rFonts w:ascii="Arial" w:hAnsi="Arial" w:cs="Arial"/>
          <w:lang w:val="en-US"/>
        </w:rPr>
        <w:t>with</w:t>
      </w:r>
      <w:r w:rsidRPr="001E2450">
        <w:rPr>
          <w:rFonts w:ascii="Arial" w:hAnsi="Arial" w:cs="Arial"/>
          <w:lang w:val="en-US"/>
        </w:rPr>
        <w:t xml:space="preserve"> the South. This highlights the fact that there are other factors contributing to sexual health outcomes, such as income differences, education, and availability of health care facilities. This demonstrates the importance of a targeted strategy towards sex education rather than a one-size-fits-all model (Office for National Statistics, 2023; Marmot et al., 2020).</w:t>
      </w:r>
    </w:p>
    <w:p w14:paraId="08E3D24A" w14:textId="7C24909C" w:rsidR="00FF00D1" w:rsidRDefault="00FF00D1" w:rsidP="004B4FAE">
      <w:pPr>
        <w:spacing w:line="360" w:lineRule="auto"/>
        <w:jc w:val="both"/>
        <w:rPr>
          <w:rFonts w:ascii="Arial" w:hAnsi="Arial" w:cs="Arial"/>
          <w:lang w:val="en-US"/>
        </w:rPr>
      </w:pPr>
      <w:r w:rsidRPr="00FF00D1">
        <w:rPr>
          <w:rFonts w:ascii="Arial" w:hAnsi="Arial" w:cs="Arial"/>
          <w:lang w:val="en-US"/>
        </w:rPr>
        <w:t xml:space="preserve">However, it is important to note that these numbers are not equally spread across the population. Those adolescents who live in socioeconomically deprived areas experience much higher levels of STIs and unwanted pregnancies. This is because health inequality affects </w:t>
      </w:r>
      <w:r w:rsidR="00BF3E4E">
        <w:rPr>
          <w:rFonts w:ascii="Arial" w:hAnsi="Arial" w:cs="Arial"/>
          <w:lang w:val="en-US"/>
        </w:rPr>
        <w:t xml:space="preserve">the </w:t>
      </w:r>
      <w:r w:rsidRPr="00FF00D1">
        <w:rPr>
          <w:rFonts w:ascii="Arial" w:hAnsi="Arial" w:cs="Arial"/>
          <w:lang w:val="en-US"/>
        </w:rPr>
        <w:t xml:space="preserve">health </w:t>
      </w:r>
      <w:r w:rsidR="00BA3AFD">
        <w:rPr>
          <w:rFonts w:ascii="Arial" w:hAnsi="Arial" w:cs="Arial"/>
          <w:lang w:val="en-US"/>
        </w:rPr>
        <w:t>behaviours</w:t>
      </w:r>
      <w:r w:rsidRPr="00FF00D1">
        <w:rPr>
          <w:rFonts w:ascii="Arial" w:hAnsi="Arial" w:cs="Arial"/>
          <w:lang w:val="en-US"/>
        </w:rPr>
        <w:t xml:space="preserve"> of these individuals who have limited access to education and healthcare services.</w:t>
      </w:r>
      <w:r w:rsidR="00BA3AFD">
        <w:rPr>
          <w:rFonts w:ascii="Arial" w:hAnsi="Arial" w:cs="Arial"/>
          <w:lang w:val="en-US"/>
        </w:rPr>
        <w:t xml:space="preserve"> </w:t>
      </w:r>
      <w:r w:rsidRPr="00FF00D1">
        <w:rPr>
          <w:rFonts w:ascii="Arial" w:hAnsi="Arial" w:cs="Arial"/>
          <w:lang w:val="en-US"/>
        </w:rPr>
        <w:t xml:space="preserve">The aforementioned numbers </w:t>
      </w:r>
      <w:r w:rsidR="00771F09">
        <w:rPr>
          <w:rFonts w:ascii="Arial" w:hAnsi="Arial" w:cs="Arial"/>
          <w:lang w:val="en-US"/>
        </w:rPr>
        <w:t xml:space="preserve">demonstrate that there remains a considerable need </w:t>
      </w:r>
      <w:r w:rsidR="00771F09">
        <w:rPr>
          <w:rFonts w:ascii="Arial" w:hAnsi="Arial" w:cs="Arial"/>
          <w:lang w:val="en-US"/>
        </w:rPr>
        <w:lastRenderedPageBreak/>
        <w:t>for effective intervention, especially in educational facilities, to</w:t>
      </w:r>
      <w:r w:rsidRPr="00FF00D1">
        <w:rPr>
          <w:rFonts w:ascii="Arial" w:hAnsi="Arial" w:cs="Arial"/>
          <w:lang w:val="en-US"/>
        </w:rPr>
        <w:t xml:space="preserve"> help prevent such problems and reduce related health disparities.</w:t>
      </w:r>
    </w:p>
    <w:p w14:paraId="6C79003D" w14:textId="0B6B4F9E" w:rsidR="002A2640" w:rsidRPr="00BA3AFD" w:rsidRDefault="002A2640" w:rsidP="004B4FAE">
      <w:pPr>
        <w:pStyle w:val="ListParagraph"/>
        <w:numPr>
          <w:ilvl w:val="0"/>
          <w:numId w:val="2"/>
        </w:numPr>
        <w:spacing w:line="360" w:lineRule="auto"/>
        <w:jc w:val="both"/>
        <w:rPr>
          <w:rFonts w:ascii="Arial" w:hAnsi="Arial" w:cs="Arial"/>
          <w:b/>
          <w:bCs/>
          <w:sz w:val="28"/>
          <w:szCs w:val="28"/>
          <w:u w:val="single"/>
          <w:lang w:val="en-US"/>
        </w:rPr>
      </w:pPr>
      <w:r w:rsidRPr="00BA3AFD">
        <w:rPr>
          <w:rFonts w:ascii="Arial" w:hAnsi="Arial" w:cs="Arial"/>
          <w:b/>
          <w:bCs/>
          <w:sz w:val="28"/>
          <w:szCs w:val="28"/>
          <w:u w:val="single"/>
          <w:lang w:val="en-US"/>
        </w:rPr>
        <w:t xml:space="preserve">INTRODUCTION AND </w:t>
      </w:r>
      <w:r w:rsidR="00E37932" w:rsidRPr="00BA3AFD">
        <w:rPr>
          <w:rFonts w:ascii="Arial" w:hAnsi="Arial" w:cs="Arial"/>
          <w:b/>
          <w:bCs/>
          <w:sz w:val="28"/>
          <w:szCs w:val="28"/>
          <w:u w:val="single"/>
          <w:lang w:val="en-US"/>
        </w:rPr>
        <w:t>LITERATURE-BASED</w:t>
      </w:r>
      <w:r w:rsidRPr="00BA3AFD">
        <w:rPr>
          <w:rFonts w:ascii="Arial" w:hAnsi="Arial" w:cs="Arial"/>
          <w:b/>
          <w:bCs/>
          <w:sz w:val="28"/>
          <w:szCs w:val="28"/>
          <w:u w:val="single"/>
          <w:lang w:val="en-US"/>
        </w:rPr>
        <w:t xml:space="preserve"> </w:t>
      </w:r>
      <w:r w:rsidR="00E37932" w:rsidRPr="00BA3AFD">
        <w:rPr>
          <w:rFonts w:ascii="Arial" w:hAnsi="Arial" w:cs="Arial"/>
          <w:b/>
          <w:bCs/>
          <w:sz w:val="28"/>
          <w:szCs w:val="28"/>
          <w:u w:val="single"/>
          <w:lang w:val="en-US"/>
        </w:rPr>
        <w:t>BACKGROUND</w:t>
      </w:r>
    </w:p>
    <w:p w14:paraId="27070C31" w14:textId="078C1A27" w:rsidR="00FF00D1" w:rsidRPr="00FF00D1" w:rsidRDefault="00FF00D1" w:rsidP="004B4FAE">
      <w:pPr>
        <w:spacing w:line="360" w:lineRule="auto"/>
        <w:jc w:val="both"/>
        <w:rPr>
          <w:rFonts w:ascii="Arial" w:hAnsi="Arial" w:cs="Arial"/>
          <w:lang w:val="en-US"/>
        </w:rPr>
      </w:pPr>
      <w:r w:rsidRPr="00FF00D1">
        <w:rPr>
          <w:rFonts w:ascii="Arial" w:hAnsi="Arial" w:cs="Arial"/>
          <w:lang w:val="en-US"/>
        </w:rPr>
        <w:t xml:space="preserve">There is no doubt that adolescent sexual health is an important issue in terms of public health because of its long-lasting consequences for individual health and </w:t>
      </w:r>
      <w:r w:rsidR="002A2640">
        <w:rPr>
          <w:rFonts w:ascii="Arial" w:hAnsi="Arial" w:cs="Arial"/>
          <w:lang w:val="en-US"/>
        </w:rPr>
        <w:t>well-being</w:t>
      </w:r>
      <w:r w:rsidRPr="00FF00D1">
        <w:rPr>
          <w:rFonts w:ascii="Arial" w:hAnsi="Arial" w:cs="Arial"/>
          <w:lang w:val="en-US"/>
        </w:rPr>
        <w:t xml:space="preserve">. </w:t>
      </w:r>
      <w:r w:rsidR="00E37932">
        <w:rPr>
          <w:rFonts w:ascii="Arial" w:hAnsi="Arial" w:cs="Arial"/>
          <w:lang w:val="en-US"/>
        </w:rPr>
        <w:t>The adolescent</w:t>
      </w:r>
      <w:r w:rsidRPr="00FF00D1">
        <w:rPr>
          <w:rFonts w:ascii="Arial" w:hAnsi="Arial" w:cs="Arial"/>
          <w:lang w:val="en-US"/>
        </w:rPr>
        <w:t xml:space="preserve"> population in the United Kingdom, including England, requires extra attention because this group of people is more vulnerable in terms of STIs, unwanted pregnancies, and other sexually transmitted conditions.</w:t>
      </w:r>
    </w:p>
    <w:p w14:paraId="6D13AC71" w14:textId="2B8A9A3F" w:rsidR="00FF00D1" w:rsidRDefault="00FF00D1" w:rsidP="004B4FAE">
      <w:pPr>
        <w:spacing w:line="360" w:lineRule="auto"/>
        <w:jc w:val="both"/>
        <w:rPr>
          <w:rFonts w:ascii="Arial" w:hAnsi="Arial" w:cs="Arial"/>
          <w:lang w:val="en-US"/>
        </w:rPr>
      </w:pPr>
      <w:r w:rsidRPr="00FF00D1">
        <w:rPr>
          <w:rFonts w:ascii="Arial" w:hAnsi="Arial" w:cs="Arial"/>
          <w:lang w:val="en-US"/>
        </w:rPr>
        <w:t>In order to overcome these obstacles, the UK government developed the statutory policy concerning Relationships and Sex Education (RSE) for all secondary schools since September 2020 (Department for Education, 2019).</w:t>
      </w:r>
      <w:r w:rsidR="0009042D">
        <w:rPr>
          <w:rFonts w:ascii="Arial" w:hAnsi="Arial" w:cs="Arial"/>
          <w:lang w:val="en-US"/>
        </w:rPr>
        <w:t xml:space="preserve"> This policy </w:t>
      </w:r>
      <w:r w:rsidR="007161F6">
        <w:rPr>
          <w:rFonts w:ascii="Arial" w:hAnsi="Arial" w:cs="Arial"/>
          <w:lang w:val="en-US"/>
        </w:rPr>
        <w:t>aims</w:t>
      </w:r>
      <w:r w:rsidR="00D11A66">
        <w:rPr>
          <w:rFonts w:ascii="Arial" w:hAnsi="Arial" w:cs="Arial"/>
          <w:lang w:val="en-US"/>
        </w:rPr>
        <w:t xml:space="preserve"> to ensure that all young people receive consistent and </w:t>
      </w:r>
      <w:r w:rsidR="005A0E96">
        <w:rPr>
          <w:rFonts w:ascii="Arial" w:hAnsi="Arial" w:cs="Arial"/>
          <w:lang w:val="en-US"/>
        </w:rPr>
        <w:t>comprehensive education on topics such as consent, relationships, sexual health</w:t>
      </w:r>
      <w:r w:rsidR="00297FA0">
        <w:rPr>
          <w:rFonts w:ascii="Arial" w:hAnsi="Arial" w:cs="Arial"/>
          <w:lang w:val="en-US"/>
        </w:rPr>
        <w:t>, and contraception.</w:t>
      </w:r>
    </w:p>
    <w:p w14:paraId="645CD5D2" w14:textId="52988C7A" w:rsidR="00586EF4" w:rsidRDefault="00586EF4" w:rsidP="004B4FAE">
      <w:pPr>
        <w:spacing w:line="360" w:lineRule="auto"/>
        <w:jc w:val="both"/>
        <w:rPr>
          <w:rFonts w:ascii="Arial" w:hAnsi="Arial" w:cs="Arial"/>
          <w:lang w:val="en-US"/>
        </w:rPr>
      </w:pPr>
      <w:r w:rsidRPr="00586EF4">
        <w:rPr>
          <w:rFonts w:ascii="Arial" w:hAnsi="Arial" w:cs="Arial"/>
          <w:lang w:val="en-US"/>
        </w:rPr>
        <w:t>The statutory RSE curriculum includes a wide range of topics designed to equip young people with essential life skills. These include understanding consent, maintaining healthy relationships, recognising exploitation, accessing contraception, and navigating online interactions and digital safety. The inclusion of these topics reflects an effort to modernise sex education and ensure that it is relevant to contemporary social contexts (Department for Education, 2019).</w:t>
      </w:r>
    </w:p>
    <w:p w14:paraId="237F0DCF" w14:textId="29588CFB" w:rsidR="00AB5CE2" w:rsidRDefault="00307EA6" w:rsidP="004B4FAE">
      <w:pPr>
        <w:spacing w:line="360" w:lineRule="auto"/>
        <w:jc w:val="both"/>
        <w:rPr>
          <w:rFonts w:ascii="Arial" w:hAnsi="Arial" w:cs="Arial"/>
          <w:lang w:val="en-US"/>
        </w:rPr>
      </w:pPr>
      <w:r>
        <w:rPr>
          <w:rFonts w:ascii="Arial" w:hAnsi="Arial" w:cs="Arial"/>
          <w:lang w:val="en-US"/>
        </w:rPr>
        <w:t xml:space="preserve">Theoretically, sex education is grounded in behaviour change models, which suggest that increasing </w:t>
      </w:r>
      <w:r w:rsidR="00200545">
        <w:rPr>
          <w:rFonts w:ascii="Arial" w:hAnsi="Arial" w:cs="Arial"/>
          <w:lang w:val="en-US"/>
        </w:rPr>
        <w:t>knowledge and awareness can influence attitudes and behaviours</w:t>
      </w:r>
      <w:r w:rsidR="00AB5CE2">
        <w:rPr>
          <w:rFonts w:ascii="Arial" w:hAnsi="Arial" w:cs="Arial"/>
          <w:lang w:val="en-US"/>
        </w:rPr>
        <w:t xml:space="preserve">. </w:t>
      </w:r>
      <w:r w:rsidR="00C10418" w:rsidRPr="00C10418">
        <w:rPr>
          <w:rFonts w:ascii="Arial" w:hAnsi="Arial" w:cs="Arial"/>
          <w:lang w:val="en-US"/>
        </w:rPr>
        <w:t xml:space="preserve">However, the connection between education and real health effects is not simple. As reported by Pound et al. (2021), although there are positive results regarding knowledge and attitudes related to sexual health, changes in </w:t>
      </w:r>
      <w:r w:rsidR="00710D9D">
        <w:rPr>
          <w:rFonts w:ascii="Arial" w:hAnsi="Arial" w:cs="Arial"/>
          <w:lang w:val="en-US"/>
        </w:rPr>
        <w:t>behaviour</w:t>
      </w:r>
      <w:r w:rsidR="00C10418" w:rsidRPr="00C10418">
        <w:rPr>
          <w:rFonts w:ascii="Arial" w:hAnsi="Arial" w:cs="Arial"/>
          <w:lang w:val="en-US"/>
        </w:rPr>
        <w:t xml:space="preserve"> and the clinical effect are less predictable. </w:t>
      </w:r>
    </w:p>
    <w:p w14:paraId="56472476" w14:textId="793B6CC7" w:rsidR="00E12F15" w:rsidRDefault="00C10418" w:rsidP="004B4FAE">
      <w:pPr>
        <w:spacing w:line="360" w:lineRule="auto"/>
        <w:jc w:val="both"/>
        <w:rPr>
          <w:rFonts w:ascii="Arial" w:hAnsi="Arial" w:cs="Arial"/>
          <w:lang w:val="en-US"/>
        </w:rPr>
      </w:pPr>
      <w:r w:rsidRPr="00C10418">
        <w:rPr>
          <w:rFonts w:ascii="Arial" w:hAnsi="Arial" w:cs="Arial"/>
          <w:lang w:val="en-US"/>
        </w:rPr>
        <w:t xml:space="preserve">There are several examples of the success of comprehensive sexuality education in enhancing knowledge, delaying sexual activity, and making sexual activity safer provided by international </w:t>
      </w:r>
      <w:r w:rsidR="00586EF4">
        <w:rPr>
          <w:rFonts w:ascii="Arial" w:hAnsi="Arial" w:cs="Arial"/>
          <w:lang w:val="en-US"/>
        </w:rPr>
        <w:t>organisations</w:t>
      </w:r>
      <w:r w:rsidRPr="00C10418">
        <w:rPr>
          <w:rFonts w:ascii="Arial" w:hAnsi="Arial" w:cs="Arial"/>
          <w:lang w:val="en-US"/>
        </w:rPr>
        <w:t>, such as UNESCO (2023).</w:t>
      </w:r>
      <w:r w:rsidR="00AB5CE2">
        <w:rPr>
          <w:rFonts w:ascii="Arial" w:hAnsi="Arial" w:cs="Arial"/>
          <w:lang w:val="en-US"/>
        </w:rPr>
        <w:t xml:space="preserve"> </w:t>
      </w:r>
      <w:r w:rsidR="009836F8">
        <w:rPr>
          <w:rFonts w:ascii="Arial" w:hAnsi="Arial" w:cs="Arial"/>
          <w:lang w:val="en-US"/>
        </w:rPr>
        <w:t>Similarly, Macdo</w:t>
      </w:r>
      <w:r w:rsidR="006E043C">
        <w:rPr>
          <w:rFonts w:ascii="Arial" w:hAnsi="Arial" w:cs="Arial"/>
          <w:lang w:val="en-US"/>
        </w:rPr>
        <w:t xml:space="preserve">wall et al. (2021) found that sexual behaviour trends </w:t>
      </w:r>
      <w:r w:rsidR="008F57F6">
        <w:rPr>
          <w:rFonts w:ascii="Arial" w:hAnsi="Arial" w:cs="Arial"/>
          <w:lang w:val="en-US"/>
        </w:rPr>
        <w:t xml:space="preserve">among </w:t>
      </w:r>
      <w:r w:rsidR="00462495">
        <w:rPr>
          <w:rFonts w:ascii="Arial" w:hAnsi="Arial" w:cs="Arial"/>
          <w:lang w:val="en-US"/>
        </w:rPr>
        <w:t xml:space="preserve">young people are influenced by a range of social, cultural, and economic factors beyond education alone. </w:t>
      </w:r>
    </w:p>
    <w:p w14:paraId="7D707FA6" w14:textId="1FBB266D" w:rsidR="00BC0B32" w:rsidRPr="00BC0B32" w:rsidRDefault="00BC0B32" w:rsidP="004B4FAE">
      <w:pPr>
        <w:spacing w:line="360" w:lineRule="auto"/>
        <w:jc w:val="both"/>
        <w:rPr>
          <w:rFonts w:ascii="Arial" w:hAnsi="Arial" w:cs="Arial"/>
          <w:lang w:val="en-US"/>
        </w:rPr>
      </w:pPr>
      <w:r w:rsidRPr="00BC0B32">
        <w:rPr>
          <w:rFonts w:ascii="Arial" w:hAnsi="Arial" w:cs="Arial"/>
          <w:lang w:val="en-US"/>
        </w:rPr>
        <w:t xml:space="preserve">In addition to this, the Marmot Review (2020) </w:t>
      </w:r>
      <w:r>
        <w:rPr>
          <w:rFonts w:ascii="Arial" w:hAnsi="Arial" w:cs="Arial"/>
          <w:lang w:val="en-US"/>
        </w:rPr>
        <w:t>emphasises</w:t>
      </w:r>
      <w:r w:rsidRPr="00BC0B32">
        <w:rPr>
          <w:rFonts w:ascii="Arial" w:hAnsi="Arial" w:cs="Arial"/>
          <w:lang w:val="en-US"/>
        </w:rPr>
        <w:t xml:space="preserve"> the fact that health inequalities have a great influence on the consequences in England. Young people belonging to poor backgrounds may encounter difficulties in accessing quality education and healthcare facilities, thus limiting the efficiency of the universal intervention program such as RSE.</w:t>
      </w:r>
    </w:p>
    <w:p w14:paraId="643EF847" w14:textId="2A9B4E91" w:rsidR="00BC0B32" w:rsidRDefault="00BC0B32" w:rsidP="004B4FAE">
      <w:pPr>
        <w:spacing w:line="360" w:lineRule="auto"/>
        <w:jc w:val="both"/>
        <w:rPr>
          <w:rFonts w:ascii="Arial" w:hAnsi="Arial" w:cs="Arial"/>
          <w:lang w:val="en-US"/>
        </w:rPr>
      </w:pPr>
      <w:r w:rsidRPr="00BC0B32">
        <w:rPr>
          <w:rFonts w:ascii="Arial" w:hAnsi="Arial" w:cs="Arial"/>
          <w:lang w:val="en-US"/>
        </w:rPr>
        <w:lastRenderedPageBreak/>
        <w:t xml:space="preserve">According to the Brook report (2023), young people feel that the existing RSE curriculum is out-of-date and lacks </w:t>
      </w:r>
      <w:r w:rsidR="00A27244">
        <w:rPr>
          <w:rFonts w:ascii="Arial" w:hAnsi="Arial" w:cs="Arial"/>
          <w:lang w:val="en-US"/>
        </w:rPr>
        <w:t>relevance</w:t>
      </w:r>
      <w:r w:rsidRPr="00BC0B32">
        <w:rPr>
          <w:rFonts w:ascii="Arial" w:hAnsi="Arial" w:cs="Arial"/>
          <w:lang w:val="en-US"/>
        </w:rPr>
        <w:t xml:space="preserve"> when it comes to their experiences. For example, issues such as relationships online and </w:t>
      </w:r>
      <w:r w:rsidR="00A27244">
        <w:rPr>
          <w:rFonts w:ascii="Arial" w:hAnsi="Arial" w:cs="Arial"/>
          <w:lang w:val="en-US"/>
        </w:rPr>
        <w:t>sexual</w:t>
      </w:r>
      <w:r w:rsidRPr="00BC0B32">
        <w:rPr>
          <w:rFonts w:ascii="Arial" w:hAnsi="Arial" w:cs="Arial"/>
          <w:lang w:val="en-US"/>
        </w:rPr>
        <w:t xml:space="preserve"> diversity are not considered as much, which would decrease efficiency.</w:t>
      </w:r>
    </w:p>
    <w:p w14:paraId="322298D2" w14:textId="4385F4BA" w:rsidR="00EC574E" w:rsidRPr="00BC0B32" w:rsidRDefault="00EC574E" w:rsidP="004B4FAE">
      <w:pPr>
        <w:spacing w:line="360" w:lineRule="auto"/>
        <w:jc w:val="both"/>
        <w:rPr>
          <w:rFonts w:ascii="Arial" w:hAnsi="Arial" w:cs="Arial"/>
          <w:lang w:val="en-US"/>
        </w:rPr>
      </w:pPr>
      <w:r w:rsidRPr="00EC574E">
        <w:rPr>
          <w:rFonts w:ascii="Arial" w:hAnsi="Arial" w:cs="Arial"/>
          <w:lang w:val="en-US"/>
        </w:rPr>
        <w:t xml:space="preserve">An additional issue that has been highlighted by many scholars in this body of work is the influence of digital settings on the sexual </w:t>
      </w:r>
      <w:r>
        <w:rPr>
          <w:rFonts w:ascii="Arial" w:hAnsi="Arial" w:cs="Arial"/>
          <w:lang w:val="en-US"/>
        </w:rPr>
        <w:t>behaviour</w:t>
      </w:r>
      <w:r w:rsidRPr="00EC574E">
        <w:rPr>
          <w:rFonts w:ascii="Arial" w:hAnsi="Arial" w:cs="Arial"/>
          <w:lang w:val="en-US"/>
        </w:rPr>
        <w:t xml:space="preserve"> of adolescents. Information about dating, sex, and consent is being sourced from online platforms such as social media, forums, and peers rather than the classroom alone. This may provide increased access to such information</w:t>
      </w:r>
      <w:r w:rsidR="00D83B28">
        <w:rPr>
          <w:rFonts w:ascii="Arial" w:hAnsi="Arial" w:cs="Arial"/>
          <w:lang w:val="en-US"/>
        </w:rPr>
        <w:t>,</w:t>
      </w:r>
      <w:r w:rsidRPr="00EC574E">
        <w:rPr>
          <w:rFonts w:ascii="Arial" w:hAnsi="Arial" w:cs="Arial"/>
          <w:lang w:val="en-US"/>
        </w:rPr>
        <w:t xml:space="preserve"> but </w:t>
      </w:r>
      <w:r w:rsidR="00D83B28">
        <w:rPr>
          <w:rFonts w:ascii="Arial" w:hAnsi="Arial" w:cs="Arial"/>
          <w:lang w:val="en-US"/>
        </w:rPr>
        <w:t xml:space="preserve">it </w:t>
      </w:r>
      <w:r w:rsidRPr="00EC574E">
        <w:rPr>
          <w:rFonts w:ascii="Arial" w:hAnsi="Arial" w:cs="Arial"/>
          <w:lang w:val="en-US"/>
        </w:rPr>
        <w:t xml:space="preserve">exposes teens to misconceptions about sexual health. For this reason, there is </w:t>
      </w:r>
      <w:r w:rsidR="00D83B28">
        <w:rPr>
          <w:rFonts w:ascii="Arial" w:hAnsi="Arial" w:cs="Arial"/>
          <w:lang w:val="en-US"/>
        </w:rPr>
        <w:t xml:space="preserve">a </w:t>
      </w:r>
      <w:r w:rsidRPr="00EC574E">
        <w:rPr>
          <w:rFonts w:ascii="Arial" w:hAnsi="Arial" w:cs="Arial"/>
          <w:lang w:val="en-US"/>
        </w:rPr>
        <w:t xml:space="preserve">need to integrate online issues such as sexting into sex education in schools. Integration of such topics within the RSE could make the program more effective in changing </w:t>
      </w:r>
      <w:r w:rsidR="00D83B28">
        <w:rPr>
          <w:rFonts w:ascii="Arial" w:hAnsi="Arial" w:cs="Arial"/>
          <w:lang w:val="en-US"/>
        </w:rPr>
        <w:t>behaviour</w:t>
      </w:r>
      <w:r w:rsidRPr="00EC574E">
        <w:rPr>
          <w:rFonts w:ascii="Arial" w:hAnsi="Arial" w:cs="Arial"/>
          <w:lang w:val="en-US"/>
        </w:rPr>
        <w:t xml:space="preserve"> (Jones &amp; Mitchell, 2023; WHO, 2023).</w:t>
      </w:r>
    </w:p>
    <w:p w14:paraId="3B94D85C" w14:textId="7619DA96" w:rsidR="004025B1" w:rsidRDefault="00BC0B32" w:rsidP="004B4FAE">
      <w:pPr>
        <w:spacing w:line="360" w:lineRule="auto"/>
        <w:jc w:val="both"/>
        <w:rPr>
          <w:rFonts w:ascii="Arial" w:hAnsi="Arial" w:cs="Arial"/>
          <w:lang w:val="en-US"/>
        </w:rPr>
      </w:pPr>
      <w:r w:rsidRPr="00BC0B32">
        <w:rPr>
          <w:rFonts w:ascii="Arial" w:hAnsi="Arial" w:cs="Arial"/>
          <w:lang w:val="en-US"/>
        </w:rPr>
        <w:t xml:space="preserve">Although it was decided to implement the statutory RSE program in the UK, there is no strong evidence to prove its positive effect on health-related aspects of the </w:t>
      </w:r>
      <w:r w:rsidR="007550B4">
        <w:rPr>
          <w:rFonts w:ascii="Arial" w:hAnsi="Arial" w:cs="Arial"/>
          <w:lang w:val="en-US"/>
        </w:rPr>
        <w:t>lives</w:t>
      </w:r>
      <w:r w:rsidRPr="00BC0B32">
        <w:rPr>
          <w:rFonts w:ascii="Arial" w:hAnsi="Arial" w:cs="Arial"/>
          <w:lang w:val="en-US"/>
        </w:rPr>
        <w:t xml:space="preserve"> of young people. Moreover, no data on the impact of the introduced program on the health aspect in the post-2020 environment could be found.</w:t>
      </w:r>
    </w:p>
    <w:p w14:paraId="21D6A5E5" w14:textId="386F798D" w:rsidR="00126945" w:rsidRPr="00126945" w:rsidRDefault="00CF3488" w:rsidP="004B4FAE">
      <w:pPr>
        <w:spacing w:line="360" w:lineRule="auto"/>
        <w:jc w:val="both"/>
        <w:rPr>
          <w:rFonts w:ascii="Arial" w:hAnsi="Arial" w:cs="Arial"/>
          <w:lang w:val="en-US"/>
        </w:rPr>
      </w:pPr>
      <w:r>
        <w:rPr>
          <w:rFonts w:ascii="Arial" w:hAnsi="Arial" w:cs="Arial"/>
          <w:b/>
          <w:bCs/>
          <w:sz w:val="28"/>
          <w:szCs w:val="28"/>
          <w:u w:val="single"/>
          <w:lang w:val="en-US"/>
        </w:rPr>
        <w:t xml:space="preserve">4. RATIONALE, RESEARCH </w:t>
      </w:r>
      <w:r w:rsidR="004B4FAE">
        <w:rPr>
          <w:rFonts w:ascii="Arial" w:hAnsi="Arial" w:cs="Arial"/>
          <w:b/>
          <w:bCs/>
          <w:sz w:val="28"/>
          <w:szCs w:val="28"/>
          <w:u w:val="single"/>
          <w:lang w:val="en-US"/>
        </w:rPr>
        <w:t>AIM,</w:t>
      </w:r>
      <w:r>
        <w:rPr>
          <w:rFonts w:ascii="Arial" w:hAnsi="Arial" w:cs="Arial"/>
          <w:b/>
          <w:bCs/>
          <w:sz w:val="28"/>
          <w:szCs w:val="28"/>
          <w:u w:val="single"/>
          <w:lang w:val="en-US"/>
        </w:rPr>
        <w:t xml:space="preserve"> AND QUESTION </w:t>
      </w:r>
    </w:p>
    <w:p w14:paraId="42A707F3" w14:textId="32F48F42" w:rsidR="00126945" w:rsidRPr="00CF3488" w:rsidRDefault="00126945" w:rsidP="004B4FAE">
      <w:pPr>
        <w:spacing w:line="360" w:lineRule="auto"/>
        <w:jc w:val="both"/>
        <w:rPr>
          <w:rFonts w:ascii="Arial" w:hAnsi="Arial" w:cs="Arial"/>
          <w:b/>
          <w:bCs/>
          <w:u w:val="single"/>
          <w:lang w:val="en-US"/>
        </w:rPr>
      </w:pPr>
      <w:r w:rsidRPr="00CF3488">
        <w:rPr>
          <w:rFonts w:ascii="Arial" w:hAnsi="Arial" w:cs="Arial"/>
          <w:b/>
          <w:bCs/>
          <w:u w:val="single"/>
          <w:lang w:val="en-US"/>
        </w:rPr>
        <w:t>R</w:t>
      </w:r>
      <w:r w:rsidR="00CF3488">
        <w:rPr>
          <w:rFonts w:ascii="Arial" w:hAnsi="Arial" w:cs="Arial"/>
          <w:b/>
          <w:bCs/>
          <w:u w:val="single"/>
          <w:lang w:val="en-US"/>
        </w:rPr>
        <w:t>ATIONALE</w:t>
      </w:r>
    </w:p>
    <w:p w14:paraId="2AFC9C75" w14:textId="77777777" w:rsidR="00126945" w:rsidRPr="00126945" w:rsidRDefault="00126945" w:rsidP="004B4FAE">
      <w:pPr>
        <w:spacing w:line="360" w:lineRule="auto"/>
        <w:jc w:val="both"/>
        <w:rPr>
          <w:rFonts w:ascii="Arial" w:hAnsi="Arial" w:cs="Arial"/>
          <w:lang w:val="en-US"/>
        </w:rPr>
      </w:pPr>
      <w:r w:rsidRPr="00126945">
        <w:rPr>
          <w:rFonts w:ascii="Arial" w:hAnsi="Arial" w:cs="Arial"/>
          <w:lang w:val="en-US"/>
        </w:rPr>
        <w:t>While it is clear that sex education is a crucial public health initiative in schools, its ability to actually make an impact and lead to better health outcomes is still in question. Although government initiatives like the introduction of statutory relationships and sex education ensure that young people receive adequate information, increasing cases of STIs and disparities indicate that these efforts may not be entirely effective.</w:t>
      </w:r>
    </w:p>
    <w:p w14:paraId="2C0D0F16" w14:textId="1BA7F257" w:rsidR="00126945" w:rsidRDefault="00126945" w:rsidP="004B4FAE">
      <w:pPr>
        <w:spacing w:line="360" w:lineRule="auto"/>
        <w:jc w:val="both"/>
        <w:rPr>
          <w:rFonts w:ascii="Arial" w:hAnsi="Arial" w:cs="Arial"/>
          <w:lang w:val="en-US"/>
        </w:rPr>
      </w:pPr>
      <w:r w:rsidRPr="00126945">
        <w:rPr>
          <w:rFonts w:ascii="Arial" w:hAnsi="Arial" w:cs="Arial"/>
          <w:lang w:val="en-US"/>
        </w:rPr>
        <w:t>Moreover, the majority of studies focus on knowledge and attitudes instead of examining clinical outcomes, including STI incidences and teenage pregnancies. It thus seems important to critically reflect upon whether the improvements made in terms of knowledge will affect the actual health outcomes.</w:t>
      </w:r>
    </w:p>
    <w:p w14:paraId="5BEF3892" w14:textId="6BDBEA86" w:rsidR="00802575" w:rsidRDefault="00802575" w:rsidP="004B4FAE">
      <w:pPr>
        <w:spacing w:line="360" w:lineRule="auto"/>
        <w:jc w:val="both"/>
        <w:rPr>
          <w:rFonts w:ascii="Arial" w:hAnsi="Arial" w:cs="Arial"/>
          <w:lang w:val="en-US"/>
        </w:rPr>
      </w:pPr>
      <w:r w:rsidRPr="00802575">
        <w:rPr>
          <w:rFonts w:ascii="Arial" w:hAnsi="Arial" w:cs="Arial"/>
          <w:lang w:val="en-US"/>
        </w:rPr>
        <w:t>The need for this research is further strengthened by recent changes in both policy and public health context. The introduction of statutory RSE, combined with the impact of the COVID-19 pandemic on healthcare access and behaviour, has created a unique environment in which adolescent sexual health outcomes may have shifted. A systematic evaluation of current evidence is therefore essential to determine whether existing educational approaches remain effective (Curtis et al., 2022).</w:t>
      </w:r>
    </w:p>
    <w:p w14:paraId="17B995F6" w14:textId="2B0820CE" w:rsidR="00C337CE" w:rsidRDefault="00C337CE" w:rsidP="004B4FAE">
      <w:pPr>
        <w:spacing w:line="360" w:lineRule="auto"/>
        <w:jc w:val="both"/>
        <w:rPr>
          <w:rFonts w:ascii="Arial" w:hAnsi="Arial" w:cs="Arial"/>
          <w:lang w:val="en-US"/>
        </w:rPr>
      </w:pPr>
      <w:r w:rsidRPr="00C337CE">
        <w:rPr>
          <w:rFonts w:ascii="Arial" w:hAnsi="Arial" w:cs="Arial"/>
          <w:lang w:val="en-US"/>
        </w:rPr>
        <w:lastRenderedPageBreak/>
        <w:t>The reason why this study is relevant is that the health status of teenagers in terms of their sexuality determines the future outcome in public health in terms of reproductive health, psychological well-being, and healthcare costs. Teenagers who do not have good sexual health may be more prone to reproductive diseases, psychological issues, and higher usage of the NHS sexual health clinics. It is thus important to evaluate the effectiveness of sexual education programs in schools in reducing such risks for preventive healthcare and policy formation purposes.</w:t>
      </w:r>
    </w:p>
    <w:p w14:paraId="57CFF127" w14:textId="77777777" w:rsidR="00223F80" w:rsidRPr="00223F80" w:rsidRDefault="00223F80" w:rsidP="004B4FAE">
      <w:pPr>
        <w:spacing w:line="360" w:lineRule="auto"/>
        <w:jc w:val="both"/>
        <w:rPr>
          <w:rFonts w:ascii="Arial" w:hAnsi="Arial" w:cs="Arial"/>
        </w:rPr>
      </w:pPr>
      <w:r w:rsidRPr="00223F80">
        <w:rPr>
          <w:rFonts w:ascii="Arial" w:hAnsi="Arial" w:cs="Arial"/>
          <w:b/>
          <w:bCs/>
          <w:u w:val="single"/>
          <w:lang w:val="en-US"/>
        </w:rPr>
        <w:t>RESEARCH AIM</w:t>
      </w:r>
    </w:p>
    <w:p w14:paraId="5F63509D" w14:textId="30D2D974" w:rsidR="00223F80" w:rsidRDefault="00223F80" w:rsidP="004B4FAE">
      <w:pPr>
        <w:spacing w:line="360" w:lineRule="auto"/>
        <w:jc w:val="both"/>
        <w:rPr>
          <w:rFonts w:ascii="Arial" w:hAnsi="Arial" w:cs="Arial"/>
          <w:lang w:val="en-US"/>
        </w:rPr>
      </w:pPr>
      <w:r w:rsidRPr="00223F80">
        <w:rPr>
          <w:rFonts w:ascii="Arial" w:hAnsi="Arial" w:cs="Arial"/>
          <w:lang w:val="en-US"/>
        </w:rPr>
        <w:t>Critically evaluate the effectiveness</w:t>
      </w:r>
      <w:r w:rsidR="00364D06">
        <w:rPr>
          <w:rFonts w:ascii="Arial" w:hAnsi="Arial" w:cs="Arial"/>
          <w:lang w:val="en-US"/>
        </w:rPr>
        <w:t xml:space="preserve"> and implementation</w:t>
      </w:r>
      <w:r w:rsidRPr="00223F80">
        <w:rPr>
          <w:rFonts w:ascii="Arial" w:hAnsi="Arial" w:cs="Arial"/>
          <w:lang w:val="en-US"/>
        </w:rPr>
        <w:t xml:space="preserve"> of school-based sex education in improving sexual health outcomes among adolescents in England</w:t>
      </w:r>
      <w:r>
        <w:rPr>
          <w:rFonts w:ascii="Arial" w:hAnsi="Arial" w:cs="Arial"/>
          <w:lang w:val="en-US"/>
        </w:rPr>
        <w:t>.</w:t>
      </w:r>
    </w:p>
    <w:p w14:paraId="34F0E7A2" w14:textId="4610ED39" w:rsidR="00701D5D" w:rsidRPr="00701D5D" w:rsidRDefault="00701D5D" w:rsidP="004B4FAE">
      <w:pPr>
        <w:spacing w:line="360" w:lineRule="auto"/>
        <w:jc w:val="both"/>
        <w:rPr>
          <w:rFonts w:ascii="Arial" w:hAnsi="Arial" w:cs="Arial"/>
        </w:rPr>
      </w:pPr>
      <w:r w:rsidRPr="00701D5D">
        <w:rPr>
          <w:rFonts w:ascii="Arial" w:hAnsi="Arial" w:cs="Arial"/>
          <w:b/>
          <w:bCs/>
          <w:u w:val="single"/>
          <w:lang w:val="en-US"/>
        </w:rPr>
        <w:t>RESEARCH QUESTION</w:t>
      </w:r>
    </w:p>
    <w:p w14:paraId="18F2F78A" w14:textId="45C1F741" w:rsidR="00701D5D" w:rsidRDefault="00701D5D" w:rsidP="004B4FAE">
      <w:pPr>
        <w:spacing w:line="360" w:lineRule="auto"/>
        <w:jc w:val="both"/>
        <w:rPr>
          <w:rFonts w:ascii="Arial" w:hAnsi="Arial" w:cs="Arial"/>
          <w:lang w:val="en-US"/>
        </w:rPr>
      </w:pPr>
      <w:r w:rsidRPr="00701D5D">
        <w:rPr>
          <w:rFonts w:ascii="Arial" w:hAnsi="Arial" w:cs="Arial"/>
          <w:lang w:val="en-US"/>
        </w:rPr>
        <w:t>How effective is sex education in schools at improving adolescent sexual health outcomes in England</w:t>
      </w:r>
      <w:r>
        <w:rPr>
          <w:rFonts w:ascii="Arial" w:hAnsi="Arial" w:cs="Arial"/>
          <w:lang w:val="en-US"/>
        </w:rPr>
        <w:t>?</w:t>
      </w:r>
    </w:p>
    <w:p w14:paraId="1F20EC8D" w14:textId="35BADA6B" w:rsidR="00440C0F" w:rsidRDefault="00440C0F" w:rsidP="004B4FAE">
      <w:pPr>
        <w:spacing w:line="360" w:lineRule="auto"/>
        <w:jc w:val="both"/>
        <w:rPr>
          <w:rFonts w:ascii="Arial" w:hAnsi="Arial" w:cs="Arial"/>
          <w:b/>
          <w:bCs/>
          <w:sz w:val="28"/>
          <w:szCs w:val="28"/>
          <w:u w:val="single"/>
        </w:rPr>
      </w:pPr>
      <w:r>
        <w:rPr>
          <w:rFonts w:ascii="Arial" w:hAnsi="Arial" w:cs="Arial"/>
          <w:b/>
          <w:bCs/>
          <w:sz w:val="28"/>
          <w:szCs w:val="28"/>
          <w:u w:val="single"/>
        </w:rPr>
        <w:t>5. RESEARCH METHODOLOGY</w:t>
      </w:r>
    </w:p>
    <w:p w14:paraId="01FAB20B" w14:textId="7BE0AB75" w:rsidR="00856B13" w:rsidRPr="00856B13" w:rsidRDefault="00856B13" w:rsidP="004B4FAE">
      <w:pPr>
        <w:spacing w:line="360" w:lineRule="auto"/>
        <w:jc w:val="both"/>
        <w:rPr>
          <w:rFonts w:ascii="Arial" w:hAnsi="Arial" w:cs="Arial"/>
        </w:rPr>
      </w:pPr>
      <w:r w:rsidRPr="00856B13">
        <w:rPr>
          <w:rFonts w:ascii="Arial" w:hAnsi="Arial" w:cs="Arial"/>
        </w:rPr>
        <w:t xml:space="preserve">For this research, a systematic literature review will be conducted to </w:t>
      </w:r>
      <w:r>
        <w:rPr>
          <w:rFonts w:ascii="Arial" w:hAnsi="Arial" w:cs="Arial"/>
        </w:rPr>
        <w:t>synthesise</w:t>
      </w:r>
      <w:r w:rsidRPr="00856B13">
        <w:rPr>
          <w:rFonts w:ascii="Arial" w:hAnsi="Arial" w:cs="Arial"/>
        </w:rPr>
        <w:t xml:space="preserve"> the available literature on the efficacy of sex education programs at schools. According to scientific literature, systematic reviews are among the most rigorous methodologies employed in scientific research since they incorporate a systematic process of selecting, assessing, and </w:t>
      </w:r>
      <w:r>
        <w:rPr>
          <w:rFonts w:ascii="Arial" w:hAnsi="Arial" w:cs="Arial"/>
        </w:rPr>
        <w:t>analysing</w:t>
      </w:r>
      <w:r w:rsidRPr="00856B13">
        <w:rPr>
          <w:rFonts w:ascii="Arial" w:hAnsi="Arial" w:cs="Arial"/>
        </w:rPr>
        <w:t xml:space="preserve"> pertinent literature.</w:t>
      </w:r>
    </w:p>
    <w:p w14:paraId="7F07EA71" w14:textId="77777777" w:rsidR="00856B13" w:rsidRDefault="00856B13" w:rsidP="004B4FAE">
      <w:pPr>
        <w:spacing w:line="360" w:lineRule="auto"/>
        <w:jc w:val="both"/>
        <w:rPr>
          <w:rFonts w:ascii="Arial" w:hAnsi="Arial" w:cs="Arial"/>
        </w:rPr>
      </w:pPr>
      <w:r w:rsidRPr="00856B13">
        <w:rPr>
          <w:rFonts w:ascii="Arial" w:hAnsi="Arial" w:cs="Arial"/>
        </w:rPr>
        <w:t>This research will be conducted according to the PRISMA guidelines in order to ensure a high level of validity and reliability. The development of a robust search protocol is essential for conducting a proper systematic review, and this will be done using a variety of scientific databases.</w:t>
      </w:r>
    </w:p>
    <w:p w14:paraId="3976AA85" w14:textId="6927BA5A" w:rsidR="000F456E" w:rsidRDefault="000F456E" w:rsidP="004B4FAE">
      <w:pPr>
        <w:spacing w:line="360" w:lineRule="auto"/>
        <w:jc w:val="both"/>
        <w:rPr>
          <w:rFonts w:ascii="Arial" w:hAnsi="Arial" w:cs="Arial"/>
        </w:rPr>
      </w:pPr>
      <w:r w:rsidRPr="000F456E">
        <w:rPr>
          <w:rFonts w:ascii="Arial" w:hAnsi="Arial" w:cs="Arial"/>
        </w:rPr>
        <w:t xml:space="preserve">The quality of this review can be further enhanced by carrying out </w:t>
      </w:r>
      <w:r w:rsidR="00B83E68">
        <w:rPr>
          <w:rFonts w:ascii="Arial" w:hAnsi="Arial" w:cs="Arial"/>
        </w:rPr>
        <w:t xml:space="preserve">a </w:t>
      </w:r>
      <w:r w:rsidRPr="000F456E">
        <w:rPr>
          <w:rFonts w:ascii="Arial" w:hAnsi="Arial" w:cs="Arial"/>
        </w:rPr>
        <w:t xml:space="preserve">critical appraisal on all selected studies based on an already existing appraisal instrument like the Critical Appraisal Skills Programme (CASP) checklist. The researcher will be able to critically appraise all the studies that will be selected for inclusion by evaluating the methodology of the research, reliability, validity, and any form of </w:t>
      </w:r>
      <w:r w:rsidR="00B83E68">
        <w:rPr>
          <w:rFonts w:ascii="Arial" w:hAnsi="Arial" w:cs="Arial"/>
        </w:rPr>
        <w:t>bias</w:t>
      </w:r>
      <w:r w:rsidRPr="000F456E">
        <w:rPr>
          <w:rFonts w:ascii="Arial" w:hAnsi="Arial" w:cs="Arial"/>
        </w:rPr>
        <w:t xml:space="preserve"> present in them. This is important in ensuring that the conclusions of this review are based on strong evidence.</w:t>
      </w:r>
    </w:p>
    <w:p w14:paraId="7709C3B0" w14:textId="77777777" w:rsidR="0002683B" w:rsidRPr="00440C0F" w:rsidRDefault="0002683B" w:rsidP="004B4FAE">
      <w:pPr>
        <w:spacing w:line="360" w:lineRule="auto"/>
        <w:jc w:val="both"/>
        <w:rPr>
          <w:rFonts w:ascii="Arial" w:hAnsi="Arial" w:cs="Arial"/>
        </w:rPr>
      </w:pPr>
      <w:r w:rsidRPr="00440C0F">
        <w:rPr>
          <w:rFonts w:ascii="Arial" w:hAnsi="Arial" w:cs="Arial"/>
        </w:rPr>
        <w:t>It is believed that systematic reviews are among the most reliable studies since they do not involve any form of bias. This is because of the application of pre-established criteria during the process of searching for articles.</w:t>
      </w:r>
    </w:p>
    <w:p w14:paraId="117CDF85" w14:textId="72EF5C62" w:rsidR="00856B13" w:rsidRPr="00856B13" w:rsidRDefault="00440C0F" w:rsidP="004B4FAE">
      <w:pPr>
        <w:spacing w:line="360" w:lineRule="auto"/>
        <w:jc w:val="both"/>
        <w:rPr>
          <w:rFonts w:ascii="Arial" w:hAnsi="Arial" w:cs="Arial"/>
        </w:rPr>
      </w:pPr>
      <w:r>
        <w:rPr>
          <w:rFonts w:ascii="Arial" w:hAnsi="Arial" w:cs="Arial"/>
          <w:b/>
          <w:bCs/>
          <w:sz w:val="28"/>
          <w:szCs w:val="28"/>
          <w:u w:val="single"/>
        </w:rPr>
        <w:lastRenderedPageBreak/>
        <w:t xml:space="preserve">6. RESEARCH DESIGN </w:t>
      </w:r>
    </w:p>
    <w:p w14:paraId="72772A14" w14:textId="27808B5C" w:rsidR="00856B13" w:rsidRDefault="00856B13" w:rsidP="004B4FAE">
      <w:pPr>
        <w:spacing w:line="360" w:lineRule="auto"/>
        <w:jc w:val="both"/>
        <w:rPr>
          <w:rFonts w:ascii="Arial" w:hAnsi="Arial" w:cs="Arial"/>
        </w:rPr>
      </w:pPr>
      <w:r w:rsidRPr="00856B13">
        <w:rPr>
          <w:rFonts w:ascii="Arial" w:hAnsi="Arial" w:cs="Arial"/>
        </w:rPr>
        <w:t xml:space="preserve">For this study, a systematic review will be conducted using a mixed-methods approach to </w:t>
      </w:r>
      <w:r>
        <w:rPr>
          <w:rFonts w:ascii="Arial" w:hAnsi="Arial" w:cs="Arial"/>
        </w:rPr>
        <w:t>analyse</w:t>
      </w:r>
      <w:r w:rsidRPr="00856B13">
        <w:rPr>
          <w:rFonts w:ascii="Arial" w:hAnsi="Arial" w:cs="Arial"/>
        </w:rPr>
        <w:t xml:space="preserve"> qualitative and quantitative studies related to the topic. In addition, a systematic review allows for an analysis of both </w:t>
      </w:r>
      <w:r>
        <w:rPr>
          <w:rFonts w:ascii="Arial" w:hAnsi="Arial" w:cs="Arial"/>
        </w:rPr>
        <w:t>behavioural</w:t>
      </w:r>
      <w:r w:rsidRPr="00856B13">
        <w:rPr>
          <w:rFonts w:ascii="Arial" w:hAnsi="Arial" w:cs="Arial"/>
        </w:rPr>
        <w:t xml:space="preserve"> outcomes (e.g., knowledge, attitude, and practice) and clinical outcomes (e.g., STIs and pregnancies).</w:t>
      </w:r>
    </w:p>
    <w:p w14:paraId="3801F86E" w14:textId="77777777" w:rsidR="001D7E11" w:rsidRPr="009A7962" w:rsidRDefault="001D7E11" w:rsidP="004B4FAE">
      <w:pPr>
        <w:spacing w:line="360" w:lineRule="auto"/>
        <w:jc w:val="both"/>
        <w:rPr>
          <w:rFonts w:ascii="Arial" w:hAnsi="Arial" w:cs="Arial"/>
        </w:rPr>
      </w:pPr>
      <w:r w:rsidRPr="009A7962">
        <w:rPr>
          <w:rFonts w:ascii="Arial" w:hAnsi="Arial" w:cs="Arial"/>
        </w:rPr>
        <w:t>A mixed-methods study design facilitates a deeper analysis by making it possible to consider both quantitative information and context. In other words, it allows researchers to evaluate various aspects of the situation because numerical data reveal trends, whereas non-numerical data reveal perceptions and other factors influencing them.</w:t>
      </w:r>
    </w:p>
    <w:p w14:paraId="126D9234" w14:textId="1B9CA93C" w:rsidR="00BF1911" w:rsidRPr="00BF1911" w:rsidRDefault="00440C0F" w:rsidP="004B4FAE">
      <w:pPr>
        <w:spacing w:line="360" w:lineRule="auto"/>
        <w:jc w:val="both"/>
        <w:rPr>
          <w:rFonts w:ascii="Arial" w:hAnsi="Arial" w:cs="Arial"/>
        </w:rPr>
      </w:pPr>
      <w:r>
        <w:rPr>
          <w:rFonts w:ascii="Arial" w:hAnsi="Arial" w:cs="Arial"/>
          <w:b/>
          <w:bCs/>
          <w:sz w:val="28"/>
          <w:szCs w:val="28"/>
          <w:u w:val="single"/>
        </w:rPr>
        <w:t xml:space="preserve">7. </w:t>
      </w:r>
      <w:r w:rsidR="002D6EA7">
        <w:rPr>
          <w:rFonts w:ascii="Arial" w:hAnsi="Arial" w:cs="Arial"/>
          <w:b/>
          <w:bCs/>
          <w:sz w:val="28"/>
          <w:szCs w:val="28"/>
          <w:u w:val="single"/>
        </w:rPr>
        <w:t>SEARCH STRATEGY</w:t>
      </w:r>
    </w:p>
    <w:p w14:paraId="4654985B" w14:textId="487A6E2B" w:rsidR="00BF1911" w:rsidRPr="00BF1911" w:rsidRDefault="00BF1911" w:rsidP="004B4FAE">
      <w:pPr>
        <w:spacing w:line="360" w:lineRule="auto"/>
        <w:jc w:val="both"/>
        <w:rPr>
          <w:rFonts w:ascii="Arial" w:hAnsi="Arial" w:cs="Arial"/>
        </w:rPr>
      </w:pPr>
      <w:r w:rsidRPr="00BF1911">
        <w:rPr>
          <w:rFonts w:ascii="Arial" w:hAnsi="Arial" w:cs="Arial"/>
        </w:rPr>
        <w:t>Since this review depends on secondary data, there will be no participant recruitment process involved in this research. Rather, the inclusion criteria will include</w:t>
      </w:r>
      <w:r w:rsidR="002D6EA7">
        <w:rPr>
          <w:rFonts w:ascii="Arial" w:hAnsi="Arial" w:cs="Arial"/>
        </w:rPr>
        <w:t xml:space="preserve"> and identify the articles</w:t>
      </w:r>
      <w:r w:rsidRPr="00BF1911">
        <w:rPr>
          <w:rFonts w:ascii="Arial" w:hAnsi="Arial" w:cs="Arial"/>
        </w:rPr>
        <w:t xml:space="preserve"> </w:t>
      </w:r>
      <w:r w:rsidR="002D6EA7">
        <w:rPr>
          <w:rFonts w:ascii="Arial" w:hAnsi="Arial" w:cs="Arial"/>
        </w:rPr>
        <w:t>related to adolescents</w:t>
      </w:r>
      <w:r w:rsidRPr="00BF1911">
        <w:rPr>
          <w:rFonts w:ascii="Arial" w:hAnsi="Arial" w:cs="Arial"/>
        </w:rPr>
        <w:t xml:space="preserve"> aged 13 to 19 in England.</w:t>
      </w:r>
    </w:p>
    <w:p w14:paraId="774CA80D" w14:textId="77777777" w:rsidR="00BF1911" w:rsidRPr="00440C0F" w:rsidRDefault="00BF1911" w:rsidP="004B4FAE">
      <w:pPr>
        <w:spacing w:line="360" w:lineRule="auto"/>
        <w:jc w:val="both"/>
        <w:rPr>
          <w:rFonts w:ascii="Arial" w:hAnsi="Arial" w:cs="Arial"/>
          <w:b/>
          <w:bCs/>
          <w:u w:val="single"/>
        </w:rPr>
      </w:pPr>
      <w:r w:rsidRPr="00440C0F">
        <w:rPr>
          <w:rFonts w:ascii="Arial" w:hAnsi="Arial" w:cs="Arial"/>
          <w:b/>
          <w:bCs/>
          <w:u w:val="single"/>
        </w:rPr>
        <w:t>Inclusion Criteria:</w:t>
      </w:r>
    </w:p>
    <w:p w14:paraId="52D7EF16" w14:textId="42A5DCEF" w:rsidR="00BF1911" w:rsidRPr="0011099C" w:rsidRDefault="00BF1911" w:rsidP="0011099C">
      <w:pPr>
        <w:pStyle w:val="ListParagraph"/>
        <w:numPr>
          <w:ilvl w:val="2"/>
          <w:numId w:val="4"/>
        </w:numPr>
        <w:spacing w:line="360" w:lineRule="auto"/>
        <w:jc w:val="both"/>
        <w:rPr>
          <w:rFonts w:ascii="Arial" w:hAnsi="Arial" w:cs="Arial"/>
        </w:rPr>
      </w:pPr>
      <w:r w:rsidRPr="0011099C">
        <w:rPr>
          <w:rFonts w:ascii="Arial" w:hAnsi="Arial" w:cs="Arial"/>
        </w:rPr>
        <w:t>Publication period of 2019-202</w:t>
      </w:r>
      <w:r w:rsidR="002D6EA7" w:rsidRPr="0011099C">
        <w:rPr>
          <w:rFonts w:ascii="Arial" w:hAnsi="Arial" w:cs="Arial"/>
        </w:rPr>
        <w:t>6</w:t>
      </w:r>
    </w:p>
    <w:p w14:paraId="40FBFC47" w14:textId="1D44B82B" w:rsidR="00BF1911" w:rsidRPr="0011099C" w:rsidRDefault="00BF1911" w:rsidP="0011099C">
      <w:pPr>
        <w:pStyle w:val="ListParagraph"/>
        <w:numPr>
          <w:ilvl w:val="2"/>
          <w:numId w:val="4"/>
        </w:numPr>
        <w:spacing w:line="360" w:lineRule="auto"/>
        <w:jc w:val="both"/>
        <w:rPr>
          <w:rFonts w:ascii="Arial" w:hAnsi="Arial" w:cs="Arial"/>
        </w:rPr>
      </w:pPr>
      <w:r w:rsidRPr="0011099C">
        <w:rPr>
          <w:rFonts w:ascii="Arial" w:hAnsi="Arial" w:cs="Arial"/>
        </w:rPr>
        <w:t>Adolescent sex education in schools</w:t>
      </w:r>
    </w:p>
    <w:p w14:paraId="1E0A0F1B" w14:textId="58479BA4" w:rsidR="00BF1911" w:rsidRPr="0011099C" w:rsidRDefault="00BF1911" w:rsidP="0011099C">
      <w:pPr>
        <w:pStyle w:val="ListParagraph"/>
        <w:numPr>
          <w:ilvl w:val="2"/>
          <w:numId w:val="4"/>
        </w:numPr>
        <w:spacing w:line="360" w:lineRule="auto"/>
        <w:jc w:val="both"/>
        <w:rPr>
          <w:rFonts w:ascii="Arial" w:hAnsi="Arial" w:cs="Arial"/>
        </w:rPr>
      </w:pPr>
      <w:r w:rsidRPr="0011099C">
        <w:rPr>
          <w:rFonts w:ascii="Arial" w:hAnsi="Arial" w:cs="Arial"/>
        </w:rPr>
        <w:t>Countries of origin: England</w:t>
      </w:r>
    </w:p>
    <w:p w14:paraId="07E8B1E5" w14:textId="5E14A8FC" w:rsidR="00722EBC" w:rsidRPr="0011099C" w:rsidRDefault="002D6EA7" w:rsidP="0011099C">
      <w:pPr>
        <w:pStyle w:val="ListParagraph"/>
        <w:numPr>
          <w:ilvl w:val="2"/>
          <w:numId w:val="4"/>
        </w:numPr>
        <w:spacing w:line="360" w:lineRule="auto"/>
        <w:jc w:val="both"/>
        <w:rPr>
          <w:rFonts w:ascii="Arial" w:hAnsi="Arial" w:cs="Arial"/>
        </w:rPr>
      </w:pPr>
      <w:r w:rsidRPr="0011099C">
        <w:rPr>
          <w:rFonts w:ascii="Arial" w:hAnsi="Arial" w:cs="Arial"/>
        </w:rPr>
        <w:t>Peer-reviewed articles</w:t>
      </w:r>
    </w:p>
    <w:p w14:paraId="02F23416" w14:textId="146EA20A" w:rsidR="00BF1911" w:rsidRDefault="00BF1911" w:rsidP="004B4FAE">
      <w:pPr>
        <w:spacing w:line="360" w:lineRule="auto"/>
        <w:jc w:val="both"/>
        <w:rPr>
          <w:rFonts w:ascii="Arial" w:hAnsi="Arial" w:cs="Arial"/>
        </w:rPr>
      </w:pPr>
    </w:p>
    <w:p w14:paraId="123FB085" w14:textId="4E866C7F" w:rsidR="00D025FB" w:rsidRPr="00BF1911" w:rsidRDefault="00D025FB" w:rsidP="004B4FAE">
      <w:pPr>
        <w:spacing w:line="360" w:lineRule="auto"/>
        <w:jc w:val="both"/>
        <w:rPr>
          <w:rFonts w:ascii="Arial" w:hAnsi="Arial" w:cs="Arial"/>
        </w:rPr>
      </w:pPr>
      <w:r w:rsidRPr="00D025FB">
        <w:rPr>
          <w:rFonts w:ascii="Arial" w:hAnsi="Arial" w:cs="Arial"/>
        </w:rPr>
        <w:t>The selected period of 2019–202</w:t>
      </w:r>
      <w:r w:rsidR="0002465E">
        <w:rPr>
          <w:rFonts w:ascii="Arial" w:hAnsi="Arial" w:cs="Arial"/>
        </w:rPr>
        <w:t>6</w:t>
      </w:r>
      <w:r w:rsidRPr="00D025FB">
        <w:rPr>
          <w:rFonts w:ascii="Arial" w:hAnsi="Arial" w:cs="Arial"/>
        </w:rPr>
        <w:t xml:space="preserve"> is important because it </w:t>
      </w:r>
      <w:r w:rsidR="00B83E68">
        <w:rPr>
          <w:rFonts w:ascii="Arial" w:hAnsi="Arial" w:cs="Arial"/>
        </w:rPr>
        <w:t>ensures</w:t>
      </w:r>
      <w:r w:rsidRPr="00D025FB">
        <w:rPr>
          <w:rFonts w:ascii="Arial" w:hAnsi="Arial" w:cs="Arial"/>
        </w:rPr>
        <w:t xml:space="preserve"> that the research will cover the information regarding statutory </w:t>
      </w:r>
      <w:r w:rsidR="0011099C">
        <w:rPr>
          <w:rFonts w:ascii="Arial" w:hAnsi="Arial" w:cs="Arial"/>
        </w:rPr>
        <w:t>relationships</w:t>
      </w:r>
      <w:r w:rsidRPr="00D025FB">
        <w:rPr>
          <w:rFonts w:ascii="Arial" w:hAnsi="Arial" w:cs="Arial"/>
        </w:rPr>
        <w:t xml:space="preserve"> education before and after its implementation, in addition to taking into account the COVID-19 pandemic period. This helps to make the study more relevant for today.</w:t>
      </w:r>
    </w:p>
    <w:p w14:paraId="3D2EDA92" w14:textId="36219D18" w:rsidR="00BF1911" w:rsidRPr="00440C0F" w:rsidRDefault="00BF1911" w:rsidP="004B4FAE">
      <w:pPr>
        <w:spacing w:line="360" w:lineRule="auto"/>
        <w:jc w:val="both"/>
        <w:rPr>
          <w:rFonts w:ascii="Arial" w:hAnsi="Arial" w:cs="Arial"/>
          <w:b/>
          <w:bCs/>
          <w:u w:val="single"/>
        </w:rPr>
      </w:pPr>
      <w:r w:rsidRPr="00440C0F">
        <w:rPr>
          <w:rFonts w:ascii="Arial" w:hAnsi="Arial" w:cs="Arial"/>
          <w:b/>
          <w:bCs/>
          <w:u w:val="single"/>
        </w:rPr>
        <w:t xml:space="preserve">Exclusion </w:t>
      </w:r>
      <w:r w:rsidR="0011099C">
        <w:rPr>
          <w:rFonts w:ascii="Arial" w:hAnsi="Arial" w:cs="Arial"/>
          <w:b/>
          <w:bCs/>
          <w:u w:val="single"/>
        </w:rPr>
        <w:t>Criteria:</w:t>
      </w:r>
    </w:p>
    <w:p w14:paraId="4983DAE5" w14:textId="63B5BA89" w:rsidR="00BF1911" w:rsidRPr="0011099C" w:rsidRDefault="00BF1911" w:rsidP="0011099C">
      <w:pPr>
        <w:pStyle w:val="ListParagraph"/>
        <w:numPr>
          <w:ilvl w:val="0"/>
          <w:numId w:val="7"/>
        </w:numPr>
        <w:spacing w:line="360" w:lineRule="auto"/>
        <w:jc w:val="both"/>
        <w:rPr>
          <w:rFonts w:ascii="Arial" w:hAnsi="Arial" w:cs="Arial"/>
        </w:rPr>
      </w:pPr>
      <w:r w:rsidRPr="0011099C">
        <w:rPr>
          <w:rFonts w:ascii="Arial" w:hAnsi="Arial" w:cs="Arial"/>
        </w:rPr>
        <w:t>Publications from other countries</w:t>
      </w:r>
    </w:p>
    <w:p w14:paraId="38A098D9" w14:textId="77777777" w:rsidR="0011099C" w:rsidRDefault="0011099C" w:rsidP="0011099C">
      <w:pPr>
        <w:pStyle w:val="ListParagraph"/>
        <w:numPr>
          <w:ilvl w:val="0"/>
          <w:numId w:val="7"/>
        </w:numPr>
        <w:spacing w:line="360" w:lineRule="auto"/>
        <w:jc w:val="both"/>
        <w:rPr>
          <w:rFonts w:ascii="Arial" w:hAnsi="Arial" w:cs="Arial"/>
        </w:rPr>
      </w:pPr>
      <w:r w:rsidRPr="0011099C">
        <w:rPr>
          <w:rFonts w:ascii="Arial" w:hAnsi="Arial" w:cs="Arial"/>
        </w:rPr>
        <w:t>Non-peer-reviewed articles</w:t>
      </w:r>
    </w:p>
    <w:p w14:paraId="0A8C5DF6" w14:textId="278F1EE2" w:rsidR="00BF1911" w:rsidRDefault="00BF1911" w:rsidP="0011099C">
      <w:pPr>
        <w:pStyle w:val="ListParagraph"/>
        <w:numPr>
          <w:ilvl w:val="0"/>
          <w:numId w:val="7"/>
        </w:numPr>
        <w:spacing w:line="360" w:lineRule="auto"/>
        <w:jc w:val="both"/>
        <w:rPr>
          <w:rFonts w:ascii="Arial" w:hAnsi="Arial" w:cs="Arial"/>
        </w:rPr>
      </w:pPr>
      <w:r w:rsidRPr="0011099C">
        <w:rPr>
          <w:rFonts w:ascii="Arial" w:hAnsi="Arial" w:cs="Arial"/>
        </w:rPr>
        <w:t>Publications not involving adolescents</w:t>
      </w:r>
    </w:p>
    <w:p w14:paraId="21A65B89" w14:textId="43180430" w:rsidR="0011099C" w:rsidRPr="0011099C" w:rsidRDefault="0011099C" w:rsidP="0011099C">
      <w:pPr>
        <w:pStyle w:val="ListParagraph"/>
        <w:numPr>
          <w:ilvl w:val="0"/>
          <w:numId w:val="7"/>
        </w:numPr>
        <w:spacing w:line="360" w:lineRule="auto"/>
        <w:jc w:val="both"/>
        <w:rPr>
          <w:rFonts w:ascii="Arial" w:hAnsi="Arial" w:cs="Arial"/>
        </w:rPr>
      </w:pPr>
      <w:r>
        <w:rPr>
          <w:rFonts w:ascii="Arial" w:hAnsi="Arial" w:cs="Arial"/>
        </w:rPr>
        <w:t>Publications before 2019</w:t>
      </w:r>
    </w:p>
    <w:p w14:paraId="70EF9FA2" w14:textId="77777777" w:rsidR="0011099C" w:rsidRDefault="0011099C" w:rsidP="004B4FAE">
      <w:pPr>
        <w:spacing w:line="360" w:lineRule="auto"/>
        <w:jc w:val="both"/>
        <w:rPr>
          <w:rFonts w:ascii="Arial" w:hAnsi="Arial" w:cs="Arial"/>
          <w:b/>
          <w:bCs/>
          <w:sz w:val="28"/>
          <w:szCs w:val="28"/>
          <w:u w:val="single"/>
        </w:rPr>
      </w:pPr>
    </w:p>
    <w:p w14:paraId="346E5B0F" w14:textId="77777777" w:rsidR="0011099C" w:rsidRDefault="0011099C" w:rsidP="004B4FAE">
      <w:pPr>
        <w:spacing w:line="360" w:lineRule="auto"/>
        <w:jc w:val="both"/>
        <w:rPr>
          <w:rFonts w:ascii="Arial" w:hAnsi="Arial" w:cs="Arial"/>
          <w:b/>
          <w:bCs/>
          <w:sz w:val="28"/>
          <w:szCs w:val="28"/>
          <w:u w:val="single"/>
        </w:rPr>
      </w:pPr>
    </w:p>
    <w:p w14:paraId="03112CD9" w14:textId="33CC01D0" w:rsidR="00393E40" w:rsidRPr="00393E40" w:rsidRDefault="00440C0F" w:rsidP="004B4FAE">
      <w:pPr>
        <w:spacing w:line="360" w:lineRule="auto"/>
        <w:jc w:val="both"/>
        <w:rPr>
          <w:rFonts w:ascii="Arial" w:hAnsi="Arial" w:cs="Arial"/>
        </w:rPr>
      </w:pPr>
      <w:r>
        <w:rPr>
          <w:rFonts w:ascii="Arial" w:hAnsi="Arial" w:cs="Arial"/>
          <w:b/>
          <w:bCs/>
          <w:sz w:val="28"/>
          <w:szCs w:val="28"/>
          <w:u w:val="single"/>
        </w:rPr>
        <w:lastRenderedPageBreak/>
        <w:t>8</w:t>
      </w:r>
      <w:r w:rsidR="00EB3A18">
        <w:rPr>
          <w:rFonts w:ascii="Arial" w:hAnsi="Arial" w:cs="Arial"/>
          <w:b/>
          <w:bCs/>
          <w:sz w:val="28"/>
          <w:szCs w:val="28"/>
          <w:u w:val="single"/>
        </w:rPr>
        <w:t>. METHODS OF DATA COLLECTION</w:t>
      </w:r>
    </w:p>
    <w:p w14:paraId="1B29883D" w14:textId="77777777" w:rsidR="00393E40" w:rsidRPr="00393E40" w:rsidRDefault="00393E40" w:rsidP="004B4FAE">
      <w:pPr>
        <w:spacing w:line="360" w:lineRule="auto"/>
        <w:jc w:val="both"/>
        <w:rPr>
          <w:rFonts w:ascii="Arial" w:hAnsi="Arial" w:cs="Arial"/>
        </w:rPr>
      </w:pPr>
      <w:r w:rsidRPr="00393E40">
        <w:rPr>
          <w:rFonts w:ascii="Arial" w:hAnsi="Arial" w:cs="Arial"/>
        </w:rPr>
        <w:t>The following sources will be accessed for data collection:</w:t>
      </w:r>
    </w:p>
    <w:p w14:paraId="25DF77EE" w14:textId="0B657FF4" w:rsidR="00393E40" w:rsidRPr="00393E40" w:rsidRDefault="00393E40" w:rsidP="004B4FAE">
      <w:pPr>
        <w:spacing w:line="360" w:lineRule="auto"/>
        <w:jc w:val="both"/>
        <w:rPr>
          <w:rFonts w:ascii="Arial" w:hAnsi="Arial" w:cs="Arial"/>
        </w:rPr>
      </w:pPr>
      <w:r w:rsidRPr="00393E40">
        <w:rPr>
          <w:rFonts w:ascii="Arial" w:hAnsi="Arial" w:cs="Arial"/>
        </w:rPr>
        <w:tab/>
        <w:t>• PubMed</w:t>
      </w:r>
    </w:p>
    <w:p w14:paraId="0908B470" w14:textId="77777777" w:rsidR="00393E40" w:rsidRPr="00393E40" w:rsidRDefault="00393E40" w:rsidP="004B4FAE">
      <w:pPr>
        <w:spacing w:line="360" w:lineRule="auto"/>
        <w:jc w:val="both"/>
        <w:rPr>
          <w:rFonts w:ascii="Arial" w:hAnsi="Arial" w:cs="Arial"/>
        </w:rPr>
      </w:pPr>
      <w:r w:rsidRPr="00393E40">
        <w:rPr>
          <w:rFonts w:ascii="Arial" w:hAnsi="Arial" w:cs="Arial"/>
        </w:rPr>
        <w:tab/>
        <w:t>• CINAHL</w:t>
      </w:r>
    </w:p>
    <w:p w14:paraId="2DFEF166" w14:textId="77777777" w:rsidR="00393E40" w:rsidRPr="00393E40" w:rsidRDefault="00393E40" w:rsidP="004B4FAE">
      <w:pPr>
        <w:spacing w:line="360" w:lineRule="auto"/>
        <w:jc w:val="both"/>
        <w:rPr>
          <w:rFonts w:ascii="Arial" w:hAnsi="Arial" w:cs="Arial"/>
        </w:rPr>
      </w:pPr>
      <w:r w:rsidRPr="00393E40">
        <w:rPr>
          <w:rFonts w:ascii="Arial" w:hAnsi="Arial" w:cs="Arial"/>
        </w:rPr>
        <w:tab/>
        <w:t>• Google Scholar</w:t>
      </w:r>
    </w:p>
    <w:p w14:paraId="430AB2B4" w14:textId="31D1597B" w:rsidR="00393E40" w:rsidRPr="00393E40" w:rsidRDefault="00393E40" w:rsidP="004B4FAE">
      <w:pPr>
        <w:spacing w:line="360" w:lineRule="auto"/>
        <w:jc w:val="both"/>
        <w:rPr>
          <w:rFonts w:ascii="Arial" w:hAnsi="Arial" w:cs="Arial"/>
        </w:rPr>
      </w:pPr>
      <w:r w:rsidRPr="00393E40">
        <w:rPr>
          <w:rFonts w:ascii="Arial" w:hAnsi="Arial" w:cs="Arial"/>
        </w:rPr>
        <w:t xml:space="preserve">Keywords that will be included in the search process will </w:t>
      </w:r>
      <w:r w:rsidR="0011099C">
        <w:rPr>
          <w:rFonts w:ascii="Arial" w:hAnsi="Arial" w:cs="Arial"/>
        </w:rPr>
        <w:t>be “Sex</w:t>
      </w:r>
      <w:r w:rsidRPr="00393E40">
        <w:rPr>
          <w:rFonts w:ascii="Arial" w:hAnsi="Arial" w:cs="Arial"/>
        </w:rPr>
        <w:t xml:space="preserve"> Education," "RSE England," "Adolescent Sexual Health," and "STI Prevention."</w:t>
      </w:r>
    </w:p>
    <w:p w14:paraId="385BB5DB" w14:textId="77777777" w:rsidR="00393E40" w:rsidRPr="00393E40" w:rsidRDefault="00393E40" w:rsidP="004B4FAE">
      <w:pPr>
        <w:spacing w:line="360" w:lineRule="auto"/>
        <w:jc w:val="both"/>
        <w:rPr>
          <w:rFonts w:ascii="Arial" w:hAnsi="Arial" w:cs="Arial"/>
        </w:rPr>
      </w:pPr>
      <w:r w:rsidRPr="00393E40">
        <w:rPr>
          <w:rFonts w:ascii="Arial" w:hAnsi="Arial" w:cs="Arial"/>
        </w:rPr>
        <w:t>The following steps will be taken in the search process:</w:t>
      </w:r>
    </w:p>
    <w:p w14:paraId="315C705F" w14:textId="77777777" w:rsidR="00393E40" w:rsidRPr="00393E40" w:rsidRDefault="00393E40" w:rsidP="004B4FAE">
      <w:pPr>
        <w:spacing w:line="360" w:lineRule="auto"/>
        <w:jc w:val="both"/>
        <w:rPr>
          <w:rFonts w:ascii="Arial" w:hAnsi="Arial" w:cs="Arial"/>
        </w:rPr>
      </w:pPr>
      <w:r w:rsidRPr="00393E40">
        <w:rPr>
          <w:rFonts w:ascii="Arial" w:hAnsi="Arial" w:cs="Arial"/>
        </w:rPr>
        <w:tab/>
        <w:t>1. Identification of suitable articles</w:t>
      </w:r>
    </w:p>
    <w:p w14:paraId="424FAFDF" w14:textId="77777777" w:rsidR="00393E40" w:rsidRPr="00393E40" w:rsidRDefault="00393E40" w:rsidP="004B4FAE">
      <w:pPr>
        <w:spacing w:line="360" w:lineRule="auto"/>
        <w:jc w:val="both"/>
        <w:rPr>
          <w:rFonts w:ascii="Arial" w:hAnsi="Arial" w:cs="Arial"/>
        </w:rPr>
      </w:pPr>
      <w:r w:rsidRPr="00393E40">
        <w:rPr>
          <w:rFonts w:ascii="Arial" w:hAnsi="Arial" w:cs="Arial"/>
        </w:rPr>
        <w:tab/>
        <w:t>2. Screening articles using their titles and abstracts</w:t>
      </w:r>
    </w:p>
    <w:p w14:paraId="061AE32B" w14:textId="77777777" w:rsidR="00393E40" w:rsidRPr="00393E40" w:rsidRDefault="00393E40" w:rsidP="004B4FAE">
      <w:pPr>
        <w:spacing w:line="360" w:lineRule="auto"/>
        <w:jc w:val="both"/>
        <w:rPr>
          <w:rFonts w:ascii="Arial" w:hAnsi="Arial" w:cs="Arial"/>
        </w:rPr>
      </w:pPr>
      <w:r w:rsidRPr="00393E40">
        <w:rPr>
          <w:rFonts w:ascii="Arial" w:hAnsi="Arial" w:cs="Arial"/>
        </w:rPr>
        <w:tab/>
        <w:t>3. Full-text review of the articles</w:t>
      </w:r>
    </w:p>
    <w:p w14:paraId="5089A457" w14:textId="77777777" w:rsidR="00393E40" w:rsidRDefault="00393E40" w:rsidP="004B4FAE">
      <w:pPr>
        <w:spacing w:line="360" w:lineRule="auto"/>
        <w:jc w:val="both"/>
        <w:rPr>
          <w:rFonts w:ascii="Arial" w:hAnsi="Arial" w:cs="Arial"/>
        </w:rPr>
      </w:pPr>
      <w:r w:rsidRPr="00393E40">
        <w:rPr>
          <w:rFonts w:ascii="Arial" w:hAnsi="Arial" w:cs="Arial"/>
        </w:rPr>
        <w:tab/>
        <w:t>4. Inclusion based on the inclusion criteria</w:t>
      </w:r>
    </w:p>
    <w:p w14:paraId="1BFF6390" w14:textId="25310D05" w:rsidR="001261ED" w:rsidRDefault="001261ED" w:rsidP="004B4FAE">
      <w:pPr>
        <w:spacing w:line="360" w:lineRule="auto"/>
        <w:jc w:val="both"/>
        <w:rPr>
          <w:rFonts w:ascii="Arial" w:hAnsi="Arial" w:cs="Arial"/>
        </w:rPr>
      </w:pPr>
      <w:r w:rsidRPr="009A7962">
        <w:rPr>
          <w:rFonts w:ascii="Arial" w:hAnsi="Arial" w:cs="Arial"/>
        </w:rPr>
        <w:t xml:space="preserve">To improve the effectiveness of the search procedure, it will be supplemented with Boolean terms such as "AND" and </w:t>
      </w:r>
      <w:r w:rsidR="0011099C">
        <w:rPr>
          <w:rFonts w:ascii="Arial" w:hAnsi="Arial" w:cs="Arial"/>
        </w:rPr>
        <w:t>“OR.”</w:t>
      </w:r>
      <w:r w:rsidRPr="009A7962">
        <w:rPr>
          <w:rFonts w:ascii="Arial" w:hAnsi="Arial" w:cs="Arial"/>
        </w:rPr>
        <w:t xml:space="preserve"> For instance, search terms like "sex education AND adolescents AND England" will be employed to guarantee the selection of suitable sources.</w:t>
      </w:r>
    </w:p>
    <w:p w14:paraId="1B058E95" w14:textId="6FB9D375" w:rsidR="00AC4361" w:rsidRPr="009A7962" w:rsidRDefault="00AC4361" w:rsidP="004B4FAE">
      <w:pPr>
        <w:spacing w:line="360" w:lineRule="auto"/>
        <w:jc w:val="both"/>
        <w:rPr>
          <w:rFonts w:ascii="Arial" w:hAnsi="Arial" w:cs="Arial"/>
        </w:rPr>
      </w:pPr>
      <w:r w:rsidRPr="00AC4361">
        <w:rPr>
          <w:rFonts w:ascii="Arial" w:hAnsi="Arial" w:cs="Arial"/>
        </w:rPr>
        <w:t xml:space="preserve">To increase the credibility of the data collection process even more, the PRISMA flow diagram will be </w:t>
      </w:r>
      <w:r w:rsidR="00700E2F">
        <w:rPr>
          <w:rFonts w:ascii="Arial" w:hAnsi="Arial" w:cs="Arial"/>
        </w:rPr>
        <w:t>utilised</w:t>
      </w:r>
      <w:r w:rsidRPr="00AC4361">
        <w:rPr>
          <w:rFonts w:ascii="Arial" w:hAnsi="Arial" w:cs="Arial"/>
        </w:rPr>
        <w:t xml:space="preserve"> to create a systematic screening and documentation process where the number of identified, screened, included, and excluded studies can be reported precisely. To </w:t>
      </w:r>
      <w:r>
        <w:rPr>
          <w:rFonts w:ascii="Arial" w:hAnsi="Arial" w:cs="Arial"/>
        </w:rPr>
        <w:t>minimise</w:t>
      </w:r>
      <w:r w:rsidRPr="00AC4361">
        <w:rPr>
          <w:rFonts w:ascii="Arial" w:hAnsi="Arial" w:cs="Arial"/>
        </w:rPr>
        <w:t xml:space="preserve"> possible mistakes, duplicate publications will be deleted. In addition, a data extraction table will be created for systematic compilation of data from relevant sources. This data will include the following information: author(s), publication date, study type, study characteristics (sample size and characteristics), types of interventions and results obtained. It will help to </w:t>
      </w:r>
      <w:r>
        <w:rPr>
          <w:rFonts w:ascii="Arial" w:hAnsi="Arial" w:cs="Arial"/>
        </w:rPr>
        <w:t>standardise</w:t>
      </w:r>
      <w:r w:rsidRPr="00AC4361">
        <w:rPr>
          <w:rFonts w:ascii="Arial" w:hAnsi="Arial" w:cs="Arial"/>
        </w:rPr>
        <w:t xml:space="preserve"> the whole procedure of data collection. In addition, it is necessary to </w:t>
      </w:r>
      <w:r>
        <w:rPr>
          <w:rFonts w:ascii="Arial" w:hAnsi="Arial" w:cs="Arial"/>
        </w:rPr>
        <w:t>emphasise</w:t>
      </w:r>
      <w:r w:rsidRPr="00AC4361">
        <w:rPr>
          <w:rFonts w:ascii="Arial" w:hAnsi="Arial" w:cs="Arial"/>
        </w:rPr>
        <w:t xml:space="preserve"> the need to choose peer-reviewed articles and official reports from reliable </w:t>
      </w:r>
      <w:r>
        <w:rPr>
          <w:rFonts w:ascii="Arial" w:hAnsi="Arial" w:cs="Arial"/>
        </w:rPr>
        <w:t>organisations</w:t>
      </w:r>
      <w:r w:rsidRPr="00AC4361">
        <w:rPr>
          <w:rFonts w:ascii="Arial" w:hAnsi="Arial" w:cs="Arial"/>
        </w:rPr>
        <w:t xml:space="preserve"> in order to guarantee </w:t>
      </w:r>
      <w:r w:rsidR="00700E2F">
        <w:rPr>
          <w:rFonts w:ascii="Arial" w:hAnsi="Arial" w:cs="Arial"/>
        </w:rPr>
        <w:t xml:space="preserve">the </w:t>
      </w:r>
      <w:r w:rsidRPr="00AC4361">
        <w:rPr>
          <w:rFonts w:ascii="Arial" w:hAnsi="Arial" w:cs="Arial"/>
        </w:rPr>
        <w:t>validity and timeliness of data collected during the review process.</w:t>
      </w:r>
    </w:p>
    <w:p w14:paraId="23AAC723" w14:textId="3A31D35E" w:rsidR="00352B80" w:rsidRPr="00352B80" w:rsidRDefault="00EB3A18" w:rsidP="004B4FAE">
      <w:pPr>
        <w:spacing w:line="360" w:lineRule="auto"/>
        <w:jc w:val="both"/>
        <w:rPr>
          <w:rFonts w:ascii="Arial" w:hAnsi="Arial" w:cs="Arial"/>
        </w:rPr>
      </w:pPr>
      <w:r>
        <w:rPr>
          <w:rFonts w:ascii="Arial" w:hAnsi="Arial" w:cs="Arial"/>
          <w:b/>
          <w:bCs/>
          <w:sz w:val="28"/>
          <w:szCs w:val="28"/>
          <w:u w:val="single"/>
        </w:rPr>
        <w:t xml:space="preserve">9. DATA ANALYSIS </w:t>
      </w:r>
    </w:p>
    <w:p w14:paraId="50000824" w14:textId="248D061A" w:rsidR="001E08AF" w:rsidRDefault="00352B80" w:rsidP="004B4FAE">
      <w:pPr>
        <w:spacing w:line="360" w:lineRule="auto"/>
        <w:jc w:val="both"/>
        <w:rPr>
          <w:rFonts w:ascii="Arial" w:hAnsi="Arial" w:cs="Arial"/>
        </w:rPr>
      </w:pPr>
      <w:r w:rsidRPr="00352B80">
        <w:rPr>
          <w:rFonts w:ascii="Arial" w:hAnsi="Arial" w:cs="Arial"/>
        </w:rPr>
        <w:t>Data analysis will incorporate thematic analysis</w:t>
      </w:r>
      <w:r w:rsidR="0011099C">
        <w:rPr>
          <w:rFonts w:ascii="Arial" w:hAnsi="Arial" w:cs="Arial"/>
        </w:rPr>
        <w:t xml:space="preserve">. </w:t>
      </w:r>
      <w:r w:rsidRPr="00352B80">
        <w:rPr>
          <w:rFonts w:ascii="Arial" w:hAnsi="Arial" w:cs="Arial"/>
        </w:rPr>
        <w:t xml:space="preserve">Thematic analysis will be applied to qualitative data for </w:t>
      </w:r>
      <w:r w:rsidR="005344A9">
        <w:rPr>
          <w:rFonts w:ascii="Arial" w:hAnsi="Arial" w:cs="Arial"/>
        </w:rPr>
        <w:t xml:space="preserve">the </w:t>
      </w:r>
      <w:r w:rsidRPr="00352B80">
        <w:rPr>
          <w:rFonts w:ascii="Arial" w:hAnsi="Arial" w:cs="Arial"/>
        </w:rPr>
        <w:t xml:space="preserve">identification of patterns of perception of RSE, barriers, </w:t>
      </w:r>
      <w:r w:rsidR="0011099C">
        <w:rPr>
          <w:rFonts w:ascii="Arial" w:hAnsi="Arial" w:cs="Arial"/>
        </w:rPr>
        <w:t xml:space="preserve">etc. </w:t>
      </w:r>
      <w:r w:rsidR="001E08AF" w:rsidRPr="00056AD5">
        <w:rPr>
          <w:rFonts w:ascii="Arial" w:hAnsi="Arial" w:cs="Arial"/>
        </w:rPr>
        <w:t xml:space="preserve">The themes will then be </w:t>
      </w:r>
      <w:r w:rsidR="007A5008">
        <w:rPr>
          <w:rFonts w:ascii="Arial" w:hAnsi="Arial" w:cs="Arial"/>
        </w:rPr>
        <w:t>categorised</w:t>
      </w:r>
      <w:r w:rsidR="001E08AF" w:rsidRPr="00056AD5">
        <w:rPr>
          <w:rFonts w:ascii="Arial" w:hAnsi="Arial" w:cs="Arial"/>
        </w:rPr>
        <w:t xml:space="preserve"> under broader categories like knowledge gain, </w:t>
      </w:r>
      <w:r w:rsidR="001E08AF">
        <w:rPr>
          <w:rFonts w:ascii="Arial" w:hAnsi="Arial" w:cs="Arial"/>
        </w:rPr>
        <w:t>behaviour</w:t>
      </w:r>
      <w:r w:rsidR="001E08AF" w:rsidRPr="00056AD5">
        <w:rPr>
          <w:rFonts w:ascii="Arial" w:hAnsi="Arial" w:cs="Arial"/>
        </w:rPr>
        <w:t xml:space="preserve"> change, factors hindering efficiency, and health disparities. This approach will help to interpret patterns </w:t>
      </w:r>
      <w:r w:rsidR="001E08AF" w:rsidRPr="00056AD5">
        <w:rPr>
          <w:rFonts w:ascii="Arial" w:hAnsi="Arial" w:cs="Arial"/>
        </w:rPr>
        <w:lastRenderedPageBreak/>
        <w:t xml:space="preserve">within different studies in a critical manner. The quantitative data will be </w:t>
      </w:r>
      <w:r w:rsidR="004E59CD">
        <w:rPr>
          <w:rFonts w:ascii="Arial" w:hAnsi="Arial" w:cs="Arial"/>
        </w:rPr>
        <w:t>analysed</w:t>
      </w:r>
      <w:r w:rsidR="001E08AF" w:rsidRPr="00056AD5">
        <w:rPr>
          <w:rFonts w:ascii="Arial" w:hAnsi="Arial" w:cs="Arial"/>
        </w:rPr>
        <w:t xml:space="preserve"> in relation to the trends in </w:t>
      </w:r>
      <w:r w:rsidR="007A5008">
        <w:rPr>
          <w:rFonts w:ascii="Arial" w:hAnsi="Arial" w:cs="Arial"/>
        </w:rPr>
        <w:t>STI</w:t>
      </w:r>
      <w:r w:rsidR="001E08AF" w:rsidRPr="00056AD5">
        <w:rPr>
          <w:rFonts w:ascii="Arial" w:hAnsi="Arial" w:cs="Arial"/>
        </w:rPr>
        <w:t xml:space="preserve"> cases, pregnancies, and the use of contraception. Through the inclusion of both types of analysis, the review seeks to offer an all-inclusive evaluation of the factors affecting efficiency.</w:t>
      </w:r>
    </w:p>
    <w:p w14:paraId="1D376179" w14:textId="01C8E524" w:rsidR="00352B80" w:rsidRPr="00352B80" w:rsidRDefault="004E59CD" w:rsidP="004B4FAE">
      <w:pPr>
        <w:spacing w:line="360" w:lineRule="auto"/>
        <w:jc w:val="both"/>
        <w:rPr>
          <w:rFonts w:ascii="Arial" w:hAnsi="Arial" w:cs="Arial"/>
        </w:rPr>
      </w:pPr>
      <w:r>
        <w:rPr>
          <w:rFonts w:ascii="Arial" w:hAnsi="Arial" w:cs="Arial"/>
          <w:b/>
          <w:bCs/>
          <w:sz w:val="28"/>
          <w:szCs w:val="28"/>
          <w:u w:val="single"/>
        </w:rPr>
        <w:t>10. ETHICAL ISSUES</w:t>
      </w:r>
    </w:p>
    <w:p w14:paraId="00280942" w14:textId="6AF5515B" w:rsidR="00352B80" w:rsidRPr="00352B80" w:rsidRDefault="00352B80" w:rsidP="004B4FAE">
      <w:pPr>
        <w:spacing w:line="360" w:lineRule="auto"/>
        <w:jc w:val="both"/>
        <w:rPr>
          <w:rFonts w:ascii="Arial" w:hAnsi="Arial" w:cs="Arial"/>
        </w:rPr>
      </w:pPr>
      <w:r w:rsidRPr="00352B80">
        <w:rPr>
          <w:rFonts w:ascii="Arial" w:hAnsi="Arial" w:cs="Arial"/>
        </w:rPr>
        <w:t>Since secondary sources will be used in the study, the risks to participants are negligible.</w:t>
      </w:r>
      <w:r w:rsidR="0011099C">
        <w:rPr>
          <w:rFonts w:ascii="Arial" w:hAnsi="Arial" w:cs="Arial"/>
        </w:rPr>
        <w:t xml:space="preserve"> </w:t>
      </w:r>
      <w:r w:rsidR="00C451A9">
        <w:rPr>
          <w:rFonts w:ascii="Arial" w:hAnsi="Arial" w:cs="Arial"/>
        </w:rPr>
        <w:t>As a researcher, honest reporting is important. Showing transparency and non-bias to avoid interpretation and selection. Including proper referencing and scholarly assessment of selected articles.</w:t>
      </w:r>
    </w:p>
    <w:p w14:paraId="3578EE01" w14:textId="227987C9" w:rsidR="00352B80" w:rsidRPr="007A5008" w:rsidRDefault="00B15048" w:rsidP="004B4FAE">
      <w:pPr>
        <w:spacing w:line="360" w:lineRule="auto"/>
        <w:jc w:val="both"/>
        <w:rPr>
          <w:rFonts w:ascii="Arial" w:hAnsi="Arial" w:cs="Arial"/>
          <w:b/>
          <w:bCs/>
          <w:sz w:val="28"/>
          <w:szCs w:val="28"/>
          <w:u w:val="single"/>
        </w:rPr>
      </w:pPr>
      <w:r w:rsidRPr="007A5008">
        <w:rPr>
          <w:rFonts w:ascii="Arial" w:hAnsi="Arial" w:cs="Arial"/>
          <w:b/>
          <w:bCs/>
          <w:sz w:val="28"/>
          <w:szCs w:val="28"/>
          <w:u w:val="single"/>
        </w:rPr>
        <w:t>11. SIGNIFICANCE OF RESEARCH</w:t>
      </w:r>
    </w:p>
    <w:p w14:paraId="2B829CE5" w14:textId="77777777" w:rsidR="00C451A9" w:rsidRDefault="00352B80" w:rsidP="004B4FAE">
      <w:pPr>
        <w:spacing w:line="360" w:lineRule="auto"/>
        <w:jc w:val="both"/>
        <w:rPr>
          <w:rFonts w:ascii="Arial" w:hAnsi="Arial" w:cs="Arial"/>
        </w:rPr>
      </w:pPr>
      <w:r w:rsidRPr="00352B80">
        <w:rPr>
          <w:rFonts w:ascii="Arial" w:hAnsi="Arial" w:cs="Arial"/>
        </w:rPr>
        <w:t xml:space="preserve">This study will have significant implications for policy development in the field of public health. It will contribute to </w:t>
      </w:r>
      <w:r w:rsidR="0090764C">
        <w:rPr>
          <w:rFonts w:ascii="Arial" w:hAnsi="Arial" w:cs="Arial"/>
        </w:rPr>
        <w:t xml:space="preserve">the </w:t>
      </w:r>
      <w:r w:rsidRPr="00352B80">
        <w:rPr>
          <w:rFonts w:ascii="Arial" w:hAnsi="Arial" w:cs="Arial"/>
        </w:rPr>
        <w:t>improvement of the RSE curriculum and ways of its implementation.</w:t>
      </w:r>
      <w:r w:rsidR="0090764C">
        <w:rPr>
          <w:rFonts w:ascii="Arial" w:hAnsi="Arial" w:cs="Arial"/>
        </w:rPr>
        <w:t xml:space="preserve"> </w:t>
      </w:r>
      <w:r w:rsidRPr="00352B80">
        <w:rPr>
          <w:rFonts w:ascii="Arial" w:hAnsi="Arial" w:cs="Arial"/>
        </w:rPr>
        <w:t xml:space="preserve">It may contribute to reducing health disparities due to </w:t>
      </w:r>
      <w:r w:rsidR="0090764C">
        <w:rPr>
          <w:rFonts w:ascii="Arial" w:hAnsi="Arial" w:cs="Arial"/>
        </w:rPr>
        <w:t xml:space="preserve">the </w:t>
      </w:r>
      <w:r w:rsidRPr="00352B80">
        <w:rPr>
          <w:rFonts w:ascii="Arial" w:hAnsi="Arial" w:cs="Arial"/>
        </w:rPr>
        <w:t>identification of weaknesses in the existing educational practices.</w:t>
      </w:r>
      <w:r w:rsidR="0090764C">
        <w:rPr>
          <w:rFonts w:ascii="Arial" w:hAnsi="Arial" w:cs="Arial"/>
        </w:rPr>
        <w:t xml:space="preserve"> </w:t>
      </w:r>
      <w:r w:rsidR="0090764C" w:rsidRPr="0090764C">
        <w:rPr>
          <w:rFonts w:ascii="Arial" w:hAnsi="Arial" w:cs="Arial"/>
        </w:rPr>
        <w:t xml:space="preserve">It can aid policy formation through evidence-based suggestions that could be used to improve the RSE curriculum. </w:t>
      </w:r>
    </w:p>
    <w:p w14:paraId="4BC0801B" w14:textId="5AE5588A" w:rsidR="002F59E1" w:rsidRDefault="0090764C" w:rsidP="004B4FAE">
      <w:pPr>
        <w:spacing w:line="360" w:lineRule="auto"/>
        <w:jc w:val="both"/>
        <w:rPr>
          <w:rFonts w:ascii="Arial" w:hAnsi="Arial" w:cs="Arial"/>
        </w:rPr>
      </w:pPr>
      <w:r w:rsidRPr="0090764C">
        <w:rPr>
          <w:rFonts w:ascii="Arial" w:hAnsi="Arial" w:cs="Arial"/>
        </w:rPr>
        <w:t>The findings from this research can also be used by schools to improve the delivery of sexual education and by health care professionals to design interventions. In addition, it can help to reduce health disparities through the identification of gaps within the existing service provision.</w:t>
      </w:r>
      <w:r w:rsidR="00700E2F">
        <w:rPr>
          <w:rFonts w:ascii="Arial" w:hAnsi="Arial" w:cs="Arial"/>
        </w:rPr>
        <w:t xml:space="preserve"> </w:t>
      </w:r>
      <w:r w:rsidR="00352B80" w:rsidRPr="00352B80">
        <w:rPr>
          <w:rFonts w:ascii="Arial" w:hAnsi="Arial" w:cs="Arial"/>
        </w:rPr>
        <w:t>The results of the study can also assist educators, policymakers, and healthcare professionals in implementing more efficient interventions.</w:t>
      </w:r>
    </w:p>
    <w:p w14:paraId="60A35C2D" w14:textId="69DB59C4" w:rsidR="004E59CD" w:rsidRPr="009968FD" w:rsidRDefault="006F0CDD" w:rsidP="004B4FAE">
      <w:pPr>
        <w:spacing w:line="360" w:lineRule="auto"/>
        <w:jc w:val="both"/>
        <w:rPr>
          <w:rFonts w:ascii="Arial" w:hAnsi="Arial" w:cs="Arial"/>
        </w:rPr>
      </w:pPr>
      <w:r w:rsidRPr="00056AD5">
        <w:rPr>
          <w:rFonts w:ascii="Arial" w:hAnsi="Arial" w:cs="Arial"/>
        </w:rPr>
        <w:t xml:space="preserve">The themes will then be </w:t>
      </w:r>
      <w:r w:rsidR="00775CD7">
        <w:rPr>
          <w:rFonts w:ascii="Arial" w:hAnsi="Arial" w:cs="Arial"/>
        </w:rPr>
        <w:t>categorised</w:t>
      </w:r>
      <w:r w:rsidRPr="00056AD5">
        <w:rPr>
          <w:rFonts w:ascii="Arial" w:hAnsi="Arial" w:cs="Arial"/>
        </w:rPr>
        <w:t xml:space="preserve"> under broader categories like knowledge gain, </w:t>
      </w:r>
      <w:r>
        <w:rPr>
          <w:rFonts w:ascii="Arial" w:hAnsi="Arial" w:cs="Arial"/>
        </w:rPr>
        <w:t>behaviour</w:t>
      </w:r>
      <w:r w:rsidRPr="00056AD5">
        <w:rPr>
          <w:rFonts w:ascii="Arial" w:hAnsi="Arial" w:cs="Arial"/>
        </w:rPr>
        <w:t xml:space="preserve"> change, factors hindering efficiency, and health disparities. This approach will help to interpret patterns within different studies in a critical manner. The quantitative data will be </w:t>
      </w:r>
      <w:r w:rsidR="00700E2F">
        <w:rPr>
          <w:rFonts w:ascii="Arial" w:hAnsi="Arial" w:cs="Arial"/>
        </w:rPr>
        <w:t>analysed</w:t>
      </w:r>
      <w:r w:rsidRPr="00056AD5">
        <w:rPr>
          <w:rFonts w:ascii="Arial" w:hAnsi="Arial" w:cs="Arial"/>
        </w:rPr>
        <w:t xml:space="preserve"> in relation to the trends in </w:t>
      </w:r>
      <w:r w:rsidR="004B4FAE">
        <w:rPr>
          <w:rFonts w:ascii="Arial" w:hAnsi="Arial" w:cs="Arial"/>
        </w:rPr>
        <w:t>STI</w:t>
      </w:r>
      <w:r w:rsidRPr="00056AD5">
        <w:rPr>
          <w:rFonts w:ascii="Arial" w:hAnsi="Arial" w:cs="Arial"/>
        </w:rPr>
        <w:t xml:space="preserve"> cases, pregnancies, and the use of contraception. Through the inclusion of both types of analysis, the review seeks to offer an all-inclusive evaluation of the factors affecting efficiency.</w:t>
      </w:r>
    </w:p>
    <w:p w14:paraId="356CE9AD" w14:textId="77777777" w:rsidR="0011099C" w:rsidRDefault="0011099C" w:rsidP="004B4FAE">
      <w:pPr>
        <w:spacing w:line="360" w:lineRule="auto"/>
        <w:jc w:val="both"/>
        <w:rPr>
          <w:rFonts w:ascii="Arial" w:hAnsi="Arial" w:cs="Arial"/>
          <w:b/>
          <w:bCs/>
          <w:sz w:val="28"/>
          <w:szCs w:val="28"/>
          <w:u w:val="single"/>
        </w:rPr>
      </w:pPr>
    </w:p>
    <w:p w14:paraId="6B45CF50" w14:textId="77777777" w:rsidR="0011099C" w:rsidRDefault="0011099C" w:rsidP="004B4FAE">
      <w:pPr>
        <w:spacing w:line="360" w:lineRule="auto"/>
        <w:jc w:val="both"/>
        <w:rPr>
          <w:rFonts w:ascii="Arial" w:hAnsi="Arial" w:cs="Arial"/>
          <w:b/>
          <w:bCs/>
          <w:sz w:val="28"/>
          <w:szCs w:val="28"/>
          <w:u w:val="single"/>
        </w:rPr>
      </w:pPr>
    </w:p>
    <w:p w14:paraId="5CDCF824" w14:textId="77777777" w:rsidR="0011099C" w:rsidRDefault="0011099C" w:rsidP="004B4FAE">
      <w:pPr>
        <w:spacing w:line="360" w:lineRule="auto"/>
        <w:jc w:val="both"/>
        <w:rPr>
          <w:rFonts w:ascii="Arial" w:hAnsi="Arial" w:cs="Arial"/>
          <w:b/>
          <w:bCs/>
          <w:sz w:val="28"/>
          <w:szCs w:val="28"/>
          <w:u w:val="single"/>
        </w:rPr>
      </w:pPr>
    </w:p>
    <w:p w14:paraId="6C20C5F3" w14:textId="77777777" w:rsidR="00C451A9" w:rsidRDefault="00C451A9" w:rsidP="004B4FAE">
      <w:pPr>
        <w:spacing w:line="360" w:lineRule="auto"/>
        <w:jc w:val="both"/>
        <w:rPr>
          <w:rFonts w:ascii="Arial" w:hAnsi="Arial" w:cs="Arial"/>
          <w:b/>
          <w:bCs/>
          <w:sz w:val="28"/>
          <w:szCs w:val="28"/>
          <w:u w:val="single"/>
        </w:rPr>
      </w:pPr>
    </w:p>
    <w:p w14:paraId="61FDA665" w14:textId="77777777" w:rsidR="00C451A9" w:rsidRDefault="00C451A9" w:rsidP="004B4FAE">
      <w:pPr>
        <w:spacing w:line="360" w:lineRule="auto"/>
        <w:jc w:val="both"/>
        <w:rPr>
          <w:rFonts w:ascii="Arial" w:hAnsi="Arial" w:cs="Arial"/>
          <w:b/>
          <w:bCs/>
          <w:sz w:val="28"/>
          <w:szCs w:val="28"/>
          <w:u w:val="single"/>
        </w:rPr>
      </w:pPr>
    </w:p>
    <w:p w14:paraId="7E8AE68E" w14:textId="4056EE38" w:rsidR="00B40C11" w:rsidRDefault="00532848" w:rsidP="004B4FAE">
      <w:pPr>
        <w:spacing w:line="360" w:lineRule="auto"/>
        <w:jc w:val="both"/>
        <w:rPr>
          <w:rFonts w:ascii="Arial" w:hAnsi="Arial" w:cs="Arial"/>
          <w:b/>
          <w:bCs/>
          <w:sz w:val="28"/>
          <w:szCs w:val="28"/>
          <w:u w:val="single"/>
        </w:rPr>
      </w:pPr>
      <w:r w:rsidRPr="009968FD">
        <w:rPr>
          <w:rFonts w:ascii="Arial" w:hAnsi="Arial" w:cs="Arial"/>
          <w:b/>
          <w:bCs/>
          <w:sz w:val="28"/>
          <w:szCs w:val="28"/>
          <w:u w:val="single"/>
        </w:rPr>
        <w:t>12. PLAN OF WORK – GANTT CHART</w:t>
      </w:r>
    </w:p>
    <w:tbl>
      <w:tblPr>
        <w:tblW w:w="11358" w:type="dxa"/>
        <w:tblInd w:w="-1172" w:type="dxa"/>
        <w:tblLook w:val="04A0" w:firstRow="1" w:lastRow="0" w:firstColumn="1" w:lastColumn="0" w:noHBand="0" w:noVBand="1"/>
      </w:tblPr>
      <w:tblGrid>
        <w:gridCol w:w="3166"/>
        <w:gridCol w:w="512"/>
        <w:gridCol w:w="512"/>
        <w:gridCol w:w="512"/>
        <w:gridCol w:w="512"/>
        <w:gridCol w:w="512"/>
        <w:gridCol w:w="512"/>
        <w:gridCol w:w="512"/>
        <w:gridCol w:w="512"/>
        <w:gridCol w:w="512"/>
        <w:gridCol w:w="512"/>
        <w:gridCol w:w="512"/>
        <w:gridCol w:w="512"/>
        <w:gridCol w:w="512"/>
        <w:gridCol w:w="512"/>
        <w:gridCol w:w="512"/>
        <w:gridCol w:w="512"/>
      </w:tblGrid>
      <w:tr w:rsidR="00097363" w:rsidRPr="00B40C11" w14:paraId="796F3016" w14:textId="77777777" w:rsidTr="00EE570F">
        <w:trPr>
          <w:trHeight w:val="273"/>
        </w:trPr>
        <w:tc>
          <w:tcPr>
            <w:tcW w:w="3166" w:type="dxa"/>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01014FB1" w14:textId="77777777" w:rsidR="00097363" w:rsidRPr="00B40C11" w:rsidRDefault="00097363" w:rsidP="004B4FAE">
            <w:pPr>
              <w:spacing w:after="0" w:line="360" w:lineRule="auto"/>
              <w:rPr>
                <w:rFonts w:ascii="Calibri" w:eastAsia="Times New Roman" w:hAnsi="Calibri" w:cs="Calibri"/>
                <w:b/>
                <w:bCs/>
                <w:kern w:val="0"/>
                <w:lang w:eastAsia="en-IN"/>
                <w14:ligatures w14:val="none"/>
              </w:rPr>
            </w:pPr>
            <w:r w:rsidRPr="00B40C11">
              <w:rPr>
                <w:rFonts w:ascii="Calibri" w:eastAsia="Times New Roman" w:hAnsi="Calibri" w:cs="Calibri"/>
                <w:b/>
                <w:bCs/>
                <w:kern w:val="0"/>
                <w:lang w:eastAsia="en-IN"/>
                <w14:ligatures w14:val="none"/>
              </w:rPr>
              <w:t>Key Activities</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2A5AF804"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7EE98C90"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2</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60C27738"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3</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1F648E2A"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4</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6FAEAD88"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5</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1B44372A"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6</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23050A5F"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7</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136B9643"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8</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21704136"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9</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6A828949"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10</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2CD9991A"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11</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32D33D48"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12</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6CE2CDE4"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13</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5401A2C1"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14</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5DCDBAED"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15</w:t>
            </w:r>
          </w:p>
        </w:tc>
        <w:tc>
          <w:tcPr>
            <w:tcW w:w="512" w:type="dxa"/>
            <w:tcBorders>
              <w:top w:val="single" w:sz="4" w:space="0" w:color="000000"/>
              <w:left w:val="nil"/>
              <w:bottom w:val="single" w:sz="4" w:space="0" w:color="000000"/>
              <w:right w:val="single" w:sz="4" w:space="0" w:color="000000"/>
            </w:tcBorders>
            <w:shd w:val="clear" w:color="F2F2F2" w:fill="F2F2F2"/>
            <w:noWrap/>
            <w:vAlign w:val="bottom"/>
            <w:hideMark/>
          </w:tcPr>
          <w:p w14:paraId="3888F6C2" w14:textId="77777777" w:rsidR="00097363" w:rsidRPr="00B40C11" w:rsidRDefault="00097363" w:rsidP="004B4FAE">
            <w:pPr>
              <w:spacing w:after="0" w:line="360" w:lineRule="auto"/>
              <w:jc w:val="center"/>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Wk 16</w:t>
            </w:r>
          </w:p>
        </w:tc>
      </w:tr>
      <w:tr w:rsidR="00097363" w:rsidRPr="00B40C11" w14:paraId="004E4F02"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3994C45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Database searches</w:t>
            </w:r>
          </w:p>
        </w:tc>
        <w:tc>
          <w:tcPr>
            <w:tcW w:w="512" w:type="dxa"/>
            <w:tcBorders>
              <w:top w:val="nil"/>
              <w:left w:val="nil"/>
              <w:bottom w:val="single" w:sz="4" w:space="0" w:color="000000"/>
              <w:right w:val="single" w:sz="4" w:space="0" w:color="000000"/>
            </w:tcBorders>
            <w:shd w:val="clear" w:color="2E7D32" w:fill="2E7D32"/>
            <w:noWrap/>
            <w:vAlign w:val="bottom"/>
            <w:hideMark/>
          </w:tcPr>
          <w:p w14:paraId="1B3DEDB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31D6503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5D01EA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C35C4B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5C9641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A11D9F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9E3AC2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E4F27D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DB7F8E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5D4D71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14C5C0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9736E1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C53DB6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815A15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0DC529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F5A251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0859D9E7"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5739BD2B" w14:textId="453E35CC"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xml:space="preserve">Introduction Chapter </w:t>
            </w:r>
            <w:r>
              <w:rPr>
                <w:rFonts w:ascii="Calibri" w:eastAsia="Times New Roman" w:hAnsi="Calibri" w:cs="Calibri"/>
                <w:color w:val="000000"/>
                <w:kern w:val="0"/>
                <w:lang w:eastAsia="en-IN"/>
                <w14:ligatures w14:val="none"/>
              </w:rPr>
              <w:t xml:space="preserve">1 </w:t>
            </w:r>
          </w:p>
        </w:tc>
        <w:tc>
          <w:tcPr>
            <w:tcW w:w="512" w:type="dxa"/>
            <w:tcBorders>
              <w:top w:val="nil"/>
              <w:left w:val="nil"/>
              <w:bottom w:val="single" w:sz="4" w:space="0" w:color="000000"/>
              <w:right w:val="single" w:sz="4" w:space="0" w:color="000000"/>
            </w:tcBorders>
            <w:noWrap/>
            <w:vAlign w:val="bottom"/>
            <w:hideMark/>
          </w:tcPr>
          <w:p w14:paraId="5D1AF25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6DD0B68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AF7EDC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468D75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518D59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4C66D7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B62AB9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35D008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1EA9BC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0660AF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5C057A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EEFE0B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38D6D5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3A8120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1C92AB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D790FA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4EB03C0B"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7A0925CB" w14:textId="3B18DBCF" w:rsidR="00097363"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xml:space="preserve">Write </w:t>
            </w:r>
            <w:r>
              <w:rPr>
                <w:rFonts w:ascii="Calibri" w:eastAsia="Times New Roman" w:hAnsi="Calibri" w:cs="Calibri"/>
                <w:color w:val="000000"/>
                <w:kern w:val="0"/>
                <w:lang w:eastAsia="en-IN"/>
                <w14:ligatures w14:val="none"/>
              </w:rPr>
              <w:t xml:space="preserve">the </w:t>
            </w:r>
            <w:r w:rsidRPr="00B40C11">
              <w:rPr>
                <w:rFonts w:ascii="Calibri" w:eastAsia="Times New Roman" w:hAnsi="Calibri" w:cs="Calibri"/>
                <w:color w:val="000000"/>
                <w:kern w:val="0"/>
                <w:lang w:eastAsia="en-IN"/>
                <w14:ligatures w14:val="none"/>
              </w:rPr>
              <w:t xml:space="preserve">literature </w:t>
            </w:r>
            <w:r>
              <w:rPr>
                <w:rFonts w:ascii="Calibri" w:eastAsia="Times New Roman" w:hAnsi="Calibri" w:cs="Calibri"/>
                <w:color w:val="000000"/>
                <w:kern w:val="0"/>
                <w:lang w:eastAsia="en-IN"/>
                <w14:ligatures w14:val="none"/>
              </w:rPr>
              <w:t>review</w:t>
            </w:r>
            <w:r w:rsidRPr="00B40C11">
              <w:rPr>
                <w:rFonts w:ascii="Calibri" w:eastAsia="Times New Roman" w:hAnsi="Calibri" w:cs="Calibri"/>
                <w:color w:val="000000"/>
                <w:kern w:val="0"/>
                <w:lang w:eastAsia="en-IN"/>
                <w14:ligatures w14:val="none"/>
              </w:rPr>
              <w:t xml:space="preserve"> </w:t>
            </w:r>
          </w:p>
          <w:p w14:paraId="4BFBC36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chapter 2</w:t>
            </w:r>
          </w:p>
        </w:tc>
        <w:tc>
          <w:tcPr>
            <w:tcW w:w="512" w:type="dxa"/>
            <w:tcBorders>
              <w:top w:val="nil"/>
              <w:left w:val="nil"/>
              <w:bottom w:val="single" w:sz="4" w:space="0" w:color="000000"/>
              <w:right w:val="single" w:sz="4" w:space="0" w:color="000000"/>
            </w:tcBorders>
            <w:noWrap/>
            <w:vAlign w:val="bottom"/>
            <w:hideMark/>
          </w:tcPr>
          <w:p w14:paraId="1483F43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253C21B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0EE562F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11335A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8FE859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7589D1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D9073D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9BA020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FECECD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F459D5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CB2BC4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FEE7C5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B24C91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D42FC6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DD8CF3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192FAE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36CFBECF"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59FC60D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Screening 1 Title/abstract</w:t>
            </w:r>
          </w:p>
        </w:tc>
        <w:tc>
          <w:tcPr>
            <w:tcW w:w="512" w:type="dxa"/>
            <w:tcBorders>
              <w:top w:val="nil"/>
              <w:left w:val="nil"/>
              <w:bottom w:val="single" w:sz="4" w:space="0" w:color="000000"/>
              <w:right w:val="single" w:sz="4" w:space="0" w:color="000000"/>
            </w:tcBorders>
            <w:noWrap/>
            <w:vAlign w:val="bottom"/>
            <w:hideMark/>
          </w:tcPr>
          <w:p w14:paraId="421AFE3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2096E74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58339F8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F7CE1B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4EC7FE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FF47B6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12E926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2B45D6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C70114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253E15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6F83C3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C29F41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0873EA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F7C3E9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C7A660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EA7CF7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443747ED"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5AD7E14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Screening 2 Full text</w:t>
            </w:r>
          </w:p>
        </w:tc>
        <w:tc>
          <w:tcPr>
            <w:tcW w:w="512" w:type="dxa"/>
            <w:tcBorders>
              <w:top w:val="nil"/>
              <w:left w:val="nil"/>
              <w:bottom w:val="single" w:sz="4" w:space="0" w:color="000000"/>
              <w:right w:val="single" w:sz="4" w:space="0" w:color="000000"/>
            </w:tcBorders>
            <w:noWrap/>
            <w:vAlign w:val="bottom"/>
            <w:hideMark/>
          </w:tcPr>
          <w:p w14:paraId="26EAC8C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825153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1AADAA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7293416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164145F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124FE7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344471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D675DD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1872AC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98157A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20BA9E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483059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17B8FC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C46EE0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8255EC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CB0C30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24F10FE8"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17CF1B2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Quality Appraisal</w:t>
            </w:r>
          </w:p>
        </w:tc>
        <w:tc>
          <w:tcPr>
            <w:tcW w:w="512" w:type="dxa"/>
            <w:tcBorders>
              <w:top w:val="nil"/>
              <w:left w:val="nil"/>
              <w:bottom w:val="single" w:sz="4" w:space="0" w:color="000000"/>
              <w:right w:val="single" w:sz="4" w:space="0" w:color="000000"/>
            </w:tcBorders>
            <w:noWrap/>
            <w:vAlign w:val="bottom"/>
            <w:hideMark/>
          </w:tcPr>
          <w:p w14:paraId="7F5168A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128C56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42AE30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C555EB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21E4E2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4FA9A55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3A3976D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98FF2D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263DD7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C33593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8F2AE6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118B4C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BDCF61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6D98D2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307C40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BF79A8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0A1C797E"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4EFBF45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Methodology chapter 3</w:t>
            </w:r>
          </w:p>
        </w:tc>
        <w:tc>
          <w:tcPr>
            <w:tcW w:w="512" w:type="dxa"/>
            <w:tcBorders>
              <w:top w:val="nil"/>
              <w:left w:val="nil"/>
              <w:bottom w:val="single" w:sz="4" w:space="0" w:color="000000"/>
              <w:right w:val="single" w:sz="4" w:space="0" w:color="000000"/>
            </w:tcBorders>
            <w:noWrap/>
            <w:vAlign w:val="bottom"/>
            <w:hideMark/>
          </w:tcPr>
          <w:p w14:paraId="32D9D59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9E40B3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C8E7B5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311EB45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01F836B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A5788D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B292D5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5BE65C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452B1F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3835A7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132E82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901780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866D6E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C4E0E8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990A2B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CBE42F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7CBE387D"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016D963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Data Analysis</w:t>
            </w:r>
          </w:p>
        </w:tc>
        <w:tc>
          <w:tcPr>
            <w:tcW w:w="512" w:type="dxa"/>
            <w:tcBorders>
              <w:top w:val="nil"/>
              <w:left w:val="nil"/>
              <w:bottom w:val="single" w:sz="4" w:space="0" w:color="000000"/>
              <w:right w:val="single" w:sz="4" w:space="0" w:color="000000"/>
            </w:tcBorders>
            <w:noWrap/>
            <w:vAlign w:val="bottom"/>
            <w:hideMark/>
          </w:tcPr>
          <w:p w14:paraId="6429763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5A987A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3C51AC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BA0543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0CB0C9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8AD905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585EFA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7E48C86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493D05F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51B0EE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A18826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94F56E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3C5993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E93766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A32E3D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D5BFB2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32B5E9BD"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288A1E67" w14:textId="3F3F7591"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Results/</w:t>
            </w:r>
            <w:r>
              <w:rPr>
                <w:rFonts w:ascii="Calibri" w:eastAsia="Times New Roman" w:hAnsi="Calibri" w:cs="Calibri"/>
                <w:color w:val="000000"/>
                <w:kern w:val="0"/>
                <w:lang w:eastAsia="en-IN"/>
                <w14:ligatures w14:val="none"/>
              </w:rPr>
              <w:t>findings</w:t>
            </w:r>
            <w:r w:rsidRPr="00B40C11">
              <w:rPr>
                <w:rFonts w:ascii="Calibri" w:eastAsia="Times New Roman" w:hAnsi="Calibri" w:cs="Calibri"/>
                <w:color w:val="000000"/>
                <w:kern w:val="0"/>
                <w:lang w:eastAsia="en-IN"/>
                <w14:ligatures w14:val="none"/>
              </w:rPr>
              <w:t xml:space="preserve"> chapter 4</w:t>
            </w:r>
          </w:p>
        </w:tc>
        <w:tc>
          <w:tcPr>
            <w:tcW w:w="512" w:type="dxa"/>
            <w:tcBorders>
              <w:top w:val="nil"/>
              <w:left w:val="nil"/>
              <w:bottom w:val="single" w:sz="4" w:space="0" w:color="000000"/>
              <w:right w:val="single" w:sz="4" w:space="0" w:color="000000"/>
            </w:tcBorders>
            <w:noWrap/>
            <w:vAlign w:val="bottom"/>
            <w:hideMark/>
          </w:tcPr>
          <w:p w14:paraId="55BD2D2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57A4C4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FCCCCC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ED7F23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D73E34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1E1DBC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0BA213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F99EBD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EFA5AD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257CF1D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556438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969995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32D604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ED32EF3"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6BD121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E6C103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31D160D7"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07D4CB8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Discussion chapter 5</w:t>
            </w:r>
          </w:p>
        </w:tc>
        <w:tc>
          <w:tcPr>
            <w:tcW w:w="512" w:type="dxa"/>
            <w:tcBorders>
              <w:top w:val="nil"/>
              <w:left w:val="nil"/>
              <w:bottom w:val="single" w:sz="4" w:space="0" w:color="000000"/>
              <w:right w:val="single" w:sz="4" w:space="0" w:color="000000"/>
            </w:tcBorders>
            <w:noWrap/>
            <w:vAlign w:val="bottom"/>
            <w:hideMark/>
          </w:tcPr>
          <w:p w14:paraId="098FF78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317731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5A842E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31A8AA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C46FFF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AD7716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625EA0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7912E6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7ADB6B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E47D5D6"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14E34B8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ED5839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026E46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F14BFB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A0CE00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AFC082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0C33B705"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487CD313" w14:textId="638095C8"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Conclusion/recommendations</w:t>
            </w:r>
            <w:r w:rsidRPr="00B40C11">
              <w:rPr>
                <w:rFonts w:ascii="Calibri" w:eastAsia="Times New Roman" w:hAnsi="Calibri" w:cs="Calibri"/>
                <w:color w:val="000000"/>
                <w:kern w:val="0"/>
                <w:lang w:eastAsia="en-IN"/>
                <w14:ligatures w14:val="none"/>
              </w:rPr>
              <w:t xml:space="preserve"> chapter</w:t>
            </w:r>
          </w:p>
        </w:tc>
        <w:tc>
          <w:tcPr>
            <w:tcW w:w="512" w:type="dxa"/>
            <w:tcBorders>
              <w:top w:val="nil"/>
              <w:left w:val="nil"/>
              <w:bottom w:val="single" w:sz="4" w:space="0" w:color="000000"/>
              <w:right w:val="single" w:sz="4" w:space="0" w:color="000000"/>
            </w:tcBorders>
            <w:noWrap/>
            <w:vAlign w:val="bottom"/>
            <w:hideMark/>
          </w:tcPr>
          <w:p w14:paraId="77BA57D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2C9C2E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147F1D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016771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8E4667C"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D3C597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F403F4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EC98BD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505D42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BA7AB9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A6D884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17120B4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A46489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55C182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9188D8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DFB493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1903A044"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3700E29B"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Editing/revisions</w:t>
            </w:r>
          </w:p>
        </w:tc>
        <w:tc>
          <w:tcPr>
            <w:tcW w:w="512" w:type="dxa"/>
            <w:tcBorders>
              <w:top w:val="nil"/>
              <w:left w:val="nil"/>
              <w:bottom w:val="single" w:sz="4" w:space="0" w:color="000000"/>
              <w:right w:val="single" w:sz="4" w:space="0" w:color="000000"/>
            </w:tcBorders>
            <w:noWrap/>
            <w:vAlign w:val="bottom"/>
            <w:hideMark/>
          </w:tcPr>
          <w:p w14:paraId="3802191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3897DD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CAC9B7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4D3C95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BE0DF0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5CD9257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17F7E8F"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326E12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5979D2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0473FBA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08997B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98D6EB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71DC4CD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2B7D04CA"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62D78D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981F0E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r w:rsidR="00097363" w:rsidRPr="00B40C11" w14:paraId="1B10407F" w14:textId="77777777" w:rsidTr="00EE570F">
        <w:trPr>
          <w:trHeight w:val="273"/>
        </w:trPr>
        <w:tc>
          <w:tcPr>
            <w:tcW w:w="3166" w:type="dxa"/>
            <w:tcBorders>
              <w:top w:val="nil"/>
              <w:left w:val="single" w:sz="4" w:space="0" w:color="000000"/>
              <w:bottom w:val="single" w:sz="4" w:space="0" w:color="000000"/>
              <w:right w:val="single" w:sz="4" w:space="0" w:color="000000"/>
            </w:tcBorders>
            <w:noWrap/>
            <w:vAlign w:val="bottom"/>
            <w:hideMark/>
          </w:tcPr>
          <w:p w14:paraId="3B281C1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Final submission</w:t>
            </w:r>
          </w:p>
        </w:tc>
        <w:tc>
          <w:tcPr>
            <w:tcW w:w="512" w:type="dxa"/>
            <w:tcBorders>
              <w:top w:val="nil"/>
              <w:left w:val="nil"/>
              <w:bottom w:val="single" w:sz="4" w:space="0" w:color="000000"/>
              <w:right w:val="single" w:sz="4" w:space="0" w:color="000000"/>
            </w:tcBorders>
            <w:noWrap/>
            <w:vAlign w:val="bottom"/>
            <w:hideMark/>
          </w:tcPr>
          <w:p w14:paraId="0CCA212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165BE1D"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73B312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34DA98F7"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12AFAE5"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28E801C1"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798056E"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E152F4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DC3298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31D1A7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6E8D8C84"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475487C2"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10E8F53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541433B8"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shd w:val="clear" w:color="2E7D32" w:fill="2E7D32"/>
            <w:noWrap/>
            <w:vAlign w:val="bottom"/>
            <w:hideMark/>
          </w:tcPr>
          <w:p w14:paraId="2610F389"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c>
          <w:tcPr>
            <w:tcW w:w="512" w:type="dxa"/>
            <w:tcBorders>
              <w:top w:val="nil"/>
              <w:left w:val="nil"/>
              <w:bottom w:val="single" w:sz="4" w:space="0" w:color="000000"/>
              <w:right w:val="single" w:sz="4" w:space="0" w:color="000000"/>
            </w:tcBorders>
            <w:noWrap/>
            <w:vAlign w:val="bottom"/>
            <w:hideMark/>
          </w:tcPr>
          <w:p w14:paraId="735B9280" w14:textId="77777777" w:rsidR="00097363" w:rsidRPr="00B40C11" w:rsidRDefault="00097363" w:rsidP="004B4FAE">
            <w:pPr>
              <w:spacing w:after="0" w:line="360" w:lineRule="auto"/>
              <w:rPr>
                <w:rFonts w:ascii="Calibri" w:eastAsia="Times New Roman" w:hAnsi="Calibri" w:cs="Calibri"/>
                <w:color w:val="000000"/>
                <w:kern w:val="0"/>
                <w:lang w:eastAsia="en-IN"/>
                <w14:ligatures w14:val="none"/>
              </w:rPr>
            </w:pPr>
            <w:r w:rsidRPr="00B40C11">
              <w:rPr>
                <w:rFonts w:ascii="Calibri" w:eastAsia="Times New Roman" w:hAnsi="Calibri" w:cs="Calibri"/>
                <w:color w:val="000000"/>
                <w:kern w:val="0"/>
                <w:lang w:eastAsia="en-IN"/>
                <w14:ligatures w14:val="none"/>
              </w:rPr>
              <w:t> </w:t>
            </w:r>
          </w:p>
        </w:tc>
      </w:tr>
    </w:tbl>
    <w:p w14:paraId="1ED8DF75" w14:textId="77777777" w:rsidR="00097363" w:rsidRDefault="00097363" w:rsidP="004B4FAE">
      <w:pPr>
        <w:spacing w:line="360" w:lineRule="auto"/>
        <w:jc w:val="both"/>
        <w:rPr>
          <w:rFonts w:ascii="Arial" w:hAnsi="Arial" w:cs="Arial"/>
          <w:b/>
          <w:bCs/>
          <w:sz w:val="28"/>
          <w:szCs w:val="28"/>
          <w:u w:val="single"/>
        </w:rPr>
      </w:pPr>
    </w:p>
    <w:p w14:paraId="3A820B16" w14:textId="77777777" w:rsidR="00B40C11" w:rsidRDefault="00B40C11" w:rsidP="004B4FAE">
      <w:pPr>
        <w:spacing w:line="360" w:lineRule="auto"/>
        <w:rPr>
          <w:rFonts w:ascii="Arial" w:hAnsi="Arial" w:cs="Arial"/>
          <w:b/>
          <w:bCs/>
          <w:sz w:val="28"/>
          <w:szCs w:val="28"/>
          <w:u w:val="single"/>
        </w:rPr>
      </w:pPr>
      <w:r>
        <w:rPr>
          <w:rFonts w:ascii="Arial" w:hAnsi="Arial" w:cs="Arial"/>
          <w:b/>
          <w:bCs/>
          <w:sz w:val="28"/>
          <w:szCs w:val="28"/>
          <w:u w:val="single"/>
        </w:rPr>
        <w:br w:type="page"/>
      </w:r>
    </w:p>
    <w:p w14:paraId="53AB1536" w14:textId="37AA5DAE" w:rsidR="00532848" w:rsidRDefault="004B4FAE" w:rsidP="004B4FAE">
      <w:pPr>
        <w:spacing w:line="360" w:lineRule="auto"/>
        <w:jc w:val="both"/>
        <w:rPr>
          <w:rFonts w:ascii="Arial" w:hAnsi="Arial" w:cs="Arial"/>
          <w:b/>
          <w:bCs/>
          <w:sz w:val="28"/>
          <w:szCs w:val="28"/>
          <w:u w:val="single"/>
        </w:rPr>
      </w:pPr>
      <w:r>
        <w:rPr>
          <w:rFonts w:ascii="Arial" w:hAnsi="Arial" w:cs="Arial"/>
          <w:b/>
          <w:bCs/>
          <w:sz w:val="28"/>
          <w:szCs w:val="28"/>
          <w:u w:val="single"/>
        </w:rPr>
        <w:lastRenderedPageBreak/>
        <w:t>REFERENCES</w:t>
      </w:r>
    </w:p>
    <w:p w14:paraId="1A23CC8F" w14:textId="77777777" w:rsidR="004B4FAE" w:rsidRPr="004B4FAE" w:rsidRDefault="004B4FAE" w:rsidP="004B4FAE">
      <w:pPr>
        <w:spacing w:line="360" w:lineRule="auto"/>
        <w:jc w:val="both"/>
        <w:rPr>
          <w:rFonts w:ascii="Arial" w:hAnsi="Arial" w:cs="Arial"/>
        </w:rPr>
      </w:pPr>
    </w:p>
    <w:p w14:paraId="56D02AB7"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Brook (2023) Young People’s Sexual Health Report. London: Brook.</w:t>
      </w:r>
    </w:p>
    <w:p w14:paraId="0B038D0B" w14:textId="77777777" w:rsidR="00717758" w:rsidRPr="00717758" w:rsidRDefault="00717758" w:rsidP="00717758">
      <w:pPr>
        <w:spacing w:line="360" w:lineRule="auto"/>
        <w:jc w:val="both"/>
        <w:rPr>
          <w:rFonts w:ascii="Arial" w:hAnsi="Arial" w:cs="Arial"/>
        </w:rPr>
      </w:pPr>
    </w:p>
    <w:p w14:paraId="22469B51"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Curtis, H., Brook, G. and Brough, G. (2022) ‘Impact of COVID-19 on sexual health services in England’, BMJ Sexual &amp; Reproductive Health, 48(4), pp. 275–280.</w:t>
      </w:r>
    </w:p>
    <w:p w14:paraId="09C12E5F" w14:textId="77777777" w:rsidR="00717758" w:rsidRPr="00717758" w:rsidRDefault="00717758" w:rsidP="00717758">
      <w:pPr>
        <w:spacing w:line="360" w:lineRule="auto"/>
        <w:jc w:val="both"/>
        <w:rPr>
          <w:rFonts w:ascii="Arial" w:hAnsi="Arial" w:cs="Arial"/>
        </w:rPr>
      </w:pPr>
    </w:p>
    <w:p w14:paraId="531CB1FA"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Davies, N. and Baker, P. (2023) ‘Teacher perspectives on relationships and sex education delivery’, British Educational Research Journal, 49(3), pp. 567–583.</w:t>
      </w:r>
    </w:p>
    <w:p w14:paraId="0EE497E5" w14:textId="77777777" w:rsidR="00717758" w:rsidRPr="00717758" w:rsidRDefault="00717758" w:rsidP="00717758">
      <w:pPr>
        <w:spacing w:line="360" w:lineRule="auto"/>
        <w:jc w:val="both"/>
        <w:rPr>
          <w:rFonts w:ascii="Arial" w:hAnsi="Arial" w:cs="Arial"/>
        </w:rPr>
      </w:pPr>
    </w:p>
    <w:p w14:paraId="72A3D806"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Department for Education (2019) Relationships Education, Relationships and Sex Education (RSE) and Health Education. London: DfE.</w:t>
      </w:r>
    </w:p>
    <w:p w14:paraId="12A341FD" w14:textId="77777777" w:rsidR="00717758" w:rsidRPr="00717758" w:rsidRDefault="00717758" w:rsidP="00717758">
      <w:pPr>
        <w:spacing w:line="360" w:lineRule="auto"/>
        <w:jc w:val="both"/>
        <w:rPr>
          <w:rFonts w:ascii="Arial" w:hAnsi="Arial" w:cs="Arial"/>
        </w:rPr>
      </w:pPr>
    </w:p>
    <w:p w14:paraId="1C27384A"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Department of Health and Social Care (2022) Women’s Health Strategy for England. London: DHSC.</w:t>
      </w:r>
    </w:p>
    <w:p w14:paraId="27A73D42" w14:textId="77777777" w:rsidR="00717758" w:rsidRPr="00717758" w:rsidRDefault="00717758" w:rsidP="00717758">
      <w:pPr>
        <w:spacing w:line="360" w:lineRule="auto"/>
        <w:jc w:val="both"/>
        <w:rPr>
          <w:rFonts w:ascii="Arial" w:hAnsi="Arial" w:cs="Arial"/>
        </w:rPr>
      </w:pPr>
    </w:p>
    <w:p w14:paraId="55E5E6AA" w14:textId="4F6D4C1E"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Faculty of Sexual and Reproductive Healthcare (2023)</w:t>
      </w:r>
      <w:r w:rsidR="00834B55">
        <w:rPr>
          <w:rFonts w:ascii="Arial" w:hAnsi="Arial" w:cs="Arial"/>
        </w:rPr>
        <w:t>.</w:t>
      </w:r>
      <w:r w:rsidRPr="00717758">
        <w:rPr>
          <w:rFonts w:ascii="Arial" w:hAnsi="Arial" w:cs="Arial"/>
        </w:rPr>
        <w:t xml:space="preserve"> Contraception for Young People. London: FSRH.</w:t>
      </w:r>
    </w:p>
    <w:p w14:paraId="6FCEF1DB" w14:textId="77777777" w:rsidR="00717758" w:rsidRPr="00717758" w:rsidRDefault="00717758" w:rsidP="00717758">
      <w:pPr>
        <w:spacing w:line="360" w:lineRule="auto"/>
        <w:jc w:val="both"/>
        <w:rPr>
          <w:rFonts w:ascii="Arial" w:hAnsi="Arial" w:cs="Arial"/>
        </w:rPr>
      </w:pPr>
    </w:p>
    <w:p w14:paraId="71214030"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Green, J. and Tones, K. (2023) Health Promotion: Planning and Strategies. 4th edn. London: Sage.</w:t>
      </w:r>
    </w:p>
    <w:p w14:paraId="23A8655B" w14:textId="77777777" w:rsidR="00717758" w:rsidRPr="00717758" w:rsidRDefault="00717758" w:rsidP="00717758">
      <w:pPr>
        <w:spacing w:line="360" w:lineRule="auto"/>
        <w:jc w:val="both"/>
        <w:rPr>
          <w:rFonts w:ascii="Arial" w:hAnsi="Arial" w:cs="Arial"/>
        </w:rPr>
      </w:pPr>
    </w:p>
    <w:p w14:paraId="0E45078A"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Jones, K. and Mitchell, K. (2023) ‘Sex education and digital literacy among adolescents’, Sex Education, 23(1), pp. 1–15.</w:t>
      </w:r>
    </w:p>
    <w:p w14:paraId="093EE472" w14:textId="77777777" w:rsidR="00717758" w:rsidRPr="00717758" w:rsidRDefault="00717758" w:rsidP="00717758">
      <w:pPr>
        <w:spacing w:line="360" w:lineRule="auto"/>
        <w:jc w:val="both"/>
        <w:rPr>
          <w:rFonts w:ascii="Arial" w:hAnsi="Arial" w:cs="Arial"/>
        </w:rPr>
      </w:pPr>
    </w:p>
    <w:p w14:paraId="4CCE9C71"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Lewis, R. et al. (2023) ‘Young people’s access to sexual health services in England’, Journal of Public Health, 45(2), pp. 234–242.</w:t>
      </w:r>
    </w:p>
    <w:p w14:paraId="2D546947" w14:textId="77777777" w:rsidR="00717758" w:rsidRPr="00717758" w:rsidRDefault="00717758" w:rsidP="00717758">
      <w:pPr>
        <w:spacing w:line="360" w:lineRule="auto"/>
        <w:jc w:val="both"/>
        <w:rPr>
          <w:rFonts w:ascii="Arial" w:hAnsi="Arial" w:cs="Arial"/>
        </w:rPr>
      </w:pPr>
    </w:p>
    <w:p w14:paraId="1A57948C"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lastRenderedPageBreak/>
        <w:t>Macdowall, W. et al. (2021) ‘Trends in sexual behaviour among young people in Britain’, The Lancet Public Health, 6(8), pp. e594–e604.</w:t>
      </w:r>
    </w:p>
    <w:p w14:paraId="2CEA8AD7" w14:textId="77777777" w:rsidR="00717758" w:rsidRPr="00717758" w:rsidRDefault="00717758" w:rsidP="00717758">
      <w:pPr>
        <w:spacing w:line="360" w:lineRule="auto"/>
        <w:jc w:val="both"/>
        <w:rPr>
          <w:rFonts w:ascii="Arial" w:hAnsi="Arial" w:cs="Arial"/>
        </w:rPr>
      </w:pPr>
    </w:p>
    <w:p w14:paraId="3CDD14A0"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Marmot, M. et al. (2020) Health Equity in England: The Marmot Review 10 Years On. London: Institute of Health Equity.</w:t>
      </w:r>
    </w:p>
    <w:p w14:paraId="086D12A6" w14:textId="77777777" w:rsidR="00717758" w:rsidRPr="00717758" w:rsidRDefault="00717758" w:rsidP="00717758">
      <w:pPr>
        <w:spacing w:line="360" w:lineRule="auto"/>
        <w:jc w:val="both"/>
        <w:rPr>
          <w:rFonts w:ascii="Arial" w:hAnsi="Arial" w:cs="Arial"/>
        </w:rPr>
      </w:pPr>
    </w:p>
    <w:p w14:paraId="5B711995"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NHS Digital (2023) Sexual and Reproductive Health Services, England 2022–23. London: NHS Digital.</w:t>
      </w:r>
    </w:p>
    <w:p w14:paraId="1CEF5A93" w14:textId="77777777" w:rsidR="00717758" w:rsidRPr="00717758" w:rsidRDefault="00717758" w:rsidP="00717758">
      <w:pPr>
        <w:spacing w:line="360" w:lineRule="auto"/>
        <w:jc w:val="both"/>
        <w:rPr>
          <w:rFonts w:ascii="Arial" w:hAnsi="Arial" w:cs="Arial"/>
        </w:rPr>
      </w:pPr>
    </w:p>
    <w:p w14:paraId="25726D08"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Office for Health Improvement and Disparities (2023) Sexual and Reproductive Health Profiles. London: OHID.</w:t>
      </w:r>
    </w:p>
    <w:p w14:paraId="31CD8527" w14:textId="77777777" w:rsidR="00717758" w:rsidRPr="00717758" w:rsidRDefault="00717758" w:rsidP="00717758">
      <w:pPr>
        <w:spacing w:line="360" w:lineRule="auto"/>
        <w:jc w:val="both"/>
        <w:rPr>
          <w:rFonts w:ascii="Arial" w:hAnsi="Arial" w:cs="Arial"/>
        </w:rPr>
      </w:pPr>
    </w:p>
    <w:p w14:paraId="3479FA51"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Office for National Statistics (2023) Conceptions in England and Wales: 2022. London: ONS.</w:t>
      </w:r>
    </w:p>
    <w:p w14:paraId="4684C466" w14:textId="77777777" w:rsidR="00717758" w:rsidRPr="00717758" w:rsidRDefault="00717758" w:rsidP="00717758">
      <w:pPr>
        <w:spacing w:line="360" w:lineRule="auto"/>
        <w:jc w:val="both"/>
        <w:rPr>
          <w:rFonts w:ascii="Arial" w:hAnsi="Arial" w:cs="Arial"/>
        </w:rPr>
      </w:pPr>
    </w:p>
    <w:p w14:paraId="6E6F6820"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Office for National Statistics (2024) Teenage Pregnancy Data Update. London: ONS.</w:t>
      </w:r>
    </w:p>
    <w:p w14:paraId="42FA831E" w14:textId="77777777" w:rsidR="00717758" w:rsidRPr="00717758" w:rsidRDefault="00717758" w:rsidP="00717758">
      <w:pPr>
        <w:spacing w:line="360" w:lineRule="auto"/>
        <w:jc w:val="both"/>
        <w:rPr>
          <w:rFonts w:ascii="Arial" w:hAnsi="Arial" w:cs="Arial"/>
        </w:rPr>
      </w:pPr>
    </w:p>
    <w:p w14:paraId="1F84FA88"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Pound, P. et al. (2021) ‘What is best practice in sex education? A synthesis of evidence’, BMJ, 372, n188.</w:t>
      </w:r>
    </w:p>
    <w:p w14:paraId="4B8BE4B5" w14:textId="77777777" w:rsidR="00717758" w:rsidRPr="00717758" w:rsidRDefault="00717758" w:rsidP="00717758">
      <w:pPr>
        <w:spacing w:line="360" w:lineRule="auto"/>
        <w:jc w:val="both"/>
        <w:rPr>
          <w:rFonts w:ascii="Arial" w:hAnsi="Arial" w:cs="Arial"/>
        </w:rPr>
      </w:pPr>
    </w:p>
    <w:p w14:paraId="50D1E186"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Public Health England (2022) Sexual Health Outcomes Framework. London: PHE.</w:t>
      </w:r>
    </w:p>
    <w:p w14:paraId="1EC5AF7E" w14:textId="77777777" w:rsidR="00717758" w:rsidRPr="00717758" w:rsidRDefault="00717758" w:rsidP="00717758">
      <w:pPr>
        <w:spacing w:line="360" w:lineRule="auto"/>
        <w:jc w:val="both"/>
        <w:rPr>
          <w:rFonts w:ascii="Arial" w:hAnsi="Arial" w:cs="Arial"/>
        </w:rPr>
      </w:pPr>
    </w:p>
    <w:p w14:paraId="20EA3823"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Roberts, T. et al. (2024) ‘School-based interventions and sexual health outcomes’, The Lancet Public Health, 9(2), pp. e98–e107.</w:t>
      </w:r>
    </w:p>
    <w:p w14:paraId="54785581" w14:textId="77777777" w:rsidR="00717758" w:rsidRPr="00717758" w:rsidRDefault="00717758" w:rsidP="00717758">
      <w:pPr>
        <w:spacing w:line="360" w:lineRule="auto"/>
        <w:jc w:val="both"/>
        <w:rPr>
          <w:rFonts w:ascii="Arial" w:hAnsi="Arial" w:cs="Arial"/>
        </w:rPr>
      </w:pPr>
    </w:p>
    <w:p w14:paraId="277517F2" w14:textId="662E896E"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 xml:space="preserve">Smith, C., Hill, </w:t>
      </w:r>
      <w:r w:rsidR="006A14A0">
        <w:rPr>
          <w:rFonts w:ascii="Arial" w:hAnsi="Arial" w:cs="Arial"/>
        </w:rPr>
        <w:t>A.,</w:t>
      </w:r>
      <w:r w:rsidRPr="00717758">
        <w:rPr>
          <w:rFonts w:ascii="Arial" w:hAnsi="Arial" w:cs="Arial"/>
        </w:rPr>
        <w:t xml:space="preserve"> and Ward, H. (2022) ‘Sexually transmitted infections among young people in </w:t>
      </w:r>
      <w:r w:rsidR="006A14A0">
        <w:rPr>
          <w:rFonts w:ascii="Arial" w:hAnsi="Arial" w:cs="Arial"/>
        </w:rPr>
        <w:t>England,’</w:t>
      </w:r>
      <w:r w:rsidRPr="00717758">
        <w:rPr>
          <w:rFonts w:ascii="Arial" w:hAnsi="Arial" w:cs="Arial"/>
        </w:rPr>
        <w:t xml:space="preserve"> BMJ, 376, e067678.</w:t>
      </w:r>
    </w:p>
    <w:p w14:paraId="52246FD6" w14:textId="77777777" w:rsidR="00717758" w:rsidRPr="00717758" w:rsidRDefault="00717758" w:rsidP="00717758">
      <w:pPr>
        <w:spacing w:line="360" w:lineRule="auto"/>
        <w:jc w:val="both"/>
        <w:rPr>
          <w:rFonts w:ascii="Arial" w:hAnsi="Arial" w:cs="Arial"/>
        </w:rPr>
      </w:pPr>
    </w:p>
    <w:p w14:paraId="5AE3452C"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lastRenderedPageBreak/>
        <w:t>UK Health Security Agency (2023) Sexually transmitted infections and screening for chlamydia in England. London: UKHSA.</w:t>
      </w:r>
    </w:p>
    <w:p w14:paraId="5BE1A06B" w14:textId="77777777" w:rsidR="00717758" w:rsidRPr="00717758" w:rsidRDefault="00717758" w:rsidP="00717758">
      <w:pPr>
        <w:spacing w:line="360" w:lineRule="auto"/>
        <w:jc w:val="both"/>
        <w:rPr>
          <w:rFonts w:ascii="Arial" w:hAnsi="Arial" w:cs="Arial"/>
        </w:rPr>
      </w:pPr>
    </w:p>
    <w:p w14:paraId="79D4173D"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UNESCO (2023) International Technical Guidance on Sexuality Education. Paris: UNESCO.</w:t>
      </w:r>
    </w:p>
    <w:p w14:paraId="588C6E5A" w14:textId="77777777" w:rsidR="00717758" w:rsidRPr="00717758" w:rsidRDefault="00717758" w:rsidP="00717758">
      <w:pPr>
        <w:spacing w:line="360" w:lineRule="auto"/>
        <w:jc w:val="both"/>
        <w:rPr>
          <w:rFonts w:ascii="Arial" w:hAnsi="Arial" w:cs="Arial"/>
        </w:rPr>
      </w:pPr>
    </w:p>
    <w:p w14:paraId="1E7261D1" w14:textId="77777777" w:rsidR="00717758" w:rsidRPr="00717758"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UNFPA (2022) State of World Population Report. New York: United Nations.</w:t>
      </w:r>
    </w:p>
    <w:p w14:paraId="251F50B7" w14:textId="77777777" w:rsidR="00717758" w:rsidRPr="00717758" w:rsidRDefault="00717758" w:rsidP="00717758">
      <w:pPr>
        <w:spacing w:line="360" w:lineRule="auto"/>
        <w:jc w:val="both"/>
        <w:rPr>
          <w:rFonts w:ascii="Arial" w:hAnsi="Arial" w:cs="Arial"/>
        </w:rPr>
      </w:pPr>
    </w:p>
    <w:p w14:paraId="107C33D6" w14:textId="3D684264" w:rsidR="00B40C11" w:rsidRDefault="00717758" w:rsidP="00717758">
      <w:pPr>
        <w:pStyle w:val="ListParagraph"/>
        <w:numPr>
          <w:ilvl w:val="0"/>
          <w:numId w:val="3"/>
        </w:numPr>
        <w:spacing w:line="360" w:lineRule="auto"/>
        <w:jc w:val="both"/>
        <w:rPr>
          <w:rFonts w:ascii="Arial" w:hAnsi="Arial" w:cs="Arial"/>
        </w:rPr>
      </w:pPr>
      <w:r w:rsidRPr="00717758">
        <w:rPr>
          <w:rFonts w:ascii="Arial" w:hAnsi="Arial" w:cs="Arial"/>
        </w:rPr>
        <w:t>World Health Organization (2023) Adolescent Sexual and Reproductive Health. Geneva: WHO.</w:t>
      </w:r>
    </w:p>
    <w:p w14:paraId="573388E8" w14:textId="77777777" w:rsidR="00E30804" w:rsidRPr="00E30804" w:rsidRDefault="00E30804" w:rsidP="00E30804">
      <w:pPr>
        <w:pStyle w:val="ListParagraph"/>
        <w:rPr>
          <w:rFonts w:ascii="Arial" w:hAnsi="Arial" w:cs="Arial"/>
        </w:rPr>
      </w:pPr>
    </w:p>
    <w:p w14:paraId="51D59A17" w14:textId="77777777" w:rsidR="00B40C11" w:rsidRDefault="00B40C11" w:rsidP="004B4FAE">
      <w:pPr>
        <w:spacing w:line="360" w:lineRule="auto"/>
        <w:jc w:val="both"/>
        <w:rPr>
          <w:rFonts w:ascii="Arial" w:hAnsi="Arial" w:cs="Arial"/>
          <w:b/>
          <w:bCs/>
          <w:sz w:val="28"/>
          <w:szCs w:val="28"/>
          <w:u w:val="single"/>
        </w:rPr>
      </w:pPr>
    </w:p>
    <w:p w14:paraId="35596E35" w14:textId="77777777" w:rsidR="00B40C11" w:rsidRDefault="00B40C11" w:rsidP="004B4FAE">
      <w:pPr>
        <w:spacing w:line="360" w:lineRule="auto"/>
        <w:jc w:val="both"/>
        <w:rPr>
          <w:rFonts w:ascii="Arial" w:hAnsi="Arial" w:cs="Arial"/>
          <w:b/>
          <w:bCs/>
          <w:sz w:val="28"/>
          <w:szCs w:val="28"/>
          <w:u w:val="single"/>
        </w:rPr>
      </w:pPr>
    </w:p>
    <w:p w14:paraId="012AFE8B" w14:textId="77777777" w:rsidR="00B40C11" w:rsidRDefault="00B40C11" w:rsidP="004B4FAE">
      <w:pPr>
        <w:spacing w:line="360" w:lineRule="auto"/>
        <w:jc w:val="both"/>
        <w:rPr>
          <w:rFonts w:ascii="Arial" w:hAnsi="Arial" w:cs="Arial"/>
          <w:b/>
          <w:bCs/>
          <w:sz w:val="28"/>
          <w:szCs w:val="28"/>
          <w:u w:val="single"/>
        </w:rPr>
      </w:pPr>
    </w:p>
    <w:p w14:paraId="1BF0ACC7" w14:textId="77777777" w:rsidR="00B40C11" w:rsidRDefault="00B40C11" w:rsidP="004B4FAE">
      <w:pPr>
        <w:spacing w:line="360" w:lineRule="auto"/>
        <w:jc w:val="both"/>
        <w:rPr>
          <w:rFonts w:ascii="Arial" w:hAnsi="Arial" w:cs="Arial"/>
          <w:b/>
          <w:bCs/>
          <w:sz w:val="28"/>
          <w:szCs w:val="28"/>
          <w:u w:val="single"/>
        </w:rPr>
      </w:pPr>
    </w:p>
    <w:p w14:paraId="3E645C2F" w14:textId="77777777" w:rsidR="00B40C11" w:rsidRDefault="00B40C11" w:rsidP="004B4FAE">
      <w:pPr>
        <w:spacing w:line="360" w:lineRule="auto"/>
        <w:jc w:val="both"/>
        <w:rPr>
          <w:rFonts w:ascii="Arial" w:hAnsi="Arial" w:cs="Arial"/>
          <w:b/>
          <w:bCs/>
          <w:sz w:val="28"/>
          <w:szCs w:val="28"/>
          <w:u w:val="single"/>
        </w:rPr>
      </w:pPr>
    </w:p>
    <w:p w14:paraId="1E05722A" w14:textId="77777777" w:rsidR="00B40C11" w:rsidRDefault="00B40C11" w:rsidP="004B4FAE">
      <w:pPr>
        <w:spacing w:line="360" w:lineRule="auto"/>
        <w:jc w:val="both"/>
        <w:rPr>
          <w:rFonts w:ascii="Arial" w:hAnsi="Arial" w:cs="Arial"/>
          <w:b/>
          <w:bCs/>
          <w:sz w:val="28"/>
          <w:szCs w:val="28"/>
          <w:u w:val="single"/>
        </w:rPr>
      </w:pPr>
    </w:p>
    <w:p w14:paraId="6B69E0FB" w14:textId="77777777" w:rsidR="00B40C11" w:rsidRDefault="00B40C11" w:rsidP="004B4FAE">
      <w:pPr>
        <w:spacing w:line="360" w:lineRule="auto"/>
        <w:jc w:val="both"/>
        <w:rPr>
          <w:rFonts w:ascii="Arial" w:hAnsi="Arial" w:cs="Arial"/>
          <w:b/>
          <w:bCs/>
          <w:sz w:val="28"/>
          <w:szCs w:val="28"/>
          <w:u w:val="single"/>
        </w:rPr>
      </w:pPr>
    </w:p>
    <w:p w14:paraId="1C14C157" w14:textId="77777777" w:rsidR="00B40C11" w:rsidRDefault="00B40C11" w:rsidP="004B4FAE">
      <w:pPr>
        <w:spacing w:line="360" w:lineRule="auto"/>
        <w:jc w:val="both"/>
        <w:rPr>
          <w:rFonts w:ascii="Arial" w:hAnsi="Arial" w:cs="Arial"/>
          <w:b/>
          <w:bCs/>
          <w:sz w:val="28"/>
          <w:szCs w:val="28"/>
          <w:u w:val="single"/>
        </w:rPr>
      </w:pPr>
    </w:p>
    <w:p w14:paraId="26792430" w14:textId="77777777" w:rsidR="00B40C11" w:rsidRDefault="00B40C11" w:rsidP="004B4FAE">
      <w:pPr>
        <w:spacing w:line="360" w:lineRule="auto"/>
        <w:jc w:val="both"/>
        <w:rPr>
          <w:rFonts w:ascii="Arial" w:hAnsi="Arial" w:cs="Arial"/>
          <w:b/>
          <w:bCs/>
          <w:sz w:val="28"/>
          <w:szCs w:val="28"/>
          <w:u w:val="single"/>
        </w:rPr>
      </w:pPr>
    </w:p>
    <w:p w14:paraId="66DBD034" w14:textId="77777777" w:rsidR="00B40C11" w:rsidRDefault="00B40C11" w:rsidP="004B4FAE">
      <w:pPr>
        <w:spacing w:line="360" w:lineRule="auto"/>
        <w:jc w:val="both"/>
        <w:rPr>
          <w:rFonts w:ascii="Arial" w:hAnsi="Arial" w:cs="Arial"/>
          <w:b/>
          <w:bCs/>
          <w:sz w:val="28"/>
          <w:szCs w:val="28"/>
          <w:u w:val="single"/>
        </w:rPr>
      </w:pPr>
    </w:p>
    <w:p w14:paraId="3ECD4898" w14:textId="77777777" w:rsidR="00B40C11" w:rsidRDefault="00B40C11" w:rsidP="004B4FAE">
      <w:pPr>
        <w:spacing w:line="360" w:lineRule="auto"/>
        <w:jc w:val="both"/>
        <w:rPr>
          <w:rFonts w:ascii="Arial" w:hAnsi="Arial" w:cs="Arial"/>
          <w:b/>
          <w:bCs/>
          <w:sz w:val="28"/>
          <w:szCs w:val="28"/>
          <w:u w:val="single"/>
        </w:rPr>
      </w:pPr>
    </w:p>
    <w:p w14:paraId="575E690F" w14:textId="77777777" w:rsidR="00B40C11" w:rsidRDefault="00B40C11" w:rsidP="004B4FAE">
      <w:pPr>
        <w:spacing w:line="360" w:lineRule="auto"/>
        <w:jc w:val="both"/>
        <w:rPr>
          <w:rFonts w:ascii="Arial" w:hAnsi="Arial" w:cs="Arial"/>
          <w:b/>
          <w:bCs/>
          <w:sz w:val="28"/>
          <w:szCs w:val="28"/>
          <w:u w:val="single"/>
        </w:rPr>
      </w:pPr>
    </w:p>
    <w:p w14:paraId="51BB855F" w14:textId="77777777" w:rsidR="00B40C11" w:rsidRDefault="00B40C11" w:rsidP="004B4FAE">
      <w:pPr>
        <w:spacing w:line="360" w:lineRule="auto"/>
        <w:jc w:val="both"/>
        <w:rPr>
          <w:rFonts w:ascii="Arial" w:hAnsi="Arial" w:cs="Arial"/>
          <w:b/>
          <w:bCs/>
          <w:sz w:val="28"/>
          <w:szCs w:val="28"/>
          <w:u w:val="single"/>
        </w:rPr>
      </w:pPr>
    </w:p>
    <w:p w14:paraId="7E1105B1" w14:textId="70CCDAB4" w:rsidR="00B40C11" w:rsidRDefault="00B40C11" w:rsidP="004B4FAE">
      <w:pPr>
        <w:spacing w:line="360" w:lineRule="auto"/>
        <w:jc w:val="both"/>
        <w:rPr>
          <w:rFonts w:ascii="Arial" w:hAnsi="Arial" w:cs="Arial"/>
          <w:b/>
          <w:bCs/>
          <w:sz w:val="28"/>
          <w:szCs w:val="28"/>
          <w:u w:val="single"/>
        </w:rPr>
      </w:pPr>
    </w:p>
    <w:p w14:paraId="4EAFBF02" w14:textId="576D49AA" w:rsidR="009968FD" w:rsidRDefault="009968FD" w:rsidP="004B4FAE">
      <w:pPr>
        <w:spacing w:line="360" w:lineRule="auto"/>
        <w:jc w:val="both"/>
        <w:rPr>
          <w:rFonts w:ascii="Arial" w:hAnsi="Arial" w:cs="Arial"/>
          <w:b/>
          <w:bCs/>
          <w:sz w:val="28"/>
          <w:szCs w:val="28"/>
          <w:u w:val="single"/>
        </w:rPr>
      </w:pPr>
    </w:p>
    <w:p w14:paraId="2F4A3CA2" w14:textId="77777777" w:rsidR="009968FD" w:rsidRPr="009968FD" w:rsidRDefault="009968FD" w:rsidP="004B4FAE">
      <w:pPr>
        <w:spacing w:line="360" w:lineRule="auto"/>
        <w:jc w:val="both"/>
        <w:rPr>
          <w:rFonts w:ascii="Arial" w:hAnsi="Arial" w:cs="Arial"/>
          <w:b/>
          <w:bCs/>
          <w:sz w:val="28"/>
          <w:szCs w:val="28"/>
          <w:u w:val="single"/>
        </w:rPr>
      </w:pPr>
    </w:p>
    <w:p w14:paraId="0CAD938D" w14:textId="77777777" w:rsidR="00126945" w:rsidRPr="00053C1C" w:rsidRDefault="00126945" w:rsidP="004B4FAE">
      <w:pPr>
        <w:spacing w:line="360" w:lineRule="auto"/>
        <w:rPr>
          <w:rFonts w:ascii="Arial" w:hAnsi="Arial" w:cs="Arial"/>
          <w:lang w:val="en-US"/>
        </w:rPr>
      </w:pPr>
    </w:p>
    <w:sectPr w:rsidR="00126945" w:rsidRPr="00053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17B9"/>
    <w:multiLevelType w:val="hybridMultilevel"/>
    <w:tmpl w:val="8FC2821A"/>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274D0180"/>
    <w:multiLevelType w:val="hybridMultilevel"/>
    <w:tmpl w:val="78CA5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0C3CD4"/>
    <w:multiLevelType w:val="hybridMultilevel"/>
    <w:tmpl w:val="01EACB0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38B3751A"/>
    <w:multiLevelType w:val="hybridMultilevel"/>
    <w:tmpl w:val="8506CF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A6A3006"/>
    <w:multiLevelType w:val="hybridMultilevel"/>
    <w:tmpl w:val="4582E0D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E910858"/>
    <w:multiLevelType w:val="hybridMultilevel"/>
    <w:tmpl w:val="88FCB4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B147A82"/>
    <w:multiLevelType w:val="hybridMultilevel"/>
    <w:tmpl w:val="798ED9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47277044">
    <w:abstractNumId w:val="6"/>
  </w:num>
  <w:num w:numId="2" w16cid:durableId="1297447422">
    <w:abstractNumId w:val="2"/>
  </w:num>
  <w:num w:numId="3" w16cid:durableId="1970934695">
    <w:abstractNumId w:val="1"/>
  </w:num>
  <w:num w:numId="4" w16cid:durableId="1154102651">
    <w:abstractNumId w:val="5"/>
  </w:num>
  <w:num w:numId="5" w16cid:durableId="1856773856">
    <w:abstractNumId w:val="3"/>
  </w:num>
  <w:num w:numId="6" w16cid:durableId="453596946">
    <w:abstractNumId w:val="0"/>
  </w:num>
  <w:num w:numId="7" w16cid:durableId="62724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884"/>
    <w:rsid w:val="0002465E"/>
    <w:rsid w:val="0002683B"/>
    <w:rsid w:val="00053C1C"/>
    <w:rsid w:val="00056AD5"/>
    <w:rsid w:val="0009042D"/>
    <w:rsid w:val="00097363"/>
    <w:rsid w:val="000F456E"/>
    <w:rsid w:val="0011099C"/>
    <w:rsid w:val="001261ED"/>
    <w:rsid w:val="00126945"/>
    <w:rsid w:val="00147048"/>
    <w:rsid w:val="00147571"/>
    <w:rsid w:val="001D7E11"/>
    <w:rsid w:val="001E08AF"/>
    <w:rsid w:val="001E2450"/>
    <w:rsid w:val="001F5E96"/>
    <w:rsid w:val="00200545"/>
    <w:rsid w:val="002052A7"/>
    <w:rsid w:val="002163DA"/>
    <w:rsid w:val="00223F80"/>
    <w:rsid w:val="002821D2"/>
    <w:rsid w:val="00297FA0"/>
    <w:rsid w:val="002A2640"/>
    <w:rsid w:val="002C41A3"/>
    <w:rsid w:val="002D6EA7"/>
    <w:rsid w:val="002E4AA9"/>
    <w:rsid w:val="002F59E1"/>
    <w:rsid w:val="00307EA6"/>
    <w:rsid w:val="00325D9F"/>
    <w:rsid w:val="00352B80"/>
    <w:rsid w:val="00364D06"/>
    <w:rsid w:val="00393867"/>
    <w:rsid w:val="00393E40"/>
    <w:rsid w:val="004025B1"/>
    <w:rsid w:val="00403F87"/>
    <w:rsid w:val="00440C0F"/>
    <w:rsid w:val="00462495"/>
    <w:rsid w:val="00480A65"/>
    <w:rsid w:val="004914F9"/>
    <w:rsid w:val="004B4FAE"/>
    <w:rsid w:val="004C6970"/>
    <w:rsid w:val="004E59CD"/>
    <w:rsid w:val="005015B8"/>
    <w:rsid w:val="00532848"/>
    <w:rsid w:val="005344A9"/>
    <w:rsid w:val="00546F9E"/>
    <w:rsid w:val="00557F36"/>
    <w:rsid w:val="00586EF4"/>
    <w:rsid w:val="005A0E96"/>
    <w:rsid w:val="005E1FF0"/>
    <w:rsid w:val="00637DB0"/>
    <w:rsid w:val="00643801"/>
    <w:rsid w:val="0065469B"/>
    <w:rsid w:val="00685249"/>
    <w:rsid w:val="00693F7F"/>
    <w:rsid w:val="006A14A0"/>
    <w:rsid w:val="006D7074"/>
    <w:rsid w:val="006E043C"/>
    <w:rsid w:val="006F0CDD"/>
    <w:rsid w:val="00700E2F"/>
    <w:rsid w:val="00701D5D"/>
    <w:rsid w:val="00710D9D"/>
    <w:rsid w:val="007161F6"/>
    <w:rsid w:val="00717758"/>
    <w:rsid w:val="00722EBC"/>
    <w:rsid w:val="007550B4"/>
    <w:rsid w:val="00771F09"/>
    <w:rsid w:val="00775CD7"/>
    <w:rsid w:val="00782AE6"/>
    <w:rsid w:val="00792884"/>
    <w:rsid w:val="007A5008"/>
    <w:rsid w:val="007B4613"/>
    <w:rsid w:val="00802575"/>
    <w:rsid w:val="00832813"/>
    <w:rsid w:val="00834B55"/>
    <w:rsid w:val="00843D29"/>
    <w:rsid w:val="00856B13"/>
    <w:rsid w:val="008942A2"/>
    <w:rsid w:val="008A31D3"/>
    <w:rsid w:val="008F57F6"/>
    <w:rsid w:val="00901BBC"/>
    <w:rsid w:val="0090764C"/>
    <w:rsid w:val="00910161"/>
    <w:rsid w:val="00924BA2"/>
    <w:rsid w:val="00962729"/>
    <w:rsid w:val="0096481D"/>
    <w:rsid w:val="009836F8"/>
    <w:rsid w:val="009968FD"/>
    <w:rsid w:val="009C615E"/>
    <w:rsid w:val="009C6F05"/>
    <w:rsid w:val="00A15B02"/>
    <w:rsid w:val="00A27244"/>
    <w:rsid w:val="00AB5CE2"/>
    <w:rsid w:val="00AB6C28"/>
    <w:rsid w:val="00AC4361"/>
    <w:rsid w:val="00AD6B03"/>
    <w:rsid w:val="00AE6418"/>
    <w:rsid w:val="00AE707B"/>
    <w:rsid w:val="00AE7796"/>
    <w:rsid w:val="00B15048"/>
    <w:rsid w:val="00B40C11"/>
    <w:rsid w:val="00B83E68"/>
    <w:rsid w:val="00BA3AFD"/>
    <w:rsid w:val="00BC0B32"/>
    <w:rsid w:val="00BD6BD9"/>
    <w:rsid w:val="00BF1911"/>
    <w:rsid w:val="00BF3E4E"/>
    <w:rsid w:val="00C10418"/>
    <w:rsid w:val="00C337CE"/>
    <w:rsid w:val="00C451A9"/>
    <w:rsid w:val="00CF3488"/>
    <w:rsid w:val="00D025FB"/>
    <w:rsid w:val="00D11A66"/>
    <w:rsid w:val="00D20836"/>
    <w:rsid w:val="00D76725"/>
    <w:rsid w:val="00D83B28"/>
    <w:rsid w:val="00DB74F2"/>
    <w:rsid w:val="00DC6CEC"/>
    <w:rsid w:val="00DD0313"/>
    <w:rsid w:val="00E12F15"/>
    <w:rsid w:val="00E24A18"/>
    <w:rsid w:val="00E25568"/>
    <w:rsid w:val="00E30804"/>
    <w:rsid w:val="00E37932"/>
    <w:rsid w:val="00E44D60"/>
    <w:rsid w:val="00E82051"/>
    <w:rsid w:val="00EB3A18"/>
    <w:rsid w:val="00EB4108"/>
    <w:rsid w:val="00EC114C"/>
    <w:rsid w:val="00EC574E"/>
    <w:rsid w:val="00EF31B4"/>
    <w:rsid w:val="00F14102"/>
    <w:rsid w:val="00FF00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3A94E"/>
  <w15:chartTrackingRefBased/>
  <w15:docId w15:val="{22AA1F54-FD50-4311-989C-F7BFC253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8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28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28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28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28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2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8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28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28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28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28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2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884"/>
    <w:rPr>
      <w:rFonts w:eastAsiaTheme="majorEastAsia" w:cstheme="majorBidi"/>
      <w:color w:val="272727" w:themeColor="text1" w:themeTint="D8"/>
    </w:rPr>
  </w:style>
  <w:style w:type="paragraph" w:styleId="Title">
    <w:name w:val="Title"/>
    <w:basedOn w:val="Normal"/>
    <w:next w:val="Normal"/>
    <w:link w:val="TitleChar"/>
    <w:uiPriority w:val="10"/>
    <w:qFormat/>
    <w:rsid w:val="00792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884"/>
    <w:pPr>
      <w:spacing w:before="160"/>
      <w:jc w:val="center"/>
    </w:pPr>
    <w:rPr>
      <w:i/>
      <w:iCs/>
      <w:color w:val="404040" w:themeColor="text1" w:themeTint="BF"/>
    </w:rPr>
  </w:style>
  <w:style w:type="character" w:customStyle="1" w:styleId="QuoteChar">
    <w:name w:val="Quote Char"/>
    <w:basedOn w:val="DefaultParagraphFont"/>
    <w:link w:val="Quote"/>
    <w:uiPriority w:val="29"/>
    <w:rsid w:val="00792884"/>
    <w:rPr>
      <w:i/>
      <w:iCs/>
      <w:color w:val="404040" w:themeColor="text1" w:themeTint="BF"/>
    </w:rPr>
  </w:style>
  <w:style w:type="paragraph" w:styleId="ListParagraph">
    <w:name w:val="List Paragraph"/>
    <w:basedOn w:val="Normal"/>
    <w:uiPriority w:val="34"/>
    <w:qFormat/>
    <w:rsid w:val="00792884"/>
    <w:pPr>
      <w:ind w:left="720"/>
      <w:contextualSpacing/>
    </w:pPr>
  </w:style>
  <w:style w:type="character" w:styleId="IntenseEmphasis">
    <w:name w:val="Intense Emphasis"/>
    <w:basedOn w:val="DefaultParagraphFont"/>
    <w:uiPriority w:val="21"/>
    <w:qFormat/>
    <w:rsid w:val="00792884"/>
    <w:rPr>
      <w:i/>
      <w:iCs/>
      <w:color w:val="2F5496" w:themeColor="accent1" w:themeShade="BF"/>
    </w:rPr>
  </w:style>
  <w:style w:type="paragraph" w:styleId="IntenseQuote">
    <w:name w:val="Intense Quote"/>
    <w:basedOn w:val="Normal"/>
    <w:next w:val="Normal"/>
    <w:link w:val="IntenseQuoteChar"/>
    <w:uiPriority w:val="30"/>
    <w:qFormat/>
    <w:rsid w:val="007928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2884"/>
    <w:rPr>
      <w:i/>
      <w:iCs/>
      <w:color w:val="2F5496" w:themeColor="accent1" w:themeShade="BF"/>
    </w:rPr>
  </w:style>
  <w:style w:type="character" w:styleId="IntenseReference">
    <w:name w:val="Intense Reference"/>
    <w:basedOn w:val="DefaultParagraphFont"/>
    <w:uiPriority w:val="32"/>
    <w:qFormat/>
    <w:rsid w:val="007928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2975</Words>
  <Characters>16959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Anna Pradeesh</dc:creator>
  <cp:keywords/>
  <dc:description/>
  <cp:lastModifiedBy>Irene Anna Pradeesh</cp:lastModifiedBy>
  <cp:revision>20</cp:revision>
  <dcterms:created xsi:type="dcterms:W3CDTF">2026-04-20T12:54:00Z</dcterms:created>
  <dcterms:modified xsi:type="dcterms:W3CDTF">2026-04-20T21:06:00Z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d45648c4-9a7e-4d5a-aaca-edf65a34383c</vt:lpwstr>
  </property>
</Properties>
</file>