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F3E" w:rsidRPr="00FB5C62" w:rsidRDefault="00414F3E" w:rsidP="00281AB0">
      <w:pPr>
        <w:tabs>
          <w:tab w:val="left" w:pos="-720"/>
          <w:tab w:val="left" w:pos="0"/>
        </w:tabs>
        <w:suppressAutoHyphens/>
        <w:spacing w:line="276" w:lineRule="auto"/>
        <w:jc w:val="center"/>
        <w:rPr>
          <w:rFonts w:ascii="Perpetua" w:hAnsi="Perpetua" w:cs="Adobe Devanagari"/>
          <w:b/>
          <w:spacing w:val="-3"/>
          <w:sz w:val="26"/>
          <w:szCs w:val="26"/>
          <w:lang w:val="en-GB"/>
        </w:rPr>
      </w:pPr>
      <w:r w:rsidRPr="00FB5C62">
        <w:rPr>
          <w:rFonts w:ascii="Perpetua" w:hAnsi="Perpetua" w:cs="Adobe Devanagari"/>
          <w:b/>
          <w:spacing w:val="-3"/>
          <w:sz w:val="26"/>
          <w:szCs w:val="26"/>
          <w:lang w:val="en-GB"/>
        </w:rPr>
        <w:t>Error and Sweet Violence: Shakespeare and Renaissance Comedy and Tragedy</w:t>
      </w:r>
    </w:p>
    <w:p w:rsidR="00414F3E" w:rsidRPr="00FB5C62" w:rsidRDefault="00414F3E" w:rsidP="00281AB0">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HPEN</w:t>
      </w:r>
      <w:r w:rsidR="006C50AC" w:rsidRPr="00FB5C62">
        <w:rPr>
          <w:rFonts w:ascii="Perpetua" w:hAnsi="Perpetua" w:cs="Adobe Devanagari"/>
          <w:spacing w:val="-3"/>
          <w:sz w:val="26"/>
          <w:szCs w:val="26"/>
          <w:lang w:val="en-GB"/>
        </w:rPr>
        <w:t>5</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r w:rsidRPr="00FB5C62">
        <w:rPr>
          <w:rFonts w:ascii="Perpetua" w:hAnsi="Perpetua" w:cs="Adobe Devanagari"/>
          <w:spacing w:val="-3"/>
          <w:sz w:val="26"/>
          <w:szCs w:val="26"/>
          <w:lang w:val="en-GB"/>
        </w:rPr>
        <w:t>/</w:t>
      </w:r>
      <w:r w:rsidR="006C50AC" w:rsidRPr="00FB5C62">
        <w:rPr>
          <w:rFonts w:ascii="Perpetua" w:hAnsi="Perpetua" w:cs="Adobe Devanagari"/>
          <w:spacing w:val="-3"/>
          <w:sz w:val="26"/>
          <w:szCs w:val="26"/>
          <w:lang w:val="en-GB"/>
        </w:rPr>
        <w:t>6</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p>
    <w:p w:rsidR="00414F3E" w:rsidRPr="00FB5C62" w:rsidRDefault="00414F3E" w:rsidP="00281AB0">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LECTURE</w:t>
      </w:r>
    </w:p>
    <w:p w:rsidR="00414F3E" w:rsidRPr="00FB5C62" w:rsidRDefault="00E864BF" w:rsidP="00281AB0">
      <w:pPr>
        <w:tabs>
          <w:tab w:val="left" w:pos="-720"/>
          <w:tab w:val="left" w:pos="0"/>
        </w:tabs>
        <w:suppressAutoHyphens/>
        <w:spacing w:line="276" w:lineRule="auto"/>
        <w:jc w:val="center"/>
        <w:rPr>
          <w:rFonts w:ascii="Perpetua" w:hAnsi="Perpetua" w:cs="Adobe Devanagari"/>
          <w:spacing w:val="-3"/>
          <w:sz w:val="26"/>
          <w:szCs w:val="26"/>
          <w:lang w:val="en-GB"/>
        </w:rPr>
      </w:pPr>
      <w:r>
        <w:rPr>
          <w:rFonts w:ascii="Perpetua" w:hAnsi="Perpetua" w:cs="Adobe Devanagari"/>
          <w:b/>
          <w:spacing w:val="-3"/>
          <w:sz w:val="26"/>
          <w:szCs w:val="26"/>
          <w:lang w:val="en-GB"/>
        </w:rPr>
        <w:t>MARLOWE</w:t>
      </w:r>
      <w:r w:rsidR="006D776F" w:rsidRPr="00FB5C62">
        <w:rPr>
          <w:rFonts w:ascii="Perpetua" w:hAnsi="Perpetua" w:cs="Adobe Devanagari"/>
          <w:b/>
          <w:spacing w:val="-3"/>
          <w:sz w:val="26"/>
          <w:szCs w:val="26"/>
          <w:lang w:val="en-GB"/>
        </w:rPr>
        <w:t xml:space="preserve">, </w:t>
      </w:r>
      <w:r w:rsidR="005103AA">
        <w:rPr>
          <w:rFonts w:ascii="Perpetua" w:hAnsi="Perpetua" w:cs="Adobe Devanagari"/>
          <w:b/>
          <w:i/>
          <w:spacing w:val="-3"/>
          <w:sz w:val="26"/>
          <w:szCs w:val="26"/>
          <w:lang w:val="en-GB"/>
        </w:rPr>
        <w:t>EDWARD II</w:t>
      </w:r>
    </w:p>
    <w:p w:rsidR="000D2061" w:rsidRPr="00281AB0" w:rsidRDefault="000D2061" w:rsidP="00281AB0">
      <w:pPr>
        <w:tabs>
          <w:tab w:val="left" w:pos="-720"/>
          <w:tab w:val="left" w:pos="0"/>
        </w:tabs>
        <w:suppressAutoHyphens/>
        <w:spacing w:line="276" w:lineRule="auto"/>
        <w:rPr>
          <w:rFonts w:ascii="Perpetua" w:hAnsi="Perpetua" w:cs="Adobe Devanagari"/>
          <w:b/>
          <w:spacing w:val="-3"/>
          <w:sz w:val="26"/>
          <w:szCs w:val="26"/>
          <w:lang w:val="en-GB"/>
        </w:rPr>
      </w:pPr>
    </w:p>
    <w:p w:rsidR="00281AB0" w:rsidRPr="00281AB0" w:rsidRDefault="00281AB0" w:rsidP="00281AB0">
      <w:pPr>
        <w:tabs>
          <w:tab w:val="left" w:pos="-720"/>
          <w:tab w:val="left" w:pos="0"/>
        </w:tabs>
        <w:suppressAutoHyphens/>
        <w:spacing w:line="276" w:lineRule="auto"/>
        <w:rPr>
          <w:rFonts w:ascii="Perpetua" w:hAnsi="Perpetua" w:cs="Adobe Devanagari"/>
          <w:b/>
          <w:spacing w:val="-3"/>
          <w:sz w:val="26"/>
          <w:szCs w:val="26"/>
          <w:lang w:val="en-GB"/>
        </w:rPr>
      </w:pPr>
    </w:p>
    <w:p w:rsidR="00281AB0" w:rsidRP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u w:val="single"/>
          <w:lang w:val="en-GB"/>
        </w:rPr>
      </w:pPr>
      <w:r w:rsidRPr="00281AB0">
        <w:rPr>
          <w:rFonts w:ascii="Perpetua" w:hAnsi="Perpetua" w:cs="Adobe Devanagari"/>
          <w:b/>
          <w:spacing w:val="-3"/>
          <w:sz w:val="26"/>
          <w:szCs w:val="26"/>
          <w:lang w:val="en-GB"/>
        </w:rPr>
        <w:t xml:space="preserve">The early textual history and performance of </w:t>
      </w:r>
      <w:r w:rsidRPr="00281AB0">
        <w:rPr>
          <w:rFonts w:ascii="Perpetua" w:hAnsi="Perpetua" w:cs="Adobe Devanagari"/>
          <w:b/>
          <w:i/>
          <w:spacing w:val="-3"/>
          <w:sz w:val="26"/>
          <w:szCs w:val="26"/>
          <w:lang w:val="en-GB"/>
        </w:rPr>
        <w:t>Edward II</w:t>
      </w:r>
      <w:r w:rsidRPr="00281AB0">
        <w:rPr>
          <w:rFonts w:ascii="Perpetua" w:hAnsi="Perpetua" w:cs="Adobe Devanagari"/>
          <w:b/>
          <w:spacing w:val="-3"/>
          <w:sz w:val="26"/>
          <w:szCs w:val="26"/>
          <w:lang w:val="en-GB"/>
        </w:rPr>
        <w:t>, including the titles of the early editions</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D322E5" w:rsidRPr="00D322E5" w:rsidRDefault="00D322E5" w:rsidP="00D322E5">
      <w:pPr>
        <w:tabs>
          <w:tab w:val="left" w:pos="-720"/>
          <w:tab w:val="left" w:pos="0"/>
        </w:tabs>
        <w:suppressAutoHyphens/>
        <w:snapToGrid/>
        <w:ind w:left="1134" w:right="1134"/>
        <w:rPr>
          <w:rFonts w:ascii="Perpetua" w:hAnsi="Perpetua" w:cs="Adobe Devanagari"/>
          <w:spacing w:val="-3"/>
          <w:szCs w:val="24"/>
          <w:lang w:val="en-GB"/>
        </w:rPr>
      </w:pPr>
      <w:r w:rsidRPr="00D322E5">
        <w:rPr>
          <w:rFonts w:ascii="Perpetua" w:hAnsi="Perpetua" w:cs="Adobe Devanagari"/>
          <w:spacing w:val="-3"/>
          <w:szCs w:val="24"/>
          <w:lang w:val="en-GB"/>
        </w:rPr>
        <w:t xml:space="preserve">On 6 July 1593, a little over a month after Marlowe’s death, William Jones registered </w:t>
      </w:r>
      <w:r w:rsidRPr="00D322E5">
        <w:rPr>
          <w:rFonts w:ascii="Perpetua" w:hAnsi="Perpetua" w:cs="Adobe Devanagari"/>
          <w:i/>
          <w:spacing w:val="-3"/>
          <w:szCs w:val="24"/>
          <w:lang w:val="en-GB"/>
        </w:rPr>
        <w:t>Edward II</w:t>
      </w:r>
      <w:r w:rsidRPr="00D322E5">
        <w:rPr>
          <w:rFonts w:ascii="Perpetua" w:hAnsi="Perpetua" w:cs="Adobe Devanagari"/>
          <w:spacing w:val="-3"/>
          <w:szCs w:val="24"/>
          <w:lang w:val="en-GB"/>
        </w:rPr>
        <w:t xml:space="preserve"> in the Stationers’ Register: ‘A </w:t>
      </w:r>
      <w:proofErr w:type="spellStart"/>
      <w:r w:rsidRPr="00D322E5">
        <w:rPr>
          <w:rFonts w:ascii="Perpetua" w:hAnsi="Perpetua" w:cs="Adobe Devanagari"/>
          <w:spacing w:val="-3"/>
          <w:szCs w:val="24"/>
          <w:lang w:val="en-GB"/>
        </w:rPr>
        <w:t>booke</w:t>
      </w:r>
      <w:proofErr w:type="spellEnd"/>
      <w:r w:rsidRPr="00D322E5">
        <w:rPr>
          <w:rFonts w:ascii="Perpetua" w:hAnsi="Perpetua" w:cs="Adobe Devanagari"/>
          <w:spacing w:val="-3"/>
          <w:szCs w:val="24"/>
          <w:lang w:val="en-GB"/>
        </w:rPr>
        <w:t xml:space="preserve"> Intituled The troublesome Reign and Lamentable Death of Edward the Second, king of England, with the </w:t>
      </w:r>
      <w:proofErr w:type="spellStart"/>
      <w:r w:rsidRPr="00D322E5">
        <w:rPr>
          <w:rFonts w:ascii="Perpetua" w:hAnsi="Perpetua" w:cs="Adobe Devanagari"/>
          <w:spacing w:val="-3"/>
          <w:szCs w:val="24"/>
          <w:lang w:val="en-GB"/>
        </w:rPr>
        <w:t>tragicall</w:t>
      </w:r>
      <w:proofErr w:type="spellEnd"/>
      <w:r w:rsidRPr="00D322E5">
        <w:rPr>
          <w:rFonts w:ascii="Perpetua" w:hAnsi="Perpetua" w:cs="Adobe Devanagari"/>
          <w:spacing w:val="-3"/>
          <w:szCs w:val="24"/>
          <w:lang w:val="en-GB"/>
        </w:rPr>
        <w:t xml:space="preserve"> fall of proud </w:t>
      </w:r>
      <w:proofErr w:type="spellStart"/>
      <w:r w:rsidRPr="00D322E5">
        <w:rPr>
          <w:rFonts w:ascii="Perpetua" w:hAnsi="Perpetua" w:cs="Adobe Devanagari"/>
          <w:spacing w:val="-3"/>
          <w:szCs w:val="24"/>
          <w:lang w:val="en-GB"/>
        </w:rPr>
        <w:t>Mortymer</w:t>
      </w:r>
      <w:proofErr w:type="spellEnd"/>
      <w:r w:rsidRPr="00D322E5">
        <w:rPr>
          <w:rFonts w:ascii="Perpetua" w:hAnsi="Perpetua" w:cs="Adobe Devanagari"/>
          <w:spacing w:val="-3"/>
          <w:szCs w:val="24"/>
          <w:lang w:val="en-GB"/>
        </w:rPr>
        <w:t>.’ A manuscript transcription of an early printed title-page suggests that the play may have been published in 1593, but the first extant edition is an octavo (albeit with the shape and size of a quarto, and thus often referred to as a quarto) printed by Jones in 1594.</w:t>
      </w:r>
      <w:r>
        <w:rPr>
          <w:rStyle w:val="FootnoteReference"/>
          <w:rFonts w:ascii="Perpetua" w:hAnsi="Perpetua" w:cs="Adobe Devanagari"/>
          <w:spacing w:val="-3"/>
          <w:szCs w:val="24"/>
          <w:lang w:val="en-GB"/>
        </w:rPr>
        <w:footnoteReference w:id="1"/>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D322E5" w:rsidRPr="00AD1CC5" w:rsidRDefault="00D322E5"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W.W. Greg and some subsequent editors have argued that the text of the 1549 edition is based on a playhouse manuscript which had undergone some kind of revision for the stage, but</w:t>
      </w:r>
      <w:r w:rsidR="00043EC5">
        <w:rPr>
          <w:rFonts w:ascii="Perpetua" w:hAnsi="Perpetua" w:cs="Adobe Devanagari"/>
          <w:spacing w:val="-3"/>
          <w:sz w:val="26"/>
          <w:szCs w:val="26"/>
          <w:lang w:val="en-GB"/>
        </w:rPr>
        <w:t xml:space="preserve"> first </w:t>
      </w:r>
      <w:proofErr w:type="spellStart"/>
      <w:r w:rsidR="00043EC5">
        <w:rPr>
          <w:rFonts w:ascii="Perpetua" w:hAnsi="Perpetua" w:cs="Adobe Devanagari"/>
          <w:spacing w:val="-3"/>
          <w:sz w:val="26"/>
          <w:szCs w:val="26"/>
          <w:lang w:val="en-GB"/>
        </w:rPr>
        <w:t>Fredson</w:t>
      </w:r>
      <w:proofErr w:type="spellEnd"/>
      <w:r w:rsidR="00043EC5">
        <w:rPr>
          <w:rFonts w:ascii="Perpetua" w:hAnsi="Perpetua" w:cs="Adobe Devanagari"/>
          <w:spacing w:val="-3"/>
          <w:sz w:val="26"/>
          <w:szCs w:val="26"/>
          <w:lang w:val="en-GB"/>
        </w:rPr>
        <w:t xml:space="preserve"> Bowers and later</w:t>
      </w:r>
      <w:r>
        <w:rPr>
          <w:rFonts w:ascii="Perpetua" w:hAnsi="Perpetua" w:cs="Adobe Devanagari"/>
          <w:spacing w:val="-3"/>
          <w:sz w:val="26"/>
          <w:szCs w:val="26"/>
          <w:lang w:val="en-GB"/>
        </w:rPr>
        <w:t xml:space="preserve">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 xml:space="preserve"> and Rasmussen, the editors of the Oxford World’s Classics edition, among others, have argued that </w:t>
      </w:r>
      <w:r w:rsidR="00043EC5">
        <w:rPr>
          <w:rFonts w:ascii="Perpetua" w:hAnsi="Perpetua" w:cs="Adobe Devanagari"/>
          <w:spacing w:val="-3"/>
          <w:sz w:val="26"/>
          <w:szCs w:val="26"/>
          <w:lang w:val="en-GB"/>
        </w:rPr>
        <w:t>it was printed from Marlowe’s working manuscript or foul papers. Part of their reasoning is that ‘[</w:t>
      </w:r>
      <w:proofErr w:type="spellStart"/>
      <w:r w:rsidR="00043EC5">
        <w:rPr>
          <w:rFonts w:ascii="Perpetua" w:hAnsi="Perpetua" w:cs="Adobe Devanagari"/>
          <w:spacing w:val="-3"/>
          <w:sz w:val="26"/>
          <w:szCs w:val="26"/>
          <w:lang w:val="en-GB"/>
        </w:rPr>
        <w:t>i</w:t>
      </w:r>
      <w:proofErr w:type="spellEnd"/>
      <w:r w:rsidR="00043EC5">
        <w:rPr>
          <w:rFonts w:ascii="Perpetua" w:hAnsi="Perpetua" w:cs="Adobe Devanagari"/>
          <w:spacing w:val="-3"/>
          <w:sz w:val="26"/>
          <w:szCs w:val="26"/>
          <w:lang w:val="en-GB"/>
        </w:rPr>
        <w:t>]t is unlikely, for instance, that a playbook prepared for use in the theatre would have left out a legion of necessary entrance and exit directions […].’</w:t>
      </w:r>
      <w:r w:rsidR="00043EC5">
        <w:rPr>
          <w:rStyle w:val="FootnoteReference"/>
          <w:rFonts w:ascii="Perpetua" w:hAnsi="Perpetua" w:cs="Adobe Devanagari"/>
          <w:spacing w:val="-3"/>
          <w:sz w:val="26"/>
          <w:szCs w:val="26"/>
          <w:lang w:val="en-GB"/>
        </w:rPr>
        <w:footnoteReference w:id="2"/>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P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The play’s genre, sources, and literary context: English history play (on the reign of Edward II, from 1307 to 1327, and the protectorate up to 1330); tragedy; Raphael Holinshed’s chronicle</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40409E"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‘Throughout the staunchly patriotic and nationalistic decade of the 1590s […], the chronicle history play as a dramatic form was not only in vogue; it was at the zenith of its development.’</w:t>
      </w:r>
      <w:r>
        <w:rPr>
          <w:rStyle w:val="FootnoteReference"/>
          <w:rFonts w:ascii="Perpetua" w:hAnsi="Perpetua" w:cs="Adobe Devanagari"/>
          <w:spacing w:val="-3"/>
          <w:sz w:val="26"/>
          <w:szCs w:val="26"/>
          <w:lang w:val="en-GB"/>
        </w:rPr>
        <w:footnoteReference w:id="3"/>
      </w:r>
      <w:r w:rsidR="000F423F">
        <w:rPr>
          <w:rFonts w:ascii="Perpetua" w:hAnsi="Perpetua" w:cs="Adobe Devanagari"/>
          <w:spacing w:val="-3"/>
          <w:sz w:val="26"/>
          <w:szCs w:val="26"/>
          <w:lang w:val="en-GB"/>
        </w:rPr>
        <w:t xml:space="preserve"> The source for much of the history in these English history plays was ‘Raphael Holinshed’s massive chronicle of English history first published in 1577, drawing on the work of Edward Hall, Robert </w:t>
      </w:r>
      <w:proofErr w:type="spellStart"/>
      <w:r w:rsidR="000F423F">
        <w:rPr>
          <w:rFonts w:ascii="Perpetua" w:hAnsi="Perpetua" w:cs="Adobe Devanagari"/>
          <w:spacing w:val="-3"/>
          <w:sz w:val="26"/>
          <w:szCs w:val="26"/>
          <w:lang w:val="en-GB"/>
        </w:rPr>
        <w:t>Fabyan</w:t>
      </w:r>
      <w:proofErr w:type="spellEnd"/>
      <w:r w:rsidR="000F423F">
        <w:rPr>
          <w:rFonts w:ascii="Perpetua" w:hAnsi="Perpetua" w:cs="Adobe Devanagari"/>
          <w:spacing w:val="-3"/>
          <w:sz w:val="26"/>
          <w:szCs w:val="26"/>
          <w:lang w:val="en-GB"/>
        </w:rPr>
        <w:t>, and others, that, expanded and revised, was republished in 1587, nearly on the eve of the significant naval victory over Spain’.</w:t>
      </w:r>
      <w:r w:rsidR="000F423F">
        <w:rPr>
          <w:rStyle w:val="FootnoteReference"/>
          <w:rFonts w:ascii="Perpetua" w:hAnsi="Perpetua" w:cs="Adobe Devanagari"/>
          <w:spacing w:val="-3"/>
          <w:sz w:val="26"/>
          <w:szCs w:val="26"/>
          <w:lang w:val="en-GB"/>
        </w:rPr>
        <w:footnoteReference w:id="4"/>
      </w:r>
    </w:p>
    <w:p w:rsidR="000F423F" w:rsidRDefault="000F423F"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0F423F" w:rsidRPr="000F423F" w:rsidRDefault="000F423F"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w:t>
      </w:r>
      <w:r>
        <w:rPr>
          <w:rFonts w:ascii="Perpetua" w:hAnsi="Perpetua" w:cs="Adobe Devanagari"/>
          <w:i/>
          <w:spacing w:val="-3"/>
          <w:sz w:val="26"/>
          <w:szCs w:val="26"/>
          <w:lang w:val="en-GB"/>
        </w:rPr>
        <w:t>Edward II</w:t>
      </w:r>
      <w:r>
        <w:rPr>
          <w:rFonts w:ascii="Perpetua" w:hAnsi="Perpetua" w:cs="Adobe Devanagari"/>
          <w:spacing w:val="-3"/>
          <w:sz w:val="26"/>
          <w:szCs w:val="26"/>
          <w:lang w:val="en-GB"/>
        </w:rPr>
        <w:t xml:space="preserve">, Marlowe ‘transforms events, scrambles the dates, and invents certain characters and </w:t>
      </w:r>
      <w:r>
        <w:rPr>
          <w:rFonts w:ascii="Perpetua" w:hAnsi="Perpetua" w:cs="Adobe Devanagari"/>
          <w:spacing w:val="-3"/>
          <w:sz w:val="26"/>
          <w:szCs w:val="26"/>
          <w:lang w:val="en-GB"/>
        </w:rPr>
        <w:lastRenderedPageBreak/>
        <w:t>facts to achieve a much deeper understanding of English political life and to provide playgoers with a much richer emotional experience: he has, from his perspective, turned recorded facts into enacted truths’.</w:t>
      </w:r>
      <w:r>
        <w:rPr>
          <w:rStyle w:val="FootnoteReference"/>
          <w:rFonts w:ascii="Perpetua" w:hAnsi="Perpetua" w:cs="Adobe Devanagari"/>
          <w:spacing w:val="-3"/>
          <w:sz w:val="26"/>
          <w:szCs w:val="26"/>
          <w:lang w:val="en-GB"/>
        </w:rPr>
        <w:footnoteReference w:id="5"/>
      </w:r>
    </w:p>
    <w:p w:rsidR="00281AB0" w:rsidRP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Pr="00536D7F"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536D7F">
        <w:rPr>
          <w:rFonts w:ascii="Perpetua" w:hAnsi="Perpetua" w:cs="Adobe Devanagari"/>
          <w:b/>
          <w:spacing w:val="-3"/>
          <w:sz w:val="26"/>
          <w:szCs w:val="26"/>
          <w:lang w:val="en-GB"/>
        </w:rPr>
        <w:t>The play in its biographical context: the reputation of Marlowe as freethinker and debauchee</w:t>
      </w:r>
    </w:p>
    <w:p w:rsidR="00281AB0" w:rsidRPr="00991410" w:rsidRDefault="00281AB0" w:rsidP="00991410">
      <w:pPr>
        <w:tabs>
          <w:tab w:val="left" w:pos="-720"/>
          <w:tab w:val="left" w:pos="0"/>
        </w:tabs>
        <w:suppressAutoHyphens/>
        <w:snapToGrid/>
        <w:ind w:left="1134" w:right="1134"/>
        <w:rPr>
          <w:rFonts w:ascii="Perpetua" w:hAnsi="Perpetua" w:cs="Adobe Devanagari"/>
          <w:spacing w:val="-3"/>
          <w:szCs w:val="24"/>
          <w:lang w:val="en-GB"/>
        </w:rPr>
      </w:pPr>
    </w:p>
    <w:p w:rsidR="00281AB0" w:rsidRPr="00991410" w:rsidRDefault="00991410" w:rsidP="00991410">
      <w:pPr>
        <w:tabs>
          <w:tab w:val="left" w:pos="-720"/>
          <w:tab w:val="left" w:pos="0"/>
        </w:tabs>
        <w:suppressAutoHyphens/>
        <w:snapToGrid/>
        <w:ind w:left="1134" w:right="1134"/>
        <w:rPr>
          <w:rFonts w:ascii="Perpetua" w:hAnsi="Perpetua" w:cs="Adobe Devanagari"/>
          <w:spacing w:val="-3"/>
          <w:szCs w:val="24"/>
          <w:lang w:val="en-GB"/>
        </w:rPr>
      </w:pPr>
      <w:r w:rsidRPr="00991410">
        <w:rPr>
          <w:rFonts w:ascii="Perpetua" w:hAnsi="Perpetua" w:cs="Adobe Devanagari"/>
          <w:spacing w:val="-3"/>
          <w:szCs w:val="24"/>
          <w:lang w:val="en-GB"/>
        </w:rPr>
        <w:t xml:space="preserve">We know from recorded remarks of Marlowe that man’s private preferences were a recurring and important concern: “all they that love not tobacco and boys were fools,” the Baines Libel ascribes to him; further, “That St. John the Evangelist was bedfellow to Christ and leaned always in his bosom that he used him as the sinners of Sodom.” Even if these remarks are untrue and merely libellous, there is not denying that Edward’s passion for </w:t>
      </w:r>
      <w:proofErr w:type="spellStart"/>
      <w:r w:rsidRPr="00991410">
        <w:rPr>
          <w:rFonts w:ascii="Perpetua" w:hAnsi="Perpetua" w:cs="Adobe Devanagari"/>
          <w:spacing w:val="-3"/>
          <w:szCs w:val="24"/>
          <w:lang w:val="en-GB"/>
        </w:rPr>
        <w:t>Gaveston</w:t>
      </w:r>
      <w:proofErr w:type="spellEnd"/>
      <w:r w:rsidRPr="00991410">
        <w:rPr>
          <w:rFonts w:ascii="Perpetua" w:hAnsi="Perpetua" w:cs="Adobe Devanagari"/>
          <w:spacing w:val="-3"/>
          <w:szCs w:val="24"/>
          <w:lang w:val="en-GB"/>
        </w:rPr>
        <w:t xml:space="preserve"> is the crucial private premise of the play.</w:t>
      </w:r>
      <w:r w:rsidRPr="00991410">
        <w:rPr>
          <w:rStyle w:val="FootnoteReference"/>
          <w:rFonts w:ascii="Perpetua" w:hAnsi="Perpetua" w:cs="Adobe Devanagari"/>
          <w:spacing w:val="-3"/>
          <w:szCs w:val="24"/>
          <w:lang w:val="en-GB"/>
        </w:rPr>
        <w:footnoteReference w:id="6"/>
      </w:r>
    </w:p>
    <w:p w:rsidR="00281AB0" w:rsidRP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 xml:space="preserve">Examination of political authority and conflict, e.g. between royal prerogative and feudal rights; between military monarchy and court-centred monarchy; between allegiance to tradition and the appointment of ambitious new men; between monarch and the peers (barons), church, and common people </w:t>
      </w:r>
    </w:p>
    <w:p w:rsidR="00281AB0" w:rsidRPr="009B7F08" w:rsidRDefault="00281AB0" w:rsidP="009B7F08">
      <w:pPr>
        <w:tabs>
          <w:tab w:val="left" w:pos="-720"/>
          <w:tab w:val="left" w:pos="0"/>
        </w:tabs>
        <w:suppressAutoHyphens/>
        <w:snapToGrid/>
        <w:ind w:left="1134" w:right="1134"/>
        <w:rPr>
          <w:rFonts w:ascii="Perpetua" w:hAnsi="Perpetua" w:cs="Adobe Devanagari"/>
          <w:spacing w:val="-3"/>
          <w:szCs w:val="24"/>
          <w:lang w:val="en-GB"/>
        </w:rPr>
      </w:pPr>
    </w:p>
    <w:p w:rsidR="009B7F08" w:rsidRPr="009B7F08" w:rsidRDefault="009B7F08" w:rsidP="009B7F08">
      <w:pPr>
        <w:tabs>
          <w:tab w:val="left" w:pos="-720"/>
          <w:tab w:val="left" w:pos="0"/>
        </w:tabs>
        <w:suppressAutoHyphens/>
        <w:snapToGrid/>
        <w:ind w:left="1134" w:right="1134"/>
        <w:rPr>
          <w:rFonts w:ascii="Perpetua" w:hAnsi="Perpetua" w:cs="Adobe Devanagari"/>
          <w:spacing w:val="-3"/>
          <w:szCs w:val="24"/>
          <w:lang w:val="en-GB"/>
        </w:rPr>
      </w:pPr>
      <w:r w:rsidRPr="009B7F08">
        <w:rPr>
          <w:rFonts w:ascii="Perpetua" w:hAnsi="Perpetua" w:cs="Adobe Devanagari"/>
          <w:spacing w:val="-3"/>
          <w:szCs w:val="24"/>
          <w:lang w:val="en-GB"/>
        </w:rPr>
        <w:t>Edward II inherits a kingdom which is grounded on feudal law and practice. It is based in mutual and cooperative trust between the King and his lords. The hierarchy of birth provides the ruler with peers who support him in time of need and of war (such as that period in which the play is set) and in turn receive from him ongoing privilege and respect: it is the foundation of the English state.</w:t>
      </w:r>
      <w:r w:rsidRPr="009B7F08">
        <w:rPr>
          <w:rStyle w:val="FootnoteReference"/>
          <w:rFonts w:ascii="Perpetua" w:hAnsi="Perpetua" w:cs="Adobe Devanagari"/>
          <w:spacing w:val="-3"/>
          <w:szCs w:val="24"/>
          <w:lang w:val="en-GB"/>
        </w:rPr>
        <w:footnoteReference w:id="7"/>
      </w:r>
    </w:p>
    <w:p w:rsidR="009B7F08" w:rsidRDefault="009B7F08" w:rsidP="00815B84">
      <w:pPr>
        <w:tabs>
          <w:tab w:val="left" w:pos="-720"/>
          <w:tab w:val="left" w:pos="0"/>
        </w:tabs>
        <w:suppressAutoHyphens/>
        <w:snapToGrid/>
        <w:spacing w:line="276" w:lineRule="auto"/>
        <w:rPr>
          <w:rFonts w:ascii="Perpetua" w:hAnsi="Perpetua" w:cs="Adobe Devanagari"/>
          <w:spacing w:val="-3"/>
          <w:sz w:val="26"/>
          <w:szCs w:val="26"/>
          <w:lang w:val="en-GB"/>
        </w:rPr>
      </w:pPr>
    </w:p>
    <w:p w:rsidR="00815B84" w:rsidRDefault="00815B84" w:rsidP="00815B84">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 xml:space="preserve"> and Rasmussen, Edward ‘never perceives self-interest in </w:t>
      </w:r>
      <w:proofErr w:type="spellStart"/>
      <w:r>
        <w:rPr>
          <w:rFonts w:ascii="Perpetua" w:hAnsi="Perpetua" w:cs="Adobe Devanagari"/>
          <w:spacing w:val="-3"/>
          <w:sz w:val="26"/>
          <w:szCs w:val="26"/>
          <w:lang w:val="en-GB"/>
        </w:rPr>
        <w:t>Gaveston’s</w:t>
      </w:r>
      <w:proofErr w:type="spellEnd"/>
      <w:r>
        <w:rPr>
          <w:rFonts w:ascii="Perpetua" w:hAnsi="Perpetua" w:cs="Adobe Devanagari"/>
          <w:spacing w:val="-3"/>
          <w:sz w:val="26"/>
          <w:szCs w:val="26"/>
          <w:lang w:val="en-GB"/>
        </w:rPr>
        <w:t xml:space="preserve"> need to be protected from the nobles who loathe him as a parvenu and rival for influence with the Crown. Edward has his own reasons for hating the aristocrats who nominally serve him, and enlists </w:t>
      </w:r>
      <w:proofErr w:type="spellStart"/>
      <w:r>
        <w:rPr>
          <w:rFonts w:ascii="Perpetua" w:hAnsi="Perpetua" w:cs="Adobe Devanagari"/>
          <w:spacing w:val="-3"/>
          <w:sz w:val="26"/>
          <w:szCs w:val="26"/>
          <w:lang w:val="en-GB"/>
        </w:rPr>
        <w:t>Gaveston</w:t>
      </w:r>
      <w:proofErr w:type="spellEnd"/>
      <w:r>
        <w:rPr>
          <w:rFonts w:ascii="Perpetua" w:hAnsi="Perpetua" w:cs="Adobe Devanagari"/>
          <w:spacing w:val="-3"/>
          <w:sz w:val="26"/>
          <w:szCs w:val="26"/>
          <w:lang w:val="en-GB"/>
        </w:rPr>
        <w:t xml:space="preserve"> as an ally in his war on baronial privilege, but his own emotional vulnerability leads Edward to misjudge motive.’</w:t>
      </w:r>
      <w:r>
        <w:rPr>
          <w:rStyle w:val="FootnoteReference"/>
          <w:rFonts w:ascii="Perpetua" w:hAnsi="Perpetua" w:cs="Adobe Devanagari"/>
          <w:spacing w:val="-3"/>
          <w:sz w:val="26"/>
          <w:szCs w:val="26"/>
          <w:lang w:val="en-GB"/>
        </w:rPr>
        <w:footnoteReference w:id="8"/>
      </w:r>
    </w:p>
    <w:p w:rsidR="00A626E0" w:rsidRDefault="00A626E0" w:rsidP="00A626E0">
      <w:pPr>
        <w:tabs>
          <w:tab w:val="left" w:pos="-720"/>
          <w:tab w:val="left" w:pos="0"/>
        </w:tabs>
        <w:suppressAutoHyphens/>
        <w:snapToGrid/>
        <w:spacing w:line="276" w:lineRule="auto"/>
        <w:rPr>
          <w:rFonts w:ascii="Perpetua" w:hAnsi="Perpetua" w:cs="Adobe Devanagari"/>
          <w:spacing w:val="-3"/>
          <w:sz w:val="26"/>
          <w:szCs w:val="26"/>
          <w:lang w:val="en-GB"/>
        </w:rPr>
      </w:pPr>
    </w:p>
    <w:p w:rsidR="00BB5A3D" w:rsidRDefault="00815B84"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Mortimer junior, who is ‘the kind of self-asserting rebel who, in earlier plays, is the </w:t>
      </w:r>
      <w:proofErr w:type="spellStart"/>
      <w:r>
        <w:rPr>
          <w:rFonts w:ascii="Perpetua" w:hAnsi="Perpetua" w:cs="Adobe Devanagari"/>
          <w:spacing w:val="-3"/>
          <w:sz w:val="26"/>
          <w:szCs w:val="26"/>
          <w:lang w:val="en-GB"/>
        </w:rPr>
        <w:t>Marlovian</w:t>
      </w:r>
      <w:proofErr w:type="spellEnd"/>
      <w:r>
        <w:rPr>
          <w:rFonts w:ascii="Perpetua" w:hAnsi="Perpetua" w:cs="Adobe Devanagari"/>
          <w:spacing w:val="-3"/>
          <w:sz w:val="26"/>
          <w:szCs w:val="26"/>
          <w:lang w:val="en-GB"/>
        </w:rPr>
        <w:t xml:space="preserve"> </w:t>
      </w:r>
      <w:proofErr w:type="spellStart"/>
      <w:r>
        <w:rPr>
          <w:rFonts w:ascii="Perpetua" w:hAnsi="Perpetua" w:cs="Adobe Devanagari"/>
          <w:spacing w:val="-3"/>
          <w:sz w:val="26"/>
          <w:szCs w:val="26"/>
          <w:lang w:val="en-GB"/>
        </w:rPr>
        <w:t>overreacher</w:t>
      </w:r>
      <w:proofErr w:type="spellEnd"/>
      <w:r>
        <w:rPr>
          <w:rFonts w:ascii="Perpetua" w:hAnsi="Perpetua" w:cs="Adobe Devanagari"/>
          <w:spacing w:val="-3"/>
          <w:sz w:val="26"/>
          <w:szCs w:val="26"/>
          <w:lang w:val="en-GB"/>
        </w:rPr>
        <w:t>’,</w:t>
      </w:r>
      <w:r>
        <w:rPr>
          <w:rStyle w:val="FootnoteReference"/>
          <w:rFonts w:ascii="Perpetua" w:hAnsi="Perpetua" w:cs="Adobe Devanagari"/>
          <w:spacing w:val="-3"/>
          <w:sz w:val="26"/>
          <w:szCs w:val="26"/>
          <w:lang w:val="en-GB"/>
        </w:rPr>
        <w:footnoteReference w:id="9"/>
      </w:r>
      <w:r>
        <w:rPr>
          <w:rFonts w:ascii="Perpetua" w:hAnsi="Perpetua" w:cs="Adobe Devanagari"/>
          <w:spacing w:val="-3"/>
          <w:sz w:val="26"/>
          <w:szCs w:val="26"/>
          <w:lang w:val="en-GB"/>
        </w:rPr>
        <w:t xml:space="preserve"> expresses only malice towards </w:t>
      </w:r>
      <w:proofErr w:type="spellStart"/>
      <w:r>
        <w:rPr>
          <w:rFonts w:ascii="Perpetua" w:hAnsi="Perpetua" w:cs="Adobe Devanagari"/>
          <w:spacing w:val="-3"/>
          <w:sz w:val="26"/>
          <w:szCs w:val="26"/>
          <w:lang w:val="en-GB"/>
        </w:rPr>
        <w:t>Gaveston</w:t>
      </w:r>
      <w:proofErr w:type="spellEnd"/>
      <w:r>
        <w:rPr>
          <w:rFonts w:ascii="Perpetua" w:hAnsi="Perpetua" w:cs="Adobe Devanagari"/>
          <w:spacing w:val="-3"/>
          <w:sz w:val="26"/>
          <w:szCs w:val="26"/>
          <w:lang w:val="en-GB"/>
        </w:rPr>
        <w:t xml:space="preserve"> (see I.ii.29-32), professing to protect the realm and the rights and privileges of the feudal lords against royal prerogative. </w:t>
      </w:r>
      <w:r w:rsidR="001675C4">
        <w:rPr>
          <w:rFonts w:ascii="Perpetua" w:hAnsi="Perpetua" w:cs="Adobe Devanagari"/>
          <w:spacing w:val="-3"/>
          <w:sz w:val="26"/>
          <w:szCs w:val="26"/>
          <w:lang w:val="en-GB"/>
        </w:rPr>
        <w:t xml:space="preserve">Indeed all the barons ‘constantly refer to title and position and lineage not because they are suspicious of their King’s intentions or because </w:t>
      </w:r>
      <w:proofErr w:type="spellStart"/>
      <w:r w:rsidR="001675C4">
        <w:rPr>
          <w:rFonts w:ascii="Perpetua" w:hAnsi="Perpetua" w:cs="Adobe Devanagari"/>
          <w:spacing w:val="-3"/>
          <w:sz w:val="26"/>
          <w:szCs w:val="26"/>
          <w:lang w:val="en-GB"/>
        </w:rPr>
        <w:t>Gaveston</w:t>
      </w:r>
      <w:proofErr w:type="spellEnd"/>
      <w:r w:rsidR="001675C4">
        <w:rPr>
          <w:rFonts w:ascii="Perpetua" w:hAnsi="Perpetua" w:cs="Adobe Devanagari"/>
          <w:spacing w:val="-3"/>
          <w:sz w:val="26"/>
          <w:szCs w:val="26"/>
          <w:lang w:val="en-GB"/>
        </w:rPr>
        <w:t xml:space="preserve"> as a person is so disagreeable […] but that the titles he is </w:t>
      </w:r>
      <w:r w:rsidR="001675C4">
        <w:rPr>
          <w:rFonts w:ascii="Perpetua" w:hAnsi="Perpetua" w:cs="Adobe Devanagari"/>
          <w:spacing w:val="-3"/>
          <w:sz w:val="26"/>
          <w:szCs w:val="26"/>
          <w:lang w:val="en-GB"/>
        </w:rPr>
        <w:lastRenderedPageBreak/>
        <w:t>given freely undermine the entire operations of the state</w:t>
      </w:r>
      <w:r w:rsidR="00BB5A3D">
        <w:rPr>
          <w:rFonts w:ascii="Perpetua" w:hAnsi="Perpetua" w:cs="Adobe Devanagari"/>
          <w:spacing w:val="-3"/>
          <w:sz w:val="26"/>
          <w:szCs w:val="26"/>
          <w:lang w:val="en-GB"/>
        </w:rPr>
        <w:t>’.</w:t>
      </w:r>
      <w:r w:rsidR="00BB5A3D">
        <w:rPr>
          <w:rStyle w:val="FootnoteReference"/>
          <w:rFonts w:ascii="Perpetua" w:hAnsi="Perpetua" w:cs="Adobe Devanagari"/>
          <w:spacing w:val="-3"/>
          <w:sz w:val="26"/>
          <w:szCs w:val="26"/>
          <w:lang w:val="en-GB"/>
        </w:rPr>
        <w:footnoteReference w:id="10"/>
      </w:r>
      <w:r w:rsidR="00BB5A3D">
        <w:rPr>
          <w:rFonts w:ascii="Perpetua" w:hAnsi="Perpetua" w:cs="Adobe Devanagari"/>
          <w:spacing w:val="-3"/>
          <w:sz w:val="26"/>
          <w:szCs w:val="26"/>
          <w:lang w:val="en-GB"/>
        </w:rPr>
        <w:t xml:space="preserve"> ‘Edward’s flagrant disregard for age-old customs and practices of governance is even further disrupted when he imprisons the Bishop of Coventry, at least in part to give his lands to the recalled </w:t>
      </w:r>
      <w:proofErr w:type="spellStart"/>
      <w:r w:rsidR="00BB5A3D">
        <w:rPr>
          <w:rFonts w:ascii="Perpetua" w:hAnsi="Perpetua" w:cs="Adobe Devanagari"/>
          <w:spacing w:val="-3"/>
          <w:sz w:val="26"/>
          <w:szCs w:val="26"/>
          <w:lang w:val="en-GB"/>
        </w:rPr>
        <w:t>Gaveston</w:t>
      </w:r>
      <w:proofErr w:type="spellEnd"/>
      <w:r w:rsidR="00BB5A3D">
        <w:rPr>
          <w:rFonts w:ascii="Perpetua" w:hAnsi="Perpetua" w:cs="Adobe Devanagari"/>
          <w:spacing w:val="-3"/>
          <w:sz w:val="26"/>
          <w:szCs w:val="26"/>
          <w:lang w:val="en-GB"/>
        </w:rPr>
        <w:t>. By weakening the church as well as the state he challenges both institutions.’</w:t>
      </w:r>
      <w:r w:rsidR="00BB5A3D">
        <w:rPr>
          <w:rStyle w:val="FootnoteReference"/>
          <w:rFonts w:ascii="Perpetua" w:hAnsi="Perpetua" w:cs="Adobe Devanagari"/>
          <w:spacing w:val="-3"/>
          <w:sz w:val="26"/>
          <w:szCs w:val="26"/>
          <w:lang w:val="en-GB"/>
        </w:rPr>
        <w:footnoteReference w:id="11"/>
      </w:r>
    </w:p>
    <w:p w:rsidR="00FC7BB3" w:rsidRDefault="00FC7BB3"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815B84" w:rsidRDefault="00BB5A3D"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But Mortimer junior </w:t>
      </w:r>
      <w:r w:rsidR="00815B84">
        <w:rPr>
          <w:rFonts w:ascii="Perpetua" w:hAnsi="Perpetua" w:cs="Adobe Devanagari"/>
          <w:spacing w:val="-3"/>
          <w:sz w:val="26"/>
          <w:szCs w:val="26"/>
          <w:lang w:val="en-GB"/>
        </w:rPr>
        <w:t>also harbours a desire and ambition for sovereign power, which although not realised is tantalised by his appointment as Lord Protector over Edward III, before his tragic fall.</w:t>
      </w:r>
      <w:r w:rsidR="00FC7BB3">
        <w:rPr>
          <w:rFonts w:ascii="Perpetua" w:hAnsi="Perpetua" w:cs="Adobe Devanagari"/>
          <w:spacing w:val="-3"/>
          <w:sz w:val="26"/>
          <w:szCs w:val="26"/>
          <w:lang w:val="en-GB"/>
        </w:rPr>
        <w:t xml:space="preserve"> </w:t>
      </w:r>
      <w:r w:rsidR="00815B84">
        <w:rPr>
          <w:rFonts w:ascii="Perpetua" w:hAnsi="Perpetua" w:cs="Adobe Devanagari"/>
          <w:spacing w:val="-3"/>
          <w:sz w:val="26"/>
          <w:szCs w:val="26"/>
          <w:lang w:val="en-GB"/>
        </w:rPr>
        <w:t>At first Mortimer’s impatience and ambition seem directed against real targets of corrupt authority:</w:t>
      </w:r>
    </w:p>
    <w:p w:rsidR="00815B84" w:rsidRPr="00A63691" w:rsidRDefault="00815B84" w:rsidP="00A63691">
      <w:pPr>
        <w:tabs>
          <w:tab w:val="left" w:pos="-720"/>
          <w:tab w:val="left" w:pos="0"/>
        </w:tabs>
        <w:suppressAutoHyphens/>
        <w:snapToGrid/>
        <w:ind w:left="1134" w:right="1134"/>
        <w:rPr>
          <w:rFonts w:ascii="Perpetua" w:hAnsi="Perpetua" w:cs="Adobe Devanagari"/>
          <w:spacing w:val="-3"/>
          <w:szCs w:val="24"/>
          <w:lang w:val="en-GB"/>
        </w:rPr>
      </w:pPr>
    </w:p>
    <w:p w:rsidR="00815B84" w:rsidRPr="00A63691" w:rsidRDefault="00815B84" w:rsidP="00A63691">
      <w:pPr>
        <w:tabs>
          <w:tab w:val="left" w:pos="-720"/>
          <w:tab w:val="left" w:pos="0"/>
        </w:tabs>
        <w:suppressAutoHyphens/>
        <w:snapToGrid/>
        <w:ind w:left="1134" w:right="1134"/>
        <w:rPr>
          <w:rFonts w:ascii="Perpetua" w:hAnsi="Perpetua" w:cs="Adobe Devanagari"/>
          <w:spacing w:val="-3"/>
          <w:szCs w:val="24"/>
          <w:lang w:val="en-GB"/>
        </w:rPr>
      </w:pPr>
      <w:r w:rsidRPr="00A63691">
        <w:rPr>
          <w:rFonts w:ascii="Perpetua" w:hAnsi="Perpetua" w:cs="Adobe Devanagari"/>
          <w:spacing w:val="-3"/>
          <w:szCs w:val="24"/>
          <w:lang w:val="en-GB"/>
        </w:rPr>
        <w:t xml:space="preserve">Edward’s conduct as king leaves ample room for patriotic complaint. Mortimer can justly complain that ‘one so basely born’ as </w:t>
      </w:r>
      <w:proofErr w:type="spellStart"/>
      <w:r w:rsidRPr="00A63691">
        <w:rPr>
          <w:rFonts w:ascii="Perpetua" w:hAnsi="Perpetua" w:cs="Adobe Devanagari"/>
          <w:spacing w:val="-3"/>
          <w:szCs w:val="24"/>
          <w:lang w:val="en-GB"/>
        </w:rPr>
        <w:t>Gaveston</w:t>
      </w:r>
      <w:proofErr w:type="spellEnd"/>
      <w:r w:rsidRPr="00A63691">
        <w:rPr>
          <w:rFonts w:ascii="Perpetua" w:hAnsi="Perpetua" w:cs="Adobe Devanagari"/>
          <w:spacing w:val="-3"/>
          <w:szCs w:val="24"/>
          <w:lang w:val="en-GB"/>
        </w:rPr>
        <w:t xml:space="preserve"> ‘</w:t>
      </w:r>
      <w:proofErr w:type="gramStart"/>
      <w:r w:rsidRPr="00A63691">
        <w:rPr>
          <w:rFonts w:ascii="Perpetua" w:hAnsi="Perpetua" w:cs="Adobe Devanagari"/>
          <w:spacing w:val="-3"/>
          <w:szCs w:val="24"/>
          <w:lang w:val="en-GB"/>
        </w:rPr>
        <w:t>Should</w:t>
      </w:r>
      <w:proofErr w:type="gramEnd"/>
      <w:r w:rsidRPr="00A63691">
        <w:rPr>
          <w:rFonts w:ascii="Perpetua" w:hAnsi="Perpetua" w:cs="Adobe Devanagari"/>
          <w:spacing w:val="-3"/>
          <w:szCs w:val="24"/>
          <w:lang w:val="en-GB"/>
        </w:rPr>
        <w:t xml:space="preserve"> by his sovereign’s favour grow so pert / And riot it with the treasure of the realm’. The financial extravagance is indeed great, and at the expense of national defence: ‘While soldiers mutiny for want of pay / He wears a lord’s revenue on his back’ (1.4.403-7). The commoners of England groan under their burden of oppression; the Irish are up in arms; the Scots make inroads with no military resistance; ‘The haughty Dane commands the narrow seas’; foreign princes snub Edward by refusing to send ambassadors; ballads and rhymes are made in hope </w:t>
      </w:r>
      <w:r w:rsidR="00A63691" w:rsidRPr="00A63691">
        <w:rPr>
          <w:rFonts w:ascii="Perpetua" w:hAnsi="Perpetua" w:cs="Adobe Devanagari"/>
          <w:spacing w:val="-3"/>
          <w:szCs w:val="24"/>
          <w:lang w:val="en-GB"/>
        </w:rPr>
        <w:t>of Edward’s overthrow (2.2.156 ff.). Lancaster and other nobles join in the litany of protest against a king who never shows himself in the field.</w:t>
      </w:r>
      <w:r w:rsidR="00A63691" w:rsidRPr="00A63691">
        <w:rPr>
          <w:rStyle w:val="FootnoteReference"/>
          <w:rFonts w:ascii="Perpetua" w:hAnsi="Perpetua" w:cs="Adobe Devanagari"/>
          <w:spacing w:val="-3"/>
          <w:szCs w:val="24"/>
          <w:lang w:val="en-GB"/>
        </w:rPr>
        <w:footnoteReference w:id="12"/>
      </w:r>
    </w:p>
    <w:p w:rsidR="00281AB0" w:rsidRPr="00A63691" w:rsidRDefault="00281AB0" w:rsidP="00A63691">
      <w:pPr>
        <w:tabs>
          <w:tab w:val="left" w:pos="-720"/>
          <w:tab w:val="left" w:pos="0"/>
        </w:tabs>
        <w:suppressAutoHyphens/>
        <w:snapToGrid/>
        <w:ind w:left="1134" w:right="1134"/>
        <w:rPr>
          <w:rFonts w:ascii="Perpetua" w:hAnsi="Perpetua" w:cs="Adobe Devanagari"/>
          <w:spacing w:val="-3"/>
          <w:szCs w:val="24"/>
          <w:lang w:val="en-GB"/>
        </w:rPr>
      </w:pPr>
    </w:p>
    <w:p w:rsidR="00281AB0" w:rsidRDefault="00A63691"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But Mortimer is driven by a sense of personal animosity towards an uppity social inferior, and by an ambition for the throne. In the light of which, ‘we are invited to ask whether Mortimer’s ire at Edward’s defence policy has not been merely an excuse for him to make his move’.</w:t>
      </w:r>
      <w:r>
        <w:rPr>
          <w:rStyle w:val="FootnoteReference"/>
          <w:rFonts w:ascii="Perpetua" w:hAnsi="Perpetua" w:cs="Adobe Devanagari"/>
          <w:spacing w:val="-3"/>
          <w:sz w:val="26"/>
          <w:szCs w:val="26"/>
          <w:lang w:val="en-GB"/>
        </w:rPr>
        <w:footnoteReference w:id="13"/>
      </w:r>
      <w:r>
        <w:rPr>
          <w:rFonts w:ascii="Perpetua" w:hAnsi="Perpetua" w:cs="Adobe Devanagari"/>
          <w:spacing w:val="-3"/>
          <w:sz w:val="26"/>
          <w:szCs w:val="26"/>
          <w:lang w:val="en-GB"/>
        </w:rPr>
        <w:t xml:space="preserve"> See I.iv.279-81.</w:t>
      </w:r>
    </w:p>
    <w:p w:rsidR="00A63691" w:rsidRDefault="00A63691"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Civil wars, factional struggles between royal favourites and feudal magnates, church-state conflicts, issues over succession, surveillance and gossip, and their echoes in the context of the reign of Elizabeth II</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DF566F" w:rsidRDefault="00DF566F"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Arthur F. Kinney, there is much in </w:t>
      </w:r>
      <w:r>
        <w:rPr>
          <w:rFonts w:ascii="Perpetua" w:hAnsi="Perpetua" w:cs="Adobe Devanagari"/>
          <w:i/>
          <w:spacing w:val="-3"/>
          <w:sz w:val="26"/>
          <w:szCs w:val="26"/>
          <w:lang w:val="en-GB"/>
        </w:rPr>
        <w:t>Edward II</w:t>
      </w:r>
      <w:r>
        <w:rPr>
          <w:rFonts w:ascii="Perpetua" w:hAnsi="Perpetua" w:cs="Adobe Devanagari"/>
          <w:spacing w:val="-3"/>
          <w:sz w:val="26"/>
          <w:szCs w:val="26"/>
          <w:lang w:val="en-GB"/>
        </w:rPr>
        <w:t xml:space="preserve"> that Marlowe will have observed in the court life of Elizabeth I:</w:t>
      </w:r>
    </w:p>
    <w:p w:rsidR="00DF566F" w:rsidRPr="009B7F08" w:rsidRDefault="00DF566F" w:rsidP="009B7F08">
      <w:pPr>
        <w:tabs>
          <w:tab w:val="left" w:pos="-720"/>
          <w:tab w:val="left" w:pos="0"/>
        </w:tabs>
        <w:suppressAutoHyphens/>
        <w:snapToGrid/>
        <w:ind w:left="1134" w:right="1134"/>
        <w:rPr>
          <w:rFonts w:ascii="Perpetua" w:hAnsi="Perpetua" w:cs="Adobe Devanagari"/>
          <w:spacing w:val="-3"/>
          <w:szCs w:val="24"/>
          <w:lang w:val="en-GB"/>
        </w:rPr>
      </w:pPr>
    </w:p>
    <w:p w:rsidR="00DF566F" w:rsidRPr="009B7F08" w:rsidRDefault="00DF566F" w:rsidP="009B7F08">
      <w:pPr>
        <w:tabs>
          <w:tab w:val="left" w:pos="-720"/>
          <w:tab w:val="left" w:pos="0"/>
        </w:tabs>
        <w:suppressAutoHyphens/>
        <w:snapToGrid/>
        <w:ind w:left="1134" w:right="1134"/>
        <w:rPr>
          <w:rFonts w:ascii="Perpetua" w:hAnsi="Perpetua" w:cs="Adobe Devanagari"/>
          <w:spacing w:val="-3"/>
          <w:szCs w:val="24"/>
          <w:lang w:val="en-GB"/>
        </w:rPr>
      </w:pPr>
      <w:r w:rsidRPr="009B7F08">
        <w:rPr>
          <w:rFonts w:ascii="Perpetua" w:hAnsi="Perpetua" w:cs="Adobe Devanagari"/>
          <w:spacing w:val="-3"/>
          <w:szCs w:val="24"/>
          <w:lang w:val="en-GB"/>
        </w:rPr>
        <w:t xml:space="preserve">the factious barons which Marlowe must have seen almost daily in Elizabeth’s divided court, and the way in which government rested on personal ambitions and self-interest that, full of distrust, played out in continued surveillance, bribery, constant gossip, and deliberate </w:t>
      </w:r>
      <w:proofErr w:type="spellStart"/>
      <w:r w:rsidRPr="009B7F08">
        <w:rPr>
          <w:rFonts w:ascii="Perpetua" w:hAnsi="Perpetua" w:cs="Adobe Devanagari"/>
          <w:spacing w:val="-3"/>
          <w:szCs w:val="24"/>
          <w:lang w:val="en-GB"/>
        </w:rPr>
        <w:t>rumor</w:t>
      </w:r>
      <w:proofErr w:type="spellEnd"/>
      <w:r w:rsidRPr="009B7F08">
        <w:rPr>
          <w:rFonts w:ascii="Perpetua" w:hAnsi="Perpetua" w:cs="Adobe Devanagari"/>
          <w:spacing w:val="-3"/>
          <w:szCs w:val="24"/>
          <w:lang w:val="en-GB"/>
        </w:rPr>
        <w:t xml:space="preserve">. Elizabeth’s troubled regime – the unsettled policies and desires of the Elizabethan Settlement – are always being insinuated in this play, while something more uncomfortable cuts even nearer to the bone of reality: Marlowe’s refined and insightful analysis of personal rule in which the portrait of Edward II and the methods of his </w:t>
      </w:r>
      <w:r w:rsidRPr="009B7F08">
        <w:rPr>
          <w:rFonts w:ascii="Perpetua" w:hAnsi="Perpetua" w:cs="Adobe Devanagari"/>
          <w:spacing w:val="-3"/>
          <w:szCs w:val="24"/>
          <w:lang w:val="en-GB"/>
        </w:rPr>
        <w:lastRenderedPageBreak/>
        <w:t>governance can dangerously approach Elizabeth’s own.</w:t>
      </w:r>
    </w:p>
    <w:p w:rsidR="00DF566F" w:rsidRPr="009B7F08" w:rsidRDefault="009B7F08" w:rsidP="009B7F08">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sidR="00DF566F" w:rsidRPr="009B7F08">
        <w:rPr>
          <w:rFonts w:ascii="Perpetua" w:hAnsi="Perpetua" w:cs="Adobe Devanagari"/>
          <w:spacing w:val="-3"/>
          <w:szCs w:val="24"/>
          <w:lang w:val="en-GB"/>
        </w:rPr>
        <w:t>In collapsing and rearranging historical events over a twenty-three-year period, from Edward II’s accession in 1307 to Roger Mortimer’s execution three years after Edward’s death in 1330, Marlowe tells the story of a king whose personal passions and whose indulgence in flattery led to dissension with the nobility and worked against the good of the country. But such a story is only the narrative way of getting at something far more important: the historic confrontation between Edward and his nobility is not simply a collision of personalities and styles of life but incompatible ways of governance. What is at stake is the integrity and survival of the nation itself. And the confrontation is precisely that which Marlowe saw at the heart of the politics of his day: the repeated oaths of allegiance to tradition alongside the fact that Elizabeth’s Privy Council and bureaucracy were increasingly made up of new men, like Burghley, whose ambition matched their qualifications so that they invented a lineage that would make them acceptable.</w:t>
      </w:r>
      <w:r w:rsidRPr="009B7F08">
        <w:rPr>
          <w:rStyle w:val="FootnoteReference"/>
          <w:rFonts w:ascii="Perpetua" w:hAnsi="Perpetua" w:cs="Adobe Devanagari"/>
          <w:spacing w:val="-3"/>
          <w:szCs w:val="24"/>
          <w:lang w:val="en-GB"/>
        </w:rPr>
        <w:footnoteReference w:id="14"/>
      </w:r>
    </w:p>
    <w:p w:rsidR="00DF566F" w:rsidRDefault="00DF566F"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993A9E" w:rsidRDefault="00993A9E"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Lars Engle: ‘Though Queen Elizabeth I, as England’s successful ruler in the second half of the sixteenth century, had no </w:t>
      </w:r>
      <w:proofErr w:type="spellStart"/>
      <w:r>
        <w:rPr>
          <w:rFonts w:ascii="Perpetua" w:hAnsi="Perpetua" w:cs="Adobe Devanagari"/>
          <w:spacing w:val="-3"/>
          <w:sz w:val="26"/>
          <w:szCs w:val="26"/>
          <w:lang w:val="en-GB"/>
        </w:rPr>
        <w:t>favorite</w:t>
      </w:r>
      <w:proofErr w:type="spellEnd"/>
      <w:r>
        <w:rPr>
          <w:rFonts w:ascii="Perpetua" w:hAnsi="Perpetua" w:cs="Adobe Devanagari"/>
          <w:spacing w:val="-3"/>
          <w:sz w:val="26"/>
          <w:szCs w:val="26"/>
          <w:lang w:val="en-GB"/>
        </w:rPr>
        <w:t xml:space="preserve"> who succeeded in misleading her so entirely [as </w:t>
      </w:r>
      <w:proofErr w:type="spellStart"/>
      <w:r>
        <w:rPr>
          <w:rFonts w:ascii="Perpetua" w:hAnsi="Perpetua" w:cs="Adobe Devanagari"/>
          <w:spacing w:val="-3"/>
          <w:sz w:val="26"/>
          <w:szCs w:val="26"/>
          <w:lang w:val="en-GB"/>
        </w:rPr>
        <w:t>Gaveston</w:t>
      </w:r>
      <w:proofErr w:type="spellEnd"/>
      <w:r>
        <w:rPr>
          <w:rFonts w:ascii="Perpetua" w:hAnsi="Perpetua" w:cs="Adobe Devanagari"/>
          <w:spacing w:val="-3"/>
          <w:sz w:val="26"/>
          <w:szCs w:val="26"/>
          <w:lang w:val="en-GB"/>
        </w:rPr>
        <w:t xml:space="preserve"> does Edward], Edward II’s fourteenth-century reign was notorious for a number of the things Elizabethans feared and to some degree experienced in their own time’.</w:t>
      </w:r>
      <w:r>
        <w:rPr>
          <w:rStyle w:val="FootnoteReference"/>
          <w:rFonts w:ascii="Perpetua" w:hAnsi="Perpetua" w:cs="Adobe Devanagari"/>
          <w:spacing w:val="-3"/>
          <w:sz w:val="26"/>
          <w:szCs w:val="26"/>
          <w:lang w:val="en-GB"/>
        </w:rPr>
        <w:footnoteReference w:id="15"/>
      </w:r>
    </w:p>
    <w:p w:rsidR="00A84F4A" w:rsidRPr="00281AB0" w:rsidRDefault="00A84F4A"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Sexual desire and behaviour in the Renaissance</w:t>
      </w:r>
      <w:r w:rsidR="002F7C7F">
        <w:rPr>
          <w:rFonts w:ascii="Perpetua" w:hAnsi="Perpetua" w:cs="Adobe Devanagari"/>
          <w:b/>
          <w:spacing w:val="-3"/>
          <w:sz w:val="26"/>
          <w:szCs w:val="26"/>
          <w:lang w:val="en-GB"/>
        </w:rPr>
        <w:t>; and</w:t>
      </w: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 xml:space="preserve">The entanglement of sexual desire with power in the play, </w:t>
      </w:r>
      <w:proofErr w:type="spellStart"/>
      <w:r w:rsidRPr="00281AB0">
        <w:rPr>
          <w:rFonts w:ascii="Perpetua" w:hAnsi="Perpetua" w:cs="Adobe Devanagari"/>
          <w:b/>
          <w:spacing w:val="-3"/>
          <w:sz w:val="26"/>
          <w:szCs w:val="26"/>
          <w:lang w:val="en-GB"/>
        </w:rPr>
        <w:t>eros</w:t>
      </w:r>
      <w:proofErr w:type="spellEnd"/>
      <w:r w:rsidRPr="00281AB0">
        <w:rPr>
          <w:rFonts w:ascii="Perpetua" w:hAnsi="Perpetua" w:cs="Adobe Devanagari"/>
          <w:b/>
          <w:spacing w:val="-3"/>
          <w:sz w:val="26"/>
          <w:szCs w:val="26"/>
          <w:lang w:val="en-GB"/>
        </w:rPr>
        <w:t xml:space="preserve"> with political ambition, and the themes of passion and cruelty, </w:t>
      </w:r>
      <w:r w:rsidRPr="00281AB0">
        <w:rPr>
          <w:rFonts w:ascii="Perpetua" w:hAnsi="Perpetua"/>
          <w:b/>
          <w:spacing w:val="-3"/>
          <w:sz w:val="26"/>
          <w:szCs w:val="26"/>
        </w:rPr>
        <w:t>public and private,</w:t>
      </w:r>
      <w:r w:rsidRPr="00281AB0">
        <w:rPr>
          <w:rFonts w:ascii="Perpetua" w:hAnsi="Perpetua" w:cs="Adobe Devanagari"/>
          <w:b/>
          <w:spacing w:val="-3"/>
          <w:sz w:val="26"/>
          <w:szCs w:val="26"/>
          <w:lang w:val="en-GB"/>
        </w:rPr>
        <w:t xml:space="preserve"> covert hypocrisy, self-interest and suffering; the play’s dramatic social realism</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F7C7F" w:rsidRDefault="002F7C7F"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the context of our study of </w:t>
      </w:r>
      <w:r>
        <w:rPr>
          <w:rFonts w:ascii="Perpetua" w:hAnsi="Perpetua" w:cs="Adobe Devanagari"/>
          <w:i/>
          <w:spacing w:val="-3"/>
          <w:sz w:val="26"/>
          <w:szCs w:val="26"/>
          <w:lang w:val="en-GB"/>
        </w:rPr>
        <w:t>Twelfth Night</w:t>
      </w:r>
      <w:r>
        <w:rPr>
          <w:rFonts w:ascii="Perpetua" w:hAnsi="Perpetua" w:cs="Adobe Devanagari"/>
          <w:spacing w:val="-3"/>
          <w:sz w:val="26"/>
          <w:szCs w:val="26"/>
          <w:lang w:val="en-GB"/>
        </w:rPr>
        <w:t xml:space="preserve"> we </w:t>
      </w:r>
      <w:r>
        <w:rPr>
          <w:rFonts w:ascii="Perpetua" w:hAnsi="Perpetua" w:cs="Adobe Devanagari"/>
          <w:spacing w:val="-3"/>
          <w:sz w:val="26"/>
          <w:szCs w:val="26"/>
          <w:lang w:val="en-GB"/>
        </w:rPr>
        <w:t>encountered</w:t>
      </w:r>
      <w:r>
        <w:rPr>
          <w:rFonts w:ascii="Perpetua" w:hAnsi="Perpetua" w:cs="Adobe Devanagari"/>
          <w:spacing w:val="-3"/>
          <w:sz w:val="26"/>
          <w:szCs w:val="26"/>
          <w:lang w:val="en-GB"/>
        </w:rPr>
        <w:t xml:space="preserve"> the view that in the Renaissance people did not identify themselves in relation to the sex of the ‘object’ of their sexuality; that is, as either homosexual or heterosexual, or indeed as bisexual. The modern concept of sexual identity – sexuality as a mode of identity – is foreign to early modern subjects.</w:t>
      </w:r>
      <w:r>
        <w:rPr>
          <w:rFonts w:ascii="Perpetua" w:hAnsi="Perpetua" w:cs="Adobe Devanagari"/>
          <w:spacing w:val="-3"/>
          <w:sz w:val="26"/>
          <w:szCs w:val="26"/>
          <w:lang w:val="en-GB"/>
        </w:rPr>
        <w:t xml:space="preserve"> In </w:t>
      </w:r>
      <w:r w:rsidRPr="002F7C7F">
        <w:rPr>
          <w:rFonts w:ascii="Perpetua" w:hAnsi="Perpetua" w:cs="Adobe Devanagari"/>
          <w:i/>
          <w:spacing w:val="-3"/>
          <w:sz w:val="26"/>
          <w:szCs w:val="26"/>
          <w:lang w:val="en-GB"/>
        </w:rPr>
        <w:t>Edward II</w:t>
      </w:r>
      <w:r>
        <w:rPr>
          <w:rFonts w:ascii="Perpetua" w:hAnsi="Perpetua" w:cs="Adobe Devanagari"/>
          <w:spacing w:val="-3"/>
          <w:sz w:val="26"/>
          <w:szCs w:val="26"/>
          <w:lang w:val="en-GB"/>
        </w:rPr>
        <w:t xml:space="preserve">, characters’ attitudes to forms of </w:t>
      </w:r>
      <w:proofErr w:type="spellStart"/>
      <w:r>
        <w:rPr>
          <w:rFonts w:ascii="Perpetua" w:hAnsi="Perpetua" w:cs="Adobe Devanagari"/>
          <w:spacing w:val="-3"/>
          <w:sz w:val="26"/>
          <w:szCs w:val="26"/>
          <w:lang w:val="en-GB"/>
        </w:rPr>
        <w:t>eros</w:t>
      </w:r>
      <w:proofErr w:type="spellEnd"/>
      <w:r>
        <w:rPr>
          <w:rFonts w:ascii="Perpetua" w:hAnsi="Perpetua" w:cs="Adobe Devanagari"/>
          <w:spacing w:val="-3"/>
          <w:sz w:val="26"/>
          <w:szCs w:val="26"/>
          <w:lang w:val="en-GB"/>
        </w:rPr>
        <w:t xml:space="preserve"> can be seen to define them, yet </w:t>
      </w:r>
      <w:proofErr w:type="spellStart"/>
      <w:r>
        <w:rPr>
          <w:rFonts w:ascii="Perpetua" w:hAnsi="Perpetua" w:cs="Adobe Devanagari"/>
          <w:spacing w:val="-3"/>
          <w:sz w:val="26"/>
          <w:szCs w:val="26"/>
          <w:lang w:val="en-GB"/>
        </w:rPr>
        <w:t>eros</w:t>
      </w:r>
      <w:proofErr w:type="spellEnd"/>
      <w:r>
        <w:rPr>
          <w:rFonts w:ascii="Perpetua" w:hAnsi="Perpetua" w:cs="Adobe Devanagari"/>
          <w:spacing w:val="-3"/>
          <w:sz w:val="26"/>
          <w:szCs w:val="26"/>
          <w:lang w:val="en-GB"/>
        </w:rPr>
        <w:t xml:space="preserve"> is almost inextricably bound up with power, or desire for power.</w:t>
      </w:r>
    </w:p>
    <w:p w:rsidR="002F7C7F" w:rsidRDefault="002F7C7F"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AD1CC5"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An inescapable difficulty in interpreting </w:t>
      </w:r>
      <w:r>
        <w:rPr>
          <w:rFonts w:ascii="Perpetua" w:hAnsi="Perpetua" w:cs="Adobe Devanagari"/>
          <w:i/>
          <w:spacing w:val="-3"/>
          <w:sz w:val="26"/>
          <w:szCs w:val="26"/>
          <w:lang w:val="en-GB"/>
        </w:rPr>
        <w:t>Edward II</w:t>
      </w:r>
      <w:r>
        <w:rPr>
          <w:rFonts w:ascii="Perpetua" w:hAnsi="Perpetua" w:cs="Adobe Devanagari"/>
          <w:spacing w:val="-3"/>
          <w:sz w:val="26"/>
          <w:szCs w:val="26"/>
          <w:lang w:val="en-GB"/>
        </w:rPr>
        <w:t xml:space="preserve"> lies in the complicated relationship between the discourses of power and desire in the play.</w:t>
      </w:r>
      <w:r w:rsidR="009B5C96">
        <w:rPr>
          <w:rFonts w:ascii="Perpetua" w:hAnsi="Perpetua" w:cs="Adobe Devanagari"/>
          <w:spacing w:val="-3"/>
          <w:sz w:val="26"/>
          <w:szCs w:val="26"/>
          <w:lang w:val="en-GB"/>
        </w:rPr>
        <w:t xml:space="preserve"> For example,</w:t>
      </w:r>
      <w:r w:rsidR="00067285" w:rsidRPr="00067285">
        <w:rPr>
          <w:rFonts w:ascii="Perpetua" w:hAnsi="Perpetua"/>
          <w:sz w:val="26"/>
          <w:szCs w:val="26"/>
        </w:rPr>
        <w:t xml:space="preserve"> </w:t>
      </w:r>
      <w:r w:rsidR="00067285">
        <w:rPr>
          <w:rFonts w:ascii="Perpetua" w:hAnsi="Perpetua"/>
          <w:sz w:val="26"/>
          <w:szCs w:val="26"/>
        </w:rPr>
        <w:t>k</w:t>
      </w:r>
      <w:r w:rsidR="00067285" w:rsidRPr="00AE7659">
        <w:rPr>
          <w:rFonts w:ascii="Perpetua" w:hAnsi="Perpetua"/>
          <w:sz w:val="26"/>
          <w:szCs w:val="26"/>
        </w:rPr>
        <w:t xml:space="preserve">ingship in </w:t>
      </w:r>
      <w:r w:rsidR="00067285" w:rsidRPr="00AE7659">
        <w:rPr>
          <w:rFonts w:ascii="Perpetua" w:hAnsi="Perpetua"/>
          <w:i/>
          <w:sz w:val="26"/>
          <w:szCs w:val="26"/>
        </w:rPr>
        <w:t>Edward II</w:t>
      </w:r>
      <w:r w:rsidR="00067285" w:rsidRPr="00AE7659">
        <w:rPr>
          <w:rFonts w:ascii="Perpetua" w:hAnsi="Perpetua"/>
          <w:sz w:val="26"/>
          <w:szCs w:val="26"/>
        </w:rPr>
        <w:t xml:space="preserve"> is defined</w:t>
      </w:r>
      <w:r w:rsidR="00067285">
        <w:rPr>
          <w:rFonts w:ascii="Perpetua" w:hAnsi="Perpetua"/>
          <w:sz w:val="26"/>
          <w:szCs w:val="26"/>
        </w:rPr>
        <w:t xml:space="preserve"> in terms of power</w:t>
      </w:r>
      <w:r w:rsidR="00535122">
        <w:rPr>
          <w:rFonts w:ascii="Perpetua" w:hAnsi="Perpetua"/>
          <w:sz w:val="26"/>
          <w:szCs w:val="26"/>
        </w:rPr>
        <w:t xml:space="preserve">, </w:t>
      </w:r>
      <w:r w:rsidR="00067285">
        <w:rPr>
          <w:rFonts w:ascii="Perpetua" w:hAnsi="Perpetua"/>
          <w:sz w:val="26"/>
          <w:szCs w:val="26"/>
        </w:rPr>
        <w:t xml:space="preserve">but also </w:t>
      </w:r>
      <w:r w:rsidR="00067285" w:rsidRPr="00AE7659">
        <w:rPr>
          <w:rFonts w:ascii="Perpetua" w:hAnsi="Perpetua"/>
          <w:sz w:val="26"/>
          <w:szCs w:val="26"/>
        </w:rPr>
        <w:t>ideologically</w:t>
      </w:r>
      <w:r w:rsidR="00067285">
        <w:rPr>
          <w:rFonts w:ascii="Perpetua" w:hAnsi="Perpetua"/>
          <w:sz w:val="26"/>
          <w:szCs w:val="26"/>
        </w:rPr>
        <w:t xml:space="preserve"> by the earls</w:t>
      </w:r>
      <w:r w:rsidR="00067285" w:rsidRPr="00AE7659">
        <w:rPr>
          <w:rFonts w:ascii="Perpetua" w:hAnsi="Perpetua"/>
          <w:sz w:val="26"/>
          <w:szCs w:val="26"/>
        </w:rPr>
        <w:t xml:space="preserve"> </w:t>
      </w:r>
      <w:r w:rsidR="00067285">
        <w:rPr>
          <w:rFonts w:ascii="Perpetua" w:hAnsi="Perpetua"/>
          <w:sz w:val="26"/>
          <w:szCs w:val="26"/>
        </w:rPr>
        <w:t>in terms of</w:t>
      </w:r>
      <w:r w:rsidR="00067285" w:rsidRPr="00AE7659">
        <w:rPr>
          <w:rFonts w:ascii="Perpetua" w:hAnsi="Perpetua"/>
          <w:sz w:val="26"/>
          <w:szCs w:val="26"/>
        </w:rPr>
        <w:t xml:space="preserve"> masculinity</w:t>
      </w:r>
      <w:r w:rsidR="00067285">
        <w:rPr>
          <w:rFonts w:ascii="Perpetua" w:hAnsi="Perpetua"/>
          <w:sz w:val="26"/>
          <w:szCs w:val="26"/>
        </w:rPr>
        <w:t>,</w:t>
      </w:r>
      <w:r w:rsidR="00067285" w:rsidRPr="00AE7659">
        <w:rPr>
          <w:rFonts w:ascii="Perpetua" w:hAnsi="Perpetua"/>
          <w:sz w:val="26"/>
          <w:szCs w:val="26"/>
        </w:rPr>
        <w:t xml:space="preserve"> includ</w:t>
      </w:r>
      <w:r w:rsidR="00067285">
        <w:rPr>
          <w:rFonts w:ascii="Perpetua" w:hAnsi="Perpetua"/>
          <w:sz w:val="26"/>
          <w:szCs w:val="26"/>
        </w:rPr>
        <w:t>ing virility and</w:t>
      </w:r>
      <w:r w:rsidR="00067285" w:rsidRPr="00AE7659">
        <w:rPr>
          <w:rFonts w:ascii="Perpetua" w:hAnsi="Perpetua"/>
          <w:sz w:val="26"/>
          <w:szCs w:val="26"/>
        </w:rPr>
        <w:t xml:space="preserve"> heterosexual desire.</w:t>
      </w:r>
      <w:r w:rsidR="009B5C96">
        <w:rPr>
          <w:rFonts w:ascii="Perpetua" w:hAnsi="Perpetua" w:cs="Adobe Devanagari"/>
          <w:spacing w:val="-3"/>
          <w:sz w:val="26"/>
          <w:szCs w:val="26"/>
          <w:lang w:val="en-GB"/>
        </w:rPr>
        <w:t xml:space="preserve"> </w:t>
      </w:r>
      <w:r w:rsidR="00067285">
        <w:rPr>
          <w:rFonts w:ascii="Perpetua" w:hAnsi="Perpetua" w:cs="Adobe Devanagari"/>
          <w:spacing w:val="-3"/>
          <w:sz w:val="26"/>
          <w:szCs w:val="26"/>
          <w:lang w:val="en-GB"/>
        </w:rPr>
        <w:t>T</w:t>
      </w:r>
      <w:r w:rsidR="009B5C96">
        <w:rPr>
          <w:rFonts w:ascii="Perpetua" w:hAnsi="Perpetua" w:cs="Adobe Devanagari"/>
          <w:spacing w:val="-3"/>
          <w:sz w:val="26"/>
          <w:szCs w:val="26"/>
          <w:lang w:val="en-GB"/>
        </w:rPr>
        <w:t xml:space="preserve">he identity of Edward depends upon his status as king but </w:t>
      </w:r>
      <w:r w:rsidR="002D0843">
        <w:rPr>
          <w:rFonts w:ascii="Perpetua" w:hAnsi="Perpetua" w:cs="Adobe Devanagari"/>
          <w:spacing w:val="-3"/>
          <w:sz w:val="26"/>
          <w:szCs w:val="26"/>
          <w:lang w:val="en-GB"/>
        </w:rPr>
        <w:t>he</w:t>
      </w:r>
      <w:r w:rsidR="009B5C96">
        <w:rPr>
          <w:rFonts w:ascii="Perpetua" w:hAnsi="Perpetua" w:cs="Adobe Devanagari"/>
          <w:spacing w:val="-3"/>
          <w:sz w:val="26"/>
          <w:szCs w:val="26"/>
          <w:lang w:val="en-GB"/>
        </w:rPr>
        <w:t xml:space="preserve"> </w:t>
      </w:r>
      <w:r w:rsidR="002D0843">
        <w:rPr>
          <w:rFonts w:ascii="Perpetua" w:hAnsi="Perpetua" w:cs="Adobe Devanagari"/>
          <w:spacing w:val="-3"/>
          <w:sz w:val="26"/>
          <w:szCs w:val="26"/>
          <w:lang w:val="en-GB"/>
        </w:rPr>
        <w:t xml:space="preserve">is </w:t>
      </w:r>
      <w:r w:rsidR="009B5C96">
        <w:rPr>
          <w:rFonts w:ascii="Perpetua" w:hAnsi="Perpetua" w:cs="Adobe Devanagari"/>
          <w:spacing w:val="-3"/>
          <w:sz w:val="26"/>
          <w:szCs w:val="26"/>
          <w:lang w:val="en-GB"/>
        </w:rPr>
        <w:t>also defined in relation to his pursuit of pleasure.</w:t>
      </w:r>
      <w:r w:rsidR="00067285" w:rsidRPr="00067285">
        <w:rPr>
          <w:rFonts w:ascii="Perpetua" w:hAnsi="Perpetua"/>
          <w:sz w:val="26"/>
          <w:szCs w:val="26"/>
        </w:rPr>
        <w:t xml:space="preserve"> </w:t>
      </w:r>
      <w:r w:rsidR="009B5C96">
        <w:rPr>
          <w:rFonts w:ascii="Perpetua" w:hAnsi="Perpetua" w:cs="Adobe Devanagari"/>
          <w:spacing w:val="-3"/>
          <w:sz w:val="26"/>
          <w:szCs w:val="26"/>
          <w:lang w:val="en-GB"/>
        </w:rPr>
        <w:t xml:space="preserve">Discerning the relative importance of </w:t>
      </w:r>
      <w:r w:rsidR="00067285">
        <w:rPr>
          <w:rFonts w:ascii="Perpetua" w:hAnsi="Perpetua" w:cs="Adobe Devanagari"/>
          <w:spacing w:val="-3"/>
          <w:sz w:val="26"/>
          <w:szCs w:val="26"/>
          <w:lang w:val="en-GB"/>
        </w:rPr>
        <w:t xml:space="preserve">his kingship and his sensuality </w:t>
      </w:r>
      <w:r w:rsidR="002D0843">
        <w:rPr>
          <w:rFonts w:ascii="Perpetua" w:hAnsi="Perpetua" w:cs="Adobe Devanagari"/>
          <w:spacing w:val="-3"/>
          <w:sz w:val="26"/>
          <w:szCs w:val="26"/>
          <w:lang w:val="en-GB"/>
        </w:rPr>
        <w:t>for his identity</w:t>
      </w:r>
      <w:r w:rsidR="009B5C96">
        <w:rPr>
          <w:rFonts w:ascii="Perpetua" w:hAnsi="Perpetua" w:cs="Adobe Devanagari"/>
          <w:spacing w:val="-3"/>
          <w:sz w:val="26"/>
          <w:szCs w:val="26"/>
          <w:lang w:val="en-GB"/>
        </w:rPr>
        <w:t xml:space="preserve"> is problematic because</w:t>
      </w:r>
      <w:r w:rsidR="002D0843">
        <w:rPr>
          <w:rFonts w:ascii="Perpetua" w:hAnsi="Perpetua" w:cs="Adobe Devanagari"/>
          <w:spacing w:val="-3"/>
          <w:sz w:val="26"/>
          <w:szCs w:val="26"/>
          <w:lang w:val="en-GB"/>
        </w:rPr>
        <w:t xml:space="preserve"> in Edward’s case they overlap considerably:</w:t>
      </w:r>
      <w:r w:rsidR="009B5C96">
        <w:rPr>
          <w:rFonts w:ascii="Perpetua" w:hAnsi="Perpetua" w:cs="Adobe Devanagari"/>
          <w:spacing w:val="-3"/>
          <w:sz w:val="26"/>
          <w:szCs w:val="26"/>
          <w:lang w:val="en-GB"/>
        </w:rPr>
        <w:t xml:space="preserve"> </w:t>
      </w:r>
      <w:r w:rsidR="009B5C96">
        <w:rPr>
          <w:rFonts w:ascii="Perpetua" w:hAnsi="Perpetua" w:cs="Adobe Devanagari"/>
          <w:spacing w:val="-3"/>
          <w:sz w:val="26"/>
          <w:szCs w:val="26"/>
          <w:lang w:val="en-GB"/>
        </w:rPr>
        <w:lastRenderedPageBreak/>
        <w:t>Edward’s attitude towards his kingship is shaped by its aesthetic and sensual aspects of ceremony</w:t>
      </w:r>
      <w:r w:rsidR="00E253E6">
        <w:rPr>
          <w:rFonts w:ascii="Perpetua" w:hAnsi="Perpetua" w:cs="Adobe Devanagari"/>
          <w:spacing w:val="-3"/>
          <w:sz w:val="26"/>
          <w:szCs w:val="26"/>
          <w:lang w:val="en-GB"/>
        </w:rPr>
        <w:t xml:space="preserve">, courtly music, </w:t>
      </w:r>
      <w:r w:rsidR="009B5C96">
        <w:rPr>
          <w:rFonts w:ascii="Perpetua" w:hAnsi="Perpetua" w:cs="Adobe Devanagari"/>
          <w:spacing w:val="-3"/>
          <w:sz w:val="26"/>
          <w:szCs w:val="26"/>
          <w:lang w:val="en-GB"/>
        </w:rPr>
        <w:t>and luxury.</w:t>
      </w:r>
      <w:r w:rsidR="00871460">
        <w:rPr>
          <w:rFonts w:ascii="Perpetua" w:hAnsi="Perpetua" w:cs="Adobe Devanagari"/>
          <w:spacing w:val="-3"/>
          <w:sz w:val="26"/>
          <w:szCs w:val="26"/>
          <w:lang w:val="en-GB"/>
        </w:rPr>
        <w:t xml:space="preserve"> Even incarcerated in Killingworth Castle, Edward clings to the sensuousness and artifice of kingship, perhaps especially now that the substance of the name of ‘king’ has been forcibly removed from him by the revolt of Mortimer Junior. Read carefully and consider V.i.1-82.</w:t>
      </w:r>
    </w:p>
    <w:p w:rsidR="002B169D" w:rsidRDefault="002B169D"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5A529A" w:rsidRDefault="005A529A" w:rsidP="00281AB0">
      <w:pPr>
        <w:tabs>
          <w:tab w:val="left" w:pos="-720"/>
          <w:tab w:val="left" w:pos="0"/>
        </w:tabs>
        <w:suppressAutoHyphens/>
        <w:snapToGrid/>
        <w:spacing w:line="276" w:lineRule="auto"/>
        <w:rPr>
          <w:rFonts w:ascii="Perpetua" w:hAnsi="Perpetua"/>
          <w:sz w:val="26"/>
          <w:szCs w:val="26"/>
        </w:rPr>
      </w:pPr>
      <w:r>
        <w:rPr>
          <w:rFonts w:ascii="Perpetua" w:hAnsi="Perpetua" w:cs="Adobe Devanagari"/>
          <w:spacing w:val="-3"/>
          <w:sz w:val="26"/>
          <w:szCs w:val="26"/>
          <w:lang w:val="en-GB"/>
        </w:rPr>
        <w:t>To explore a</w:t>
      </w:r>
      <w:r w:rsidRPr="005A529A">
        <w:rPr>
          <w:rFonts w:ascii="Perpetua" w:hAnsi="Perpetua" w:cs="Adobe Devanagari"/>
          <w:spacing w:val="-3"/>
          <w:sz w:val="26"/>
          <w:szCs w:val="26"/>
          <w:lang w:val="en-GB"/>
        </w:rPr>
        <w:t xml:space="preserve">nother example: </w:t>
      </w:r>
      <w:r>
        <w:rPr>
          <w:rFonts w:ascii="Perpetua" w:hAnsi="Perpetua" w:cs="Adobe Devanagari"/>
          <w:spacing w:val="-3"/>
          <w:sz w:val="26"/>
          <w:szCs w:val="26"/>
          <w:lang w:val="en-GB"/>
        </w:rPr>
        <w:t xml:space="preserve">Does </w:t>
      </w:r>
      <w:proofErr w:type="spellStart"/>
      <w:r w:rsidRPr="005A529A">
        <w:rPr>
          <w:rFonts w:ascii="Perpetua" w:hAnsi="Perpetua"/>
          <w:sz w:val="26"/>
          <w:szCs w:val="26"/>
        </w:rPr>
        <w:t>Gaveston’s</w:t>
      </w:r>
      <w:proofErr w:type="spellEnd"/>
      <w:r w:rsidRPr="005A529A">
        <w:rPr>
          <w:rFonts w:ascii="Perpetua" w:hAnsi="Perpetua"/>
          <w:sz w:val="26"/>
          <w:szCs w:val="26"/>
        </w:rPr>
        <w:t xml:space="preserve"> desire for power, status and wealth construct his desire for Edward?</w:t>
      </w:r>
      <w:r w:rsidR="00E253E6">
        <w:rPr>
          <w:rFonts w:ascii="Perpetua" w:hAnsi="Perpetua"/>
          <w:sz w:val="26"/>
          <w:szCs w:val="26"/>
        </w:rPr>
        <w:t xml:space="preserve"> Consider carefully </w:t>
      </w:r>
      <w:proofErr w:type="spellStart"/>
      <w:r w:rsidR="00E253E6">
        <w:rPr>
          <w:rFonts w:ascii="Perpetua" w:hAnsi="Perpetua"/>
          <w:sz w:val="26"/>
          <w:szCs w:val="26"/>
        </w:rPr>
        <w:t>Gaveston’s</w:t>
      </w:r>
      <w:proofErr w:type="spellEnd"/>
      <w:r w:rsidR="00E253E6">
        <w:rPr>
          <w:rFonts w:ascii="Perpetua" w:hAnsi="Perpetua"/>
          <w:sz w:val="26"/>
          <w:szCs w:val="26"/>
        </w:rPr>
        <w:t xml:space="preserve"> soliloquy: I.i.1-72.</w:t>
      </w:r>
      <w:r w:rsidR="00043EC5">
        <w:rPr>
          <w:rFonts w:ascii="Perpetua" w:hAnsi="Perpetua"/>
          <w:sz w:val="26"/>
          <w:szCs w:val="26"/>
        </w:rPr>
        <w:t xml:space="preserve"> According to </w:t>
      </w:r>
      <w:proofErr w:type="spellStart"/>
      <w:r w:rsidR="00043EC5">
        <w:rPr>
          <w:rFonts w:ascii="Perpetua" w:hAnsi="Perpetua"/>
          <w:sz w:val="26"/>
          <w:szCs w:val="26"/>
        </w:rPr>
        <w:t>Bevington</w:t>
      </w:r>
      <w:proofErr w:type="spellEnd"/>
      <w:r w:rsidR="00043EC5">
        <w:rPr>
          <w:rFonts w:ascii="Perpetua" w:hAnsi="Perpetua"/>
          <w:sz w:val="26"/>
          <w:szCs w:val="26"/>
        </w:rPr>
        <w:t xml:space="preserve"> and Rasmussen, ‘</w:t>
      </w:r>
      <w:proofErr w:type="spellStart"/>
      <w:r w:rsidR="00043EC5">
        <w:rPr>
          <w:rFonts w:ascii="Perpetua" w:hAnsi="Perpetua"/>
          <w:sz w:val="26"/>
          <w:szCs w:val="26"/>
        </w:rPr>
        <w:t>Gaveston</w:t>
      </w:r>
      <w:proofErr w:type="spellEnd"/>
      <w:r w:rsidR="00043EC5">
        <w:rPr>
          <w:rFonts w:ascii="Perpetua" w:hAnsi="Perpetua"/>
          <w:sz w:val="26"/>
          <w:szCs w:val="26"/>
        </w:rPr>
        <w:t xml:space="preserve"> speaks convincingly as one who is prepared to die in the King’s arms, setting the world at enmity in the enjoyment of their love (I.I.1-15). At the same time, </w:t>
      </w:r>
      <w:proofErr w:type="spellStart"/>
      <w:r w:rsidR="00043EC5">
        <w:rPr>
          <w:rFonts w:ascii="Perpetua" w:hAnsi="Perpetua"/>
          <w:sz w:val="26"/>
          <w:szCs w:val="26"/>
        </w:rPr>
        <w:t>Gaveston</w:t>
      </w:r>
      <w:proofErr w:type="spellEnd"/>
      <w:r w:rsidR="00043EC5">
        <w:rPr>
          <w:rFonts w:ascii="Perpetua" w:hAnsi="Perpetua"/>
          <w:sz w:val="26"/>
          <w:szCs w:val="26"/>
        </w:rPr>
        <w:t xml:space="preserve"> makes no attempt to conceal from us, in soliloquy, the manipulative nature of his scheme to “draw the pliant king which way I please”.’</w:t>
      </w:r>
      <w:r w:rsidR="00043EC5">
        <w:rPr>
          <w:rStyle w:val="FootnoteReference"/>
          <w:rFonts w:ascii="Perpetua" w:hAnsi="Perpetua"/>
          <w:sz w:val="26"/>
          <w:szCs w:val="26"/>
        </w:rPr>
        <w:footnoteReference w:id="16"/>
      </w:r>
      <w:r w:rsidR="0033174F">
        <w:rPr>
          <w:rFonts w:ascii="Perpetua" w:hAnsi="Perpetua"/>
          <w:sz w:val="26"/>
          <w:szCs w:val="26"/>
        </w:rPr>
        <w:t xml:space="preserve"> They argue: ‘</w:t>
      </w:r>
      <w:proofErr w:type="spellStart"/>
      <w:r w:rsidR="0033174F">
        <w:rPr>
          <w:rFonts w:ascii="Perpetua" w:hAnsi="Perpetua"/>
          <w:sz w:val="26"/>
          <w:szCs w:val="26"/>
        </w:rPr>
        <w:t>Gaveston</w:t>
      </w:r>
      <w:proofErr w:type="spellEnd"/>
      <w:r w:rsidR="0033174F">
        <w:rPr>
          <w:rFonts w:ascii="Perpetua" w:hAnsi="Perpetua"/>
          <w:sz w:val="26"/>
          <w:szCs w:val="26"/>
        </w:rPr>
        <w:t xml:space="preserve"> will </w:t>
      </w:r>
      <w:proofErr w:type="spellStart"/>
      <w:r w:rsidR="0033174F">
        <w:rPr>
          <w:rFonts w:ascii="Perpetua" w:hAnsi="Perpetua"/>
          <w:sz w:val="26"/>
          <w:szCs w:val="26"/>
        </w:rPr>
        <w:t>practise</w:t>
      </w:r>
      <w:proofErr w:type="spellEnd"/>
      <w:r w:rsidR="0033174F">
        <w:rPr>
          <w:rFonts w:ascii="Perpetua" w:hAnsi="Perpetua"/>
          <w:sz w:val="26"/>
          <w:szCs w:val="26"/>
        </w:rPr>
        <w:t xml:space="preserve"> upon the king’s homosexuality for his own advantage. Whether </w:t>
      </w:r>
      <w:proofErr w:type="spellStart"/>
      <w:r w:rsidR="0033174F">
        <w:rPr>
          <w:rFonts w:ascii="Perpetua" w:hAnsi="Perpetua"/>
          <w:sz w:val="26"/>
          <w:szCs w:val="26"/>
        </w:rPr>
        <w:t>Gaveston</w:t>
      </w:r>
      <w:proofErr w:type="spellEnd"/>
      <w:r w:rsidR="0033174F">
        <w:rPr>
          <w:rFonts w:ascii="Perpetua" w:hAnsi="Perpetua"/>
          <w:sz w:val="26"/>
          <w:szCs w:val="26"/>
        </w:rPr>
        <w:t xml:space="preserve"> enjoys sleeping with the king is perhaps beside the point.’</w:t>
      </w:r>
      <w:r w:rsidR="0033174F">
        <w:rPr>
          <w:rStyle w:val="FootnoteReference"/>
          <w:rFonts w:ascii="Perpetua" w:hAnsi="Perpetua"/>
          <w:sz w:val="26"/>
          <w:szCs w:val="26"/>
        </w:rPr>
        <w:footnoteReference w:id="17"/>
      </w:r>
    </w:p>
    <w:p w:rsidR="00A63691" w:rsidRDefault="00A63691" w:rsidP="00281AB0">
      <w:pPr>
        <w:tabs>
          <w:tab w:val="left" w:pos="-720"/>
          <w:tab w:val="left" w:pos="0"/>
        </w:tabs>
        <w:suppressAutoHyphens/>
        <w:snapToGrid/>
        <w:spacing w:line="276" w:lineRule="auto"/>
        <w:rPr>
          <w:rFonts w:ascii="Perpetua" w:hAnsi="Perpetua"/>
          <w:sz w:val="26"/>
          <w:szCs w:val="26"/>
        </w:rPr>
      </w:pPr>
    </w:p>
    <w:p w:rsidR="00A63691" w:rsidRDefault="00A63691"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sz w:val="26"/>
          <w:szCs w:val="26"/>
        </w:rPr>
        <w:t>‘Mortimer’s solicitude for Queen Isabel soon turns out to be a sexual and political interest in what this attractive and neglected consort can do for him as partner in a bid for the throne.’</w:t>
      </w:r>
      <w:r>
        <w:rPr>
          <w:rStyle w:val="FootnoteReference"/>
          <w:rFonts w:ascii="Perpetua" w:hAnsi="Perpetua"/>
          <w:sz w:val="26"/>
          <w:szCs w:val="26"/>
        </w:rPr>
        <w:footnoteReference w:id="18"/>
      </w:r>
    </w:p>
    <w:p w:rsidR="005A529A" w:rsidRPr="00AE7659" w:rsidRDefault="005A529A"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9B5C96" w:rsidRDefault="00AE7659" w:rsidP="00281AB0">
      <w:pPr>
        <w:tabs>
          <w:tab w:val="left" w:pos="-720"/>
          <w:tab w:val="left" w:pos="0"/>
        </w:tabs>
        <w:suppressAutoHyphens/>
        <w:snapToGrid/>
        <w:spacing w:line="276" w:lineRule="auto"/>
        <w:rPr>
          <w:rFonts w:ascii="Perpetua" w:hAnsi="Perpetua"/>
          <w:sz w:val="26"/>
          <w:szCs w:val="26"/>
        </w:rPr>
      </w:pPr>
      <w:r w:rsidRPr="00AE7659">
        <w:rPr>
          <w:rFonts w:ascii="Perpetua" w:hAnsi="Perpetua"/>
          <w:sz w:val="26"/>
          <w:szCs w:val="26"/>
        </w:rPr>
        <w:t>Speech in the play rarely reveals private emotion or feeling reliably</w:t>
      </w:r>
      <w:r w:rsidR="001D3B0F">
        <w:rPr>
          <w:rFonts w:ascii="Perpetua" w:hAnsi="Perpetua"/>
          <w:sz w:val="26"/>
          <w:szCs w:val="26"/>
        </w:rPr>
        <w:t>,</w:t>
      </w:r>
      <w:r w:rsidRPr="00AE7659">
        <w:rPr>
          <w:rFonts w:ascii="Perpetua" w:hAnsi="Perpetua"/>
          <w:sz w:val="26"/>
          <w:szCs w:val="26"/>
        </w:rPr>
        <w:t xml:space="preserve"> so there is a difficulty dis</w:t>
      </w:r>
      <w:r w:rsidR="00067285">
        <w:rPr>
          <w:rFonts w:ascii="Perpetua" w:hAnsi="Perpetua"/>
          <w:sz w:val="26"/>
          <w:szCs w:val="26"/>
        </w:rPr>
        <w:t>cern</w:t>
      </w:r>
      <w:r w:rsidRPr="00AE7659">
        <w:rPr>
          <w:rFonts w:ascii="Perpetua" w:hAnsi="Perpetua"/>
          <w:sz w:val="26"/>
          <w:szCs w:val="26"/>
        </w:rPr>
        <w:t xml:space="preserve">ing actual intention </w:t>
      </w:r>
      <w:r w:rsidR="009B5C96">
        <w:rPr>
          <w:rFonts w:ascii="Perpetua" w:hAnsi="Perpetua"/>
          <w:sz w:val="26"/>
          <w:szCs w:val="26"/>
        </w:rPr>
        <w:t xml:space="preserve">or </w:t>
      </w:r>
      <w:r w:rsidRPr="00AE7659">
        <w:rPr>
          <w:rFonts w:ascii="Perpetua" w:hAnsi="Perpetua"/>
          <w:sz w:val="26"/>
          <w:szCs w:val="26"/>
        </w:rPr>
        <w:t>desire</w:t>
      </w:r>
      <w:r w:rsidR="00067285">
        <w:rPr>
          <w:rFonts w:ascii="Perpetua" w:hAnsi="Perpetua"/>
          <w:sz w:val="26"/>
          <w:szCs w:val="26"/>
        </w:rPr>
        <w:t xml:space="preserve">, </w:t>
      </w:r>
      <w:r w:rsidRPr="00AE7659">
        <w:rPr>
          <w:rFonts w:ascii="Perpetua" w:hAnsi="Perpetua"/>
          <w:sz w:val="26"/>
          <w:szCs w:val="26"/>
        </w:rPr>
        <w:t>which may be disguised</w:t>
      </w:r>
      <w:r w:rsidR="00067285">
        <w:rPr>
          <w:rFonts w:ascii="Perpetua" w:hAnsi="Perpetua"/>
          <w:sz w:val="26"/>
          <w:szCs w:val="26"/>
        </w:rPr>
        <w:t xml:space="preserve"> by</w:t>
      </w:r>
      <w:r w:rsidRPr="00AE7659">
        <w:rPr>
          <w:rFonts w:ascii="Perpetua" w:hAnsi="Perpetua"/>
          <w:sz w:val="26"/>
          <w:szCs w:val="26"/>
        </w:rPr>
        <w:t xml:space="preserve"> apparent intenti</w:t>
      </w:r>
      <w:r w:rsidRPr="00067285">
        <w:rPr>
          <w:rFonts w:ascii="Perpetua" w:hAnsi="Perpetua"/>
          <w:sz w:val="26"/>
          <w:szCs w:val="26"/>
        </w:rPr>
        <w:t xml:space="preserve">on </w:t>
      </w:r>
      <w:r w:rsidR="009B5C96" w:rsidRPr="00067285">
        <w:rPr>
          <w:rFonts w:ascii="Perpetua" w:hAnsi="Perpetua"/>
          <w:sz w:val="26"/>
          <w:szCs w:val="26"/>
        </w:rPr>
        <w:t>or</w:t>
      </w:r>
      <w:r w:rsidRPr="00067285">
        <w:rPr>
          <w:rFonts w:ascii="Perpetua" w:hAnsi="Perpetua"/>
          <w:sz w:val="26"/>
          <w:szCs w:val="26"/>
        </w:rPr>
        <w:t xml:space="preserve"> desire.</w:t>
      </w:r>
      <w:r w:rsidR="00067285" w:rsidRPr="00067285">
        <w:rPr>
          <w:rFonts w:ascii="Perpetua" w:hAnsi="Perpetua"/>
          <w:sz w:val="26"/>
          <w:szCs w:val="26"/>
        </w:rPr>
        <w:t xml:space="preserve"> Edward’s desire for Isabella seems </w:t>
      </w:r>
      <w:r w:rsidR="00067285">
        <w:rPr>
          <w:rFonts w:ascii="Perpetua" w:hAnsi="Perpetua"/>
          <w:sz w:val="26"/>
          <w:szCs w:val="26"/>
        </w:rPr>
        <w:t>t</w:t>
      </w:r>
      <w:r w:rsidR="00067285" w:rsidRPr="00067285">
        <w:rPr>
          <w:rFonts w:ascii="Perpetua" w:hAnsi="Perpetua"/>
          <w:sz w:val="26"/>
          <w:szCs w:val="26"/>
        </w:rPr>
        <w:t>o be prof</w:t>
      </w:r>
      <w:r w:rsidR="00067285">
        <w:rPr>
          <w:rFonts w:ascii="Perpetua" w:hAnsi="Perpetua"/>
          <w:sz w:val="26"/>
          <w:szCs w:val="26"/>
        </w:rPr>
        <w:t>f</w:t>
      </w:r>
      <w:r w:rsidR="00067285" w:rsidRPr="00067285">
        <w:rPr>
          <w:rFonts w:ascii="Perpetua" w:hAnsi="Perpetua"/>
          <w:sz w:val="26"/>
          <w:szCs w:val="26"/>
        </w:rPr>
        <w:t>ered with political conditions attached, such as her ability to reconcile the rebellious lords</w:t>
      </w:r>
      <w:r w:rsidR="00535122">
        <w:rPr>
          <w:rFonts w:ascii="Perpetua" w:hAnsi="Perpetua"/>
          <w:sz w:val="26"/>
          <w:szCs w:val="26"/>
        </w:rPr>
        <w:t xml:space="preserve"> (I.iv.156-57)</w:t>
      </w:r>
      <w:r w:rsidR="007550FE">
        <w:rPr>
          <w:rFonts w:ascii="Perpetua" w:hAnsi="Perpetua"/>
          <w:sz w:val="26"/>
          <w:szCs w:val="26"/>
        </w:rPr>
        <w:t>.</w:t>
      </w:r>
    </w:p>
    <w:p w:rsidR="009B5C96" w:rsidRDefault="009B5C96" w:rsidP="00281AB0">
      <w:pPr>
        <w:tabs>
          <w:tab w:val="left" w:pos="-720"/>
          <w:tab w:val="left" w:pos="0"/>
        </w:tabs>
        <w:suppressAutoHyphens/>
        <w:snapToGrid/>
        <w:spacing w:line="276" w:lineRule="auto"/>
        <w:rPr>
          <w:rFonts w:ascii="Perpetua" w:hAnsi="Perpetua"/>
          <w:sz w:val="26"/>
          <w:szCs w:val="26"/>
        </w:rPr>
      </w:pPr>
    </w:p>
    <w:p w:rsidR="0031583B" w:rsidRDefault="001D3B0F"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Elizabethan cultural attitudes towards masculinity tended to regard it as transforming feeling into action, desire into power.</w:t>
      </w:r>
      <w:r w:rsidR="0031583B">
        <w:rPr>
          <w:rFonts w:ascii="Perpetua" w:hAnsi="Perpetua"/>
          <w:sz w:val="26"/>
          <w:szCs w:val="26"/>
        </w:rPr>
        <w:t xml:space="preserve"> The ideology of manliness is absorbed and becomes subjectivity.</w:t>
      </w:r>
      <w:r>
        <w:rPr>
          <w:rFonts w:ascii="Perpetua" w:hAnsi="Perpetua"/>
          <w:sz w:val="26"/>
          <w:szCs w:val="26"/>
        </w:rPr>
        <w:t xml:space="preserve"> The manliness of the earls is demonstrated on the several occasions they are quick to draw swords upon the </w:t>
      </w:r>
      <w:proofErr w:type="spellStart"/>
      <w:r>
        <w:rPr>
          <w:rFonts w:ascii="Perpetua" w:hAnsi="Perpetua"/>
          <w:sz w:val="26"/>
          <w:szCs w:val="26"/>
        </w:rPr>
        <w:t>honourable</w:t>
      </w:r>
      <w:proofErr w:type="spellEnd"/>
      <w:r>
        <w:rPr>
          <w:rFonts w:ascii="Perpetua" w:hAnsi="Perpetua"/>
          <w:sz w:val="26"/>
          <w:szCs w:val="26"/>
        </w:rPr>
        <w:t xml:space="preserve"> impulse of their righteous feeling. By contrast, Edward’s lack of a sense of stately responsibility, his lack of gravity in dispensing titles, and his failure to meet the demands of foreign war, disqualify him from the ideological complex</w:t>
      </w:r>
      <w:r w:rsidR="0031583B">
        <w:rPr>
          <w:rFonts w:ascii="Perpetua" w:hAnsi="Perpetua"/>
          <w:sz w:val="26"/>
          <w:szCs w:val="26"/>
        </w:rPr>
        <w:t xml:space="preserve"> of masculinity and kingship. </w:t>
      </w:r>
    </w:p>
    <w:p w:rsidR="0031583B" w:rsidRDefault="0031583B" w:rsidP="00281AB0">
      <w:pPr>
        <w:tabs>
          <w:tab w:val="left" w:pos="-720"/>
          <w:tab w:val="left" w:pos="0"/>
        </w:tabs>
        <w:suppressAutoHyphens/>
        <w:snapToGrid/>
        <w:spacing w:line="276" w:lineRule="auto"/>
        <w:rPr>
          <w:rFonts w:ascii="Perpetua" w:hAnsi="Perpetua"/>
          <w:sz w:val="26"/>
          <w:szCs w:val="26"/>
        </w:rPr>
      </w:pPr>
    </w:p>
    <w:p w:rsidR="002F3968" w:rsidRDefault="002D0843"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 xml:space="preserve">Discerning genuine emotion, </w:t>
      </w:r>
      <w:r w:rsidR="002B169D">
        <w:rPr>
          <w:rFonts w:ascii="Perpetua" w:hAnsi="Perpetua"/>
          <w:sz w:val="26"/>
          <w:szCs w:val="26"/>
        </w:rPr>
        <w:t xml:space="preserve">intention, or desire is </w:t>
      </w:r>
      <w:r>
        <w:rPr>
          <w:rFonts w:ascii="Perpetua" w:hAnsi="Perpetua"/>
          <w:sz w:val="26"/>
          <w:szCs w:val="26"/>
        </w:rPr>
        <w:t>complicated by t</w:t>
      </w:r>
      <w:r w:rsidR="009B5C96" w:rsidRPr="009B5C96">
        <w:rPr>
          <w:rFonts w:ascii="Perpetua" w:hAnsi="Perpetua"/>
          <w:sz w:val="26"/>
          <w:szCs w:val="26"/>
        </w:rPr>
        <w:t>he language of the play</w:t>
      </w:r>
      <w:r>
        <w:rPr>
          <w:rFonts w:ascii="Perpetua" w:hAnsi="Perpetua"/>
          <w:sz w:val="26"/>
          <w:szCs w:val="26"/>
        </w:rPr>
        <w:t xml:space="preserve"> which</w:t>
      </w:r>
      <w:r w:rsidR="009B5C96" w:rsidRPr="009B5C96">
        <w:rPr>
          <w:rFonts w:ascii="Perpetua" w:hAnsi="Perpetua"/>
          <w:sz w:val="26"/>
          <w:szCs w:val="26"/>
        </w:rPr>
        <w:t xml:space="preserve"> for the most part eschews poetry and</w:t>
      </w:r>
      <w:r>
        <w:rPr>
          <w:rFonts w:ascii="Perpetua" w:hAnsi="Perpetua"/>
          <w:sz w:val="26"/>
          <w:szCs w:val="26"/>
        </w:rPr>
        <w:t xml:space="preserve"> tends to</w:t>
      </w:r>
      <w:r w:rsidR="009B5C96" w:rsidRPr="009B5C96">
        <w:rPr>
          <w:rFonts w:ascii="Perpetua" w:hAnsi="Perpetua"/>
          <w:sz w:val="26"/>
          <w:szCs w:val="26"/>
        </w:rPr>
        <w:t xml:space="preserve"> </w:t>
      </w:r>
      <w:r>
        <w:rPr>
          <w:rFonts w:ascii="Perpetua" w:hAnsi="Perpetua"/>
          <w:sz w:val="26"/>
          <w:szCs w:val="26"/>
        </w:rPr>
        <w:t xml:space="preserve">express a relatively narrow range of </w:t>
      </w:r>
      <w:r w:rsidR="009B5C96" w:rsidRPr="009B5C96">
        <w:rPr>
          <w:rFonts w:ascii="Perpetua" w:hAnsi="Perpetua"/>
          <w:sz w:val="26"/>
          <w:szCs w:val="26"/>
        </w:rPr>
        <w:t>emotion</w:t>
      </w:r>
      <w:r>
        <w:rPr>
          <w:rFonts w:ascii="Perpetua" w:hAnsi="Perpetua"/>
          <w:sz w:val="26"/>
          <w:szCs w:val="26"/>
        </w:rPr>
        <w:t>al registers</w:t>
      </w:r>
      <w:r w:rsidR="009B5C96" w:rsidRPr="009B5C96">
        <w:rPr>
          <w:rFonts w:ascii="Perpetua" w:hAnsi="Perpetua"/>
          <w:sz w:val="26"/>
          <w:szCs w:val="26"/>
        </w:rPr>
        <w:t>.</w:t>
      </w:r>
      <w:r w:rsidR="002F3968">
        <w:rPr>
          <w:rFonts w:ascii="Perpetua" w:hAnsi="Perpetua"/>
          <w:sz w:val="26"/>
          <w:szCs w:val="26"/>
        </w:rPr>
        <w:t xml:space="preserve"> One of the functions of ideology is to make that which is constructed – an image-concept or a deep-seated idea that gives rise to specific attitudes – appear as though it is natural. Speech that is stylistically direct, straightforward, apparently ‘</w:t>
      </w:r>
      <w:proofErr w:type="spellStart"/>
      <w:r w:rsidR="002F3968">
        <w:rPr>
          <w:rFonts w:ascii="Perpetua" w:hAnsi="Perpetua"/>
          <w:sz w:val="26"/>
          <w:szCs w:val="26"/>
        </w:rPr>
        <w:t>unstylised</w:t>
      </w:r>
      <w:proofErr w:type="spellEnd"/>
      <w:r w:rsidR="002F3968">
        <w:rPr>
          <w:rFonts w:ascii="Perpetua" w:hAnsi="Perpetua"/>
          <w:sz w:val="26"/>
          <w:szCs w:val="26"/>
        </w:rPr>
        <w:t>’,</w:t>
      </w:r>
      <w:r w:rsidR="003C6AD5">
        <w:rPr>
          <w:rFonts w:ascii="Perpetua" w:hAnsi="Perpetua"/>
          <w:sz w:val="26"/>
          <w:szCs w:val="26"/>
        </w:rPr>
        <w:t xml:space="preserve"> can be most effective at concealing the operation of ideology. Take, for example, the speech of Lancaster to </w:t>
      </w:r>
      <w:r w:rsidR="003C6AD5">
        <w:rPr>
          <w:rFonts w:ascii="Perpetua" w:hAnsi="Perpetua"/>
          <w:sz w:val="26"/>
          <w:szCs w:val="26"/>
        </w:rPr>
        <w:lastRenderedPageBreak/>
        <w:t xml:space="preserve">Edward: I.i.98-100. Consider all the social </w:t>
      </w:r>
      <w:proofErr w:type="spellStart"/>
      <w:r w:rsidR="003C6AD5">
        <w:rPr>
          <w:rFonts w:ascii="Perpetua" w:hAnsi="Perpetua"/>
          <w:sz w:val="26"/>
          <w:szCs w:val="26"/>
        </w:rPr>
        <w:t>constructedness</w:t>
      </w:r>
      <w:proofErr w:type="spellEnd"/>
      <w:r w:rsidR="003C6AD5">
        <w:rPr>
          <w:rFonts w:ascii="Perpetua" w:hAnsi="Perpetua"/>
          <w:sz w:val="26"/>
          <w:szCs w:val="26"/>
        </w:rPr>
        <w:t xml:space="preserve"> that this appeal to the naturalness of the relationship of the peers to their king does not make explicit.</w:t>
      </w:r>
    </w:p>
    <w:p w:rsidR="002F3968" w:rsidRDefault="002F3968" w:rsidP="00281AB0">
      <w:pPr>
        <w:tabs>
          <w:tab w:val="left" w:pos="-720"/>
          <w:tab w:val="left" w:pos="0"/>
        </w:tabs>
        <w:suppressAutoHyphens/>
        <w:snapToGrid/>
        <w:spacing w:line="276" w:lineRule="auto"/>
        <w:rPr>
          <w:rFonts w:ascii="Perpetua" w:hAnsi="Perpetua"/>
          <w:sz w:val="26"/>
          <w:szCs w:val="26"/>
        </w:rPr>
      </w:pPr>
    </w:p>
    <w:p w:rsidR="00381EA2" w:rsidRDefault="00F1161A"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Isabella, however,</w:t>
      </w:r>
      <w:r w:rsidRPr="00381EA2">
        <w:rPr>
          <w:rFonts w:ascii="Perpetua" w:hAnsi="Perpetua"/>
          <w:sz w:val="26"/>
          <w:szCs w:val="26"/>
        </w:rPr>
        <w:t xml:space="preserve"> is repeatedly reproved by Mortimer for her ‘sad complaint’</w:t>
      </w:r>
      <w:r w:rsidR="003C6AD5">
        <w:rPr>
          <w:rFonts w:ascii="Perpetua" w:hAnsi="Perpetua"/>
          <w:sz w:val="26"/>
          <w:szCs w:val="26"/>
        </w:rPr>
        <w:t xml:space="preserve"> (IV.v.75)</w:t>
      </w:r>
      <w:r w:rsidRPr="00381EA2">
        <w:rPr>
          <w:rFonts w:ascii="Perpetua" w:hAnsi="Perpetua"/>
          <w:sz w:val="26"/>
          <w:szCs w:val="26"/>
        </w:rPr>
        <w:t xml:space="preserve">. </w:t>
      </w:r>
      <w:r w:rsidR="00381EA2" w:rsidRPr="00381EA2">
        <w:rPr>
          <w:rFonts w:ascii="Perpetua" w:hAnsi="Perpetua"/>
          <w:sz w:val="26"/>
          <w:szCs w:val="26"/>
        </w:rPr>
        <w:t>The speech</w:t>
      </w:r>
      <w:r>
        <w:rPr>
          <w:rFonts w:ascii="Perpetua" w:hAnsi="Perpetua"/>
          <w:sz w:val="26"/>
          <w:szCs w:val="26"/>
        </w:rPr>
        <w:t>es</w:t>
      </w:r>
      <w:r w:rsidR="00381EA2" w:rsidRPr="00381EA2">
        <w:rPr>
          <w:rFonts w:ascii="Perpetua" w:hAnsi="Perpetua"/>
          <w:sz w:val="26"/>
          <w:szCs w:val="26"/>
        </w:rPr>
        <w:t xml:space="preserve"> of Isabella </w:t>
      </w:r>
      <w:r>
        <w:rPr>
          <w:rFonts w:ascii="Perpetua" w:hAnsi="Perpetua"/>
          <w:sz w:val="26"/>
          <w:szCs w:val="26"/>
        </w:rPr>
        <w:t>are</w:t>
      </w:r>
      <w:r w:rsidR="00381EA2" w:rsidRPr="00381EA2">
        <w:rPr>
          <w:rFonts w:ascii="Perpetua" w:hAnsi="Perpetua"/>
          <w:sz w:val="26"/>
          <w:szCs w:val="26"/>
        </w:rPr>
        <w:t xml:space="preserve"> singularly poetic and metaphoric</w:t>
      </w:r>
      <w:r w:rsidR="003C6AD5">
        <w:rPr>
          <w:rFonts w:ascii="Perpetua" w:hAnsi="Perpetua"/>
          <w:sz w:val="26"/>
          <w:szCs w:val="26"/>
        </w:rPr>
        <w:t>al</w:t>
      </w:r>
      <w:r w:rsidR="00381EA2">
        <w:rPr>
          <w:rFonts w:ascii="Perpetua" w:hAnsi="Perpetua"/>
          <w:sz w:val="26"/>
          <w:szCs w:val="26"/>
        </w:rPr>
        <w:t xml:space="preserve"> and</w:t>
      </w:r>
      <w:r>
        <w:rPr>
          <w:rFonts w:ascii="Perpetua" w:hAnsi="Perpetua"/>
          <w:sz w:val="26"/>
          <w:szCs w:val="26"/>
        </w:rPr>
        <w:t xml:space="preserve"> appear to</w:t>
      </w:r>
      <w:r w:rsidR="00381EA2">
        <w:rPr>
          <w:rFonts w:ascii="Perpetua" w:hAnsi="Perpetua"/>
          <w:sz w:val="26"/>
          <w:szCs w:val="26"/>
        </w:rPr>
        <w:t xml:space="preserve"> express</w:t>
      </w:r>
      <w:r w:rsidR="00381EA2" w:rsidRPr="00381EA2">
        <w:rPr>
          <w:rFonts w:ascii="Perpetua" w:hAnsi="Perpetua"/>
          <w:sz w:val="26"/>
          <w:szCs w:val="26"/>
        </w:rPr>
        <w:t xml:space="preserve"> her subjective experience of having her sexuality</w:t>
      </w:r>
      <w:r w:rsidR="00381EA2">
        <w:rPr>
          <w:rFonts w:ascii="Perpetua" w:hAnsi="Perpetua"/>
          <w:sz w:val="26"/>
          <w:szCs w:val="26"/>
        </w:rPr>
        <w:t xml:space="preserve"> and desire for intimacy</w:t>
      </w:r>
      <w:r w:rsidR="00381EA2" w:rsidRPr="00381EA2">
        <w:rPr>
          <w:rFonts w:ascii="Perpetua" w:hAnsi="Perpetua"/>
          <w:sz w:val="26"/>
          <w:szCs w:val="26"/>
        </w:rPr>
        <w:t xml:space="preserve"> rejected by Edward</w:t>
      </w:r>
      <w:r w:rsidR="00556344">
        <w:rPr>
          <w:rFonts w:ascii="Perpetua" w:hAnsi="Perpetua"/>
          <w:sz w:val="26"/>
          <w:szCs w:val="26"/>
        </w:rPr>
        <w:t xml:space="preserve"> (II.iv.15-21)</w:t>
      </w:r>
      <w:r>
        <w:rPr>
          <w:rFonts w:ascii="Perpetua" w:hAnsi="Perpetua"/>
          <w:sz w:val="26"/>
          <w:szCs w:val="26"/>
        </w:rPr>
        <w:t>;</w:t>
      </w:r>
      <w:r w:rsidR="00381EA2" w:rsidRPr="00381EA2">
        <w:rPr>
          <w:rFonts w:ascii="Perpetua" w:hAnsi="Perpetua"/>
          <w:sz w:val="26"/>
          <w:szCs w:val="26"/>
        </w:rPr>
        <w:t xml:space="preserve"> yet the</w:t>
      </w:r>
      <w:r>
        <w:rPr>
          <w:rFonts w:ascii="Perpetua" w:hAnsi="Perpetua"/>
          <w:sz w:val="26"/>
          <w:szCs w:val="26"/>
        </w:rPr>
        <w:t xml:space="preserve">re is a </w:t>
      </w:r>
      <w:r w:rsidR="00381EA2" w:rsidRPr="00381EA2">
        <w:rPr>
          <w:rFonts w:ascii="Perpetua" w:hAnsi="Perpetua"/>
          <w:sz w:val="26"/>
          <w:szCs w:val="26"/>
        </w:rPr>
        <w:t>possibility that she is distressed more by the lack of recognition and acknowledgement of her social position as queen (</w:t>
      </w:r>
      <w:r>
        <w:rPr>
          <w:rFonts w:ascii="Perpetua" w:hAnsi="Perpetua"/>
          <w:sz w:val="26"/>
          <w:szCs w:val="26"/>
        </w:rPr>
        <w:t>h</w:t>
      </w:r>
      <w:r w:rsidR="00381EA2" w:rsidRPr="00381EA2">
        <w:rPr>
          <w:rFonts w:ascii="Perpetua" w:hAnsi="Perpetua"/>
          <w:sz w:val="26"/>
          <w:szCs w:val="26"/>
        </w:rPr>
        <w:t xml:space="preserve">er </w:t>
      </w:r>
      <w:r>
        <w:rPr>
          <w:rFonts w:ascii="Perpetua" w:hAnsi="Perpetua"/>
          <w:sz w:val="26"/>
          <w:szCs w:val="26"/>
        </w:rPr>
        <w:t>‘</w:t>
      </w:r>
      <w:r w:rsidR="00381EA2" w:rsidRPr="00381EA2">
        <w:rPr>
          <w:rFonts w:ascii="Perpetua" w:hAnsi="Perpetua"/>
          <w:sz w:val="26"/>
          <w:szCs w:val="26"/>
        </w:rPr>
        <w:t xml:space="preserve">dignities and </w:t>
      </w:r>
      <w:proofErr w:type="spellStart"/>
      <w:r w:rsidR="00381EA2" w:rsidRPr="00381EA2">
        <w:rPr>
          <w:rFonts w:ascii="Perpetua" w:hAnsi="Perpetua"/>
          <w:sz w:val="26"/>
          <w:szCs w:val="26"/>
        </w:rPr>
        <w:t>honours’</w:t>
      </w:r>
      <w:proofErr w:type="spellEnd"/>
      <w:r w:rsidR="00381EA2" w:rsidRPr="00381EA2">
        <w:rPr>
          <w:rFonts w:ascii="Perpetua" w:hAnsi="Perpetua"/>
          <w:sz w:val="26"/>
          <w:szCs w:val="26"/>
        </w:rPr>
        <w:t>)</w:t>
      </w:r>
      <w:r>
        <w:rPr>
          <w:rFonts w:ascii="Perpetua" w:hAnsi="Perpetua"/>
          <w:sz w:val="26"/>
          <w:szCs w:val="26"/>
        </w:rPr>
        <w:t xml:space="preserve">, and by being </w:t>
      </w:r>
      <w:r w:rsidRPr="00381EA2">
        <w:rPr>
          <w:rFonts w:ascii="Perpetua" w:hAnsi="Perpetua"/>
          <w:sz w:val="26"/>
          <w:szCs w:val="26"/>
        </w:rPr>
        <w:t>deprived of the needs</w:t>
      </w:r>
      <w:r>
        <w:rPr>
          <w:rFonts w:ascii="Perpetua" w:hAnsi="Perpetua"/>
          <w:sz w:val="26"/>
          <w:szCs w:val="26"/>
        </w:rPr>
        <w:t xml:space="preserve"> and privileges</w:t>
      </w:r>
      <w:r w:rsidRPr="00381EA2">
        <w:rPr>
          <w:rFonts w:ascii="Perpetua" w:hAnsi="Perpetua"/>
          <w:sz w:val="26"/>
          <w:szCs w:val="26"/>
        </w:rPr>
        <w:t xml:space="preserve"> of her station</w:t>
      </w:r>
      <w:r>
        <w:rPr>
          <w:rFonts w:ascii="Perpetua" w:hAnsi="Perpetua"/>
          <w:sz w:val="26"/>
          <w:szCs w:val="26"/>
        </w:rPr>
        <w:t>,</w:t>
      </w:r>
      <w:r w:rsidR="00381EA2" w:rsidRPr="00381EA2">
        <w:rPr>
          <w:rFonts w:ascii="Perpetua" w:hAnsi="Perpetua"/>
          <w:sz w:val="26"/>
          <w:szCs w:val="26"/>
        </w:rPr>
        <w:t xml:space="preserve"> than by the neglect of her erotic feelings.</w:t>
      </w:r>
      <w:r w:rsidR="003C6AD5">
        <w:rPr>
          <w:rFonts w:ascii="Perpetua" w:hAnsi="Perpetua"/>
          <w:sz w:val="26"/>
          <w:szCs w:val="26"/>
        </w:rPr>
        <w:t xml:space="preserve"> Even so, the conditions are real under which she suffers duress and her words articulate conflicting loyalties (IV.v.73-74).</w:t>
      </w:r>
      <w:r w:rsidRPr="00F1161A">
        <w:rPr>
          <w:rFonts w:ascii="Perpetua" w:hAnsi="Perpetua"/>
          <w:sz w:val="26"/>
          <w:szCs w:val="26"/>
        </w:rPr>
        <w:t xml:space="preserve"> </w:t>
      </w:r>
      <w:r>
        <w:rPr>
          <w:rFonts w:ascii="Perpetua" w:hAnsi="Perpetua"/>
          <w:sz w:val="26"/>
          <w:szCs w:val="26"/>
        </w:rPr>
        <w:t>Equally</w:t>
      </w:r>
      <w:r w:rsidR="003C6AD5">
        <w:rPr>
          <w:rFonts w:ascii="Perpetua" w:hAnsi="Perpetua"/>
          <w:sz w:val="26"/>
          <w:szCs w:val="26"/>
        </w:rPr>
        <w:t>, however,</w:t>
      </w:r>
      <w:r>
        <w:rPr>
          <w:rFonts w:ascii="Perpetua" w:hAnsi="Perpetua"/>
          <w:sz w:val="26"/>
          <w:szCs w:val="26"/>
        </w:rPr>
        <w:t xml:space="preserve"> h</w:t>
      </w:r>
      <w:r w:rsidRPr="00381EA2">
        <w:rPr>
          <w:rFonts w:ascii="Perpetua" w:hAnsi="Perpetua"/>
          <w:sz w:val="26"/>
          <w:szCs w:val="26"/>
        </w:rPr>
        <w:t xml:space="preserve">er </w:t>
      </w:r>
      <w:r w:rsidR="00DB6CCF">
        <w:rPr>
          <w:rFonts w:ascii="Perpetua" w:hAnsi="Perpetua"/>
          <w:sz w:val="26"/>
          <w:szCs w:val="26"/>
        </w:rPr>
        <w:t xml:space="preserve">passionate and sometimes </w:t>
      </w:r>
      <w:r w:rsidR="00381EA2" w:rsidRPr="00381EA2">
        <w:rPr>
          <w:rFonts w:ascii="Perpetua" w:hAnsi="Perpetua"/>
          <w:sz w:val="26"/>
          <w:szCs w:val="26"/>
        </w:rPr>
        <w:t xml:space="preserve">metaphorically ornate language </w:t>
      </w:r>
      <w:r w:rsidR="003C6AD5">
        <w:rPr>
          <w:rFonts w:ascii="Perpetua" w:hAnsi="Perpetua"/>
          <w:sz w:val="26"/>
          <w:szCs w:val="26"/>
        </w:rPr>
        <w:t>might be thought to</w:t>
      </w:r>
      <w:r w:rsidR="00381EA2" w:rsidRPr="00381EA2">
        <w:rPr>
          <w:rFonts w:ascii="Perpetua" w:hAnsi="Perpetua"/>
          <w:sz w:val="26"/>
          <w:szCs w:val="26"/>
        </w:rPr>
        <w:t xml:space="preserve"> </w:t>
      </w:r>
      <w:r w:rsidR="00381EA2">
        <w:rPr>
          <w:rFonts w:ascii="Perpetua" w:hAnsi="Perpetua"/>
          <w:sz w:val="26"/>
          <w:szCs w:val="26"/>
        </w:rPr>
        <w:t>represent</w:t>
      </w:r>
      <w:r w:rsidR="00381EA2" w:rsidRPr="00381EA2">
        <w:rPr>
          <w:rFonts w:ascii="Perpetua" w:hAnsi="Perpetua"/>
          <w:sz w:val="26"/>
          <w:szCs w:val="26"/>
        </w:rPr>
        <w:t xml:space="preserve"> merely a superficial conformity to feminine gender associations</w:t>
      </w:r>
      <w:r w:rsidR="00DB6CCF">
        <w:rPr>
          <w:rFonts w:ascii="Perpetua" w:hAnsi="Perpetua"/>
          <w:sz w:val="26"/>
          <w:szCs w:val="26"/>
        </w:rPr>
        <w:t>;</w:t>
      </w:r>
      <w:r w:rsidR="00381EA2" w:rsidRPr="00381EA2">
        <w:rPr>
          <w:rFonts w:ascii="Perpetua" w:hAnsi="Perpetua"/>
          <w:sz w:val="26"/>
          <w:szCs w:val="26"/>
        </w:rPr>
        <w:t xml:space="preserve"> </w:t>
      </w:r>
      <w:r>
        <w:rPr>
          <w:rFonts w:ascii="Perpetua" w:hAnsi="Perpetua"/>
          <w:sz w:val="26"/>
          <w:szCs w:val="26"/>
        </w:rPr>
        <w:t>t</w:t>
      </w:r>
      <w:r w:rsidR="00381EA2" w:rsidRPr="00381EA2">
        <w:rPr>
          <w:rFonts w:ascii="Perpetua" w:hAnsi="Perpetua"/>
          <w:sz w:val="26"/>
          <w:szCs w:val="26"/>
        </w:rPr>
        <w:t>he rapid transfer</w:t>
      </w:r>
      <w:r w:rsidR="00381EA2">
        <w:rPr>
          <w:rFonts w:ascii="Perpetua" w:hAnsi="Perpetua"/>
          <w:sz w:val="26"/>
          <w:szCs w:val="26"/>
        </w:rPr>
        <w:t>al</w:t>
      </w:r>
      <w:r w:rsidR="00381EA2" w:rsidRPr="00381EA2">
        <w:rPr>
          <w:rFonts w:ascii="Perpetua" w:hAnsi="Perpetua"/>
          <w:sz w:val="26"/>
          <w:szCs w:val="26"/>
        </w:rPr>
        <w:t xml:space="preserve"> of her pronouncement of faithf</w:t>
      </w:r>
      <w:r w:rsidR="00381EA2">
        <w:rPr>
          <w:rFonts w:ascii="Perpetua" w:hAnsi="Perpetua"/>
          <w:sz w:val="26"/>
          <w:szCs w:val="26"/>
        </w:rPr>
        <w:t>ul love from Edward to Mortimer, within</w:t>
      </w:r>
      <w:r w:rsidR="00381EA2" w:rsidRPr="00381EA2">
        <w:rPr>
          <w:rFonts w:ascii="Perpetua" w:hAnsi="Perpetua"/>
          <w:sz w:val="26"/>
          <w:szCs w:val="26"/>
        </w:rPr>
        <w:t xml:space="preserve"> the same scene (</w:t>
      </w:r>
      <w:r w:rsidR="00381EA2">
        <w:rPr>
          <w:rFonts w:ascii="Perpetua" w:hAnsi="Perpetua"/>
          <w:sz w:val="26"/>
          <w:szCs w:val="26"/>
        </w:rPr>
        <w:t>II</w:t>
      </w:r>
      <w:r w:rsidR="00381EA2" w:rsidRPr="00381EA2">
        <w:rPr>
          <w:rFonts w:ascii="Perpetua" w:hAnsi="Perpetua"/>
          <w:sz w:val="26"/>
          <w:szCs w:val="26"/>
        </w:rPr>
        <w:t>.</w:t>
      </w:r>
      <w:r w:rsidR="00381EA2">
        <w:rPr>
          <w:rFonts w:ascii="Perpetua" w:hAnsi="Perpetua"/>
          <w:sz w:val="26"/>
          <w:szCs w:val="26"/>
        </w:rPr>
        <w:t>iv</w:t>
      </w:r>
      <w:r w:rsidR="00535122">
        <w:rPr>
          <w:rFonts w:ascii="Perpetua" w:hAnsi="Perpetua"/>
          <w:sz w:val="26"/>
          <w:szCs w:val="26"/>
        </w:rPr>
        <w:t>.15-21 &amp; II.iv.59-60</w:t>
      </w:r>
      <w:r w:rsidR="00381EA2" w:rsidRPr="00381EA2">
        <w:rPr>
          <w:rFonts w:ascii="Perpetua" w:hAnsi="Perpetua"/>
          <w:sz w:val="26"/>
          <w:szCs w:val="26"/>
        </w:rPr>
        <w:t>)</w:t>
      </w:r>
      <w:r w:rsidR="00381EA2">
        <w:rPr>
          <w:rFonts w:ascii="Perpetua" w:hAnsi="Perpetua"/>
          <w:sz w:val="26"/>
          <w:szCs w:val="26"/>
        </w:rPr>
        <w:t>,</w:t>
      </w:r>
      <w:r w:rsidR="00381EA2" w:rsidRPr="00381EA2">
        <w:rPr>
          <w:rFonts w:ascii="Perpetua" w:hAnsi="Perpetua"/>
          <w:sz w:val="26"/>
          <w:szCs w:val="26"/>
        </w:rPr>
        <w:t xml:space="preserve"> </w:t>
      </w:r>
      <w:r w:rsidR="00381EA2">
        <w:rPr>
          <w:rFonts w:ascii="Perpetua" w:hAnsi="Perpetua"/>
          <w:sz w:val="26"/>
          <w:szCs w:val="26"/>
        </w:rPr>
        <w:t>may</w:t>
      </w:r>
      <w:r w:rsidR="00DB6CCF">
        <w:rPr>
          <w:rFonts w:ascii="Perpetua" w:hAnsi="Perpetua"/>
          <w:sz w:val="26"/>
          <w:szCs w:val="26"/>
        </w:rPr>
        <w:t xml:space="preserve"> be thought to</w:t>
      </w:r>
      <w:r w:rsidR="00381EA2">
        <w:rPr>
          <w:rFonts w:ascii="Perpetua" w:hAnsi="Perpetua"/>
          <w:sz w:val="26"/>
          <w:szCs w:val="26"/>
        </w:rPr>
        <w:t xml:space="preserve"> </w:t>
      </w:r>
      <w:r w:rsidR="00381EA2" w:rsidRPr="00381EA2">
        <w:rPr>
          <w:rFonts w:ascii="Perpetua" w:hAnsi="Perpetua"/>
          <w:sz w:val="26"/>
          <w:szCs w:val="26"/>
        </w:rPr>
        <w:t>indicate, rather than deep attachment, a re-alignment of allegiance.</w:t>
      </w:r>
      <w:r w:rsidR="00556344">
        <w:rPr>
          <w:rFonts w:ascii="Perpetua" w:hAnsi="Perpetua"/>
          <w:sz w:val="26"/>
          <w:szCs w:val="26"/>
        </w:rPr>
        <w:t xml:space="preserve"> ‘Her subsequent treachery is so calculating – as when she privately urges the murder of her husband “so it were not by my means” and then publicly sends a ring to Edward as “witness of my love” (5.2.45-72) – that our sympathies are mixed.’</w:t>
      </w:r>
      <w:r w:rsidR="00556344">
        <w:rPr>
          <w:rStyle w:val="FootnoteReference"/>
          <w:rFonts w:ascii="Perpetua" w:hAnsi="Perpetua"/>
          <w:sz w:val="26"/>
          <w:szCs w:val="26"/>
        </w:rPr>
        <w:footnoteReference w:id="19"/>
      </w:r>
      <w:r w:rsidR="002F7C7F">
        <w:rPr>
          <w:rFonts w:ascii="Perpetua" w:hAnsi="Perpetua"/>
          <w:sz w:val="26"/>
          <w:szCs w:val="26"/>
        </w:rPr>
        <w:t xml:space="preserve"> ‘She retains some sympathy even at the play’s end, when she connives with her lover Mortimer to order the murder of her husband, since she shows consistent loyalty to what she takes to be the best interests of her son, the prince who becomes Edward III and who in a final turn of the screw sends her in the last lines of the play to the Tower to await trial.’</w:t>
      </w:r>
      <w:r w:rsidR="002F7C7F">
        <w:rPr>
          <w:rStyle w:val="FootnoteReference"/>
          <w:rFonts w:ascii="Perpetua" w:hAnsi="Perpetua"/>
          <w:sz w:val="26"/>
          <w:szCs w:val="26"/>
        </w:rPr>
        <w:footnoteReference w:id="20"/>
      </w:r>
    </w:p>
    <w:p w:rsidR="00556344" w:rsidRDefault="00556344" w:rsidP="00281AB0">
      <w:pPr>
        <w:tabs>
          <w:tab w:val="left" w:pos="-720"/>
          <w:tab w:val="left" w:pos="0"/>
        </w:tabs>
        <w:suppressAutoHyphens/>
        <w:snapToGrid/>
        <w:spacing w:line="276" w:lineRule="auto"/>
        <w:rPr>
          <w:rFonts w:ascii="Perpetua" w:hAnsi="Perpetua"/>
          <w:sz w:val="26"/>
          <w:szCs w:val="26"/>
        </w:rPr>
      </w:pPr>
    </w:p>
    <w:p w:rsidR="00556344" w:rsidRDefault="00556344"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‘In Marlowe’s dark portrayal, political rebellion uncovers much that is dismaying in human ambition and desire’.</w:t>
      </w:r>
      <w:r>
        <w:rPr>
          <w:rStyle w:val="FootnoteReference"/>
          <w:rFonts w:ascii="Perpetua" w:hAnsi="Perpetua"/>
          <w:sz w:val="26"/>
          <w:szCs w:val="26"/>
        </w:rPr>
        <w:footnoteReference w:id="21"/>
      </w:r>
      <w:r>
        <w:rPr>
          <w:rFonts w:ascii="Perpetua" w:hAnsi="Perpetua"/>
          <w:sz w:val="26"/>
          <w:szCs w:val="26"/>
        </w:rPr>
        <w:t xml:space="preserve"> ‘The middle ground’, represented by Edward’s brother, the earl of Kent, ‘offers no comfort in a history of stalemate and polarization.’</w:t>
      </w:r>
      <w:r>
        <w:rPr>
          <w:rStyle w:val="FootnoteReference"/>
          <w:rFonts w:ascii="Perpetua" w:hAnsi="Perpetua"/>
          <w:sz w:val="26"/>
          <w:szCs w:val="26"/>
        </w:rPr>
        <w:footnoteReference w:id="22"/>
      </w:r>
      <w:r w:rsidR="0040409E">
        <w:rPr>
          <w:rFonts w:ascii="Perpetua" w:hAnsi="Perpetua"/>
          <w:sz w:val="26"/>
          <w:szCs w:val="26"/>
        </w:rPr>
        <w:t xml:space="preserve"> ‘The Crown is not a sacred institution but an object of contention for the possession of which human beings will use any means, however ignoble. </w:t>
      </w:r>
      <w:r w:rsidR="0040409E">
        <w:rPr>
          <w:rFonts w:ascii="Perpetua" w:hAnsi="Perpetua"/>
          <w:i/>
          <w:sz w:val="26"/>
          <w:szCs w:val="26"/>
        </w:rPr>
        <w:t>Edward II</w:t>
      </w:r>
      <w:r w:rsidR="0040409E">
        <w:rPr>
          <w:rFonts w:ascii="Perpetua" w:hAnsi="Perpetua"/>
          <w:sz w:val="26"/>
          <w:szCs w:val="26"/>
        </w:rPr>
        <w:t xml:space="preserve"> is Marlowe’s last look at the self-destructiveness and inevitability of human striving after power and pleasure.’</w:t>
      </w:r>
      <w:r w:rsidR="0040409E">
        <w:rPr>
          <w:rStyle w:val="FootnoteReference"/>
          <w:rFonts w:ascii="Perpetua" w:hAnsi="Perpetua"/>
          <w:sz w:val="26"/>
          <w:szCs w:val="26"/>
        </w:rPr>
        <w:footnoteReference w:id="23"/>
      </w:r>
    </w:p>
    <w:p w:rsidR="00730257" w:rsidRPr="00730257" w:rsidRDefault="00730257" w:rsidP="00730257">
      <w:pPr>
        <w:tabs>
          <w:tab w:val="left" w:pos="-720"/>
          <w:tab w:val="left" w:pos="0"/>
        </w:tabs>
        <w:suppressAutoHyphens/>
        <w:snapToGrid/>
        <w:ind w:left="1134" w:right="1134"/>
        <w:rPr>
          <w:rFonts w:ascii="Perpetua" w:hAnsi="Perpetua"/>
          <w:szCs w:val="24"/>
        </w:rPr>
      </w:pPr>
    </w:p>
    <w:p w:rsidR="00730257" w:rsidRPr="00730257" w:rsidRDefault="00730257" w:rsidP="00730257">
      <w:pPr>
        <w:tabs>
          <w:tab w:val="left" w:pos="-720"/>
          <w:tab w:val="left" w:pos="0"/>
        </w:tabs>
        <w:suppressAutoHyphens/>
        <w:snapToGrid/>
        <w:ind w:left="1134" w:right="1134"/>
        <w:rPr>
          <w:rFonts w:ascii="Perpetua" w:hAnsi="Perpetua"/>
          <w:szCs w:val="24"/>
        </w:rPr>
      </w:pPr>
      <w:r w:rsidRPr="00730257">
        <w:rPr>
          <w:rFonts w:ascii="Perpetua" w:hAnsi="Perpetua"/>
          <w:szCs w:val="24"/>
        </w:rPr>
        <w:t>Yet the play also affects readers and viewers more viscerally as a study in passion and cruelty. It is the one play in which Marlowe, not usually a compassionate playwright, looks at cruelty from the victim’s viewpoint. Audience sympathy fixes itself on Edward by the play’s end, and the play’s focus on his suffering contributes to its claims to be the most intense, nuanced, and realistic of Marlowe’s many studies of strong male bonding and of the attempts of outsiders to find a place at the center of a resistant social order.</w:t>
      </w:r>
      <w:r w:rsidRPr="00730257">
        <w:rPr>
          <w:rStyle w:val="FootnoteReference"/>
          <w:rFonts w:ascii="Perpetua" w:hAnsi="Perpetua"/>
          <w:szCs w:val="24"/>
        </w:rPr>
        <w:footnoteReference w:id="24"/>
      </w:r>
    </w:p>
    <w:p w:rsidR="002D0843" w:rsidRPr="00730257" w:rsidRDefault="002D0843" w:rsidP="00730257">
      <w:pPr>
        <w:tabs>
          <w:tab w:val="left" w:pos="-720"/>
          <w:tab w:val="left" w:pos="0"/>
        </w:tabs>
        <w:suppressAutoHyphens/>
        <w:snapToGrid/>
        <w:ind w:left="1134" w:right="1134"/>
        <w:rPr>
          <w:rFonts w:ascii="Perpetua" w:hAnsi="Perpetua"/>
          <w:szCs w:val="24"/>
        </w:rPr>
      </w:pPr>
    </w:p>
    <w:p w:rsidR="002D0843" w:rsidRPr="00381EA2" w:rsidRDefault="002D0843" w:rsidP="00281AB0">
      <w:pPr>
        <w:tabs>
          <w:tab w:val="left" w:pos="-720"/>
          <w:tab w:val="left" w:pos="0"/>
        </w:tabs>
        <w:suppressAutoHyphens/>
        <w:snapToGrid/>
        <w:spacing w:line="276" w:lineRule="auto"/>
        <w:rPr>
          <w:rFonts w:ascii="Perpetua" w:hAnsi="Perpetua"/>
          <w:sz w:val="26"/>
          <w:szCs w:val="26"/>
        </w:rPr>
      </w:pP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 xml:space="preserve">The marginality of homoeroticism/homosexuality and the resistant social order and hegemony of heterosexual ideology; the role of homo-sociality; the Act of Parliament in 1563 making sodomy a capital offence; the barons’ hatred of the parvenu </w:t>
      </w:r>
      <w:proofErr w:type="spellStart"/>
      <w:r w:rsidRPr="00281AB0">
        <w:rPr>
          <w:rFonts w:ascii="Perpetua" w:hAnsi="Perpetua" w:cs="Adobe Devanagari"/>
          <w:b/>
          <w:spacing w:val="-3"/>
          <w:sz w:val="26"/>
          <w:szCs w:val="26"/>
          <w:lang w:val="en-GB"/>
        </w:rPr>
        <w:t>Gaveston</w:t>
      </w:r>
      <w:proofErr w:type="spellEnd"/>
      <w:r w:rsidRPr="00281AB0">
        <w:rPr>
          <w:rFonts w:ascii="Perpetua" w:hAnsi="Perpetua" w:cs="Adobe Devanagari"/>
          <w:b/>
          <w:spacing w:val="-3"/>
          <w:sz w:val="26"/>
          <w:szCs w:val="26"/>
          <w:lang w:val="en-GB"/>
        </w:rPr>
        <w:t xml:space="preserve"> motivated by homophobia or moral disapproval of male-male love, patriotic dismay at the distraction of the King’s attention, and the desire to preserve traditional baronial prerogatives and maintain social and class distinctions</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82147E" w:rsidRDefault="00837D17" w:rsidP="0082147E">
      <w:pPr>
        <w:tabs>
          <w:tab w:val="left" w:pos="-720"/>
          <w:tab w:val="left" w:pos="0"/>
        </w:tabs>
        <w:suppressAutoHyphens/>
        <w:snapToGrid/>
        <w:spacing w:line="276" w:lineRule="auto"/>
        <w:rPr>
          <w:rFonts w:ascii="Perpetua" w:hAnsi="Perpetua"/>
          <w:sz w:val="26"/>
          <w:szCs w:val="26"/>
        </w:rPr>
      </w:pPr>
      <w:r>
        <w:rPr>
          <w:rFonts w:ascii="Perpetua" w:hAnsi="Perpetua" w:cs="Adobe Devanagari"/>
          <w:spacing w:val="-3"/>
          <w:sz w:val="26"/>
          <w:szCs w:val="26"/>
          <w:lang w:val="en-GB"/>
        </w:rPr>
        <w:t xml:space="preserve">Although there was no official recognition of homosexuality in early modern England, there were same-sex relationships. As was indicated in the context of </w:t>
      </w:r>
      <w:r>
        <w:rPr>
          <w:rFonts w:ascii="Perpetua" w:hAnsi="Perpetua" w:cs="Adobe Devanagari"/>
          <w:i/>
          <w:spacing w:val="-3"/>
          <w:sz w:val="26"/>
          <w:szCs w:val="26"/>
          <w:lang w:val="en-GB"/>
        </w:rPr>
        <w:t>Twelfth Night</w:t>
      </w:r>
      <w:r>
        <w:rPr>
          <w:rFonts w:ascii="Perpetua" w:hAnsi="Perpetua" w:cs="Adobe Devanagari"/>
          <w:spacing w:val="-3"/>
          <w:sz w:val="26"/>
          <w:szCs w:val="26"/>
          <w:lang w:val="en-GB"/>
        </w:rPr>
        <w:t xml:space="preserve">, there are critics who, like Stephen </w:t>
      </w:r>
      <w:proofErr w:type="spellStart"/>
      <w:r>
        <w:rPr>
          <w:rFonts w:ascii="Perpetua" w:hAnsi="Perpetua" w:cs="Adobe Devanagari"/>
          <w:spacing w:val="-3"/>
          <w:sz w:val="26"/>
          <w:szCs w:val="26"/>
          <w:lang w:val="en-GB"/>
        </w:rPr>
        <w:t>Orgel</w:t>
      </w:r>
      <w:proofErr w:type="spellEnd"/>
      <w:r>
        <w:rPr>
          <w:rFonts w:ascii="Perpetua" w:hAnsi="Perpetua" w:cs="Adobe Devanagari"/>
          <w:spacing w:val="-3"/>
          <w:sz w:val="26"/>
          <w:szCs w:val="26"/>
          <w:lang w:val="en-GB"/>
        </w:rPr>
        <w:t>, argue that English Renaissance culture did not display a morbid fear of homoeroticism</w:t>
      </w:r>
      <w:r w:rsidR="00EB0F9E">
        <w:rPr>
          <w:rFonts w:ascii="Perpetua" w:hAnsi="Perpetua" w:cs="Adobe Devanagari"/>
          <w:spacing w:val="-3"/>
          <w:sz w:val="26"/>
          <w:szCs w:val="26"/>
          <w:lang w:val="en-GB"/>
        </w:rPr>
        <w:t>:</w:t>
      </w:r>
      <w:r w:rsidR="0082147E">
        <w:rPr>
          <w:rFonts w:ascii="Perpetua" w:hAnsi="Perpetua" w:cs="Adobe Devanagari"/>
          <w:spacing w:val="-3"/>
          <w:sz w:val="26"/>
          <w:szCs w:val="26"/>
          <w:lang w:val="en-GB"/>
        </w:rPr>
        <w:t xml:space="preserve"> </w:t>
      </w:r>
      <w:r w:rsidR="007F2861">
        <w:rPr>
          <w:rFonts w:ascii="Perpetua" w:hAnsi="Perpetua" w:cs="Adobe Devanagari"/>
          <w:spacing w:val="-3"/>
          <w:sz w:val="26"/>
          <w:szCs w:val="26"/>
          <w:lang w:val="en-GB"/>
        </w:rPr>
        <w:t>‘On the contrary, the love of men for other men was both a fact of life and an essential element in the operation of the patronage system.’</w:t>
      </w:r>
      <w:r w:rsidR="007F2861">
        <w:rPr>
          <w:rStyle w:val="FootnoteReference"/>
          <w:rFonts w:ascii="Perpetua" w:hAnsi="Perpetua" w:cs="Adobe Devanagari"/>
          <w:spacing w:val="-3"/>
          <w:sz w:val="26"/>
          <w:szCs w:val="26"/>
          <w:lang w:val="en-GB"/>
        </w:rPr>
        <w:footnoteReference w:id="25"/>
      </w:r>
      <w:r w:rsidR="007F2861">
        <w:rPr>
          <w:rFonts w:ascii="Perpetua" w:hAnsi="Perpetua" w:cs="Adobe Devanagari"/>
          <w:spacing w:val="-3"/>
          <w:sz w:val="26"/>
          <w:szCs w:val="26"/>
          <w:lang w:val="en-GB"/>
        </w:rPr>
        <w:t xml:space="preserve"> </w:t>
      </w:r>
      <w:r w:rsidR="00EB0F9E">
        <w:rPr>
          <w:rFonts w:ascii="Perpetua" w:hAnsi="Perpetua" w:cs="Adobe Devanagari"/>
          <w:spacing w:val="-3"/>
          <w:sz w:val="26"/>
          <w:szCs w:val="26"/>
          <w:lang w:val="en-GB"/>
        </w:rPr>
        <w:t xml:space="preserve">However this can be difficult to distinguish from </w:t>
      </w:r>
      <w:r w:rsidR="00EB0F9E">
        <w:rPr>
          <w:rFonts w:ascii="Perpetua" w:hAnsi="Perpetua"/>
          <w:sz w:val="26"/>
          <w:szCs w:val="26"/>
        </w:rPr>
        <w:t xml:space="preserve">homo-sociality. </w:t>
      </w:r>
      <w:r w:rsidR="0082147E">
        <w:rPr>
          <w:rFonts w:ascii="Perpetua" w:hAnsi="Perpetua"/>
          <w:sz w:val="26"/>
          <w:szCs w:val="26"/>
        </w:rPr>
        <w:t xml:space="preserve">It has been argued that manliness in </w:t>
      </w:r>
      <w:r w:rsidR="0082147E" w:rsidRPr="0031583B">
        <w:rPr>
          <w:rFonts w:ascii="Perpetua" w:hAnsi="Perpetua"/>
          <w:i/>
          <w:sz w:val="26"/>
          <w:szCs w:val="26"/>
        </w:rPr>
        <w:t>Edward II</w:t>
      </w:r>
      <w:r w:rsidR="0082147E">
        <w:rPr>
          <w:rFonts w:ascii="Perpetua" w:hAnsi="Perpetua"/>
          <w:sz w:val="26"/>
          <w:szCs w:val="26"/>
        </w:rPr>
        <w:t xml:space="preserve"> is ‘a power consolidated by male mutual appreciation to the exclusion of women’.</w:t>
      </w:r>
      <w:r w:rsidR="0082147E">
        <w:rPr>
          <w:rStyle w:val="FootnoteReference"/>
          <w:rFonts w:ascii="Perpetua" w:hAnsi="Perpetua"/>
          <w:sz w:val="26"/>
          <w:szCs w:val="26"/>
        </w:rPr>
        <w:footnoteReference w:id="26"/>
      </w:r>
      <w:r w:rsidR="007F2861">
        <w:rPr>
          <w:rFonts w:ascii="Perpetua" w:hAnsi="Perpetua"/>
          <w:sz w:val="26"/>
          <w:szCs w:val="26"/>
        </w:rPr>
        <w:t xml:space="preserve"> </w:t>
      </w:r>
      <w:r w:rsidR="00EB0F9E">
        <w:rPr>
          <w:rFonts w:ascii="Perpetua" w:hAnsi="Perpetua"/>
          <w:sz w:val="26"/>
          <w:szCs w:val="26"/>
        </w:rPr>
        <w:t>Although the homo-eroticism of same-sex relationships can be difficult to distinguish from the male mutual appreciation of homo-sociality, nevertheless ‘dominant ideology suggests that the male ruler’s sexual interest in other men is a deviation from true rule’.</w:t>
      </w:r>
      <w:r w:rsidR="00EB0F9E">
        <w:rPr>
          <w:rStyle w:val="FootnoteReference"/>
          <w:rFonts w:ascii="Perpetua" w:hAnsi="Perpetua"/>
          <w:sz w:val="26"/>
          <w:szCs w:val="26"/>
        </w:rPr>
        <w:footnoteReference w:id="27"/>
      </w:r>
    </w:p>
    <w:p w:rsidR="0082147E" w:rsidRPr="00DD5B37" w:rsidRDefault="0082147E" w:rsidP="00DD5B37">
      <w:pPr>
        <w:tabs>
          <w:tab w:val="left" w:pos="-720"/>
          <w:tab w:val="left" w:pos="0"/>
        </w:tabs>
        <w:suppressAutoHyphens/>
        <w:snapToGrid/>
        <w:ind w:left="1134" w:right="1134"/>
        <w:rPr>
          <w:rFonts w:ascii="Perpetua" w:hAnsi="Perpetua" w:cs="Adobe Devanagari"/>
          <w:spacing w:val="-3"/>
          <w:szCs w:val="24"/>
          <w:lang w:val="en-GB"/>
        </w:rPr>
      </w:pPr>
    </w:p>
    <w:p w:rsidR="005E57CF" w:rsidRPr="00DD5B37" w:rsidRDefault="005E57CF" w:rsidP="00DD5B37">
      <w:pPr>
        <w:tabs>
          <w:tab w:val="left" w:pos="-720"/>
          <w:tab w:val="left" w:pos="0"/>
        </w:tabs>
        <w:suppressAutoHyphens/>
        <w:snapToGrid/>
        <w:ind w:left="1134" w:right="1134"/>
        <w:rPr>
          <w:rFonts w:ascii="Perpetua" w:hAnsi="Perpetua" w:cs="Adobe Devanagari"/>
          <w:spacing w:val="-3"/>
          <w:szCs w:val="24"/>
          <w:lang w:val="en-GB"/>
        </w:rPr>
      </w:pPr>
      <w:r w:rsidRPr="00DD5B37">
        <w:rPr>
          <w:rFonts w:ascii="Perpetua" w:hAnsi="Perpetua" w:cs="Adobe Devanagari"/>
          <w:spacing w:val="-3"/>
          <w:szCs w:val="24"/>
          <w:lang w:val="en-GB"/>
        </w:rPr>
        <w:t xml:space="preserve">Early modern discourse did include the legal and religious category of “sodomy” (the word derived from the city of Sodom in the Bible, a place associated with vice), and such discourse sometimes alluded to sodomy in a revealing paraphrase as “the horrible sin not to be named among Christians.” Although the category of sodomy designated a set of </w:t>
      </w:r>
      <w:proofErr w:type="spellStart"/>
      <w:r w:rsidRPr="00DD5B37">
        <w:rPr>
          <w:rFonts w:ascii="Perpetua" w:hAnsi="Perpetua" w:cs="Adobe Devanagari"/>
          <w:spacing w:val="-3"/>
          <w:szCs w:val="24"/>
          <w:lang w:val="en-GB"/>
        </w:rPr>
        <w:t>behaviors</w:t>
      </w:r>
      <w:proofErr w:type="spellEnd"/>
      <w:r w:rsidRPr="00DD5B37">
        <w:rPr>
          <w:rFonts w:ascii="Perpetua" w:hAnsi="Perpetua" w:cs="Adobe Devanagari"/>
          <w:spacing w:val="-3"/>
          <w:szCs w:val="24"/>
          <w:lang w:val="en-GB"/>
        </w:rPr>
        <w:t xml:space="preserve"> as criminal, in England at least the laws against it were not often officially </w:t>
      </w:r>
      <w:r w:rsidR="00DD5B37" w:rsidRPr="00DD5B37">
        <w:rPr>
          <w:rFonts w:ascii="Perpetua" w:hAnsi="Perpetua" w:cs="Adobe Devanagari"/>
          <w:spacing w:val="-3"/>
          <w:szCs w:val="24"/>
          <w:lang w:val="en-GB"/>
        </w:rPr>
        <w:t>invoked.</w:t>
      </w:r>
      <w:r w:rsidR="00DD5B37" w:rsidRPr="00DD5B37">
        <w:rPr>
          <w:rStyle w:val="FootnoteReference"/>
          <w:rFonts w:ascii="Perpetua" w:hAnsi="Perpetua" w:cs="Adobe Devanagari"/>
          <w:spacing w:val="-3"/>
          <w:szCs w:val="24"/>
          <w:lang w:val="en-GB"/>
        </w:rPr>
        <w:footnoteReference w:id="28"/>
      </w:r>
    </w:p>
    <w:p w:rsidR="005E57CF" w:rsidRPr="00DD5B37" w:rsidRDefault="005E57CF" w:rsidP="00DD5B37">
      <w:pPr>
        <w:tabs>
          <w:tab w:val="left" w:pos="-720"/>
          <w:tab w:val="left" w:pos="0"/>
        </w:tabs>
        <w:suppressAutoHyphens/>
        <w:snapToGrid/>
        <w:ind w:left="1134" w:right="1134"/>
        <w:rPr>
          <w:rFonts w:ascii="Perpetua" w:hAnsi="Perpetua" w:cs="Adobe Devanagari"/>
          <w:spacing w:val="-3"/>
          <w:szCs w:val="24"/>
          <w:lang w:val="en-GB"/>
        </w:rPr>
      </w:pPr>
    </w:p>
    <w:p w:rsidR="00281AB0" w:rsidRPr="00EB0F9E" w:rsidRDefault="00EB0F9E"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It is perplexing that </w:t>
      </w:r>
      <w:r w:rsidRPr="00EB0F9E">
        <w:rPr>
          <w:rFonts w:ascii="Perpetua" w:hAnsi="Perpetua" w:cs="Adobe Devanagari"/>
          <w:spacing w:val="-3"/>
          <w:sz w:val="26"/>
          <w:szCs w:val="26"/>
          <w:lang w:val="en-GB"/>
        </w:rPr>
        <w:t>the Act of Parliament in 1563 making sodomy a capital offence</w:t>
      </w:r>
      <w:r>
        <w:rPr>
          <w:rFonts w:ascii="Perpetua" w:hAnsi="Perpetua" w:cs="Adobe Devanagari"/>
          <w:spacing w:val="-3"/>
          <w:sz w:val="26"/>
          <w:szCs w:val="26"/>
          <w:lang w:val="en-GB"/>
        </w:rPr>
        <w:t xml:space="preserve"> hardly ever led to prosecution, which may suggest a degree of toleration. So what precisely, do you think causes offence? What cannot be tolerated?</w:t>
      </w:r>
      <w:r w:rsidR="007550FE">
        <w:rPr>
          <w:rFonts w:ascii="Perpetua" w:hAnsi="Perpetua" w:cs="Adobe Devanagari"/>
          <w:spacing w:val="-3"/>
          <w:sz w:val="26"/>
          <w:szCs w:val="26"/>
          <w:lang w:val="en-GB"/>
        </w:rPr>
        <w:t xml:space="preserve"> Does the Earl of Lancaster’s outburst in Act I, Scene </w:t>
      </w:r>
      <w:proofErr w:type="gramStart"/>
      <w:r w:rsidR="007550FE">
        <w:rPr>
          <w:rFonts w:ascii="Perpetua" w:hAnsi="Perpetua" w:cs="Adobe Devanagari"/>
          <w:spacing w:val="-3"/>
          <w:sz w:val="26"/>
          <w:szCs w:val="26"/>
          <w:lang w:val="en-GB"/>
        </w:rPr>
        <w:t>iv</w:t>
      </w:r>
      <w:proofErr w:type="gramEnd"/>
      <w:r w:rsidR="007550FE">
        <w:rPr>
          <w:rFonts w:ascii="Perpetua" w:hAnsi="Perpetua" w:cs="Adobe Devanagari"/>
          <w:spacing w:val="-3"/>
          <w:sz w:val="26"/>
          <w:szCs w:val="26"/>
          <w:lang w:val="en-GB"/>
        </w:rPr>
        <w:t>, recognise sodomy: ‘Diablo! What passions call you these?’ (I.iv.318)</w:t>
      </w:r>
    </w:p>
    <w:p w:rsidR="002B169D" w:rsidRDefault="002B169D" w:rsidP="00281AB0">
      <w:pPr>
        <w:tabs>
          <w:tab w:val="left" w:pos="-720"/>
          <w:tab w:val="left" w:pos="0"/>
        </w:tabs>
        <w:suppressAutoHyphens/>
        <w:snapToGrid/>
        <w:spacing w:line="276" w:lineRule="auto"/>
        <w:rPr>
          <w:rFonts w:ascii="Perpetua" w:hAnsi="Perpetua"/>
          <w:sz w:val="26"/>
          <w:szCs w:val="26"/>
        </w:rPr>
      </w:pPr>
    </w:p>
    <w:p w:rsidR="00EB0F9E" w:rsidRDefault="00EB0F9E"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 xml:space="preserve">Part of the answer to this question may lie in </w:t>
      </w:r>
      <w:r w:rsidR="00E20F29">
        <w:rPr>
          <w:rFonts w:ascii="Perpetua" w:hAnsi="Perpetua"/>
          <w:sz w:val="26"/>
          <w:szCs w:val="26"/>
        </w:rPr>
        <w:t>a speech by Mortimer Senior, advising tolerance and listing reputable historical men who doted on other men (I.iv.385-400). The adjectives he uses to describe these men allude to their greatness, power, military prowess, and gravity – all estimably masculine qualities.</w:t>
      </w:r>
      <w:r w:rsidR="002901AA">
        <w:rPr>
          <w:rFonts w:ascii="Perpetua" w:hAnsi="Perpetua"/>
          <w:sz w:val="26"/>
          <w:szCs w:val="26"/>
        </w:rPr>
        <w:t xml:space="preserve"> What is the implication of this?</w:t>
      </w:r>
      <w:r w:rsidR="00E20F29">
        <w:rPr>
          <w:rFonts w:ascii="Perpetua" w:hAnsi="Perpetua"/>
          <w:sz w:val="26"/>
          <w:szCs w:val="26"/>
        </w:rPr>
        <w:t xml:space="preserve"> How does Edward compare?</w:t>
      </w:r>
    </w:p>
    <w:p w:rsidR="00E20F29" w:rsidRDefault="00E20F29" w:rsidP="00281AB0">
      <w:pPr>
        <w:tabs>
          <w:tab w:val="left" w:pos="-720"/>
          <w:tab w:val="left" w:pos="0"/>
        </w:tabs>
        <w:suppressAutoHyphens/>
        <w:snapToGrid/>
        <w:spacing w:line="276" w:lineRule="auto"/>
        <w:rPr>
          <w:rFonts w:ascii="Perpetua" w:hAnsi="Perpetua"/>
          <w:sz w:val="26"/>
          <w:szCs w:val="26"/>
        </w:rPr>
      </w:pPr>
    </w:p>
    <w:p w:rsidR="002B169D" w:rsidRPr="002B169D" w:rsidRDefault="002B169D"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B</w:t>
      </w:r>
      <w:r w:rsidRPr="002B169D">
        <w:rPr>
          <w:rFonts w:ascii="Perpetua" w:hAnsi="Perpetua"/>
          <w:sz w:val="26"/>
          <w:szCs w:val="26"/>
        </w:rPr>
        <w:t xml:space="preserve">y his desire for </w:t>
      </w:r>
      <w:proofErr w:type="spellStart"/>
      <w:r w:rsidRPr="002B169D">
        <w:rPr>
          <w:rFonts w:ascii="Perpetua" w:hAnsi="Perpetua"/>
          <w:sz w:val="26"/>
          <w:szCs w:val="26"/>
        </w:rPr>
        <w:t>Gaveston</w:t>
      </w:r>
      <w:proofErr w:type="spellEnd"/>
      <w:r w:rsidRPr="002B169D">
        <w:rPr>
          <w:rFonts w:ascii="Perpetua" w:hAnsi="Perpetua"/>
          <w:sz w:val="26"/>
          <w:szCs w:val="26"/>
        </w:rPr>
        <w:t>,</w:t>
      </w:r>
      <w:r>
        <w:rPr>
          <w:rFonts w:ascii="Perpetua" w:hAnsi="Perpetua"/>
          <w:sz w:val="26"/>
          <w:szCs w:val="26"/>
        </w:rPr>
        <w:t xml:space="preserve"> Edward experiences</w:t>
      </w:r>
      <w:r w:rsidRPr="002B169D">
        <w:rPr>
          <w:rFonts w:ascii="Perpetua" w:hAnsi="Perpetua"/>
          <w:sz w:val="26"/>
          <w:szCs w:val="26"/>
        </w:rPr>
        <w:t xml:space="preserve"> an imaginary reflection of his ego in the other: ‘</w:t>
      </w:r>
      <w:proofErr w:type="spellStart"/>
      <w:r w:rsidRPr="002B169D">
        <w:rPr>
          <w:rFonts w:ascii="Perpetua" w:hAnsi="Perpetua"/>
          <w:sz w:val="26"/>
          <w:szCs w:val="26"/>
        </w:rPr>
        <w:t>Knowest</w:t>
      </w:r>
      <w:proofErr w:type="spellEnd"/>
      <w:r w:rsidRPr="002B169D">
        <w:rPr>
          <w:rFonts w:ascii="Perpetua" w:hAnsi="Perpetua"/>
          <w:sz w:val="26"/>
          <w:szCs w:val="26"/>
        </w:rPr>
        <w:t xml:space="preserve"> thou not who I am? / Thy friend, thy self, another </w:t>
      </w:r>
      <w:proofErr w:type="spellStart"/>
      <w:r w:rsidRPr="002B169D">
        <w:rPr>
          <w:rFonts w:ascii="Perpetua" w:hAnsi="Perpetua"/>
          <w:sz w:val="26"/>
          <w:szCs w:val="26"/>
        </w:rPr>
        <w:t>Gaveston</w:t>
      </w:r>
      <w:proofErr w:type="spellEnd"/>
      <w:r w:rsidRPr="002B169D">
        <w:rPr>
          <w:rFonts w:ascii="Perpetua" w:hAnsi="Perpetua"/>
          <w:sz w:val="26"/>
          <w:szCs w:val="26"/>
        </w:rPr>
        <w:t>.’ (</w:t>
      </w:r>
      <w:r>
        <w:rPr>
          <w:rFonts w:ascii="Perpetua" w:hAnsi="Perpetua"/>
          <w:sz w:val="26"/>
          <w:szCs w:val="26"/>
        </w:rPr>
        <w:t>I</w:t>
      </w:r>
      <w:r w:rsidRPr="002B169D">
        <w:rPr>
          <w:rFonts w:ascii="Perpetua" w:hAnsi="Perpetua"/>
          <w:sz w:val="26"/>
          <w:szCs w:val="26"/>
        </w:rPr>
        <w:t>.</w:t>
      </w:r>
      <w:r>
        <w:rPr>
          <w:rFonts w:ascii="Perpetua" w:hAnsi="Perpetua"/>
          <w:sz w:val="26"/>
          <w:szCs w:val="26"/>
        </w:rPr>
        <w:t>i</w:t>
      </w:r>
      <w:r w:rsidRPr="002B169D">
        <w:rPr>
          <w:rFonts w:ascii="Perpetua" w:hAnsi="Perpetua"/>
          <w:sz w:val="26"/>
          <w:szCs w:val="26"/>
        </w:rPr>
        <w:t>.141-42)</w:t>
      </w:r>
      <w:r w:rsidR="00535122">
        <w:rPr>
          <w:rFonts w:ascii="Perpetua" w:hAnsi="Perpetua"/>
          <w:sz w:val="26"/>
          <w:szCs w:val="26"/>
        </w:rPr>
        <w:t xml:space="preserve"> </w:t>
      </w:r>
      <w:proofErr w:type="gramStart"/>
      <w:r w:rsidR="00535122">
        <w:rPr>
          <w:rFonts w:ascii="Perpetua" w:hAnsi="Perpetua"/>
          <w:sz w:val="26"/>
          <w:szCs w:val="26"/>
        </w:rPr>
        <w:t>Is</w:t>
      </w:r>
      <w:proofErr w:type="gramEnd"/>
      <w:r w:rsidR="00535122">
        <w:rPr>
          <w:rFonts w:ascii="Perpetua" w:hAnsi="Perpetua"/>
          <w:sz w:val="26"/>
          <w:szCs w:val="26"/>
        </w:rPr>
        <w:t xml:space="preserve"> this an annihilation or a completion of Edward’s self</w:t>
      </w:r>
      <w:r w:rsidR="00E253E6">
        <w:rPr>
          <w:rFonts w:ascii="Perpetua" w:hAnsi="Perpetua"/>
          <w:sz w:val="26"/>
          <w:szCs w:val="26"/>
        </w:rPr>
        <w:t>?</w:t>
      </w:r>
      <w:r w:rsidRPr="002B169D">
        <w:rPr>
          <w:rFonts w:ascii="Perpetua" w:hAnsi="Perpetua"/>
          <w:sz w:val="26"/>
          <w:szCs w:val="26"/>
        </w:rPr>
        <w:t xml:space="preserve"> </w:t>
      </w:r>
      <w:r>
        <w:rPr>
          <w:rFonts w:ascii="Perpetua" w:hAnsi="Perpetua"/>
          <w:sz w:val="26"/>
          <w:szCs w:val="26"/>
        </w:rPr>
        <w:t xml:space="preserve">Perhaps </w:t>
      </w:r>
      <w:r w:rsidRPr="002B169D">
        <w:rPr>
          <w:rFonts w:ascii="Perpetua" w:hAnsi="Perpetua"/>
          <w:sz w:val="26"/>
          <w:szCs w:val="26"/>
        </w:rPr>
        <w:t>the</w:t>
      </w:r>
      <w:r>
        <w:rPr>
          <w:rFonts w:ascii="Perpetua" w:hAnsi="Perpetua"/>
          <w:sz w:val="26"/>
          <w:szCs w:val="26"/>
        </w:rPr>
        <w:t xml:space="preserve"> </w:t>
      </w:r>
      <w:r w:rsidR="002901AA">
        <w:rPr>
          <w:rFonts w:ascii="Perpetua" w:hAnsi="Perpetua"/>
          <w:sz w:val="26"/>
          <w:szCs w:val="26"/>
        </w:rPr>
        <w:t>suggestion of</w:t>
      </w:r>
      <w:r w:rsidRPr="002B169D">
        <w:rPr>
          <w:rFonts w:ascii="Perpetua" w:hAnsi="Perpetua"/>
          <w:sz w:val="26"/>
          <w:szCs w:val="26"/>
        </w:rPr>
        <w:t xml:space="preserve"> narcissism</w:t>
      </w:r>
      <w:r w:rsidR="002901AA">
        <w:rPr>
          <w:rFonts w:ascii="Perpetua" w:hAnsi="Perpetua"/>
          <w:sz w:val="26"/>
          <w:szCs w:val="26"/>
        </w:rPr>
        <w:t>,</w:t>
      </w:r>
      <w:r w:rsidR="00E253E6">
        <w:rPr>
          <w:rFonts w:ascii="Perpetua" w:hAnsi="Perpetua"/>
          <w:sz w:val="26"/>
          <w:szCs w:val="26"/>
        </w:rPr>
        <w:t xml:space="preserve"> or insufficiency</w:t>
      </w:r>
      <w:r>
        <w:rPr>
          <w:rFonts w:ascii="Perpetua" w:hAnsi="Perpetua"/>
          <w:sz w:val="26"/>
          <w:szCs w:val="26"/>
        </w:rPr>
        <w:t xml:space="preserve"> </w:t>
      </w:r>
      <w:r w:rsidR="00E253E6">
        <w:rPr>
          <w:rFonts w:ascii="Perpetua" w:hAnsi="Perpetua"/>
          <w:sz w:val="26"/>
          <w:szCs w:val="26"/>
        </w:rPr>
        <w:t>and</w:t>
      </w:r>
      <w:r>
        <w:rPr>
          <w:rFonts w:ascii="Perpetua" w:hAnsi="Perpetua"/>
          <w:sz w:val="26"/>
          <w:szCs w:val="26"/>
        </w:rPr>
        <w:t xml:space="preserve"> </w:t>
      </w:r>
      <w:r w:rsidR="002F3968">
        <w:rPr>
          <w:rFonts w:ascii="Perpetua" w:hAnsi="Perpetua"/>
          <w:sz w:val="26"/>
          <w:szCs w:val="26"/>
        </w:rPr>
        <w:t xml:space="preserve">emotional </w:t>
      </w:r>
      <w:r>
        <w:rPr>
          <w:rFonts w:ascii="Perpetua" w:hAnsi="Perpetua"/>
          <w:sz w:val="26"/>
          <w:szCs w:val="26"/>
        </w:rPr>
        <w:t>dependence</w:t>
      </w:r>
      <w:r w:rsidR="001D3B0F">
        <w:rPr>
          <w:rFonts w:ascii="Perpetua" w:hAnsi="Perpetua"/>
          <w:sz w:val="26"/>
          <w:szCs w:val="26"/>
        </w:rPr>
        <w:t xml:space="preserve"> </w:t>
      </w:r>
      <w:r w:rsidR="002901AA">
        <w:rPr>
          <w:rFonts w:ascii="Perpetua" w:hAnsi="Perpetua"/>
          <w:sz w:val="26"/>
          <w:szCs w:val="26"/>
        </w:rPr>
        <w:t xml:space="preserve">of Edward upon </w:t>
      </w:r>
      <w:proofErr w:type="spellStart"/>
      <w:r w:rsidR="002901AA">
        <w:rPr>
          <w:rFonts w:ascii="Perpetua" w:hAnsi="Perpetua"/>
          <w:sz w:val="26"/>
          <w:szCs w:val="26"/>
        </w:rPr>
        <w:t>Gaveston</w:t>
      </w:r>
      <w:proofErr w:type="spellEnd"/>
      <w:r w:rsidR="002901AA">
        <w:rPr>
          <w:rFonts w:ascii="Perpetua" w:hAnsi="Perpetua"/>
          <w:sz w:val="26"/>
          <w:szCs w:val="26"/>
        </w:rPr>
        <w:t>,</w:t>
      </w:r>
      <w:r>
        <w:rPr>
          <w:rFonts w:ascii="Perpetua" w:hAnsi="Perpetua"/>
          <w:sz w:val="26"/>
          <w:szCs w:val="26"/>
        </w:rPr>
        <w:t xml:space="preserve"> detracts from the solitary might of sovereignty</w:t>
      </w:r>
      <w:r w:rsidR="002901AA">
        <w:rPr>
          <w:rFonts w:ascii="Perpetua" w:hAnsi="Perpetua"/>
          <w:sz w:val="26"/>
          <w:szCs w:val="26"/>
        </w:rPr>
        <w:t>,</w:t>
      </w:r>
      <w:r w:rsidR="002F3968">
        <w:rPr>
          <w:rFonts w:ascii="Perpetua" w:hAnsi="Perpetua"/>
          <w:sz w:val="26"/>
          <w:szCs w:val="26"/>
        </w:rPr>
        <w:t xml:space="preserve"> thereby, for the earls, undermining rather than consolidating</w:t>
      </w:r>
      <w:r w:rsidRPr="002B169D">
        <w:rPr>
          <w:rFonts w:ascii="Perpetua" w:hAnsi="Perpetua"/>
          <w:sz w:val="26"/>
          <w:szCs w:val="26"/>
        </w:rPr>
        <w:t xml:space="preserve"> the King’s right to rule</w:t>
      </w:r>
      <w:r>
        <w:rPr>
          <w:rFonts w:ascii="Perpetua" w:hAnsi="Perpetua"/>
          <w:sz w:val="26"/>
          <w:szCs w:val="26"/>
        </w:rPr>
        <w:t>.</w:t>
      </w:r>
      <w:r w:rsidR="007550FE">
        <w:rPr>
          <w:rFonts w:ascii="Perpetua" w:hAnsi="Perpetua"/>
          <w:sz w:val="26"/>
          <w:szCs w:val="26"/>
        </w:rPr>
        <w:t xml:space="preserve"> Does Edward replace </w:t>
      </w:r>
      <w:proofErr w:type="spellStart"/>
      <w:r w:rsidR="007550FE">
        <w:rPr>
          <w:rFonts w:ascii="Perpetua" w:hAnsi="Perpetua"/>
          <w:sz w:val="26"/>
          <w:szCs w:val="26"/>
        </w:rPr>
        <w:t>Gaveston</w:t>
      </w:r>
      <w:proofErr w:type="spellEnd"/>
      <w:r w:rsidR="007550FE">
        <w:rPr>
          <w:rFonts w:ascii="Perpetua" w:hAnsi="Perpetua"/>
          <w:sz w:val="26"/>
          <w:szCs w:val="26"/>
        </w:rPr>
        <w:t xml:space="preserve"> with Spencer merely to keep a structure of desire in being?</w:t>
      </w:r>
    </w:p>
    <w:p w:rsidR="002B169D" w:rsidRDefault="002B169D" w:rsidP="00281AB0">
      <w:pPr>
        <w:tabs>
          <w:tab w:val="left" w:pos="-720"/>
          <w:tab w:val="left" w:pos="0"/>
        </w:tabs>
        <w:suppressAutoHyphens/>
        <w:snapToGrid/>
        <w:spacing w:line="276" w:lineRule="auto"/>
        <w:rPr>
          <w:rFonts w:ascii="Perpetua" w:hAnsi="Perpetua"/>
          <w:sz w:val="26"/>
          <w:szCs w:val="26"/>
        </w:rPr>
      </w:pPr>
    </w:p>
    <w:p w:rsidR="007550FE" w:rsidRDefault="00A95B40" w:rsidP="002F3968">
      <w:pPr>
        <w:tabs>
          <w:tab w:val="left" w:pos="-720"/>
          <w:tab w:val="left" w:pos="0"/>
        </w:tabs>
        <w:suppressAutoHyphens/>
        <w:snapToGrid/>
        <w:spacing w:line="276" w:lineRule="auto"/>
        <w:rPr>
          <w:rFonts w:ascii="Perpetua" w:hAnsi="Perpetua"/>
          <w:sz w:val="26"/>
          <w:szCs w:val="26"/>
        </w:rPr>
      </w:pPr>
      <w:r w:rsidRPr="00067285">
        <w:rPr>
          <w:rFonts w:ascii="Perpetua" w:hAnsi="Perpetua"/>
          <w:sz w:val="26"/>
          <w:szCs w:val="26"/>
        </w:rPr>
        <w:t>Edward’s transgression may be sexual as such</w:t>
      </w:r>
      <w:r>
        <w:rPr>
          <w:rFonts w:ascii="Perpetua" w:hAnsi="Perpetua"/>
          <w:sz w:val="26"/>
          <w:szCs w:val="26"/>
        </w:rPr>
        <w:t>, or it may be his difference from the standard masculinity of kingship,</w:t>
      </w:r>
      <w:r w:rsidRPr="00067285">
        <w:rPr>
          <w:rFonts w:ascii="Perpetua" w:hAnsi="Perpetua"/>
          <w:sz w:val="26"/>
          <w:szCs w:val="26"/>
        </w:rPr>
        <w:t xml:space="preserve"> or it may be his preferment of social inferiors (the King’s ‘flatterers’).</w:t>
      </w:r>
      <w:r>
        <w:rPr>
          <w:rFonts w:ascii="Perpetua" w:hAnsi="Perpetua"/>
          <w:sz w:val="26"/>
          <w:szCs w:val="26"/>
        </w:rPr>
        <w:t xml:space="preserve"> </w:t>
      </w:r>
      <w:r w:rsidR="0082147E">
        <w:rPr>
          <w:rFonts w:ascii="Perpetua" w:hAnsi="Perpetua"/>
          <w:sz w:val="26"/>
          <w:szCs w:val="26"/>
        </w:rPr>
        <w:t xml:space="preserve">See Mortimer Junior’s reasoning to Isabella, in </w:t>
      </w:r>
      <w:proofErr w:type="spellStart"/>
      <w:r w:rsidR="0082147E">
        <w:rPr>
          <w:rFonts w:ascii="Perpetua" w:hAnsi="Perpetua"/>
          <w:sz w:val="26"/>
          <w:szCs w:val="26"/>
        </w:rPr>
        <w:t>defence</w:t>
      </w:r>
      <w:proofErr w:type="spellEnd"/>
      <w:r w:rsidR="0082147E">
        <w:rPr>
          <w:rFonts w:ascii="Perpetua" w:hAnsi="Perpetua"/>
          <w:sz w:val="26"/>
          <w:szCs w:val="26"/>
        </w:rPr>
        <w:t xml:space="preserve"> of the earls’ revolt and in answer to her anxieties over the prospect of civil war: IV.iv.16-26. </w:t>
      </w:r>
      <w:r>
        <w:rPr>
          <w:rFonts w:ascii="Perpetua" w:hAnsi="Perpetua"/>
          <w:sz w:val="26"/>
          <w:szCs w:val="26"/>
        </w:rPr>
        <w:t xml:space="preserve">Mortimer’s professed concern for the kingdom, speaking to his uncle, is not Edward’s ‘wanton </w:t>
      </w:r>
      <w:proofErr w:type="spellStart"/>
      <w:r>
        <w:rPr>
          <w:rFonts w:ascii="Perpetua" w:hAnsi="Perpetua"/>
          <w:sz w:val="26"/>
          <w:szCs w:val="26"/>
        </w:rPr>
        <w:t>humour</w:t>
      </w:r>
      <w:proofErr w:type="spellEnd"/>
      <w:r>
        <w:rPr>
          <w:rFonts w:ascii="Perpetua" w:hAnsi="Perpetua"/>
          <w:sz w:val="26"/>
          <w:szCs w:val="26"/>
        </w:rPr>
        <w:t xml:space="preserve">’ (I.iv.401), but that </w:t>
      </w:r>
      <w:proofErr w:type="spellStart"/>
      <w:r>
        <w:rPr>
          <w:rFonts w:ascii="Perpetua" w:hAnsi="Perpetua"/>
          <w:sz w:val="26"/>
          <w:szCs w:val="26"/>
        </w:rPr>
        <w:t>Gaveston</w:t>
      </w:r>
      <w:proofErr w:type="spellEnd"/>
      <w:r>
        <w:rPr>
          <w:rFonts w:ascii="Perpetua" w:hAnsi="Perpetua"/>
          <w:sz w:val="26"/>
          <w:szCs w:val="26"/>
        </w:rPr>
        <w:t xml:space="preserve">, as ‘one so basely born / </w:t>
      </w:r>
      <w:proofErr w:type="gramStart"/>
      <w:r>
        <w:rPr>
          <w:rFonts w:ascii="Perpetua" w:hAnsi="Perpetua"/>
          <w:sz w:val="26"/>
          <w:szCs w:val="26"/>
        </w:rPr>
        <w:t>Should</w:t>
      </w:r>
      <w:proofErr w:type="gramEnd"/>
      <w:r>
        <w:rPr>
          <w:rFonts w:ascii="Perpetua" w:hAnsi="Perpetua"/>
          <w:sz w:val="26"/>
          <w:szCs w:val="26"/>
        </w:rPr>
        <w:t xml:space="preserve"> by his sovereign’s </w:t>
      </w:r>
      <w:proofErr w:type="spellStart"/>
      <w:r>
        <w:rPr>
          <w:rFonts w:ascii="Perpetua" w:hAnsi="Perpetua"/>
          <w:sz w:val="26"/>
          <w:szCs w:val="26"/>
        </w:rPr>
        <w:t>favour</w:t>
      </w:r>
      <w:proofErr w:type="spellEnd"/>
      <w:r>
        <w:rPr>
          <w:rFonts w:ascii="Perpetua" w:hAnsi="Perpetua"/>
          <w:sz w:val="26"/>
          <w:szCs w:val="26"/>
        </w:rPr>
        <w:t xml:space="preserve"> grow so pert, / And riot it with the treasure of the realm / While soldiers mutiny for want of pay.’ (I.iv.402-405). Yet Mortimer also complains that Edward’s soldiers ‘marched like players, / </w:t>
      </w:r>
      <w:proofErr w:type="gramStart"/>
      <w:r>
        <w:rPr>
          <w:rFonts w:ascii="Perpetua" w:hAnsi="Perpetua"/>
          <w:sz w:val="26"/>
          <w:szCs w:val="26"/>
        </w:rPr>
        <w:t>With</w:t>
      </w:r>
      <w:proofErr w:type="gramEnd"/>
      <w:r>
        <w:rPr>
          <w:rFonts w:ascii="Perpetua" w:hAnsi="Perpetua"/>
          <w:sz w:val="26"/>
          <w:szCs w:val="26"/>
        </w:rPr>
        <w:t xml:space="preserve"> garish robes, not </w:t>
      </w:r>
      <w:proofErr w:type="spellStart"/>
      <w:r>
        <w:rPr>
          <w:rFonts w:ascii="Perpetua" w:hAnsi="Perpetua"/>
          <w:sz w:val="26"/>
          <w:szCs w:val="26"/>
        </w:rPr>
        <w:t>armour</w:t>
      </w:r>
      <w:proofErr w:type="spellEnd"/>
      <w:r>
        <w:rPr>
          <w:rFonts w:ascii="Perpetua" w:hAnsi="Perpetua"/>
          <w:sz w:val="26"/>
          <w:szCs w:val="26"/>
        </w:rPr>
        <w:t>’ (II.ii.182-83).</w:t>
      </w:r>
    </w:p>
    <w:p w:rsidR="007550FE" w:rsidRDefault="007550FE" w:rsidP="002F3968">
      <w:pPr>
        <w:tabs>
          <w:tab w:val="left" w:pos="-720"/>
          <w:tab w:val="left" w:pos="0"/>
        </w:tabs>
        <w:suppressAutoHyphens/>
        <w:snapToGrid/>
        <w:spacing w:line="276" w:lineRule="auto"/>
        <w:rPr>
          <w:rFonts w:ascii="Perpetua" w:hAnsi="Perpetua"/>
          <w:sz w:val="26"/>
          <w:szCs w:val="26"/>
        </w:rPr>
      </w:pPr>
    </w:p>
    <w:p w:rsidR="007355E6" w:rsidRDefault="007355E6" w:rsidP="002F3968">
      <w:pPr>
        <w:tabs>
          <w:tab w:val="left" w:pos="-720"/>
          <w:tab w:val="left" w:pos="0"/>
        </w:tabs>
        <w:suppressAutoHyphens/>
        <w:snapToGrid/>
        <w:spacing w:line="276" w:lineRule="auto"/>
        <w:rPr>
          <w:rFonts w:ascii="Perpetua" w:hAnsi="Perpetua"/>
          <w:sz w:val="26"/>
          <w:szCs w:val="26"/>
        </w:rPr>
      </w:pPr>
      <w:r>
        <w:rPr>
          <w:rFonts w:ascii="Perpetua" w:hAnsi="Perpetua"/>
          <w:sz w:val="26"/>
          <w:szCs w:val="26"/>
        </w:rPr>
        <w:t>The concept of the poetic justice of tragedy is sorely tested by this play, as it is by others in the Renaissance, where, as Clifford Leech argues, we do not stop to ask about ‘desert’:</w:t>
      </w:r>
    </w:p>
    <w:p w:rsidR="007355E6" w:rsidRPr="007355E6" w:rsidRDefault="007355E6" w:rsidP="002F3968">
      <w:pPr>
        <w:tabs>
          <w:tab w:val="left" w:pos="-720"/>
          <w:tab w:val="left" w:pos="0"/>
        </w:tabs>
        <w:suppressAutoHyphens/>
        <w:snapToGrid/>
        <w:spacing w:line="276" w:lineRule="auto"/>
        <w:rPr>
          <w:rFonts w:ascii="Perpetua" w:hAnsi="Perpetua"/>
          <w:szCs w:val="24"/>
        </w:rPr>
      </w:pPr>
    </w:p>
    <w:p w:rsidR="007355E6" w:rsidRPr="007355E6" w:rsidRDefault="007355E6" w:rsidP="007355E6">
      <w:pPr>
        <w:tabs>
          <w:tab w:val="left" w:pos="-720"/>
          <w:tab w:val="left" w:pos="0"/>
        </w:tabs>
        <w:suppressAutoHyphens/>
        <w:snapToGrid/>
        <w:ind w:left="1134" w:right="1134"/>
        <w:rPr>
          <w:rFonts w:ascii="Perpetua" w:hAnsi="Perpetua" w:cs="Adobe Devanagari"/>
          <w:spacing w:val="-3"/>
          <w:szCs w:val="24"/>
          <w:lang w:val="en-GB"/>
        </w:rPr>
      </w:pPr>
      <w:r w:rsidRPr="007355E6">
        <w:rPr>
          <w:rFonts w:ascii="Perpetua" w:hAnsi="Perpetua"/>
          <w:szCs w:val="24"/>
        </w:rPr>
        <w:t xml:space="preserve">Nor do </w:t>
      </w:r>
      <w:proofErr w:type="gramStart"/>
      <w:r w:rsidRPr="007355E6">
        <w:rPr>
          <w:rFonts w:ascii="Perpetua" w:hAnsi="Perpetua"/>
          <w:szCs w:val="24"/>
        </w:rPr>
        <w:t>we</w:t>
      </w:r>
      <w:proofErr w:type="gramEnd"/>
      <w:r w:rsidRPr="007355E6">
        <w:rPr>
          <w:rFonts w:ascii="Perpetua" w:hAnsi="Perpetua"/>
          <w:szCs w:val="24"/>
        </w:rPr>
        <w:t xml:space="preserve"> in the scenes of humiliation and barely thinkable torment that Marlowe’s Edward II endured near the end of his tragedy. Of course, he was a weak and careless king who chose his friends as badly as a man could, who played the tyrant and the puppet alternately with his barons. Marlowe goes to the limit here, perhaps, in arousing the characteristic tragic emotion through a central figure who, for the greater part of the play, is remote from our sympathy and can hardly be said anywhere to win our respect, far less our ‘admiration’. Yet in its strange fashion </w:t>
      </w:r>
      <w:r w:rsidRPr="007355E6">
        <w:rPr>
          <w:rFonts w:ascii="Perpetua" w:hAnsi="Perpetua"/>
          <w:i/>
          <w:szCs w:val="24"/>
        </w:rPr>
        <w:t>Edward II</w:t>
      </w:r>
      <w:r w:rsidRPr="007355E6">
        <w:rPr>
          <w:rFonts w:ascii="Perpetua" w:hAnsi="Perpetua"/>
          <w:szCs w:val="24"/>
        </w:rPr>
        <w:t xml:space="preserve"> does seem to stay within the tragic Kind.</w:t>
      </w:r>
      <w:r w:rsidRPr="007355E6">
        <w:rPr>
          <w:rStyle w:val="FootnoteReference"/>
          <w:rFonts w:ascii="Perpetua" w:hAnsi="Perpetua"/>
          <w:szCs w:val="24"/>
        </w:rPr>
        <w:footnoteReference w:id="29"/>
      </w:r>
    </w:p>
    <w:p w:rsidR="00A95B40" w:rsidRPr="007355E6" w:rsidRDefault="00A95B40" w:rsidP="00A95B40">
      <w:pPr>
        <w:tabs>
          <w:tab w:val="left" w:pos="-720"/>
          <w:tab w:val="left" w:pos="0"/>
        </w:tabs>
        <w:suppressAutoHyphens/>
        <w:snapToGrid/>
        <w:spacing w:line="276" w:lineRule="auto"/>
        <w:rPr>
          <w:rFonts w:ascii="Perpetua" w:hAnsi="Perpetua" w:cs="Adobe Devanagari"/>
          <w:spacing w:val="-3"/>
          <w:szCs w:val="24"/>
          <w:lang w:val="en-GB"/>
        </w:rPr>
      </w:pPr>
    </w:p>
    <w:p w:rsidR="00097604" w:rsidRDefault="007355E6"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 xml:space="preserve">Stephen </w:t>
      </w:r>
      <w:r w:rsidR="00AE7659" w:rsidRPr="00AE7659">
        <w:rPr>
          <w:rFonts w:ascii="Perpetua" w:hAnsi="Perpetua"/>
          <w:sz w:val="26"/>
          <w:szCs w:val="26"/>
        </w:rPr>
        <w:t>Greenblatt argues that by embracing what society deems evil,</w:t>
      </w:r>
      <w:r w:rsidR="002901AA">
        <w:rPr>
          <w:rFonts w:ascii="Perpetua" w:hAnsi="Perpetua"/>
          <w:sz w:val="26"/>
          <w:szCs w:val="26"/>
        </w:rPr>
        <w:t xml:space="preserve"> the heroes of</w:t>
      </w:r>
      <w:r w:rsidR="00AE7659" w:rsidRPr="00AE7659">
        <w:rPr>
          <w:rFonts w:ascii="Perpetua" w:hAnsi="Perpetua"/>
          <w:sz w:val="26"/>
          <w:szCs w:val="26"/>
        </w:rPr>
        <w:t xml:space="preserve"> Marlowe’s </w:t>
      </w:r>
      <w:r w:rsidR="002901AA">
        <w:rPr>
          <w:rFonts w:ascii="Perpetua" w:hAnsi="Perpetua"/>
          <w:sz w:val="26"/>
          <w:szCs w:val="26"/>
        </w:rPr>
        <w:t>plays</w:t>
      </w:r>
      <w:r w:rsidR="00AE7659" w:rsidRPr="00AE7659">
        <w:rPr>
          <w:rFonts w:ascii="Perpetua" w:hAnsi="Perpetua"/>
          <w:sz w:val="26"/>
          <w:szCs w:val="26"/>
        </w:rPr>
        <w:t xml:space="preserve"> have unwittingly accepted crucial structural elements of society</w:t>
      </w:r>
      <w:r w:rsidR="00097604">
        <w:rPr>
          <w:rFonts w:ascii="Perpetua" w:hAnsi="Perpetua"/>
          <w:sz w:val="26"/>
          <w:szCs w:val="26"/>
        </w:rPr>
        <w:t>, which include binary oppositions, that is, polarized terms that are defined by their opposition to each other</w:t>
      </w:r>
      <w:r w:rsidR="00AE7659" w:rsidRPr="00AE7659">
        <w:rPr>
          <w:rFonts w:ascii="Perpetua" w:hAnsi="Perpetua"/>
          <w:sz w:val="26"/>
          <w:szCs w:val="26"/>
        </w:rPr>
        <w:t>.</w:t>
      </w:r>
      <w:r w:rsidR="00097604">
        <w:rPr>
          <w:rFonts w:ascii="Perpetua" w:hAnsi="Perpetua"/>
          <w:sz w:val="26"/>
          <w:szCs w:val="26"/>
        </w:rPr>
        <w:t xml:space="preserve"> </w:t>
      </w:r>
      <w:r w:rsidR="00097604" w:rsidRPr="00097604">
        <w:rPr>
          <w:rFonts w:ascii="Perpetua" w:hAnsi="Perpetua"/>
          <w:sz w:val="26"/>
          <w:szCs w:val="26"/>
        </w:rPr>
        <w:t xml:space="preserve">Binary oppositions </w:t>
      </w:r>
      <w:r w:rsidR="00097604" w:rsidRPr="00AE7659">
        <w:rPr>
          <w:rFonts w:ascii="Perpetua" w:hAnsi="Perpetua"/>
          <w:sz w:val="26"/>
          <w:szCs w:val="26"/>
        </w:rPr>
        <w:t xml:space="preserve">arise only by repressing differences within the opposed terms or entities. By </w:t>
      </w:r>
      <w:r w:rsidR="00097604" w:rsidRPr="00AE7659">
        <w:rPr>
          <w:rFonts w:ascii="Perpetua" w:hAnsi="Perpetua"/>
          <w:i/>
          <w:sz w:val="26"/>
          <w:szCs w:val="26"/>
        </w:rPr>
        <w:t>opposing</w:t>
      </w:r>
      <w:r w:rsidR="00097604" w:rsidRPr="00AE7659">
        <w:rPr>
          <w:rFonts w:ascii="Perpetua" w:hAnsi="Perpetua"/>
          <w:sz w:val="26"/>
          <w:szCs w:val="26"/>
        </w:rPr>
        <w:t xml:space="preserve">, one may unwittingly accept crucial structural elements of society and the associated value systems, and therefore </w:t>
      </w:r>
      <w:r w:rsidR="00097604">
        <w:rPr>
          <w:rFonts w:ascii="Perpetua" w:hAnsi="Perpetua"/>
          <w:sz w:val="26"/>
          <w:szCs w:val="26"/>
        </w:rPr>
        <w:t>genuine</w:t>
      </w:r>
      <w:r w:rsidR="00097604" w:rsidRPr="00AE7659">
        <w:rPr>
          <w:rFonts w:ascii="Perpetua" w:hAnsi="Perpetua"/>
          <w:sz w:val="26"/>
          <w:szCs w:val="26"/>
        </w:rPr>
        <w:t xml:space="preserve"> subversion is contained.</w:t>
      </w:r>
      <w:r w:rsidR="00AE7659" w:rsidRPr="00AE7659">
        <w:rPr>
          <w:rFonts w:ascii="Perpetua" w:hAnsi="Perpetua"/>
          <w:sz w:val="26"/>
          <w:szCs w:val="26"/>
        </w:rPr>
        <w:t xml:space="preserve"> For Greenblatt, what is at issue is not the power to disobey, but ‘the characteristic modes of desire and fear produced by a given society, and the rebellious heroes never depart from those modes’.</w:t>
      </w:r>
      <w:r w:rsidR="00AE7659">
        <w:rPr>
          <w:rStyle w:val="FootnoteReference"/>
          <w:rFonts w:ascii="Perpetua" w:hAnsi="Perpetua"/>
          <w:sz w:val="26"/>
          <w:szCs w:val="26"/>
        </w:rPr>
        <w:footnoteReference w:id="30"/>
      </w:r>
      <w:r w:rsidR="00AE7659" w:rsidRPr="00AE7659">
        <w:rPr>
          <w:rFonts w:ascii="Perpetua" w:hAnsi="Perpetua"/>
          <w:sz w:val="26"/>
          <w:szCs w:val="26"/>
        </w:rPr>
        <w:t xml:space="preserve"> </w:t>
      </w:r>
      <w:r w:rsidR="002901AA" w:rsidRPr="002901AA">
        <w:rPr>
          <w:rFonts w:ascii="Perpetua" w:hAnsi="Perpetua"/>
          <w:sz w:val="26"/>
          <w:szCs w:val="26"/>
        </w:rPr>
        <w:t xml:space="preserve">Transgression in the form </w:t>
      </w:r>
      <w:r w:rsidR="002901AA" w:rsidRPr="002901AA">
        <w:rPr>
          <w:rFonts w:ascii="Perpetua" w:hAnsi="Perpetua"/>
          <w:sz w:val="26"/>
          <w:szCs w:val="26"/>
        </w:rPr>
        <w:lastRenderedPageBreak/>
        <w:t>of Edward’s</w:t>
      </w:r>
      <w:r w:rsidR="002901AA">
        <w:rPr>
          <w:rFonts w:ascii="Perpetua" w:hAnsi="Perpetua"/>
          <w:sz w:val="26"/>
          <w:szCs w:val="26"/>
        </w:rPr>
        <w:t xml:space="preserve"> purportedly emasculating</w:t>
      </w:r>
      <w:r w:rsidR="002901AA" w:rsidRPr="002901AA">
        <w:rPr>
          <w:rFonts w:ascii="Perpetua" w:hAnsi="Perpetua"/>
          <w:sz w:val="26"/>
          <w:szCs w:val="26"/>
        </w:rPr>
        <w:t xml:space="preserve"> same-sex desire, rather than subverting dominant ideology, may only reinforce it</w:t>
      </w:r>
      <w:r w:rsidR="002901AA">
        <w:rPr>
          <w:rFonts w:ascii="Perpetua" w:hAnsi="Perpetua"/>
          <w:sz w:val="26"/>
          <w:szCs w:val="26"/>
        </w:rPr>
        <w:t>,</w:t>
      </w:r>
      <w:r w:rsidR="002901AA" w:rsidRPr="002901AA">
        <w:rPr>
          <w:rFonts w:ascii="Perpetua" w:hAnsi="Perpetua"/>
          <w:sz w:val="26"/>
          <w:szCs w:val="26"/>
        </w:rPr>
        <w:t xml:space="preserve"> if the king is found to be wanting as a king, to lack gravity and </w:t>
      </w:r>
      <w:r w:rsidR="002F3968">
        <w:rPr>
          <w:rFonts w:ascii="Perpetua" w:hAnsi="Perpetua"/>
          <w:sz w:val="26"/>
          <w:szCs w:val="26"/>
        </w:rPr>
        <w:t>responsibility in public office and sternness and courage in war</w:t>
      </w:r>
      <w:r w:rsidR="002901AA" w:rsidRPr="002901AA">
        <w:rPr>
          <w:rFonts w:ascii="Perpetua" w:hAnsi="Perpetua"/>
          <w:sz w:val="26"/>
          <w:szCs w:val="26"/>
        </w:rPr>
        <w:t>.</w:t>
      </w:r>
    </w:p>
    <w:p w:rsidR="00097604" w:rsidRDefault="00097604" w:rsidP="00281AB0">
      <w:pPr>
        <w:tabs>
          <w:tab w:val="left" w:pos="-720"/>
          <w:tab w:val="left" w:pos="0"/>
        </w:tabs>
        <w:suppressAutoHyphens/>
        <w:snapToGrid/>
        <w:spacing w:line="276" w:lineRule="auto"/>
        <w:rPr>
          <w:rFonts w:ascii="Perpetua" w:hAnsi="Perpetua"/>
          <w:sz w:val="26"/>
          <w:szCs w:val="26"/>
        </w:rPr>
      </w:pPr>
    </w:p>
    <w:p w:rsidR="00097604" w:rsidRDefault="00097604" w:rsidP="00281AB0">
      <w:pPr>
        <w:tabs>
          <w:tab w:val="left" w:pos="-720"/>
          <w:tab w:val="left" w:pos="0"/>
        </w:tabs>
        <w:suppressAutoHyphens/>
        <w:snapToGrid/>
        <w:spacing w:line="276" w:lineRule="auto"/>
        <w:rPr>
          <w:rFonts w:ascii="Perpetua" w:hAnsi="Perpetua"/>
          <w:sz w:val="26"/>
          <w:szCs w:val="26"/>
        </w:rPr>
      </w:pPr>
      <w:r>
        <w:rPr>
          <w:rFonts w:ascii="Perpetua" w:hAnsi="Perpetua"/>
          <w:sz w:val="26"/>
          <w:szCs w:val="26"/>
        </w:rPr>
        <w:t xml:space="preserve">By arguing like this, </w:t>
      </w:r>
      <w:r w:rsidRPr="00AE7659">
        <w:rPr>
          <w:rFonts w:ascii="Perpetua" w:hAnsi="Perpetua"/>
          <w:sz w:val="26"/>
          <w:szCs w:val="26"/>
        </w:rPr>
        <w:t>Greenblatt turns Marlowe from a socially destabilizing writer into a socially reinforcing one.</w:t>
      </w:r>
      <w:r>
        <w:rPr>
          <w:rFonts w:ascii="Perpetua" w:hAnsi="Perpetua"/>
          <w:sz w:val="26"/>
          <w:szCs w:val="26"/>
        </w:rPr>
        <w:t xml:space="preserve"> His conclusion suggests that a</w:t>
      </w:r>
      <w:r w:rsidRPr="00AE7659">
        <w:rPr>
          <w:rFonts w:ascii="Perpetua" w:hAnsi="Perpetua"/>
          <w:sz w:val="26"/>
          <w:szCs w:val="26"/>
        </w:rPr>
        <w:t xml:space="preserve"> critical method and a language adequate to describe culture participate</w:t>
      </w:r>
      <w:r>
        <w:rPr>
          <w:rFonts w:ascii="Perpetua" w:hAnsi="Perpetua"/>
          <w:sz w:val="26"/>
          <w:szCs w:val="26"/>
        </w:rPr>
        <w:t>s</w:t>
      </w:r>
      <w:r w:rsidRPr="00AE7659">
        <w:rPr>
          <w:rFonts w:ascii="Perpetua" w:hAnsi="Perpetua"/>
          <w:sz w:val="26"/>
          <w:szCs w:val="26"/>
        </w:rPr>
        <w:t xml:space="preserve"> in the economy they describe</w:t>
      </w:r>
      <w:r>
        <w:rPr>
          <w:rFonts w:ascii="Perpetua" w:hAnsi="Perpetua"/>
          <w:sz w:val="26"/>
          <w:szCs w:val="26"/>
        </w:rPr>
        <w:t>, and that e</w:t>
      </w:r>
      <w:r w:rsidRPr="00AE7659">
        <w:rPr>
          <w:rFonts w:ascii="Perpetua" w:hAnsi="Perpetua"/>
          <w:sz w:val="26"/>
          <w:szCs w:val="26"/>
        </w:rPr>
        <w:t>very act of unmasking, critique, and opposition uses the tools it condemns and risks falling prey to the practice it exposes.</w:t>
      </w:r>
    </w:p>
    <w:p w:rsidR="00B60993" w:rsidRDefault="00B60993" w:rsidP="00281AB0">
      <w:pPr>
        <w:tabs>
          <w:tab w:val="left" w:pos="-720"/>
          <w:tab w:val="left" w:pos="0"/>
        </w:tabs>
        <w:suppressAutoHyphens/>
        <w:snapToGrid/>
        <w:spacing w:line="276" w:lineRule="auto"/>
        <w:rPr>
          <w:rFonts w:ascii="Perpetua" w:hAnsi="Perpetua"/>
          <w:sz w:val="26"/>
          <w:szCs w:val="26"/>
        </w:rPr>
      </w:pPr>
    </w:p>
    <w:p w:rsidR="00281AB0"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281AB0">
        <w:rPr>
          <w:rFonts w:ascii="Perpetua" w:hAnsi="Perpetua" w:cs="Adobe Devanagari"/>
          <w:b/>
          <w:spacing w:val="-3"/>
          <w:sz w:val="26"/>
          <w:szCs w:val="26"/>
          <w:lang w:val="en-GB"/>
        </w:rPr>
        <w:t xml:space="preserve">The ambiguous </w:t>
      </w:r>
      <w:proofErr w:type="spellStart"/>
      <w:r w:rsidRPr="00281AB0">
        <w:rPr>
          <w:rFonts w:ascii="Perpetua" w:hAnsi="Perpetua" w:cs="Adobe Devanagari"/>
          <w:b/>
          <w:spacing w:val="-3"/>
          <w:sz w:val="26"/>
          <w:szCs w:val="26"/>
          <w:lang w:val="en-GB"/>
        </w:rPr>
        <w:t>erotics</w:t>
      </w:r>
      <w:proofErr w:type="spellEnd"/>
      <w:r w:rsidRPr="00281AB0">
        <w:rPr>
          <w:rFonts w:ascii="Perpetua" w:hAnsi="Perpetua" w:cs="Adobe Devanagari"/>
          <w:b/>
          <w:spacing w:val="-3"/>
          <w:sz w:val="26"/>
          <w:szCs w:val="26"/>
          <w:lang w:val="en-GB"/>
        </w:rPr>
        <w:t xml:space="preserve"> of theatrical transvestism</w:t>
      </w:r>
    </w:p>
    <w:p w:rsidR="00043EC5" w:rsidRPr="00043EC5" w:rsidRDefault="00043EC5"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Default="00043EC5" w:rsidP="00281AB0">
      <w:pPr>
        <w:tabs>
          <w:tab w:val="left" w:pos="-720"/>
          <w:tab w:val="left" w:pos="0"/>
        </w:tabs>
        <w:suppressAutoHyphens/>
        <w:snapToGrid/>
        <w:spacing w:line="276" w:lineRule="auto"/>
        <w:rPr>
          <w:rFonts w:ascii="Perpetua" w:hAnsi="Perpetua" w:cs="Adobe Devanagari"/>
          <w:spacing w:val="-3"/>
          <w:sz w:val="26"/>
          <w:szCs w:val="26"/>
          <w:lang w:val="en-GB"/>
        </w:rPr>
      </w:pPr>
      <w:r w:rsidRPr="00043EC5">
        <w:rPr>
          <w:rFonts w:ascii="Perpetua" w:hAnsi="Perpetua" w:cs="Adobe Devanagari"/>
          <w:spacing w:val="-3"/>
          <w:sz w:val="26"/>
          <w:szCs w:val="26"/>
          <w:lang w:val="en-GB"/>
        </w:rPr>
        <w:t xml:space="preserve">When </w:t>
      </w:r>
      <w:proofErr w:type="spellStart"/>
      <w:r>
        <w:rPr>
          <w:rFonts w:ascii="Perpetua" w:hAnsi="Perpetua" w:cs="Adobe Devanagari"/>
          <w:spacing w:val="-3"/>
          <w:sz w:val="26"/>
          <w:szCs w:val="26"/>
          <w:lang w:val="en-GB"/>
        </w:rPr>
        <w:t>Gaveston</w:t>
      </w:r>
      <w:proofErr w:type="spellEnd"/>
      <w:r>
        <w:rPr>
          <w:rFonts w:ascii="Perpetua" w:hAnsi="Perpetua" w:cs="Adobe Devanagari"/>
          <w:spacing w:val="-3"/>
          <w:sz w:val="26"/>
          <w:szCs w:val="26"/>
          <w:lang w:val="en-GB"/>
        </w:rPr>
        <w:t xml:space="preserve"> proposes to ‘draw the pliant king which way I please’, he tells the audience that he will devise erotic masques featuring </w:t>
      </w:r>
      <w:r w:rsidR="0033174F">
        <w:rPr>
          <w:rFonts w:ascii="Perpetua" w:hAnsi="Perpetua" w:cs="Adobe Devanagari"/>
          <w:spacing w:val="-3"/>
          <w:sz w:val="26"/>
          <w:szCs w:val="26"/>
          <w:lang w:val="en-GB"/>
        </w:rPr>
        <w:t xml:space="preserve">‘a lovely boy in Dian’s shape / […] </w:t>
      </w:r>
      <w:proofErr w:type="gramStart"/>
      <w:r w:rsidR="0033174F">
        <w:rPr>
          <w:rFonts w:ascii="Perpetua" w:hAnsi="Perpetua" w:cs="Adobe Devanagari"/>
          <w:spacing w:val="-3"/>
          <w:sz w:val="26"/>
          <w:szCs w:val="26"/>
          <w:lang w:val="en-GB"/>
        </w:rPr>
        <w:t>And</w:t>
      </w:r>
      <w:proofErr w:type="gramEnd"/>
      <w:r w:rsidR="0033174F">
        <w:rPr>
          <w:rFonts w:ascii="Perpetua" w:hAnsi="Perpetua" w:cs="Adobe Devanagari"/>
          <w:spacing w:val="-3"/>
          <w:sz w:val="26"/>
          <w:szCs w:val="26"/>
          <w:lang w:val="en-GB"/>
        </w:rPr>
        <w:t xml:space="preserve"> in his </w:t>
      </w:r>
      <w:proofErr w:type="spellStart"/>
      <w:r w:rsidR="0033174F">
        <w:rPr>
          <w:rFonts w:ascii="Perpetua" w:hAnsi="Perpetua" w:cs="Adobe Devanagari"/>
          <w:spacing w:val="-3"/>
          <w:sz w:val="26"/>
          <w:szCs w:val="26"/>
          <w:lang w:val="en-GB"/>
        </w:rPr>
        <w:t>sportful</w:t>
      </w:r>
      <w:proofErr w:type="spellEnd"/>
      <w:r w:rsidR="0033174F">
        <w:rPr>
          <w:rFonts w:ascii="Perpetua" w:hAnsi="Perpetua" w:cs="Adobe Devanagari"/>
          <w:spacing w:val="-3"/>
          <w:sz w:val="26"/>
          <w:szCs w:val="26"/>
          <w:lang w:val="en-GB"/>
        </w:rPr>
        <w:t xml:space="preserve"> hands an olive tree / To hide those parts which men delight to see’, for such things ‘best please his majesty’ (I.i.52-70).</w:t>
      </w:r>
    </w:p>
    <w:p w:rsidR="005E57CF" w:rsidRPr="005E57CF" w:rsidRDefault="005E57CF" w:rsidP="005E57CF">
      <w:pPr>
        <w:tabs>
          <w:tab w:val="left" w:pos="-720"/>
          <w:tab w:val="left" w:pos="0"/>
        </w:tabs>
        <w:suppressAutoHyphens/>
        <w:snapToGrid/>
        <w:ind w:left="1134" w:right="1134"/>
        <w:rPr>
          <w:rFonts w:ascii="Perpetua" w:hAnsi="Perpetua" w:cs="Adobe Devanagari"/>
          <w:spacing w:val="-3"/>
          <w:szCs w:val="24"/>
          <w:lang w:val="en-GB"/>
        </w:rPr>
      </w:pPr>
    </w:p>
    <w:p w:rsidR="005E57CF" w:rsidRPr="005E57CF" w:rsidRDefault="005E57CF" w:rsidP="005E57CF">
      <w:pPr>
        <w:tabs>
          <w:tab w:val="left" w:pos="-720"/>
          <w:tab w:val="left" w:pos="0"/>
        </w:tabs>
        <w:suppressAutoHyphens/>
        <w:snapToGrid/>
        <w:ind w:left="1134" w:right="1134"/>
        <w:rPr>
          <w:rFonts w:ascii="Perpetua" w:hAnsi="Perpetua" w:cs="Adobe Devanagari"/>
          <w:spacing w:val="-3"/>
          <w:szCs w:val="24"/>
          <w:lang w:val="en-GB"/>
        </w:rPr>
      </w:pPr>
      <w:r w:rsidRPr="005E57CF">
        <w:rPr>
          <w:rFonts w:ascii="Perpetua" w:hAnsi="Perpetua" w:cs="Adobe Devanagari"/>
          <w:spacing w:val="-3"/>
          <w:szCs w:val="24"/>
          <w:lang w:val="en-GB"/>
        </w:rPr>
        <w:t xml:space="preserve">Almost all critics see this as a scene of male-male desire in which the imagined boy is meant to arouse male spectators sexually and delight a homosexual monarch. Surely they are right. Simultaneously, Marlowe reflects brilliantly here on the generally ambiguous </w:t>
      </w:r>
      <w:proofErr w:type="spellStart"/>
      <w:r w:rsidRPr="005E57CF">
        <w:rPr>
          <w:rFonts w:ascii="Perpetua" w:hAnsi="Perpetua" w:cs="Adobe Devanagari"/>
          <w:spacing w:val="-3"/>
          <w:szCs w:val="24"/>
          <w:lang w:val="en-GB"/>
        </w:rPr>
        <w:t>erotics</w:t>
      </w:r>
      <w:proofErr w:type="spellEnd"/>
      <w:r w:rsidRPr="005E57CF">
        <w:rPr>
          <w:rFonts w:ascii="Perpetua" w:hAnsi="Perpetua" w:cs="Adobe Devanagari"/>
          <w:spacing w:val="-3"/>
          <w:szCs w:val="24"/>
          <w:lang w:val="en-GB"/>
        </w:rPr>
        <w:t xml:space="preserve"> of cross-dressed </w:t>
      </w:r>
      <w:proofErr w:type="spellStart"/>
      <w:r w:rsidRPr="005E57CF">
        <w:rPr>
          <w:rFonts w:ascii="Perpetua" w:hAnsi="Perpetua" w:cs="Adobe Devanagari"/>
          <w:spacing w:val="-3"/>
          <w:szCs w:val="24"/>
          <w:lang w:val="en-GB"/>
        </w:rPr>
        <w:t>theater</w:t>
      </w:r>
      <w:proofErr w:type="spellEnd"/>
      <w:r w:rsidRPr="005E57CF">
        <w:rPr>
          <w:rFonts w:ascii="Perpetua" w:hAnsi="Perpetua" w:cs="Adobe Devanagari"/>
          <w:spacing w:val="-3"/>
          <w:szCs w:val="24"/>
          <w:lang w:val="en-GB"/>
        </w:rPr>
        <w:t xml:space="preserve"> in which all female characters are represented by boys, chosen for their androgynous beauty as well as histrionic gifts. The olive tree hides the body’s genitals, but at a further level of representation it also hides the imaginary female genitals of the goddess Diana and, probably, her breasts. The passage asks spectators to reflect on how exactly “those parts which men delight to see” are constituted, particularly when they are both hidden and hinted at by costume or prop.</w:t>
      </w:r>
      <w:r w:rsidRPr="005E57CF">
        <w:rPr>
          <w:rStyle w:val="FootnoteReference"/>
          <w:rFonts w:ascii="Perpetua" w:hAnsi="Perpetua" w:cs="Adobe Devanagari"/>
          <w:spacing w:val="-3"/>
          <w:szCs w:val="24"/>
          <w:lang w:val="en-GB"/>
        </w:rPr>
        <w:footnoteReference w:id="31"/>
      </w:r>
    </w:p>
    <w:p w:rsidR="00281AB0" w:rsidRPr="00043EC5"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Pr="00E25F19"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bookmarkStart w:id="0" w:name="_GoBack"/>
      <w:bookmarkEnd w:id="0"/>
      <w:r w:rsidRPr="00E25F19">
        <w:rPr>
          <w:rFonts w:ascii="Perpetua" w:hAnsi="Perpetua" w:cs="Adobe Devanagari"/>
          <w:b/>
          <w:spacing w:val="-3"/>
          <w:sz w:val="26"/>
          <w:szCs w:val="26"/>
          <w:lang w:val="en-GB"/>
        </w:rPr>
        <w:t xml:space="preserve">Edward’s death as </w:t>
      </w:r>
      <w:proofErr w:type="spellStart"/>
      <w:r w:rsidRPr="00E25F19">
        <w:rPr>
          <w:rFonts w:ascii="Perpetua" w:hAnsi="Perpetua" w:cs="Adobe Devanagari"/>
          <w:b/>
          <w:spacing w:val="-3"/>
          <w:sz w:val="26"/>
          <w:szCs w:val="26"/>
          <w:lang w:val="en-GB"/>
        </w:rPr>
        <w:t>Dantesque</w:t>
      </w:r>
      <w:proofErr w:type="spellEnd"/>
      <w:r w:rsidRPr="00E25F19">
        <w:rPr>
          <w:rFonts w:ascii="Perpetua" w:hAnsi="Perpetua" w:cs="Adobe Devanagari"/>
          <w:b/>
          <w:spacing w:val="-3"/>
          <w:sz w:val="26"/>
          <w:szCs w:val="26"/>
          <w:lang w:val="en-GB"/>
        </w:rPr>
        <w:t xml:space="preserve"> </w:t>
      </w:r>
      <w:proofErr w:type="spellStart"/>
      <w:r w:rsidRPr="00E25F19">
        <w:rPr>
          <w:rFonts w:ascii="Perpetua" w:hAnsi="Perpetua" w:cs="Adobe Devanagari"/>
          <w:b/>
          <w:i/>
          <w:spacing w:val="-3"/>
          <w:sz w:val="26"/>
          <w:szCs w:val="26"/>
          <w:lang w:val="en-GB"/>
        </w:rPr>
        <w:t>contrapasso</w:t>
      </w:r>
      <w:proofErr w:type="spellEnd"/>
      <w:r w:rsidRPr="00E25F19">
        <w:rPr>
          <w:rFonts w:ascii="Perpetua" w:hAnsi="Perpetua" w:cs="Adobe Devanagari"/>
          <w:b/>
          <w:spacing w:val="-3"/>
          <w:sz w:val="26"/>
          <w:szCs w:val="26"/>
          <w:lang w:val="en-GB"/>
        </w:rPr>
        <w:t xml:space="preserve"> and violation of the sacred person of the king</w:t>
      </w:r>
    </w:p>
    <w:p w:rsidR="00281AB0" w:rsidRDefault="00281AB0" w:rsidP="00281AB0">
      <w:pPr>
        <w:tabs>
          <w:tab w:val="left" w:pos="-720"/>
          <w:tab w:val="left" w:pos="0"/>
        </w:tabs>
        <w:suppressAutoHyphens/>
        <w:snapToGrid/>
        <w:spacing w:line="276" w:lineRule="auto"/>
        <w:rPr>
          <w:rFonts w:ascii="Perpetua" w:hAnsi="Perpetua" w:cs="Adobe Devanagari"/>
          <w:b/>
          <w:spacing w:val="-3"/>
          <w:sz w:val="26"/>
          <w:szCs w:val="26"/>
          <w:lang w:val="en-GB"/>
        </w:rPr>
      </w:pPr>
    </w:p>
    <w:p w:rsidR="00DD5B37" w:rsidRDefault="00DD5B37" w:rsidP="00DD5B37">
      <w:pPr>
        <w:tabs>
          <w:tab w:val="left" w:pos="-720"/>
          <w:tab w:val="left" w:pos="0"/>
        </w:tabs>
        <w:suppressAutoHyphens/>
        <w:snapToGrid/>
        <w:spacing w:line="276" w:lineRule="auto"/>
        <w:rPr>
          <w:rFonts w:ascii="Perpetua" w:hAnsi="Perpetua"/>
          <w:sz w:val="26"/>
          <w:szCs w:val="26"/>
        </w:rPr>
      </w:pPr>
      <w:r w:rsidRPr="00AE7659">
        <w:rPr>
          <w:rFonts w:ascii="Perpetua" w:hAnsi="Perpetua"/>
          <w:sz w:val="26"/>
          <w:szCs w:val="26"/>
        </w:rPr>
        <w:t>Perhaps the</w:t>
      </w:r>
      <w:r>
        <w:rPr>
          <w:rFonts w:ascii="Perpetua" w:hAnsi="Perpetua"/>
          <w:sz w:val="26"/>
          <w:szCs w:val="26"/>
        </w:rPr>
        <w:t xml:space="preserve"> manner of the</w:t>
      </w:r>
      <w:r w:rsidRPr="00AE7659">
        <w:rPr>
          <w:rFonts w:ascii="Perpetua" w:hAnsi="Perpetua"/>
          <w:sz w:val="26"/>
          <w:szCs w:val="26"/>
        </w:rPr>
        <w:t xml:space="preserve"> execution of the King enforces the identity of sodomite upon him and so</w:t>
      </w:r>
      <w:r>
        <w:rPr>
          <w:rFonts w:ascii="Perpetua" w:hAnsi="Perpetua"/>
          <w:sz w:val="26"/>
          <w:szCs w:val="26"/>
        </w:rPr>
        <w:t xml:space="preserve"> further</w:t>
      </w:r>
      <w:r w:rsidRPr="00AE7659">
        <w:rPr>
          <w:rFonts w:ascii="Perpetua" w:hAnsi="Perpetua"/>
          <w:sz w:val="26"/>
          <w:szCs w:val="26"/>
        </w:rPr>
        <w:t xml:space="preserve"> justifies his removal from power</w:t>
      </w:r>
      <w:r>
        <w:rPr>
          <w:rFonts w:ascii="Perpetua" w:hAnsi="Perpetua"/>
          <w:sz w:val="26"/>
          <w:szCs w:val="26"/>
        </w:rPr>
        <w:t xml:space="preserve"> by Mortimer.</w:t>
      </w:r>
      <w:r w:rsidR="002B3E25">
        <w:rPr>
          <w:rFonts w:ascii="Perpetua" w:hAnsi="Perpetua"/>
          <w:sz w:val="26"/>
          <w:szCs w:val="26"/>
        </w:rPr>
        <w:t xml:space="preserve"> It is described by Lars Engle as ‘a </w:t>
      </w:r>
      <w:proofErr w:type="spellStart"/>
      <w:r w:rsidR="002B3E25">
        <w:rPr>
          <w:rFonts w:ascii="Perpetua" w:hAnsi="Perpetua"/>
          <w:sz w:val="26"/>
          <w:szCs w:val="26"/>
        </w:rPr>
        <w:t>Dantesque</w:t>
      </w:r>
      <w:proofErr w:type="spellEnd"/>
      <w:r w:rsidR="002B3E25">
        <w:rPr>
          <w:rFonts w:ascii="Perpetua" w:hAnsi="Perpetua"/>
          <w:sz w:val="26"/>
          <w:szCs w:val="26"/>
        </w:rPr>
        <w:t xml:space="preserve"> </w:t>
      </w:r>
      <w:proofErr w:type="spellStart"/>
      <w:r w:rsidR="002B3E25">
        <w:rPr>
          <w:rFonts w:ascii="Perpetua" w:hAnsi="Perpetua"/>
          <w:i/>
          <w:sz w:val="26"/>
          <w:szCs w:val="26"/>
        </w:rPr>
        <w:t>contrapasso</w:t>
      </w:r>
      <w:proofErr w:type="spellEnd"/>
      <w:r w:rsidR="002B3E25">
        <w:rPr>
          <w:rFonts w:ascii="Perpetua" w:hAnsi="Perpetua"/>
          <w:sz w:val="26"/>
          <w:szCs w:val="26"/>
        </w:rPr>
        <w:t>: a form of punishment that reenacts the sin it punishes’.</w:t>
      </w:r>
      <w:r w:rsidR="002B3E25">
        <w:rPr>
          <w:rStyle w:val="FootnoteReference"/>
          <w:rFonts w:ascii="Perpetua" w:hAnsi="Perpetua"/>
          <w:sz w:val="26"/>
          <w:szCs w:val="26"/>
        </w:rPr>
        <w:footnoteReference w:id="32"/>
      </w:r>
      <w:r>
        <w:rPr>
          <w:rFonts w:ascii="Perpetua" w:hAnsi="Perpetua"/>
          <w:sz w:val="26"/>
          <w:szCs w:val="26"/>
        </w:rPr>
        <w:t xml:space="preserve"> </w:t>
      </w:r>
      <w:r w:rsidRPr="00AE7659">
        <w:rPr>
          <w:rFonts w:ascii="Perpetua" w:hAnsi="Perpetua"/>
          <w:sz w:val="26"/>
          <w:szCs w:val="26"/>
        </w:rPr>
        <w:t>Prior to executing Edward in</w:t>
      </w:r>
      <w:r>
        <w:rPr>
          <w:rFonts w:ascii="Perpetua" w:hAnsi="Perpetua"/>
          <w:sz w:val="26"/>
          <w:szCs w:val="26"/>
        </w:rPr>
        <w:t xml:space="preserve"> a</w:t>
      </w:r>
      <w:r w:rsidRPr="00AE7659">
        <w:rPr>
          <w:rFonts w:ascii="Perpetua" w:hAnsi="Perpetua"/>
          <w:sz w:val="26"/>
          <w:szCs w:val="26"/>
        </w:rPr>
        <w:t xml:space="preserve"> foul parody of sodo</w:t>
      </w:r>
      <w:r w:rsidRPr="009B5C96">
        <w:rPr>
          <w:rFonts w:ascii="Perpetua" w:hAnsi="Perpetua"/>
          <w:sz w:val="26"/>
          <w:szCs w:val="26"/>
        </w:rPr>
        <w:t xml:space="preserve">my, </w:t>
      </w:r>
      <w:proofErr w:type="spellStart"/>
      <w:r w:rsidRPr="009B5C96">
        <w:rPr>
          <w:rFonts w:ascii="Perpetua" w:hAnsi="Perpetua"/>
          <w:sz w:val="26"/>
          <w:szCs w:val="26"/>
        </w:rPr>
        <w:t>Lightborn</w:t>
      </w:r>
      <w:proofErr w:type="spellEnd"/>
      <w:r w:rsidRPr="009B5C96">
        <w:rPr>
          <w:rFonts w:ascii="Perpetua" w:hAnsi="Perpetua"/>
          <w:sz w:val="26"/>
          <w:szCs w:val="26"/>
        </w:rPr>
        <w:t xml:space="preserve"> says to the King: ‘Far is it from my heart to do you harm’ (V.v.47).</w:t>
      </w:r>
      <w:r>
        <w:rPr>
          <w:rFonts w:ascii="Perpetua" w:hAnsi="Perpetua"/>
          <w:sz w:val="26"/>
          <w:szCs w:val="26"/>
        </w:rPr>
        <w:t xml:space="preserve"> Is this not just one of the play’s many untrustworthy expressions of intention and feeling; perhaps the most shocking of all. ‘</w:t>
      </w:r>
      <w:proofErr w:type="spellStart"/>
      <w:r>
        <w:rPr>
          <w:rFonts w:ascii="Perpetua" w:hAnsi="Perpetua"/>
          <w:sz w:val="26"/>
          <w:szCs w:val="26"/>
        </w:rPr>
        <w:t>Lightborn</w:t>
      </w:r>
      <w:proofErr w:type="spellEnd"/>
      <w:r>
        <w:rPr>
          <w:rFonts w:ascii="Perpetua" w:hAnsi="Perpetua"/>
          <w:sz w:val="26"/>
          <w:szCs w:val="26"/>
        </w:rPr>
        <w:t xml:space="preserve">’ is a translation of Lucifer, but also the name of a boastful angel expelled with Lucifer from heaven in the first play of the Chester cycle of mystery plays. Edward </w:t>
      </w:r>
      <w:r>
        <w:rPr>
          <w:rFonts w:ascii="Perpetua" w:hAnsi="Perpetua"/>
          <w:sz w:val="26"/>
          <w:szCs w:val="26"/>
        </w:rPr>
        <w:t xml:space="preserve">has </w:t>
      </w:r>
      <w:r>
        <w:rPr>
          <w:rFonts w:ascii="Perpetua" w:hAnsi="Perpetua"/>
          <w:sz w:val="26"/>
          <w:szCs w:val="26"/>
        </w:rPr>
        <w:t>exist</w:t>
      </w:r>
      <w:r>
        <w:rPr>
          <w:rFonts w:ascii="Perpetua" w:hAnsi="Perpetua"/>
          <w:sz w:val="26"/>
          <w:szCs w:val="26"/>
        </w:rPr>
        <w:t>ed</w:t>
      </w:r>
      <w:r>
        <w:rPr>
          <w:rFonts w:ascii="Perpetua" w:hAnsi="Perpetua"/>
          <w:sz w:val="26"/>
          <w:szCs w:val="26"/>
        </w:rPr>
        <w:t xml:space="preserve"> at last in ‘a hell of grief’ (V.v.89).</w:t>
      </w:r>
      <w:r>
        <w:rPr>
          <w:rFonts w:ascii="Perpetua" w:hAnsi="Perpetua"/>
          <w:sz w:val="26"/>
          <w:szCs w:val="26"/>
        </w:rPr>
        <w:t xml:space="preserve"> </w:t>
      </w:r>
    </w:p>
    <w:p w:rsidR="00DD5B37" w:rsidRDefault="00DD5B37" w:rsidP="00DD5B37">
      <w:pPr>
        <w:tabs>
          <w:tab w:val="left" w:pos="-720"/>
          <w:tab w:val="left" w:pos="0"/>
        </w:tabs>
        <w:suppressAutoHyphens/>
        <w:snapToGrid/>
        <w:spacing w:line="276" w:lineRule="auto"/>
        <w:rPr>
          <w:rFonts w:ascii="Perpetua" w:hAnsi="Perpetua"/>
          <w:sz w:val="26"/>
          <w:szCs w:val="26"/>
        </w:rPr>
      </w:pPr>
    </w:p>
    <w:p w:rsidR="00281AB0" w:rsidRDefault="00281AB0" w:rsidP="00281AB0">
      <w:pPr>
        <w:tabs>
          <w:tab w:val="left" w:pos="-720"/>
          <w:tab w:val="left" w:pos="0"/>
        </w:tabs>
        <w:suppressAutoHyphens/>
        <w:snapToGrid/>
        <w:spacing w:line="276" w:lineRule="auto"/>
        <w:rPr>
          <w:rFonts w:ascii="Perpetua" w:hAnsi="Perpetua" w:cs="Adobe Devanagari"/>
          <w:b/>
          <w:spacing w:val="-3"/>
          <w:sz w:val="26"/>
          <w:szCs w:val="26"/>
          <w:lang w:val="en-GB"/>
        </w:rPr>
      </w:pPr>
    </w:p>
    <w:p w:rsidR="00281AB0" w:rsidRDefault="00281AB0" w:rsidP="00281AB0">
      <w:pPr>
        <w:tabs>
          <w:tab w:val="left" w:pos="-720"/>
          <w:tab w:val="left" w:pos="0"/>
        </w:tabs>
        <w:suppressAutoHyphens/>
        <w:snapToGrid/>
        <w:spacing w:line="276" w:lineRule="auto"/>
        <w:rPr>
          <w:rFonts w:ascii="Perpetua" w:hAnsi="Perpetua" w:cs="Adobe Devanagari"/>
          <w:b/>
          <w:spacing w:val="-3"/>
          <w:sz w:val="26"/>
          <w:szCs w:val="26"/>
          <w:lang w:val="en-GB"/>
        </w:rPr>
      </w:pPr>
    </w:p>
    <w:p w:rsidR="00281AB0" w:rsidRPr="00281AB0" w:rsidRDefault="00281AB0" w:rsidP="00281AB0">
      <w:pPr>
        <w:tabs>
          <w:tab w:val="left" w:pos="-720"/>
          <w:tab w:val="left" w:pos="0"/>
        </w:tabs>
        <w:suppressAutoHyphens/>
        <w:snapToGrid/>
        <w:spacing w:line="276" w:lineRule="auto"/>
        <w:rPr>
          <w:rFonts w:ascii="Perpetua" w:hAnsi="Perpetua" w:cs="Adobe Devanagari"/>
          <w:b/>
          <w:spacing w:val="-3"/>
          <w:sz w:val="26"/>
          <w:szCs w:val="26"/>
          <w:lang w:val="en-GB"/>
        </w:rPr>
      </w:pPr>
    </w:p>
    <w:p w:rsidR="00281AB0" w:rsidRPr="00536D7F"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b/>
          <w:spacing w:val="-3"/>
          <w:sz w:val="26"/>
          <w:szCs w:val="26"/>
          <w:lang w:val="en-GB"/>
        </w:rPr>
      </w:pPr>
      <w:r w:rsidRPr="00536D7F">
        <w:rPr>
          <w:rFonts w:ascii="Perpetua" w:hAnsi="Perpetua" w:cs="Adobe Devanagari"/>
          <w:b/>
          <w:spacing w:val="-3"/>
          <w:sz w:val="26"/>
          <w:szCs w:val="26"/>
          <w:lang w:val="en-GB"/>
        </w:rPr>
        <w:t>The play’s interrogation of the purpose and morality of theatre</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Pr="000E0BDC" w:rsidRDefault="000E0BDC" w:rsidP="00281AB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What questions does </w:t>
      </w:r>
      <w:r>
        <w:rPr>
          <w:rFonts w:ascii="Perpetua" w:hAnsi="Perpetua" w:cs="Adobe Devanagari"/>
          <w:i/>
          <w:spacing w:val="-3"/>
          <w:sz w:val="26"/>
          <w:szCs w:val="26"/>
          <w:lang w:val="en-GB"/>
        </w:rPr>
        <w:t>Edward II</w:t>
      </w:r>
      <w:r>
        <w:rPr>
          <w:rFonts w:ascii="Perpetua" w:hAnsi="Perpetua" w:cs="Adobe Devanagari"/>
          <w:spacing w:val="-3"/>
          <w:sz w:val="26"/>
          <w:szCs w:val="26"/>
          <w:lang w:val="en-GB"/>
        </w:rPr>
        <w:t xml:space="preserve"> ask about theatre itself? Consider </w:t>
      </w:r>
      <w:r w:rsidR="00536D7F">
        <w:rPr>
          <w:rFonts w:ascii="Perpetua" w:hAnsi="Perpetua" w:cs="Adobe Devanagari"/>
          <w:spacing w:val="-3"/>
          <w:sz w:val="26"/>
          <w:szCs w:val="26"/>
          <w:lang w:val="en-GB"/>
        </w:rPr>
        <w:t xml:space="preserve">how </w:t>
      </w:r>
      <w:r w:rsidR="00536D7F">
        <w:rPr>
          <w:rFonts w:ascii="Perpetua" w:hAnsi="Perpetua" w:cs="Adobe Devanagari"/>
          <w:spacing w:val="-3"/>
          <w:sz w:val="26"/>
          <w:szCs w:val="26"/>
          <w:lang w:val="en-GB"/>
        </w:rPr>
        <w:t>Edward’s attitude towards his kingship is shaped by its aesthetic and sensual aspects of courtly music and luxury.</w:t>
      </w:r>
      <w:r w:rsidR="00536D7F">
        <w:rPr>
          <w:rFonts w:ascii="Perpetua" w:hAnsi="Perpetua" w:cs="Adobe Devanagari"/>
          <w:spacing w:val="-3"/>
          <w:sz w:val="26"/>
          <w:szCs w:val="26"/>
          <w:lang w:val="en-GB"/>
        </w:rPr>
        <w:t xml:space="preserve"> Consider the play’s many references to attire and to ceremony.</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P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627947" w:rsidRDefault="00281AB0" w:rsidP="00281AB0">
      <w:pPr>
        <w:pStyle w:val="ListParagraph"/>
        <w:numPr>
          <w:ilvl w:val="0"/>
          <w:numId w:val="8"/>
        </w:numPr>
        <w:tabs>
          <w:tab w:val="left" w:pos="-720"/>
          <w:tab w:val="left" w:pos="0"/>
        </w:tabs>
        <w:suppressAutoHyphens/>
        <w:snapToGrid/>
        <w:spacing w:line="276" w:lineRule="auto"/>
        <w:rPr>
          <w:rFonts w:ascii="Perpetua" w:hAnsi="Perpetua" w:cs="Adobe Devanagari"/>
          <w:spacing w:val="-3"/>
          <w:sz w:val="26"/>
          <w:szCs w:val="26"/>
          <w:lang w:val="en-GB"/>
        </w:rPr>
      </w:pPr>
      <w:r w:rsidRPr="000E0BDC">
        <w:rPr>
          <w:rFonts w:ascii="Perpetua" w:hAnsi="Perpetua" w:cs="Adobe Devanagari"/>
          <w:b/>
          <w:spacing w:val="-3"/>
          <w:sz w:val="26"/>
          <w:szCs w:val="26"/>
          <w:lang w:val="en-GB"/>
        </w:rPr>
        <w:t>The Privy Council’s letter of Nov. 12, 1589, to the Archbishop of Canterbury, on political and theological matters in plays.</w:t>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0E0BDC" w:rsidRPr="000E0BDC" w:rsidRDefault="000E0BDC" w:rsidP="000E0BDC">
      <w:pPr>
        <w:tabs>
          <w:tab w:val="left" w:pos="-720"/>
          <w:tab w:val="left" w:pos="0"/>
        </w:tabs>
        <w:suppressAutoHyphens/>
        <w:snapToGrid/>
        <w:ind w:left="1134" w:right="1134"/>
        <w:rPr>
          <w:rFonts w:ascii="Perpetua" w:hAnsi="Perpetua" w:cs="Adobe Devanagari"/>
          <w:spacing w:val="-3"/>
          <w:szCs w:val="24"/>
          <w:lang w:val="en-GB"/>
        </w:rPr>
      </w:pPr>
      <w:r w:rsidRPr="000E0BDC">
        <w:rPr>
          <w:rFonts w:ascii="Perpetua" w:hAnsi="Perpetua" w:cs="Adobe Devanagari"/>
          <w:spacing w:val="-3"/>
          <w:szCs w:val="24"/>
          <w:lang w:val="en-GB"/>
        </w:rPr>
        <w:t xml:space="preserve">Elizabethan historians believed the past they recorded was a looking glass or mirror of the present which held within it both the lessons and the costs of governance. The government agreed that the lessons, and the plays, of history were not innocent matters. On November 12, 1589, the Privy Council wrote to the Archbishop of Canterbury that players were offering their own interpretations of political and theological matters. Surely </w:t>
      </w:r>
      <w:r w:rsidRPr="000E0BDC">
        <w:rPr>
          <w:rFonts w:ascii="Perpetua" w:hAnsi="Perpetua" w:cs="Adobe Devanagari"/>
          <w:i/>
          <w:spacing w:val="-3"/>
          <w:szCs w:val="24"/>
          <w:lang w:val="en-GB"/>
        </w:rPr>
        <w:t>Edward II</w:t>
      </w:r>
      <w:r w:rsidRPr="000E0BDC">
        <w:rPr>
          <w:rFonts w:ascii="Perpetua" w:hAnsi="Perpetua" w:cs="Adobe Devanagari"/>
          <w:spacing w:val="-3"/>
          <w:szCs w:val="24"/>
          <w:lang w:val="en-GB"/>
        </w:rPr>
        <w:t xml:space="preserve"> is a case in point. For one thing, it is one of the first visual </w:t>
      </w:r>
      <w:proofErr w:type="spellStart"/>
      <w:r w:rsidRPr="000E0BDC">
        <w:rPr>
          <w:rFonts w:ascii="Perpetua" w:hAnsi="Perpetua" w:cs="Adobe Devanagari"/>
          <w:spacing w:val="-3"/>
          <w:szCs w:val="24"/>
          <w:lang w:val="en-GB"/>
        </w:rPr>
        <w:t>stagings</w:t>
      </w:r>
      <w:proofErr w:type="spellEnd"/>
      <w:r w:rsidRPr="000E0BDC">
        <w:rPr>
          <w:rFonts w:ascii="Perpetua" w:hAnsi="Perpetua" w:cs="Adobe Devanagari"/>
          <w:spacing w:val="-3"/>
          <w:szCs w:val="24"/>
          <w:lang w:val="en-GB"/>
        </w:rPr>
        <w:t xml:space="preserve"> of the murder of an English monarch. For another, it supplies arguments for opposing the state. For a third, it interjects into a wholly masculinist history the portrait of a Queen who, like Elizabeth I, needs to establish and tailor a regime that is personally satisfying.</w:t>
      </w:r>
      <w:r w:rsidRPr="000E0BDC">
        <w:rPr>
          <w:rStyle w:val="FootnoteReference"/>
          <w:rFonts w:ascii="Perpetua" w:hAnsi="Perpetua" w:cs="Adobe Devanagari"/>
          <w:spacing w:val="-3"/>
          <w:szCs w:val="24"/>
          <w:lang w:val="en-GB"/>
        </w:rPr>
        <w:footnoteReference w:id="33"/>
      </w:r>
    </w:p>
    <w:p w:rsid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p w:rsidR="00281AB0" w:rsidRPr="00281AB0" w:rsidRDefault="00281AB0" w:rsidP="00281AB0">
      <w:pPr>
        <w:tabs>
          <w:tab w:val="left" w:pos="-720"/>
          <w:tab w:val="left" w:pos="0"/>
        </w:tabs>
        <w:suppressAutoHyphens/>
        <w:snapToGrid/>
        <w:spacing w:line="276" w:lineRule="auto"/>
        <w:rPr>
          <w:rFonts w:ascii="Perpetua" w:hAnsi="Perpetua" w:cs="Adobe Devanagari"/>
          <w:spacing w:val="-3"/>
          <w:sz w:val="26"/>
          <w:szCs w:val="26"/>
          <w:lang w:val="en-GB"/>
        </w:rPr>
      </w:pPr>
    </w:p>
    <w:sectPr w:rsidR="00281AB0" w:rsidRPr="00281AB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344" w:rsidRDefault="00556344" w:rsidP="00D43544">
      <w:r>
        <w:separator/>
      </w:r>
    </w:p>
  </w:endnote>
  <w:endnote w:type="continuationSeparator" w:id="0">
    <w:p w:rsidR="00556344" w:rsidRDefault="00556344" w:rsidP="00D4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Adobe Devanagari">
    <w:altName w:val="Mangal"/>
    <w:panose1 w:val="00000000000000000000"/>
    <w:charset w:val="00"/>
    <w:family w:val="roman"/>
    <w:notTrueType/>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195809"/>
      <w:docPartObj>
        <w:docPartGallery w:val="Page Numbers (Bottom of Page)"/>
        <w:docPartUnique/>
      </w:docPartObj>
    </w:sdtPr>
    <w:sdtEndPr>
      <w:rPr>
        <w:noProof/>
      </w:rPr>
    </w:sdtEndPr>
    <w:sdtContent>
      <w:p w:rsidR="00556344" w:rsidRDefault="00556344">
        <w:pPr>
          <w:pStyle w:val="Footer"/>
          <w:jc w:val="center"/>
        </w:pPr>
        <w:r>
          <w:fldChar w:fldCharType="begin"/>
        </w:r>
        <w:r>
          <w:instrText xml:space="preserve"> PAGE   \* MERGEFORMAT </w:instrText>
        </w:r>
        <w:r>
          <w:fldChar w:fldCharType="separate"/>
        </w:r>
        <w:r w:rsidR="00A84F4A">
          <w:rPr>
            <w:noProof/>
          </w:rPr>
          <w:t>9</w:t>
        </w:r>
        <w:r>
          <w:rPr>
            <w:noProof/>
          </w:rPr>
          <w:fldChar w:fldCharType="end"/>
        </w:r>
      </w:p>
    </w:sdtContent>
  </w:sdt>
  <w:p w:rsidR="00556344" w:rsidRDefault="005563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344" w:rsidRDefault="00556344" w:rsidP="00D43544">
      <w:r>
        <w:separator/>
      </w:r>
    </w:p>
  </w:footnote>
  <w:footnote w:type="continuationSeparator" w:id="0">
    <w:p w:rsidR="00556344" w:rsidRDefault="00556344" w:rsidP="00D43544">
      <w:r>
        <w:continuationSeparator/>
      </w:r>
    </w:p>
  </w:footnote>
  <w:footnote w:id="1">
    <w:p w:rsidR="00556344" w:rsidRPr="00D322E5" w:rsidRDefault="00556344">
      <w:pPr>
        <w:pStyle w:val="FootnoteText"/>
        <w:rPr>
          <w:rFonts w:ascii="Perpetua" w:hAnsi="Perpetua"/>
          <w:lang w:val="en-GB"/>
        </w:rPr>
      </w:pPr>
      <w:r w:rsidRPr="00D322E5">
        <w:rPr>
          <w:rStyle w:val="FootnoteReference"/>
          <w:rFonts w:ascii="Perpetua" w:hAnsi="Perpetua"/>
        </w:rPr>
        <w:footnoteRef/>
      </w:r>
      <w:r w:rsidRPr="00D322E5">
        <w:rPr>
          <w:rFonts w:ascii="Perpetua" w:hAnsi="Perpetua"/>
        </w:rPr>
        <w:t xml:space="preserve"> </w:t>
      </w:r>
      <w:r>
        <w:rPr>
          <w:rFonts w:ascii="Perpetua" w:hAnsi="Perpetua"/>
        </w:rPr>
        <w:t xml:space="preserve">Christopher Marlowe, </w:t>
      </w:r>
      <w:r>
        <w:rPr>
          <w:rFonts w:ascii="Perpetua" w:hAnsi="Perpetua"/>
          <w:i/>
        </w:rPr>
        <w:t>Tamburlaine, Parts I and II, Doctor Faustus, A- and B-Texts, The Jew of Malta, Edward II</w:t>
      </w:r>
      <w:r>
        <w:rPr>
          <w:rFonts w:ascii="Perpetua" w:hAnsi="Perpetua"/>
        </w:rPr>
        <w:t xml:space="preserve">, ed. by David </w:t>
      </w:r>
      <w:proofErr w:type="spellStart"/>
      <w:r>
        <w:rPr>
          <w:rFonts w:ascii="Perpetua" w:hAnsi="Perpetua"/>
        </w:rPr>
        <w:t>Bevington</w:t>
      </w:r>
      <w:proofErr w:type="spellEnd"/>
      <w:r>
        <w:rPr>
          <w:rFonts w:ascii="Perpetua" w:hAnsi="Perpetua"/>
        </w:rPr>
        <w:t xml:space="preserve"> and Eric Rasmussen, Oxford World’s Classics series (Oxford: Oxford University Press, 1998), pp. xxix-xxx.</w:t>
      </w:r>
    </w:p>
  </w:footnote>
  <w:footnote w:id="2">
    <w:p w:rsidR="00556344" w:rsidRPr="00043EC5" w:rsidRDefault="00556344">
      <w:pPr>
        <w:pStyle w:val="FootnoteText"/>
        <w:rPr>
          <w:rFonts w:ascii="Perpetua" w:hAnsi="Perpetua"/>
          <w:lang w:val="en-GB"/>
        </w:rPr>
      </w:pPr>
      <w:r w:rsidRPr="00043EC5">
        <w:rPr>
          <w:rStyle w:val="FootnoteReference"/>
          <w:rFonts w:ascii="Perpetua" w:hAnsi="Perpetua"/>
        </w:rPr>
        <w:footnoteRef/>
      </w:r>
      <w:r w:rsidRPr="00043EC5">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xxx.</w:t>
      </w:r>
    </w:p>
  </w:footnote>
  <w:footnote w:id="3">
    <w:p w:rsidR="0040409E" w:rsidRPr="0040409E" w:rsidRDefault="0040409E">
      <w:pPr>
        <w:pStyle w:val="FootnoteText"/>
        <w:rPr>
          <w:rFonts w:ascii="Perpetua" w:hAnsi="Perpetua"/>
          <w:lang w:val="en-GB"/>
        </w:rPr>
      </w:pPr>
      <w:r w:rsidRPr="0040409E">
        <w:rPr>
          <w:rStyle w:val="FootnoteReference"/>
          <w:rFonts w:ascii="Perpetua" w:hAnsi="Perpetua"/>
        </w:rPr>
        <w:footnoteRef/>
      </w:r>
      <w:r w:rsidRPr="0040409E">
        <w:rPr>
          <w:rFonts w:ascii="Perpetua" w:hAnsi="Perpetua"/>
        </w:rPr>
        <w:t xml:space="preserve"> </w:t>
      </w:r>
      <w:r w:rsidR="000F423F">
        <w:rPr>
          <w:rFonts w:ascii="Perpetua" w:hAnsi="Perpetua"/>
          <w:i/>
        </w:rPr>
        <w:t>Renaissance Drama: An Anthology of Plays and Entertainments</w:t>
      </w:r>
      <w:r w:rsidR="000F423F">
        <w:rPr>
          <w:rFonts w:ascii="Perpetua" w:hAnsi="Perpetua"/>
        </w:rPr>
        <w:t xml:space="preserve">, 2nd </w:t>
      </w:r>
      <w:proofErr w:type="spellStart"/>
      <w:r w:rsidR="000F423F">
        <w:rPr>
          <w:rFonts w:ascii="Perpetua" w:hAnsi="Perpetua"/>
        </w:rPr>
        <w:t>edn</w:t>
      </w:r>
      <w:proofErr w:type="spellEnd"/>
      <w:r w:rsidR="000F423F">
        <w:rPr>
          <w:rFonts w:ascii="Perpetua" w:hAnsi="Perpetua"/>
        </w:rPr>
        <w:t>, ed. by Arthur F. Kinney (</w:t>
      </w:r>
      <w:r w:rsidR="000F423F">
        <w:rPr>
          <w:rFonts w:ascii="Perpetua" w:hAnsi="Perpetua"/>
        </w:rPr>
        <w:t>Oxford: Blackwell, 2005), p. 273</w:t>
      </w:r>
      <w:r w:rsidR="000F423F">
        <w:rPr>
          <w:rFonts w:ascii="Perpetua" w:hAnsi="Perpetua"/>
        </w:rPr>
        <w:t>, col. 1.</w:t>
      </w:r>
    </w:p>
  </w:footnote>
  <w:footnote w:id="4">
    <w:p w:rsidR="000F423F" w:rsidRPr="000F423F" w:rsidRDefault="000F423F">
      <w:pPr>
        <w:pStyle w:val="FootnoteText"/>
        <w:rPr>
          <w:rFonts w:ascii="Perpetua" w:hAnsi="Perpetua"/>
          <w:lang w:val="en-GB"/>
        </w:rPr>
      </w:pPr>
      <w:r w:rsidRPr="000F423F">
        <w:rPr>
          <w:rStyle w:val="FootnoteReference"/>
          <w:rFonts w:ascii="Perpetua" w:hAnsi="Perpetua"/>
        </w:rPr>
        <w:footnoteRef/>
      </w:r>
      <w:r w:rsidRPr="000F423F">
        <w:rPr>
          <w:rFonts w:ascii="Perpetua" w:hAnsi="Perpetua"/>
        </w:rPr>
        <w:t xml:space="preserve"> </w:t>
      </w:r>
      <w:r>
        <w:rPr>
          <w:rFonts w:ascii="Perpetua" w:hAnsi="Perpetua"/>
          <w:i/>
        </w:rPr>
        <w:t>Renaissance Drama: An Anthology of Plays and Entertainments</w:t>
      </w:r>
      <w:r>
        <w:rPr>
          <w:rFonts w:ascii="Perpetua" w:hAnsi="Perpetua"/>
        </w:rPr>
        <w:t>,</w:t>
      </w:r>
      <w:r>
        <w:rPr>
          <w:rFonts w:ascii="Perpetua" w:hAnsi="Perpetua"/>
        </w:rPr>
        <w:t xml:space="preserve"> p. 273, col. 1.</w:t>
      </w:r>
    </w:p>
  </w:footnote>
  <w:footnote w:id="5">
    <w:p w:rsidR="000F423F" w:rsidRPr="000F423F" w:rsidRDefault="000F423F">
      <w:pPr>
        <w:pStyle w:val="FootnoteText"/>
        <w:rPr>
          <w:rFonts w:ascii="Perpetua" w:hAnsi="Perpetua"/>
          <w:lang w:val="en-GB"/>
        </w:rPr>
      </w:pPr>
      <w:r w:rsidRPr="000F423F">
        <w:rPr>
          <w:rStyle w:val="FootnoteReference"/>
          <w:rFonts w:ascii="Perpetua" w:hAnsi="Perpetua"/>
        </w:rPr>
        <w:footnoteRef/>
      </w:r>
      <w:r w:rsidRPr="000F423F">
        <w:rPr>
          <w:rFonts w:ascii="Perpetua" w:hAnsi="Perpetua"/>
        </w:rPr>
        <w:t xml:space="preserve"> </w:t>
      </w:r>
      <w:r>
        <w:rPr>
          <w:rFonts w:ascii="Perpetua" w:hAnsi="Perpetua"/>
          <w:i/>
        </w:rPr>
        <w:t>Renaissance Drama: An Anthology of Plays and Entertainments</w:t>
      </w:r>
      <w:r>
        <w:rPr>
          <w:rFonts w:ascii="Perpetua" w:hAnsi="Perpetua"/>
        </w:rPr>
        <w:t>, p. 273, col. 1.</w:t>
      </w:r>
    </w:p>
  </w:footnote>
  <w:footnote w:id="6">
    <w:p w:rsidR="00991410" w:rsidRPr="00991410" w:rsidRDefault="00991410">
      <w:pPr>
        <w:pStyle w:val="FootnoteText"/>
        <w:rPr>
          <w:rFonts w:ascii="Perpetua" w:hAnsi="Perpetua"/>
          <w:lang w:val="en-GB"/>
        </w:rPr>
      </w:pPr>
      <w:r w:rsidRPr="00991410">
        <w:rPr>
          <w:rStyle w:val="FootnoteReference"/>
          <w:rFonts w:ascii="Perpetua" w:hAnsi="Perpetua"/>
        </w:rPr>
        <w:footnoteRef/>
      </w:r>
      <w:r w:rsidRPr="00991410">
        <w:rPr>
          <w:rFonts w:ascii="Perpetua" w:hAnsi="Perpetua"/>
        </w:rPr>
        <w:t xml:space="preserve"> </w:t>
      </w:r>
      <w:r>
        <w:rPr>
          <w:rFonts w:ascii="Perpetua" w:hAnsi="Perpetua"/>
          <w:i/>
        </w:rPr>
        <w:t>Renaissance Drama: An Anthology of Plays and Entertainments</w:t>
      </w:r>
      <w:r>
        <w:rPr>
          <w:rFonts w:ascii="Perpetua" w:hAnsi="Perpetua"/>
        </w:rPr>
        <w:t>, p. 27</w:t>
      </w:r>
      <w:r>
        <w:rPr>
          <w:rFonts w:ascii="Perpetua" w:hAnsi="Perpetua"/>
        </w:rPr>
        <w:t>5</w:t>
      </w:r>
      <w:r>
        <w:rPr>
          <w:rFonts w:ascii="Perpetua" w:hAnsi="Perpetua"/>
        </w:rPr>
        <w:t xml:space="preserve">, col. </w:t>
      </w:r>
      <w:r>
        <w:rPr>
          <w:rFonts w:ascii="Perpetua" w:hAnsi="Perpetua"/>
        </w:rPr>
        <w:t>2</w:t>
      </w:r>
      <w:r>
        <w:rPr>
          <w:rFonts w:ascii="Perpetua" w:hAnsi="Perpetua"/>
        </w:rPr>
        <w:t>.</w:t>
      </w:r>
    </w:p>
  </w:footnote>
  <w:footnote w:id="7">
    <w:p w:rsidR="009B7F08" w:rsidRPr="009B7F08" w:rsidRDefault="009B7F08">
      <w:pPr>
        <w:pStyle w:val="FootnoteText"/>
        <w:rPr>
          <w:rFonts w:ascii="Perpetua" w:hAnsi="Perpetua"/>
          <w:lang w:val="en-GB"/>
        </w:rPr>
      </w:pPr>
      <w:r w:rsidRPr="009B7F08">
        <w:rPr>
          <w:rStyle w:val="FootnoteReference"/>
          <w:rFonts w:ascii="Perpetua" w:hAnsi="Perpetua"/>
        </w:rPr>
        <w:footnoteRef/>
      </w:r>
      <w:r w:rsidRPr="009B7F08">
        <w:rPr>
          <w:rFonts w:ascii="Perpetua" w:hAnsi="Perpetua"/>
        </w:rPr>
        <w:t xml:space="preserve"> </w:t>
      </w:r>
      <w:r>
        <w:rPr>
          <w:rFonts w:ascii="Perpetua" w:hAnsi="Perpetua"/>
          <w:i/>
        </w:rPr>
        <w:t>Renaissance Drama: An Anthology of Plays and Entertainments</w:t>
      </w:r>
      <w:r>
        <w:rPr>
          <w:rFonts w:ascii="Perpetua" w:hAnsi="Perpetua"/>
        </w:rPr>
        <w:t xml:space="preserve">, p. 273, col. </w:t>
      </w:r>
      <w:r>
        <w:rPr>
          <w:rFonts w:ascii="Perpetua" w:hAnsi="Perpetua"/>
        </w:rPr>
        <w:t>2</w:t>
      </w:r>
      <w:r>
        <w:rPr>
          <w:rFonts w:ascii="Perpetua" w:hAnsi="Perpetua"/>
        </w:rPr>
        <w:t>.</w:t>
      </w:r>
    </w:p>
  </w:footnote>
  <w:footnote w:id="8">
    <w:p w:rsidR="00556344" w:rsidRPr="00143220" w:rsidRDefault="00556344" w:rsidP="00815B84">
      <w:pPr>
        <w:pStyle w:val="FootnoteText"/>
        <w:rPr>
          <w:rFonts w:ascii="Perpetua" w:hAnsi="Perpetua"/>
          <w:lang w:val="en-GB"/>
        </w:rPr>
      </w:pPr>
      <w:r w:rsidRPr="00143220">
        <w:rPr>
          <w:rStyle w:val="FootnoteReference"/>
          <w:rFonts w:ascii="Perpetua" w:hAnsi="Perpetua"/>
        </w:rPr>
        <w:footnoteRef/>
      </w:r>
      <w:r w:rsidRPr="00143220">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w:t>
      </w:r>
    </w:p>
  </w:footnote>
  <w:footnote w:id="9">
    <w:p w:rsidR="00556344" w:rsidRPr="00815B84" w:rsidRDefault="00556344">
      <w:pPr>
        <w:pStyle w:val="FootnoteText"/>
        <w:rPr>
          <w:rFonts w:ascii="Perpetua" w:hAnsi="Perpetua"/>
          <w:lang w:val="en-GB"/>
        </w:rPr>
      </w:pPr>
      <w:r w:rsidRPr="00815B84">
        <w:rPr>
          <w:rStyle w:val="FootnoteReference"/>
          <w:rFonts w:ascii="Perpetua" w:hAnsi="Perpetua"/>
        </w:rPr>
        <w:footnoteRef/>
      </w:r>
      <w:r w:rsidRPr="00815B84">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w:t>
      </w:r>
    </w:p>
  </w:footnote>
  <w:footnote w:id="10">
    <w:p w:rsidR="00BB5A3D" w:rsidRPr="00BB5A3D" w:rsidRDefault="00BB5A3D">
      <w:pPr>
        <w:pStyle w:val="FootnoteText"/>
        <w:rPr>
          <w:rFonts w:ascii="Perpetua" w:hAnsi="Perpetua"/>
          <w:lang w:val="en-GB"/>
        </w:rPr>
      </w:pPr>
      <w:r w:rsidRPr="00BB5A3D">
        <w:rPr>
          <w:rStyle w:val="FootnoteReference"/>
          <w:rFonts w:ascii="Perpetua" w:hAnsi="Perpetua"/>
        </w:rPr>
        <w:footnoteRef/>
      </w:r>
      <w:r w:rsidRPr="00BB5A3D">
        <w:rPr>
          <w:rFonts w:ascii="Perpetua" w:hAnsi="Perpetua"/>
        </w:rPr>
        <w:t xml:space="preserve"> </w:t>
      </w:r>
      <w:r>
        <w:rPr>
          <w:rFonts w:ascii="Perpetua" w:hAnsi="Perpetua"/>
          <w:i/>
        </w:rPr>
        <w:t>Renaissance Drama: An Anthology of Plays and Entertainments</w:t>
      </w:r>
      <w:r>
        <w:rPr>
          <w:rFonts w:ascii="Perpetua" w:hAnsi="Perpetua"/>
        </w:rPr>
        <w:t>, p. 27</w:t>
      </w:r>
      <w:r>
        <w:rPr>
          <w:rFonts w:ascii="Perpetua" w:hAnsi="Perpetua"/>
        </w:rPr>
        <w:t>4</w:t>
      </w:r>
      <w:r>
        <w:rPr>
          <w:rFonts w:ascii="Perpetua" w:hAnsi="Perpetua"/>
        </w:rPr>
        <w:t>, col. 1.</w:t>
      </w:r>
    </w:p>
  </w:footnote>
  <w:footnote w:id="11">
    <w:p w:rsidR="00BB5A3D" w:rsidRPr="00BB5A3D" w:rsidRDefault="00BB5A3D">
      <w:pPr>
        <w:pStyle w:val="FootnoteText"/>
        <w:rPr>
          <w:rFonts w:ascii="Perpetua" w:hAnsi="Perpetua"/>
          <w:lang w:val="en-GB"/>
        </w:rPr>
      </w:pPr>
      <w:r w:rsidRPr="00BB5A3D">
        <w:rPr>
          <w:rStyle w:val="FootnoteReference"/>
          <w:rFonts w:ascii="Perpetua" w:hAnsi="Perpetua"/>
        </w:rPr>
        <w:footnoteRef/>
      </w:r>
      <w:r w:rsidRPr="00BB5A3D">
        <w:rPr>
          <w:rFonts w:ascii="Perpetua" w:hAnsi="Perpetua"/>
        </w:rPr>
        <w:t xml:space="preserve"> </w:t>
      </w:r>
      <w:r>
        <w:rPr>
          <w:rFonts w:ascii="Perpetua" w:hAnsi="Perpetua"/>
          <w:i/>
        </w:rPr>
        <w:t>Renaissance Drama: An Anthology of Plays and Entertainments</w:t>
      </w:r>
      <w:r>
        <w:rPr>
          <w:rFonts w:ascii="Perpetua" w:hAnsi="Perpetua"/>
        </w:rPr>
        <w:t>, p. 27</w:t>
      </w:r>
      <w:r>
        <w:rPr>
          <w:rFonts w:ascii="Perpetua" w:hAnsi="Perpetua"/>
        </w:rPr>
        <w:t>4</w:t>
      </w:r>
      <w:r>
        <w:rPr>
          <w:rFonts w:ascii="Perpetua" w:hAnsi="Perpetua"/>
        </w:rPr>
        <w:t>, col. 1.</w:t>
      </w:r>
    </w:p>
  </w:footnote>
  <w:footnote w:id="12">
    <w:p w:rsidR="00556344" w:rsidRPr="00A63691" w:rsidRDefault="00556344">
      <w:pPr>
        <w:pStyle w:val="FootnoteText"/>
        <w:rPr>
          <w:rFonts w:ascii="Perpetua" w:hAnsi="Perpetua"/>
          <w:lang w:val="en-GB"/>
        </w:rPr>
      </w:pPr>
      <w:r w:rsidRPr="00A63691">
        <w:rPr>
          <w:rStyle w:val="FootnoteReference"/>
          <w:rFonts w:ascii="Perpetua" w:hAnsi="Perpetua"/>
        </w:rPr>
        <w:footnoteRef/>
      </w:r>
      <w:r w:rsidRPr="00A63691">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w:t>
      </w:r>
    </w:p>
  </w:footnote>
  <w:footnote w:id="13">
    <w:p w:rsidR="00556344" w:rsidRPr="00A63691" w:rsidRDefault="00556344">
      <w:pPr>
        <w:pStyle w:val="FootnoteText"/>
        <w:rPr>
          <w:rFonts w:ascii="Perpetua" w:hAnsi="Perpetua"/>
          <w:lang w:val="en-GB"/>
        </w:rPr>
      </w:pPr>
      <w:r w:rsidRPr="00A63691">
        <w:rPr>
          <w:rStyle w:val="FootnoteReference"/>
          <w:rFonts w:ascii="Perpetua" w:hAnsi="Perpetua"/>
        </w:rPr>
        <w:footnoteRef/>
      </w:r>
      <w:r w:rsidRPr="00A63691">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w:t>
      </w:r>
    </w:p>
  </w:footnote>
  <w:footnote w:id="14">
    <w:p w:rsidR="009B7F08" w:rsidRPr="009B7F08" w:rsidRDefault="009B7F08">
      <w:pPr>
        <w:pStyle w:val="FootnoteText"/>
        <w:rPr>
          <w:rFonts w:ascii="Perpetua" w:hAnsi="Perpetua"/>
          <w:lang w:val="en-GB"/>
        </w:rPr>
      </w:pPr>
      <w:r w:rsidRPr="009B7F08">
        <w:rPr>
          <w:rStyle w:val="FootnoteReference"/>
          <w:rFonts w:ascii="Perpetua" w:hAnsi="Perpetua"/>
        </w:rPr>
        <w:footnoteRef/>
      </w:r>
      <w:r w:rsidRPr="009B7F08">
        <w:rPr>
          <w:rFonts w:ascii="Perpetua" w:hAnsi="Perpetua"/>
        </w:rPr>
        <w:t xml:space="preserve"> </w:t>
      </w:r>
      <w:r>
        <w:rPr>
          <w:rFonts w:ascii="Perpetua" w:hAnsi="Perpetua"/>
          <w:i/>
        </w:rPr>
        <w:t>Renaissance Drama: An Anthology of Plays and Entertainments</w:t>
      </w:r>
      <w:r>
        <w:rPr>
          <w:rFonts w:ascii="Perpetua" w:hAnsi="Perpetua"/>
        </w:rPr>
        <w:t>, p. 273, col</w:t>
      </w:r>
      <w:r>
        <w:rPr>
          <w:rFonts w:ascii="Perpetua" w:hAnsi="Perpetua"/>
        </w:rPr>
        <w:t>s</w:t>
      </w:r>
      <w:r>
        <w:rPr>
          <w:rFonts w:ascii="Perpetua" w:hAnsi="Perpetua"/>
        </w:rPr>
        <w:t xml:space="preserve"> 1</w:t>
      </w:r>
      <w:r>
        <w:rPr>
          <w:rFonts w:ascii="Perpetua" w:hAnsi="Perpetua"/>
        </w:rPr>
        <w:t>-2</w:t>
      </w:r>
      <w:r>
        <w:rPr>
          <w:rFonts w:ascii="Perpetua" w:hAnsi="Perpetua"/>
        </w:rPr>
        <w:t>.</w:t>
      </w:r>
    </w:p>
  </w:footnote>
  <w:footnote w:id="15">
    <w:p w:rsidR="00993A9E" w:rsidRPr="00993A9E" w:rsidRDefault="00993A9E">
      <w:pPr>
        <w:pStyle w:val="FootnoteText"/>
        <w:rPr>
          <w:rFonts w:ascii="Perpetua" w:hAnsi="Perpetua"/>
          <w:lang w:val="en-GB"/>
        </w:rPr>
      </w:pPr>
      <w:r w:rsidRPr="00993A9E">
        <w:rPr>
          <w:rStyle w:val="FootnoteReference"/>
          <w:rFonts w:ascii="Perpetua" w:hAnsi="Perpetua"/>
        </w:rPr>
        <w:footnoteRef/>
      </w:r>
      <w:r w:rsidRPr="00993A9E">
        <w:rPr>
          <w:rFonts w:ascii="Perpetua" w:hAnsi="Perpetua"/>
        </w:rPr>
        <w:t xml:space="preserve"> </w:t>
      </w:r>
      <w:r w:rsidRPr="00610F51">
        <w:rPr>
          <w:rFonts w:ascii="Perpetua" w:hAnsi="Perpetua" w:cs="Mongolian Baiti"/>
          <w:i/>
        </w:rPr>
        <w:t>English Renaissance Drama: A Norton Anthology</w:t>
      </w:r>
      <w:r w:rsidRPr="00610F51">
        <w:rPr>
          <w:rFonts w:ascii="Perpetua" w:hAnsi="Perpetua" w:cs="Mongolian Baiti"/>
        </w:rPr>
        <w:t xml:space="preserve">, ed. by David </w:t>
      </w:r>
      <w:proofErr w:type="spellStart"/>
      <w:r w:rsidRPr="00610F51">
        <w:rPr>
          <w:rFonts w:ascii="Perpetua" w:hAnsi="Perpetua" w:cs="Mongolian Baiti"/>
        </w:rPr>
        <w:t>Bevington</w:t>
      </w:r>
      <w:proofErr w:type="spellEnd"/>
      <w:r w:rsidRPr="00610F51">
        <w:rPr>
          <w:rFonts w:ascii="Perpetua" w:hAnsi="Perpetua" w:cs="Mongolian Baiti"/>
        </w:rPr>
        <w:t xml:space="preserve"> and others (New York and London: W.W. Norton, 2002),</w:t>
      </w:r>
      <w:r>
        <w:rPr>
          <w:rFonts w:ascii="Perpetua" w:hAnsi="Perpetua" w:cs="Mongolian Baiti"/>
        </w:rPr>
        <w:t xml:space="preserve"> p. 352.</w:t>
      </w:r>
    </w:p>
  </w:footnote>
  <w:footnote w:id="16">
    <w:p w:rsidR="00556344" w:rsidRPr="00043EC5" w:rsidRDefault="00556344">
      <w:pPr>
        <w:pStyle w:val="FootnoteText"/>
        <w:rPr>
          <w:rFonts w:ascii="Perpetua" w:hAnsi="Perpetua"/>
          <w:lang w:val="en-GB"/>
        </w:rPr>
      </w:pPr>
      <w:r w:rsidRPr="00043EC5">
        <w:rPr>
          <w:rStyle w:val="FootnoteReference"/>
          <w:rFonts w:ascii="Perpetua" w:hAnsi="Perpetua"/>
        </w:rPr>
        <w:footnoteRef/>
      </w:r>
      <w:r w:rsidRPr="00043EC5">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w:t>
      </w:r>
    </w:p>
  </w:footnote>
  <w:footnote w:id="17">
    <w:p w:rsidR="00556344" w:rsidRPr="0033174F" w:rsidRDefault="00556344">
      <w:pPr>
        <w:pStyle w:val="FootnoteText"/>
        <w:rPr>
          <w:rFonts w:ascii="Perpetua" w:hAnsi="Perpetua"/>
          <w:lang w:val="en-GB"/>
        </w:rPr>
      </w:pPr>
      <w:r w:rsidRPr="0033174F">
        <w:rPr>
          <w:rStyle w:val="FootnoteReference"/>
          <w:rFonts w:ascii="Perpetua" w:hAnsi="Perpetua"/>
        </w:rPr>
        <w:footnoteRef/>
      </w:r>
      <w:r w:rsidRPr="0033174F">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w:t>
      </w:r>
    </w:p>
  </w:footnote>
  <w:footnote w:id="18">
    <w:p w:rsidR="00556344" w:rsidRPr="00A63691" w:rsidRDefault="00556344">
      <w:pPr>
        <w:pStyle w:val="FootnoteText"/>
        <w:rPr>
          <w:rFonts w:ascii="Perpetua" w:hAnsi="Perpetua"/>
          <w:lang w:val="en-GB"/>
        </w:rPr>
      </w:pPr>
      <w:r w:rsidRPr="00A63691">
        <w:rPr>
          <w:rStyle w:val="FootnoteReference"/>
          <w:rFonts w:ascii="Perpetua" w:hAnsi="Perpetua"/>
        </w:rPr>
        <w:footnoteRef/>
      </w:r>
      <w:r w:rsidRPr="00A63691">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w:t>
      </w:r>
    </w:p>
  </w:footnote>
  <w:footnote w:id="19">
    <w:p w:rsidR="00556344" w:rsidRPr="00556344" w:rsidRDefault="00556344">
      <w:pPr>
        <w:pStyle w:val="FootnoteText"/>
        <w:rPr>
          <w:rFonts w:ascii="Perpetua" w:hAnsi="Perpetua"/>
          <w:lang w:val="en-GB"/>
        </w:rPr>
      </w:pPr>
      <w:r w:rsidRPr="00556344">
        <w:rPr>
          <w:rStyle w:val="FootnoteReference"/>
          <w:rFonts w:ascii="Perpetua" w:hAnsi="Perpetua"/>
        </w:rPr>
        <w:footnoteRef/>
      </w:r>
      <w:r w:rsidRPr="00556344">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xxiii.</w:t>
      </w:r>
    </w:p>
  </w:footnote>
  <w:footnote w:id="20">
    <w:p w:rsidR="002F7C7F" w:rsidRPr="002F7C7F" w:rsidRDefault="002F7C7F">
      <w:pPr>
        <w:pStyle w:val="FootnoteText"/>
        <w:rPr>
          <w:rFonts w:ascii="Perpetua" w:hAnsi="Perpetua"/>
          <w:lang w:val="en-GB"/>
        </w:rPr>
      </w:pPr>
      <w:r w:rsidRPr="002F7C7F">
        <w:rPr>
          <w:rStyle w:val="FootnoteReference"/>
          <w:rFonts w:ascii="Perpetua" w:hAnsi="Perpetua"/>
        </w:rPr>
        <w:footnoteRef/>
      </w:r>
      <w:r w:rsidRPr="002F7C7F">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w:t>
      </w:r>
      <w:r>
        <w:rPr>
          <w:rFonts w:ascii="Perpetua" w:hAnsi="Perpetua" w:cs="Mongolian Baiti"/>
        </w:rPr>
        <w:t>351</w:t>
      </w:r>
      <w:r>
        <w:rPr>
          <w:rFonts w:ascii="Perpetua" w:hAnsi="Perpetua" w:cs="Mongolian Baiti"/>
        </w:rPr>
        <w:t>.</w:t>
      </w:r>
    </w:p>
  </w:footnote>
  <w:footnote w:id="21">
    <w:p w:rsidR="00556344" w:rsidRPr="00556344" w:rsidRDefault="00556344">
      <w:pPr>
        <w:pStyle w:val="FootnoteText"/>
        <w:rPr>
          <w:rFonts w:ascii="Perpetua" w:hAnsi="Perpetua"/>
          <w:lang w:val="en-GB"/>
        </w:rPr>
      </w:pPr>
      <w:r w:rsidRPr="00556344">
        <w:rPr>
          <w:rStyle w:val="FootnoteReference"/>
          <w:rFonts w:ascii="Perpetua" w:hAnsi="Perpetua"/>
        </w:rPr>
        <w:footnoteRef/>
      </w:r>
      <w:r w:rsidRPr="00556344">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xxiii.</w:t>
      </w:r>
    </w:p>
  </w:footnote>
  <w:footnote w:id="22">
    <w:p w:rsidR="00556344" w:rsidRPr="00556344" w:rsidRDefault="00556344">
      <w:pPr>
        <w:pStyle w:val="FootnoteText"/>
        <w:rPr>
          <w:rFonts w:ascii="Perpetua" w:hAnsi="Perpetua"/>
          <w:lang w:val="en-GB"/>
        </w:rPr>
      </w:pPr>
      <w:r w:rsidRPr="00556344">
        <w:rPr>
          <w:rStyle w:val="FootnoteReference"/>
          <w:rFonts w:ascii="Perpetua" w:hAnsi="Perpetua"/>
        </w:rPr>
        <w:footnoteRef/>
      </w:r>
      <w:r w:rsidRPr="00556344">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xxiii.</w:t>
      </w:r>
    </w:p>
  </w:footnote>
  <w:footnote w:id="23">
    <w:p w:rsidR="0040409E" w:rsidRPr="0040409E" w:rsidRDefault="0040409E">
      <w:pPr>
        <w:pStyle w:val="FootnoteText"/>
        <w:rPr>
          <w:rFonts w:ascii="Perpetua" w:hAnsi="Perpetua"/>
          <w:lang w:val="en-GB"/>
        </w:rPr>
      </w:pPr>
      <w:r w:rsidRPr="0040409E">
        <w:rPr>
          <w:rStyle w:val="FootnoteReference"/>
          <w:rFonts w:ascii="Perpetua" w:hAnsi="Perpetua"/>
        </w:rPr>
        <w:footnoteRef/>
      </w:r>
      <w:r w:rsidRPr="0040409E">
        <w:rPr>
          <w:rFonts w:ascii="Perpetua" w:hAnsi="Perpetua"/>
        </w:rPr>
        <w:t xml:space="preserve"> </w:t>
      </w:r>
      <w:r>
        <w:rPr>
          <w:rFonts w:ascii="Perpetua" w:hAnsi="Perpetua"/>
        </w:rPr>
        <w:t xml:space="preserve">Marlowe, </w:t>
      </w:r>
      <w:r>
        <w:rPr>
          <w:rFonts w:ascii="Perpetua" w:hAnsi="Perpetua"/>
          <w:i/>
        </w:rPr>
        <w:t>Tamburlaine, Parts I and II</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xxi</w:t>
      </w:r>
      <w:r>
        <w:rPr>
          <w:rFonts w:ascii="Perpetua" w:hAnsi="Perpetua"/>
        </w:rPr>
        <w:t>v</w:t>
      </w:r>
      <w:r>
        <w:rPr>
          <w:rFonts w:ascii="Perpetua" w:hAnsi="Perpetua"/>
        </w:rPr>
        <w:t>.</w:t>
      </w:r>
    </w:p>
  </w:footnote>
  <w:footnote w:id="24">
    <w:p w:rsidR="00730257" w:rsidRPr="00730257" w:rsidRDefault="00730257">
      <w:pPr>
        <w:pStyle w:val="FootnoteText"/>
        <w:rPr>
          <w:rFonts w:ascii="Perpetua" w:hAnsi="Perpetua"/>
          <w:lang w:val="en-GB"/>
        </w:rPr>
      </w:pPr>
      <w:r w:rsidRPr="00730257">
        <w:rPr>
          <w:rStyle w:val="FootnoteReference"/>
          <w:rFonts w:ascii="Perpetua" w:hAnsi="Perpetua"/>
        </w:rPr>
        <w:footnoteRef/>
      </w:r>
      <w:r w:rsidRPr="00730257">
        <w:rPr>
          <w:rFonts w:ascii="Perpetua" w:hAnsi="Perpetua"/>
        </w:rPr>
        <w:t xml:space="preserve"> </w:t>
      </w:r>
      <w:r w:rsidRPr="00610F51">
        <w:rPr>
          <w:rFonts w:ascii="Perpetua" w:hAnsi="Perpetua" w:cs="Mongolian Baiti"/>
          <w:i/>
        </w:rPr>
        <w:t>English Renaissance Drama</w:t>
      </w:r>
      <w:r>
        <w:rPr>
          <w:rFonts w:ascii="Perpetua" w:hAnsi="Perpetua" w:cs="Mongolian Baiti"/>
        </w:rPr>
        <w:t>, p. 352.</w:t>
      </w:r>
    </w:p>
  </w:footnote>
  <w:footnote w:id="25">
    <w:p w:rsidR="00556344" w:rsidRPr="0045595A" w:rsidRDefault="00556344" w:rsidP="007F2861">
      <w:pPr>
        <w:pStyle w:val="FootnoteText"/>
        <w:rPr>
          <w:rFonts w:ascii="Perpetua" w:hAnsi="Perpetua"/>
          <w:lang w:val="en-GB"/>
        </w:rPr>
      </w:pPr>
      <w:r w:rsidRPr="0045595A">
        <w:rPr>
          <w:rStyle w:val="FootnoteReference"/>
          <w:rFonts w:ascii="Perpetua" w:hAnsi="Perpetua"/>
        </w:rPr>
        <w:footnoteRef/>
      </w:r>
      <w:r w:rsidRPr="0045595A">
        <w:rPr>
          <w:rFonts w:ascii="Perpetua" w:hAnsi="Perpetua"/>
        </w:rPr>
        <w:t xml:space="preserve"> </w:t>
      </w:r>
      <w:r>
        <w:rPr>
          <w:rFonts w:ascii="Perpetua" w:hAnsi="Perpetua"/>
        </w:rPr>
        <w:t xml:space="preserve">Stephen </w:t>
      </w:r>
      <w:proofErr w:type="spellStart"/>
      <w:r>
        <w:rPr>
          <w:rFonts w:ascii="Perpetua" w:hAnsi="Perpetua"/>
        </w:rPr>
        <w:t>Orgel</w:t>
      </w:r>
      <w:proofErr w:type="spellEnd"/>
      <w:r>
        <w:rPr>
          <w:rFonts w:ascii="Perpetua" w:hAnsi="Perpetua"/>
        </w:rPr>
        <w:t xml:space="preserve">, ‘Shakespeare, Sexuality and Gender’, in </w:t>
      </w:r>
      <w:r>
        <w:rPr>
          <w:rFonts w:ascii="Perpetua" w:hAnsi="Perpetua"/>
          <w:i/>
        </w:rPr>
        <w:t>The New Cambridge Companion to Shakespeare</w:t>
      </w:r>
      <w:r>
        <w:rPr>
          <w:rFonts w:ascii="Perpetua" w:hAnsi="Perpetua"/>
        </w:rPr>
        <w:t xml:space="preserve"> (Cambridge: Cambridge University Press, 2010), p. 227, cited in Pamela Bickley and Jenny Stevens, </w:t>
      </w:r>
      <w:r>
        <w:rPr>
          <w:rFonts w:ascii="Perpetua" w:hAnsi="Perpetua"/>
          <w:i/>
        </w:rPr>
        <w:t>Essential Shakespeare: The Arden Guide to Text and Interpretation</w:t>
      </w:r>
      <w:r>
        <w:rPr>
          <w:rFonts w:ascii="Perpetua" w:hAnsi="Perpetua"/>
        </w:rPr>
        <w:t xml:space="preserve"> (London: Bloomsbury, 2013; </w:t>
      </w:r>
      <w:proofErr w:type="spellStart"/>
      <w:r>
        <w:rPr>
          <w:rFonts w:ascii="Perpetua" w:hAnsi="Perpetua"/>
        </w:rPr>
        <w:t>repr</w:t>
      </w:r>
      <w:proofErr w:type="spellEnd"/>
      <w:r>
        <w:rPr>
          <w:rFonts w:ascii="Perpetua" w:hAnsi="Perpetua"/>
        </w:rPr>
        <w:t>. 2014), p. 55.</w:t>
      </w:r>
    </w:p>
  </w:footnote>
  <w:footnote w:id="26">
    <w:p w:rsidR="00556344" w:rsidRPr="0031583B" w:rsidRDefault="00556344" w:rsidP="0082147E">
      <w:pPr>
        <w:pStyle w:val="FootnoteText"/>
        <w:rPr>
          <w:rFonts w:ascii="Perpetua" w:hAnsi="Perpetua"/>
          <w:lang w:val="en-GB"/>
        </w:rPr>
      </w:pPr>
      <w:r w:rsidRPr="0031583B">
        <w:rPr>
          <w:rStyle w:val="FootnoteReference"/>
          <w:rFonts w:ascii="Perpetua" w:hAnsi="Perpetua"/>
        </w:rPr>
        <w:footnoteRef/>
      </w:r>
      <w:r w:rsidRPr="0031583B">
        <w:rPr>
          <w:rFonts w:ascii="Perpetua" w:hAnsi="Perpetua"/>
        </w:rPr>
        <w:t xml:space="preserve"> </w:t>
      </w:r>
      <w:r>
        <w:rPr>
          <w:rFonts w:ascii="Perpetua" w:hAnsi="Perpetua"/>
        </w:rPr>
        <w:t xml:space="preserve">Simon Shepherd, </w:t>
      </w:r>
      <w:r>
        <w:rPr>
          <w:rFonts w:ascii="Perpetua" w:hAnsi="Perpetua"/>
          <w:i/>
        </w:rPr>
        <w:t>Marlowe and the Politics of Elizabethan Theatre</w:t>
      </w:r>
      <w:r>
        <w:rPr>
          <w:rFonts w:ascii="Perpetua" w:hAnsi="Perpetua"/>
        </w:rPr>
        <w:t xml:space="preserve"> (Brighton: Harvester Wheatsheaf, 1986), p. 203.</w:t>
      </w:r>
    </w:p>
  </w:footnote>
  <w:footnote w:id="27">
    <w:p w:rsidR="00556344" w:rsidRPr="00EB0F9E" w:rsidRDefault="00556344">
      <w:pPr>
        <w:pStyle w:val="FootnoteText"/>
        <w:rPr>
          <w:rFonts w:ascii="Perpetua" w:hAnsi="Perpetua"/>
          <w:lang w:val="en-GB"/>
        </w:rPr>
      </w:pPr>
      <w:r w:rsidRPr="00EB0F9E">
        <w:rPr>
          <w:rStyle w:val="FootnoteReference"/>
          <w:rFonts w:ascii="Perpetua" w:hAnsi="Perpetua"/>
        </w:rPr>
        <w:footnoteRef/>
      </w:r>
      <w:r w:rsidRPr="00EB0F9E">
        <w:rPr>
          <w:rFonts w:ascii="Perpetua" w:hAnsi="Perpetua"/>
        </w:rPr>
        <w:t xml:space="preserve"> </w:t>
      </w:r>
      <w:r>
        <w:rPr>
          <w:rFonts w:ascii="Perpetua" w:hAnsi="Perpetua"/>
        </w:rPr>
        <w:t>Shepherd, p. 203.</w:t>
      </w:r>
    </w:p>
  </w:footnote>
  <w:footnote w:id="28">
    <w:p w:rsidR="00DD5B37" w:rsidRPr="00DD5B37" w:rsidRDefault="00DD5B37">
      <w:pPr>
        <w:pStyle w:val="FootnoteText"/>
        <w:rPr>
          <w:rFonts w:ascii="Perpetua" w:hAnsi="Perpetua"/>
          <w:lang w:val="en-GB"/>
        </w:rPr>
      </w:pPr>
      <w:r w:rsidRPr="00DD5B37">
        <w:rPr>
          <w:rStyle w:val="FootnoteReference"/>
          <w:rFonts w:ascii="Perpetua" w:hAnsi="Perpetua"/>
        </w:rPr>
        <w:footnoteRef/>
      </w:r>
      <w:r w:rsidRPr="00DD5B37">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354.</w:t>
      </w:r>
    </w:p>
  </w:footnote>
  <w:footnote w:id="29">
    <w:p w:rsidR="00556344" w:rsidRPr="007355E6" w:rsidRDefault="00556344">
      <w:pPr>
        <w:pStyle w:val="FootnoteText"/>
        <w:rPr>
          <w:rFonts w:ascii="Perpetua" w:hAnsi="Perpetua"/>
          <w:lang w:val="en-GB"/>
        </w:rPr>
      </w:pPr>
      <w:r w:rsidRPr="007355E6">
        <w:rPr>
          <w:rStyle w:val="FootnoteReference"/>
          <w:rFonts w:ascii="Perpetua" w:hAnsi="Perpetua"/>
        </w:rPr>
        <w:footnoteRef/>
      </w:r>
      <w:r w:rsidRPr="007355E6">
        <w:rPr>
          <w:rFonts w:ascii="Perpetua" w:hAnsi="Perpetua"/>
        </w:rPr>
        <w:t xml:space="preserve"> </w:t>
      </w:r>
      <w:r>
        <w:rPr>
          <w:rFonts w:ascii="Perpetua" w:hAnsi="Perpetua"/>
        </w:rPr>
        <w:t xml:space="preserve">Clifford Leech, </w:t>
      </w:r>
      <w:r>
        <w:rPr>
          <w:rFonts w:ascii="Perpetua" w:hAnsi="Perpetua"/>
          <w:i/>
        </w:rPr>
        <w:t>Tragedy</w:t>
      </w:r>
      <w:r>
        <w:rPr>
          <w:rFonts w:ascii="Perpetua" w:hAnsi="Perpetua"/>
        </w:rPr>
        <w:t xml:space="preserve">, The Critical Idiom series (London: Methuen, 1969; </w:t>
      </w:r>
      <w:proofErr w:type="spellStart"/>
      <w:r>
        <w:rPr>
          <w:rFonts w:ascii="Perpetua" w:hAnsi="Perpetua"/>
        </w:rPr>
        <w:t>repr</w:t>
      </w:r>
      <w:proofErr w:type="spellEnd"/>
      <w:r>
        <w:rPr>
          <w:rFonts w:ascii="Perpetua" w:hAnsi="Perpetua"/>
        </w:rPr>
        <w:t>. 1970), p. 43.</w:t>
      </w:r>
    </w:p>
  </w:footnote>
  <w:footnote w:id="30">
    <w:p w:rsidR="00556344" w:rsidRPr="00AE7659" w:rsidRDefault="00556344">
      <w:pPr>
        <w:pStyle w:val="FootnoteText"/>
        <w:rPr>
          <w:rFonts w:ascii="Perpetua" w:hAnsi="Perpetua"/>
          <w:lang w:val="en-GB"/>
        </w:rPr>
      </w:pPr>
      <w:r w:rsidRPr="00AE7659">
        <w:rPr>
          <w:rStyle w:val="FootnoteReference"/>
          <w:rFonts w:ascii="Perpetua" w:hAnsi="Perpetua"/>
        </w:rPr>
        <w:footnoteRef/>
      </w:r>
      <w:r w:rsidRPr="00AE7659">
        <w:rPr>
          <w:rFonts w:ascii="Perpetua" w:hAnsi="Perpetua"/>
        </w:rPr>
        <w:t xml:space="preserve"> </w:t>
      </w:r>
      <w:r>
        <w:rPr>
          <w:rFonts w:ascii="Perpetua" w:hAnsi="Perpetua"/>
        </w:rPr>
        <w:t xml:space="preserve">Stephen </w:t>
      </w:r>
      <w:r w:rsidRPr="00AE7659">
        <w:rPr>
          <w:rFonts w:ascii="Perpetua" w:hAnsi="Perpetua"/>
        </w:rPr>
        <w:t xml:space="preserve">Greenblatt, </w:t>
      </w:r>
      <w:r w:rsidRPr="00AE7659">
        <w:rPr>
          <w:rFonts w:ascii="Perpetua" w:hAnsi="Perpetua"/>
          <w:i/>
        </w:rPr>
        <w:t>Renaissance Self-Fashioning: From More to Shakespeare</w:t>
      </w:r>
      <w:r w:rsidRPr="00AE7659">
        <w:rPr>
          <w:rFonts w:ascii="Perpetua" w:hAnsi="Perpetua"/>
        </w:rPr>
        <w:t xml:space="preserve"> (Chicago; London: University of Chicago Press, 1980),</w:t>
      </w:r>
      <w:r>
        <w:rPr>
          <w:rFonts w:ascii="Perpetua" w:hAnsi="Perpetua"/>
        </w:rPr>
        <w:t xml:space="preserve"> p. 209.</w:t>
      </w:r>
    </w:p>
  </w:footnote>
  <w:footnote w:id="31">
    <w:p w:rsidR="005E57CF" w:rsidRPr="005E57CF" w:rsidRDefault="005E57CF">
      <w:pPr>
        <w:pStyle w:val="FootnoteText"/>
        <w:rPr>
          <w:rFonts w:ascii="Perpetua" w:hAnsi="Perpetua"/>
          <w:lang w:val="en-GB"/>
        </w:rPr>
      </w:pPr>
      <w:r w:rsidRPr="005E57CF">
        <w:rPr>
          <w:rStyle w:val="FootnoteReference"/>
          <w:rFonts w:ascii="Perpetua" w:hAnsi="Perpetua"/>
        </w:rPr>
        <w:footnoteRef/>
      </w:r>
      <w:r w:rsidRPr="005E57CF">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353.</w:t>
      </w:r>
    </w:p>
  </w:footnote>
  <w:footnote w:id="32">
    <w:p w:rsidR="002B3E25" w:rsidRPr="002B3E25" w:rsidRDefault="002B3E25">
      <w:pPr>
        <w:pStyle w:val="FootnoteText"/>
        <w:rPr>
          <w:rFonts w:ascii="Perpetua" w:hAnsi="Perpetua"/>
          <w:lang w:val="en-GB"/>
        </w:rPr>
      </w:pPr>
      <w:r w:rsidRPr="002B3E25">
        <w:rPr>
          <w:rStyle w:val="FootnoteReference"/>
          <w:rFonts w:ascii="Perpetua" w:hAnsi="Perpetua"/>
        </w:rPr>
        <w:footnoteRef/>
      </w:r>
      <w:r w:rsidRPr="002B3E25">
        <w:rPr>
          <w:rFonts w:ascii="Perpetua" w:hAnsi="Perpetua"/>
        </w:rPr>
        <w:t xml:space="preserve"> </w:t>
      </w:r>
      <w:r w:rsidRPr="00610F51">
        <w:rPr>
          <w:rFonts w:ascii="Perpetua" w:hAnsi="Perpetua" w:cs="Mongolian Baiti"/>
          <w:i/>
        </w:rPr>
        <w:t>English Renaissance Drama</w:t>
      </w:r>
      <w:r w:rsidRPr="00610F51">
        <w:rPr>
          <w:rFonts w:ascii="Perpetua" w:hAnsi="Perpetua" w:cs="Mongolian Baiti"/>
        </w:rPr>
        <w:t>,</w:t>
      </w:r>
      <w:r>
        <w:rPr>
          <w:rFonts w:ascii="Perpetua" w:hAnsi="Perpetua" w:cs="Mongolian Baiti"/>
        </w:rPr>
        <w:t xml:space="preserve"> p. 35</w:t>
      </w:r>
      <w:r>
        <w:rPr>
          <w:rFonts w:ascii="Perpetua" w:hAnsi="Perpetua" w:cs="Mongolian Baiti"/>
        </w:rPr>
        <w:t>6</w:t>
      </w:r>
      <w:r>
        <w:rPr>
          <w:rFonts w:ascii="Perpetua" w:hAnsi="Perpetua" w:cs="Mongolian Baiti"/>
        </w:rPr>
        <w:t>.</w:t>
      </w:r>
    </w:p>
  </w:footnote>
  <w:footnote w:id="33">
    <w:p w:rsidR="000E0BDC" w:rsidRPr="000E0BDC" w:rsidRDefault="000E0BDC">
      <w:pPr>
        <w:pStyle w:val="FootnoteText"/>
        <w:rPr>
          <w:rFonts w:ascii="Perpetua" w:hAnsi="Perpetua"/>
          <w:lang w:val="en-GB"/>
        </w:rPr>
      </w:pPr>
      <w:r w:rsidRPr="000E0BDC">
        <w:rPr>
          <w:rStyle w:val="FootnoteReference"/>
          <w:rFonts w:ascii="Perpetua" w:hAnsi="Perpetua"/>
        </w:rPr>
        <w:footnoteRef/>
      </w:r>
      <w:r w:rsidRPr="000E0BDC">
        <w:rPr>
          <w:rFonts w:ascii="Perpetua" w:hAnsi="Perpetua"/>
        </w:rPr>
        <w:t xml:space="preserve"> </w:t>
      </w:r>
      <w:r>
        <w:rPr>
          <w:rFonts w:ascii="Perpetua" w:hAnsi="Perpetua"/>
          <w:i/>
        </w:rPr>
        <w:t>Renaissance Drama: An Anthology of Plays and Entertainments</w:t>
      </w:r>
      <w:r>
        <w:rPr>
          <w:rFonts w:ascii="Perpetua" w:hAnsi="Perpetua"/>
        </w:rPr>
        <w:t>, p. 27</w:t>
      </w:r>
      <w:r>
        <w:rPr>
          <w:rFonts w:ascii="Perpetua" w:hAnsi="Perpetua"/>
        </w:rPr>
        <w:t>5</w:t>
      </w:r>
      <w:r>
        <w:rPr>
          <w:rFonts w:ascii="Perpetua" w:hAnsi="Perpetua"/>
        </w:rPr>
        <w:t>, col</w:t>
      </w:r>
      <w:r>
        <w:rPr>
          <w:rFonts w:ascii="Perpetua" w:hAnsi="Perpetua"/>
        </w:rPr>
        <w:t>.</w:t>
      </w:r>
      <w:r>
        <w:rPr>
          <w:rFonts w:ascii="Perpetua" w:hAnsi="Perpetua"/>
        </w:rPr>
        <w:t xml:space="preserve">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C15EE"/>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076809"/>
    <w:multiLevelType w:val="hybridMultilevel"/>
    <w:tmpl w:val="0C9651A8"/>
    <w:lvl w:ilvl="0" w:tplc="E9F0441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0D10A8"/>
    <w:multiLevelType w:val="hybridMultilevel"/>
    <w:tmpl w:val="BB0AEEC2"/>
    <w:lvl w:ilvl="0" w:tplc="07988B5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53695"/>
    <w:multiLevelType w:val="hybridMultilevel"/>
    <w:tmpl w:val="DA628F18"/>
    <w:lvl w:ilvl="0" w:tplc="091E44BA">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7145DD"/>
    <w:multiLevelType w:val="hybridMultilevel"/>
    <w:tmpl w:val="60028DE4"/>
    <w:lvl w:ilvl="0" w:tplc="FFE20FFA">
      <w:start w:val="1"/>
      <w:numFmt w:val="lowerRoman"/>
      <w:lvlText w:val="(%1)"/>
      <w:lvlJc w:val="left"/>
      <w:pPr>
        <w:ind w:left="1080" w:hanging="720"/>
      </w:pPr>
      <w:rPr>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2890B05"/>
    <w:multiLevelType w:val="hybridMultilevel"/>
    <w:tmpl w:val="B89E2486"/>
    <w:lvl w:ilvl="0" w:tplc="72908030">
      <w:start w:val="1"/>
      <w:numFmt w:val="lowerRoman"/>
      <w:lvlText w:val="(%1)"/>
      <w:lvlJc w:val="left"/>
      <w:pPr>
        <w:ind w:left="720" w:hanging="360"/>
      </w:pPr>
      <w:rPr>
        <w:rFonts w:hint="default"/>
        <w:sz w:val="26"/>
        <w:szCs w:val="2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7"/>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3E"/>
    <w:rsid w:val="00002471"/>
    <w:rsid w:val="00006322"/>
    <w:rsid w:val="00030B3D"/>
    <w:rsid w:val="0003269D"/>
    <w:rsid w:val="00040BAB"/>
    <w:rsid w:val="00040C92"/>
    <w:rsid w:val="00041D72"/>
    <w:rsid w:val="00043EC5"/>
    <w:rsid w:val="000642EE"/>
    <w:rsid w:val="00067285"/>
    <w:rsid w:val="00081373"/>
    <w:rsid w:val="000847E1"/>
    <w:rsid w:val="00094162"/>
    <w:rsid w:val="00094C0C"/>
    <w:rsid w:val="00097604"/>
    <w:rsid w:val="000A1163"/>
    <w:rsid w:val="000A60DA"/>
    <w:rsid w:val="000B0478"/>
    <w:rsid w:val="000B71D3"/>
    <w:rsid w:val="000C3735"/>
    <w:rsid w:val="000C39A4"/>
    <w:rsid w:val="000D2061"/>
    <w:rsid w:val="000E0152"/>
    <w:rsid w:val="000E0BDC"/>
    <w:rsid w:val="000F2BB0"/>
    <w:rsid w:val="000F2FF6"/>
    <w:rsid w:val="000F423F"/>
    <w:rsid w:val="001148F1"/>
    <w:rsid w:val="00116C00"/>
    <w:rsid w:val="00121AB5"/>
    <w:rsid w:val="0013098B"/>
    <w:rsid w:val="00143220"/>
    <w:rsid w:val="00144577"/>
    <w:rsid w:val="00164B7E"/>
    <w:rsid w:val="0016650C"/>
    <w:rsid w:val="001675C4"/>
    <w:rsid w:val="0017481D"/>
    <w:rsid w:val="001872DF"/>
    <w:rsid w:val="001A6631"/>
    <w:rsid w:val="001D3B0F"/>
    <w:rsid w:val="001D3BAF"/>
    <w:rsid w:val="001F1BC6"/>
    <w:rsid w:val="00205DCF"/>
    <w:rsid w:val="0021043B"/>
    <w:rsid w:val="0022105F"/>
    <w:rsid w:val="0025137D"/>
    <w:rsid w:val="00252392"/>
    <w:rsid w:val="0028126C"/>
    <w:rsid w:val="00281AB0"/>
    <w:rsid w:val="002901AA"/>
    <w:rsid w:val="002A560B"/>
    <w:rsid w:val="002B169D"/>
    <w:rsid w:val="002B3E25"/>
    <w:rsid w:val="002B7901"/>
    <w:rsid w:val="002C29BB"/>
    <w:rsid w:val="002C35AF"/>
    <w:rsid w:val="002D0148"/>
    <w:rsid w:val="002D0843"/>
    <w:rsid w:val="002F11F3"/>
    <w:rsid w:val="002F3968"/>
    <w:rsid w:val="002F7C7F"/>
    <w:rsid w:val="003024D7"/>
    <w:rsid w:val="00304638"/>
    <w:rsid w:val="0031583B"/>
    <w:rsid w:val="0032766D"/>
    <w:rsid w:val="0033174F"/>
    <w:rsid w:val="0033749F"/>
    <w:rsid w:val="003402FC"/>
    <w:rsid w:val="00344AFF"/>
    <w:rsid w:val="00360171"/>
    <w:rsid w:val="003617A9"/>
    <w:rsid w:val="00362515"/>
    <w:rsid w:val="00376BC9"/>
    <w:rsid w:val="00381EA2"/>
    <w:rsid w:val="0038729F"/>
    <w:rsid w:val="00391E48"/>
    <w:rsid w:val="003A657C"/>
    <w:rsid w:val="003B2AB8"/>
    <w:rsid w:val="003B6478"/>
    <w:rsid w:val="003C135A"/>
    <w:rsid w:val="003C60AD"/>
    <w:rsid w:val="003C6AD5"/>
    <w:rsid w:val="003D4F00"/>
    <w:rsid w:val="003E721C"/>
    <w:rsid w:val="003F05EF"/>
    <w:rsid w:val="003F66D1"/>
    <w:rsid w:val="00403B4F"/>
    <w:rsid w:val="0040409E"/>
    <w:rsid w:val="004136C2"/>
    <w:rsid w:val="00414F3E"/>
    <w:rsid w:val="004300C4"/>
    <w:rsid w:val="00441B1E"/>
    <w:rsid w:val="00446541"/>
    <w:rsid w:val="0044769B"/>
    <w:rsid w:val="0045168B"/>
    <w:rsid w:val="00473053"/>
    <w:rsid w:val="00473977"/>
    <w:rsid w:val="0048212B"/>
    <w:rsid w:val="00493477"/>
    <w:rsid w:val="00493805"/>
    <w:rsid w:val="00497678"/>
    <w:rsid w:val="004A5E54"/>
    <w:rsid w:val="004C2FE2"/>
    <w:rsid w:val="004C4735"/>
    <w:rsid w:val="004C49DF"/>
    <w:rsid w:val="004F4A38"/>
    <w:rsid w:val="005103AA"/>
    <w:rsid w:val="005158D7"/>
    <w:rsid w:val="00520894"/>
    <w:rsid w:val="00523F23"/>
    <w:rsid w:val="00532181"/>
    <w:rsid w:val="00532BA5"/>
    <w:rsid w:val="0053468B"/>
    <w:rsid w:val="00535122"/>
    <w:rsid w:val="00536D7F"/>
    <w:rsid w:val="005436BA"/>
    <w:rsid w:val="00556344"/>
    <w:rsid w:val="00582163"/>
    <w:rsid w:val="00582D70"/>
    <w:rsid w:val="00584894"/>
    <w:rsid w:val="005879BB"/>
    <w:rsid w:val="00595CE6"/>
    <w:rsid w:val="005A2295"/>
    <w:rsid w:val="005A2AC8"/>
    <w:rsid w:val="005A529A"/>
    <w:rsid w:val="005B138A"/>
    <w:rsid w:val="005B4D35"/>
    <w:rsid w:val="005C2D87"/>
    <w:rsid w:val="005C45C5"/>
    <w:rsid w:val="005C4889"/>
    <w:rsid w:val="005D11E9"/>
    <w:rsid w:val="005D3B8D"/>
    <w:rsid w:val="005E1F56"/>
    <w:rsid w:val="005E57CF"/>
    <w:rsid w:val="005F1463"/>
    <w:rsid w:val="005F2E84"/>
    <w:rsid w:val="00603FB7"/>
    <w:rsid w:val="00610F51"/>
    <w:rsid w:val="00611C03"/>
    <w:rsid w:val="00622F87"/>
    <w:rsid w:val="006276D5"/>
    <w:rsid w:val="00627947"/>
    <w:rsid w:val="006371B2"/>
    <w:rsid w:val="00637CAF"/>
    <w:rsid w:val="0069075E"/>
    <w:rsid w:val="006A62E7"/>
    <w:rsid w:val="006A6615"/>
    <w:rsid w:val="006B3DFF"/>
    <w:rsid w:val="006C50AC"/>
    <w:rsid w:val="006C6927"/>
    <w:rsid w:val="006C74E5"/>
    <w:rsid w:val="006D0422"/>
    <w:rsid w:val="006D776F"/>
    <w:rsid w:val="006D79FE"/>
    <w:rsid w:val="006E036B"/>
    <w:rsid w:val="006F5303"/>
    <w:rsid w:val="006F6EC3"/>
    <w:rsid w:val="007021CD"/>
    <w:rsid w:val="007049EC"/>
    <w:rsid w:val="00714D7D"/>
    <w:rsid w:val="0071566B"/>
    <w:rsid w:val="0072184B"/>
    <w:rsid w:val="00730257"/>
    <w:rsid w:val="007322A0"/>
    <w:rsid w:val="00734FB6"/>
    <w:rsid w:val="007355E6"/>
    <w:rsid w:val="007550FE"/>
    <w:rsid w:val="007805D1"/>
    <w:rsid w:val="00793735"/>
    <w:rsid w:val="007A71B6"/>
    <w:rsid w:val="007C445F"/>
    <w:rsid w:val="007D4D3A"/>
    <w:rsid w:val="007E36F8"/>
    <w:rsid w:val="007F0165"/>
    <w:rsid w:val="007F2861"/>
    <w:rsid w:val="007F55A1"/>
    <w:rsid w:val="007F7AE8"/>
    <w:rsid w:val="00802380"/>
    <w:rsid w:val="008024E3"/>
    <w:rsid w:val="00815B84"/>
    <w:rsid w:val="008205C3"/>
    <w:rsid w:val="0082147E"/>
    <w:rsid w:val="00836460"/>
    <w:rsid w:val="00837D17"/>
    <w:rsid w:val="008516A6"/>
    <w:rsid w:val="008669B7"/>
    <w:rsid w:val="00870B0D"/>
    <w:rsid w:val="00871460"/>
    <w:rsid w:val="008722CA"/>
    <w:rsid w:val="00873843"/>
    <w:rsid w:val="00877EE7"/>
    <w:rsid w:val="0088197F"/>
    <w:rsid w:val="008A5D66"/>
    <w:rsid w:val="008C657F"/>
    <w:rsid w:val="008C6A53"/>
    <w:rsid w:val="008E0E7F"/>
    <w:rsid w:val="008E3AF5"/>
    <w:rsid w:val="008E6B45"/>
    <w:rsid w:val="00906BFF"/>
    <w:rsid w:val="00910738"/>
    <w:rsid w:val="009127B7"/>
    <w:rsid w:val="009434E3"/>
    <w:rsid w:val="00954975"/>
    <w:rsid w:val="00966AC3"/>
    <w:rsid w:val="00976D7C"/>
    <w:rsid w:val="0098071C"/>
    <w:rsid w:val="009852E5"/>
    <w:rsid w:val="00991410"/>
    <w:rsid w:val="00993A9E"/>
    <w:rsid w:val="00994555"/>
    <w:rsid w:val="00994F06"/>
    <w:rsid w:val="009B2FD6"/>
    <w:rsid w:val="009B5C96"/>
    <w:rsid w:val="009B7F08"/>
    <w:rsid w:val="009C65E1"/>
    <w:rsid w:val="009D341E"/>
    <w:rsid w:val="009D4BB4"/>
    <w:rsid w:val="009D535F"/>
    <w:rsid w:val="009D6AEF"/>
    <w:rsid w:val="009E3AC5"/>
    <w:rsid w:val="009E6801"/>
    <w:rsid w:val="009F79BC"/>
    <w:rsid w:val="00A02759"/>
    <w:rsid w:val="00A07491"/>
    <w:rsid w:val="00A176D9"/>
    <w:rsid w:val="00A2579B"/>
    <w:rsid w:val="00A260DC"/>
    <w:rsid w:val="00A27DE6"/>
    <w:rsid w:val="00A40E7A"/>
    <w:rsid w:val="00A54BAC"/>
    <w:rsid w:val="00A626E0"/>
    <w:rsid w:val="00A63691"/>
    <w:rsid w:val="00A652C6"/>
    <w:rsid w:val="00A84F4A"/>
    <w:rsid w:val="00A86E9D"/>
    <w:rsid w:val="00A95B40"/>
    <w:rsid w:val="00AB14C5"/>
    <w:rsid w:val="00AB4CEA"/>
    <w:rsid w:val="00AC229C"/>
    <w:rsid w:val="00AC284E"/>
    <w:rsid w:val="00AC77E2"/>
    <w:rsid w:val="00AD1CC5"/>
    <w:rsid w:val="00AD3349"/>
    <w:rsid w:val="00AD6D8F"/>
    <w:rsid w:val="00AE18DB"/>
    <w:rsid w:val="00AE1D54"/>
    <w:rsid w:val="00AE7659"/>
    <w:rsid w:val="00AF7A26"/>
    <w:rsid w:val="00B0571D"/>
    <w:rsid w:val="00B21AC5"/>
    <w:rsid w:val="00B257F5"/>
    <w:rsid w:val="00B44211"/>
    <w:rsid w:val="00B541BD"/>
    <w:rsid w:val="00B5600D"/>
    <w:rsid w:val="00B60993"/>
    <w:rsid w:val="00B62A6C"/>
    <w:rsid w:val="00B91323"/>
    <w:rsid w:val="00B95530"/>
    <w:rsid w:val="00BB5A3D"/>
    <w:rsid w:val="00BC5A98"/>
    <w:rsid w:val="00BE5F21"/>
    <w:rsid w:val="00C0218C"/>
    <w:rsid w:val="00C02A45"/>
    <w:rsid w:val="00C05512"/>
    <w:rsid w:val="00C731F2"/>
    <w:rsid w:val="00C73BA7"/>
    <w:rsid w:val="00C8335C"/>
    <w:rsid w:val="00C84CD8"/>
    <w:rsid w:val="00C85CE4"/>
    <w:rsid w:val="00CA70FA"/>
    <w:rsid w:val="00CD54AB"/>
    <w:rsid w:val="00D005EF"/>
    <w:rsid w:val="00D1349C"/>
    <w:rsid w:val="00D2518B"/>
    <w:rsid w:val="00D27D32"/>
    <w:rsid w:val="00D322E5"/>
    <w:rsid w:val="00D341A5"/>
    <w:rsid w:val="00D3519C"/>
    <w:rsid w:val="00D35D48"/>
    <w:rsid w:val="00D4208B"/>
    <w:rsid w:val="00D43544"/>
    <w:rsid w:val="00D645B1"/>
    <w:rsid w:val="00D71475"/>
    <w:rsid w:val="00D82E4A"/>
    <w:rsid w:val="00D91365"/>
    <w:rsid w:val="00D922AA"/>
    <w:rsid w:val="00DA6558"/>
    <w:rsid w:val="00DB6CCF"/>
    <w:rsid w:val="00DC03A6"/>
    <w:rsid w:val="00DD0341"/>
    <w:rsid w:val="00DD28B9"/>
    <w:rsid w:val="00DD39D7"/>
    <w:rsid w:val="00DD5B37"/>
    <w:rsid w:val="00DE5BFA"/>
    <w:rsid w:val="00DF3DDD"/>
    <w:rsid w:val="00DF566F"/>
    <w:rsid w:val="00DF6B54"/>
    <w:rsid w:val="00E02306"/>
    <w:rsid w:val="00E03895"/>
    <w:rsid w:val="00E04007"/>
    <w:rsid w:val="00E051BF"/>
    <w:rsid w:val="00E20F29"/>
    <w:rsid w:val="00E253E6"/>
    <w:rsid w:val="00E25F19"/>
    <w:rsid w:val="00E278FA"/>
    <w:rsid w:val="00E3133E"/>
    <w:rsid w:val="00E54AE8"/>
    <w:rsid w:val="00E554FB"/>
    <w:rsid w:val="00E676A5"/>
    <w:rsid w:val="00E76563"/>
    <w:rsid w:val="00E77A5E"/>
    <w:rsid w:val="00E864BF"/>
    <w:rsid w:val="00E87001"/>
    <w:rsid w:val="00E87372"/>
    <w:rsid w:val="00E90655"/>
    <w:rsid w:val="00E942BB"/>
    <w:rsid w:val="00EB0F9E"/>
    <w:rsid w:val="00EC0069"/>
    <w:rsid w:val="00EC616F"/>
    <w:rsid w:val="00EF2E50"/>
    <w:rsid w:val="00EF4B5A"/>
    <w:rsid w:val="00EF5BD5"/>
    <w:rsid w:val="00F00654"/>
    <w:rsid w:val="00F035B4"/>
    <w:rsid w:val="00F04060"/>
    <w:rsid w:val="00F1161A"/>
    <w:rsid w:val="00F129A8"/>
    <w:rsid w:val="00F132C9"/>
    <w:rsid w:val="00F2015D"/>
    <w:rsid w:val="00F54403"/>
    <w:rsid w:val="00F63273"/>
    <w:rsid w:val="00F803F6"/>
    <w:rsid w:val="00F87C78"/>
    <w:rsid w:val="00F87CCA"/>
    <w:rsid w:val="00FA0739"/>
    <w:rsid w:val="00FA5FF8"/>
    <w:rsid w:val="00FB0CD7"/>
    <w:rsid w:val="00FB2656"/>
    <w:rsid w:val="00FB5C62"/>
    <w:rsid w:val="00FB5CDC"/>
    <w:rsid w:val="00FC76B9"/>
    <w:rsid w:val="00FC7BB3"/>
    <w:rsid w:val="00FE029B"/>
    <w:rsid w:val="00FF30B7"/>
    <w:rsid w:val="00FF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A9896-20C0-4C02-8E7F-286C5C342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F3E"/>
    <w:pPr>
      <w:widowControl w:val="0"/>
      <w:snapToGrid w:val="0"/>
      <w:spacing w:after="0" w:line="240" w:lineRule="auto"/>
    </w:pPr>
    <w:rPr>
      <w:rFonts w:ascii="Courier" w:eastAsia="Times New Roman" w:hAnsi="Courier"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F3E"/>
    <w:pPr>
      <w:ind w:left="720"/>
      <w:contextualSpacing/>
    </w:pPr>
  </w:style>
  <w:style w:type="paragraph" w:styleId="FootnoteText">
    <w:name w:val="footnote text"/>
    <w:basedOn w:val="Normal"/>
    <w:link w:val="FootnoteTextChar"/>
    <w:unhideWhenUsed/>
    <w:rsid w:val="00D43544"/>
    <w:rPr>
      <w:sz w:val="20"/>
    </w:rPr>
  </w:style>
  <w:style w:type="character" w:customStyle="1" w:styleId="FootnoteTextChar">
    <w:name w:val="Footnote Text Char"/>
    <w:basedOn w:val="DefaultParagraphFont"/>
    <w:link w:val="FootnoteText"/>
    <w:rsid w:val="00D43544"/>
    <w:rPr>
      <w:rFonts w:ascii="Courier" w:eastAsia="Times New Roman" w:hAnsi="Courier" w:cs="Times New Roman"/>
      <w:sz w:val="20"/>
      <w:szCs w:val="20"/>
      <w:lang w:val="en-US"/>
    </w:rPr>
  </w:style>
  <w:style w:type="character" w:styleId="FootnoteReference">
    <w:name w:val="footnote reference"/>
    <w:basedOn w:val="DefaultParagraphFont"/>
    <w:unhideWhenUsed/>
    <w:rsid w:val="00D43544"/>
    <w:rPr>
      <w:vertAlign w:val="superscript"/>
    </w:rPr>
  </w:style>
  <w:style w:type="paragraph" w:styleId="Header">
    <w:name w:val="header"/>
    <w:basedOn w:val="Normal"/>
    <w:link w:val="HeaderChar"/>
    <w:uiPriority w:val="99"/>
    <w:unhideWhenUsed/>
    <w:rsid w:val="007F0165"/>
    <w:pPr>
      <w:tabs>
        <w:tab w:val="center" w:pos="4513"/>
        <w:tab w:val="right" w:pos="9026"/>
      </w:tabs>
    </w:pPr>
  </w:style>
  <w:style w:type="character" w:customStyle="1" w:styleId="HeaderChar">
    <w:name w:val="Header Char"/>
    <w:basedOn w:val="DefaultParagraphFont"/>
    <w:link w:val="Header"/>
    <w:uiPriority w:val="99"/>
    <w:rsid w:val="007F0165"/>
    <w:rPr>
      <w:rFonts w:ascii="Courier" w:eastAsia="Times New Roman" w:hAnsi="Courier" w:cs="Times New Roman"/>
      <w:sz w:val="24"/>
      <w:szCs w:val="20"/>
      <w:lang w:val="en-US"/>
    </w:rPr>
  </w:style>
  <w:style w:type="paragraph" w:styleId="Footer">
    <w:name w:val="footer"/>
    <w:basedOn w:val="Normal"/>
    <w:link w:val="FooterChar"/>
    <w:uiPriority w:val="99"/>
    <w:unhideWhenUsed/>
    <w:rsid w:val="007F0165"/>
    <w:pPr>
      <w:tabs>
        <w:tab w:val="center" w:pos="4513"/>
        <w:tab w:val="right" w:pos="9026"/>
      </w:tabs>
    </w:pPr>
  </w:style>
  <w:style w:type="character" w:customStyle="1" w:styleId="FooterChar">
    <w:name w:val="Footer Char"/>
    <w:basedOn w:val="DefaultParagraphFont"/>
    <w:link w:val="Footer"/>
    <w:uiPriority w:val="99"/>
    <w:rsid w:val="007F0165"/>
    <w:rPr>
      <w:rFonts w:ascii="Courier" w:eastAsia="Times New Roman" w:hAnsi="Courier" w:cs="Times New Roman"/>
      <w:sz w:val="24"/>
      <w:szCs w:val="20"/>
      <w:lang w:val="en-US"/>
    </w:rPr>
  </w:style>
  <w:style w:type="paragraph" w:styleId="EndnoteText">
    <w:name w:val="endnote text"/>
    <w:basedOn w:val="Normal"/>
    <w:link w:val="EndnoteTextChar"/>
    <w:uiPriority w:val="99"/>
    <w:rsid w:val="00DE5BFA"/>
    <w:pPr>
      <w:widowControl/>
      <w:overflowPunct w:val="0"/>
      <w:autoSpaceDE w:val="0"/>
      <w:autoSpaceDN w:val="0"/>
      <w:adjustRightInd w:val="0"/>
      <w:snapToGrid/>
      <w:textAlignment w:val="baseline"/>
    </w:pPr>
    <w:rPr>
      <w:rFonts w:ascii="Courier New" w:eastAsia="BatangChe" w:hAnsi="Courier New" w:cs="Courier New"/>
      <w:szCs w:val="24"/>
    </w:rPr>
  </w:style>
  <w:style w:type="character" w:customStyle="1" w:styleId="EndnoteTextChar">
    <w:name w:val="Endnote Text Char"/>
    <w:basedOn w:val="DefaultParagraphFont"/>
    <w:link w:val="EndnoteText"/>
    <w:uiPriority w:val="99"/>
    <w:rsid w:val="00DE5BFA"/>
    <w:rPr>
      <w:rFonts w:ascii="Courier New" w:eastAsia="BatangChe" w:hAnsi="Courier New" w:cs="Courier New"/>
      <w:sz w:val="24"/>
      <w:szCs w:val="24"/>
      <w:lang w:val="en-US"/>
    </w:rPr>
  </w:style>
  <w:style w:type="character" w:styleId="EndnoteReference">
    <w:name w:val="endnote reference"/>
    <w:basedOn w:val="DefaultParagraphFont"/>
    <w:uiPriority w:val="99"/>
    <w:rsid w:val="00DE5BFA"/>
    <w:rPr>
      <w:rFonts w:ascii="BatangChe" w:eastAsia="BatangChe" w:hAnsi="BatangChe" w:cs="BatangCh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E0342-AD8D-4BFA-97C4-B01D0E87D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10</Pages>
  <Words>3757</Words>
  <Characters>21419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Peter Mitchell</cp:lastModifiedBy>
  <cp:revision>26</cp:revision>
  <dcterms:created xsi:type="dcterms:W3CDTF">2019-05-28T21:07:00Z</dcterms:created>
  <dcterms:modified xsi:type="dcterms:W3CDTF">2019-05-29T23:37:00Z</dcterms:modified>
</cp:coreProperties>
</file>